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2026-08-07</w:t>
      </w:r>
    </w:p>
    <w:p>
      <w:pPr>
        <w:spacing w:before="160" w:after="120"/>
      </w:pPr>
      <w:r>
        <w:rPr>
          <w:b/>
          <w:sz w:val="28"/>
        </w:rPr>
        <w:t>【光伏】</w:t>
      </w:r>
    </w:p>
    <w:p>
      <w:pPr>
        <w:spacing w:before="160" w:after="40" w:line="240" w:lineRule="auto"/>
      </w:pPr>
      <w:r>
        <w:rPr>
          <w:b/>
        </w:rPr>
        <w:t xml:space="preserve">[1] </w:t>
      </w:r>
      <w:hyperlink r:id="rId9">
        <w:r>
          <w:rPr>
            <w:color w:val="1155CC"/>
            <w:u w:val="single"/>
          </w:rPr>
          <w:t>太阳能光伏发电对北欧和波罗的海国家能源产业转型的影响</w:t>
        </w:r>
      </w:hyperlink>
    </w:p>
    <w:p>
      <w:pPr>
        <w:spacing w:before="0" w:after="80"/>
      </w:pPr>
      <w:r>
        <w:rPr>
          <w:i/>
          <w:sz w:val="20"/>
        </w:rPr>
        <w:t>EN: The impact of solar photovoltaics on the energy-industry transition in the Nordic and Baltic countries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10">
        <w:r>
          <w:rPr>
            <w:color w:val="1155CC"/>
            <w:u w:val="single"/>
          </w:rPr>
          <w:t>10.1016/j.apenergy.2026.128475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
        <w:r>
          <w:rPr>
            <w:color w:val="1155CC"/>
            <w:u w:val="single"/>
          </w:rPr>
          <w:t>通过磷钼酸优化界面接触，使 MoOX 基硅太阳能电池的效率达到 24.9%</w:t>
        </w:r>
      </w:hyperlink>
    </w:p>
    <w:p>
      <w:pPr>
        <w:spacing w:before="0" w:after="80"/>
      </w:pPr>
      <w:r>
        <w:rPr>
          <w:i/>
          <w:sz w:val="20"/>
        </w:rPr>
        <w:t>EN: Interface Contact Optimization via Phosphomolybdic Acid Enables 24.9% Efficiency in MoOX-Based Silicon Solar Cells</w:t>
      </w:r>
    </w:p>
    <w:p>
      <w:pPr>
        <w:spacing w:before="0" w:after="120"/>
      </w:pPr>
      <w:r>
        <w:rPr>
          <w:b/>
        </w:rPr>
        <w:t xml:space="preserve">Source: </w:t>
      </w:r>
      <w:r>
        <w:t>Nano-Micro Letters</w:t>
      </w:r>
      <w:r>
        <w:t xml:space="preserve">    </w:t>
      </w:r>
      <w:r>
        <w:rPr>
          <w:b/>
        </w:rPr>
        <w:t xml:space="preserve">Pub date: </w:t>
      </w:r>
      <w:r>
        <w:t>2026-07-31 00:00:00+00:00</w:t>
      </w:r>
      <w:r>
        <w:t xml:space="preserve">    </w:t>
      </w:r>
      <w:r>
        <w:rPr>
          <w:b/>
        </w:rPr>
        <w:t xml:space="preserve">DOI: </w:t>
      </w:r>
      <w:hyperlink r:id="rId12">
        <w:r>
          <w:rPr>
            <w:color w:val="1155CC"/>
            <w:u w:val="single"/>
          </w:rPr>
          <w:t>10.1007/s40820-026-02250-4</w:t>
        </w:r>
      </w:hyperlink>
    </w:p>
    <w:p>
      <w:pPr>
        <w:spacing w:before="0" w:after="120"/>
      </w:pPr>
      <w:r>
        <w:rPr>
          <w:b/>
        </w:rPr>
        <w:t xml:space="preserve">Notes: </w:t>
      </w:r>
      <w:r>
        <w:t>abstract_source=rss_description</w:t>
      </w:r>
    </w:p>
    <w:p>
      <w:pPr>
        <w:spacing w:before="0" w:after="80" w:lineRule="auto" w:line="276"/>
      </w:pPr>
      <w:r>
        <w:rPr>
          <w:b/>
        </w:rPr>
        <w:t xml:space="preserve">摘要（ZH）: </w:t>
      </w:r>
      <w:r>
        <w:t>开发具有成本效益的载流子选择性钝化接触对于提高硅化合物太阳能电池的商业可行性至关重要。氧化钼（MoOX）作为一种有前景的空穴传输层（HTL）引起了人们的广泛关注。除了低成本的加工性能之外，MoOX 的一个关键优势是高功函数。然而，在硅光伏发电中，基于MoOX的p型接触在氢化非晶硅（i-a-Si:H）/MoOX界面处面临根本限制，其中氧空位缺陷降低了功函数，并且弱范德华主导的相互作用损害了电荷携带传输。为了应对这些挑战，我们在 i-a-Si:H/MoOX 界面引入了超薄磷钼酸 (PMA) 中间层。 PMA钝化了氧空位缺陷，导致开路电压从713 mV显着提高到730 mV，并通过偶极子形成使功函数提高0.11 eV；同时，PMA增强了界面结合能，饱和电流密度和接触电阻分别降低了63%和24%，填充因子从83.7%提高到84.9%。最终，我们证明了基于 MoOX 的硅太阳能电池的效率达到创纪录的 24.9%，这为开发用于无掺杂 p 型接触技术的高性能 MoOX HTL 器件提供了宝贵的见解。亮点：1 我们提出了一种新型磷钼酸 (PMA)/MoOX，它克服了硅光伏中过渡金属氧化物的固有钝化和传输限制。2 PMA 充当双功能改性剂，c</w:t>
      </w:r>
    </w:p>
    <w:p>
      <w:pPr>
        <w:spacing w:before="0" w:after="200" w:lineRule="auto" w:line="276"/>
      </w:pPr>
      <w:r>
        <w:rPr>
          <w:b/>
        </w:rPr>
        <w:t xml:space="preserve">Abstract (EN): </w:t>
      </w:r>
      <w:r>
        <w:t>The development of cost-effective carrier-selective passivating contacts is critical for enhancing the commercial feasibility of silicon compound solar cells. Molybdenum oxide (MoOX) has garnered considerable interest as a promising hole transport layer (HTLs). A key advantage of MoOX is high work function, in addition to the low-cost processability. However, in silicon photovoltaics, MoOX-based p-type contacts face fundamental limitations at hydrogenated amorphous silicon (i-a-Si:H)/MoOX interface, where oxygen vacancy defects lower work function, as well as, weak van der Waals-dominated interactions impair charge carry transport. To address these challenges, we introduced an ultrathin phosphomolybdic acid (PMA) interlayer at the i-a-Si:H/MoOX interface. PMA passivated oxygen vacancy defects, resulting in a notable improvement in open-circuit voltage from 713 to 730 mV, and 0.11 eV work function elevation via dipole formation; meanwhile, PMA strengthened the interfacial bonding energy, reducing saturation current density and contact resistance by 63% and 24%, respectively, contributing to a fill factor enhancement from 83.7% to 84.9%. In the end, we demonstrated a record efficiency of 24.9% for MoOX-based silicon solar cells, which provides valuable insights for developing high-performance MoOX HTL devices for dopant-free p-type contact technologies. Highlights:1 We present a novel phosphomolybdic acid (PMA)/MoOX that overcomes the intrinsic passivation and transport limitations of transition metal oxides in silicon photovoltaics.2 PMA acts as a dual-functional modifier, creating a strong interface dipole (6.34 D) and reducing the tunneling barrier, which lowers the contact resistance by 24%.3 The optimized dopant-free contact achieves a record-breaking efficiency of 24.9%, high-performance silicon solar cells.</w:t>
      </w:r>
    </w:p>
    <w:p>
      <w:pPr>
        <w:spacing w:before="120" w:after="120"/>
      </w:pPr>
      <w:r>
        <w:rPr>
          <w:sz w:val="18"/>
        </w:rPr>
        <w:t>——————————————————————————————————————————————————————————————————————</w:t>
      </w:r>
    </w:p>
    <w:p>
      <w:pPr>
        <w:spacing w:before="160" w:after="40" w:line="240" w:lineRule="auto"/>
      </w:pPr>
      <w:r>
        <w:rPr>
          <w:b/>
        </w:rPr>
        <w:t xml:space="preserve">[3] </w:t>
      </w:r>
      <w:hyperlink r:id="rId13">
        <w:r>
          <w:rPr>
            <w:color w:val="1155CC"/>
            <w:u w:val="single"/>
          </w:rPr>
          <w:t>通过热激活界面极化将钙钛矿中的热衰减转化为热增强</w:t>
        </w:r>
      </w:hyperlink>
    </w:p>
    <w:p>
      <w:pPr>
        <w:spacing w:before="0" w:after="80"/>
      </w:pPr>
      <w:r>
        <w:rPr>
          <w:i/>
          <w:sz w:val="20"/>
        </w:rPr>
        <w:t>EN: Turning Thermal Roll‐Off Into Thermal Boost in Perovskites via Heat‐Activated Interfacial Polarization</w:t>
      </w:r>
    </w:p>
    <w:p>
      <w:pPr>
        <w:spacing w:before="0" w:after="120"/>
      </w:pPr>
      <w:r>
        <w:rPr>
          <w:b/>
        </w:rPr>
        <w:t xml:space="preserve">Source: </w:t>
      </w:r>
      <w:r>
        <w:t>Wiley: Advanced Materials: Table of Contents</w:t>
      </w:r>
      <w:r>
        <w:t xml:space="preserve">    </w:t>
      </w:r>
      <w:r>
        <w:rPr>
          <w:b/>
        </w:rPr>
        <w:t xml:space="preserve">Pub date: </w:t>
      </w:r>
      <w:r>
        <w:t>2026-07-31 09:46:23+00:00</w:t>
      </w:r>
      <w:r>
        <w:t xml:space="preserve">    </w:t>
      </w:r>
      <w:r>
        <w:rPr>
          <w:b/>
        </w:rPr>
        <w:t xml:space="preserve">DOI: </w:t>
      </w:r>
      <w:hyperlink r:id="rId14">
        <w:r>
          <w:rPr>
            <w:color w:val="1155CC"/>
            <w:u w:val="single"/>
          </w:rPr>
          <w:t>10.1002/adma.74419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在高温下工作的半导体器件，尤其是在高日照区域，光电性能的固有热退化提出了根本性的挑战。在此，我们报告了一种热激活界面极化策略，该策略独特地将这种性能损失转化为实质性增益。通过将缺电子的氮杂芳族阳离子掺入碘化铅钙钛矿中，我们在有机-无机界面处诱导了热驱动的电子云变形。这个过程建立了一个可逆的界面偶极子，可以重塑静电景观，降低电荷传输势垒并有效筛选深陷阱态。因此，从 300 K 加热到 363 K 时，载流子迁移率增加了约 100 倍，陷阱密度减少了约 80%，直接逆转了传统的热滚降趋势。这种机制的普遍性在 1D、2D 和 3D 钙钛矿系统中得到了证明，所有这些系统都表现出随温度升高而显着的光电流增强。作为概念验证应用，基于该策略的火灾报警探测器对火焰信号红外辐射和烟雾标记 NO 的响应度提高了 100 倍和 1000 倍</w:t>
      </w:r>
      <w:r>
        <w:rPr>
          <w:vertAlign w:val="subscript"/>
        </w:rPr>
        <w:t>2</w:t>
      </w:r>
      <w:r>
        <w:t>气体，分别在相同的加热条件下。这项工作将热能确立为一种功能性资产，而不是一种性能负债，为热鲁棒性和智能光电子学开辟了新途径。</w:t>
      </w:r>
    </w:p>
    <w:p>
      <w:pPr>
        <w:spacing w:before="0" w:after="200" w:lineRule="auto" w:line="276"/>
      </w:pPr>
      <w:r>
        <w:rPr>
          <w:b/>
        </w:rPr>
        <w:t xml:space="preserve">Abstract (EN): </w:t>
      </w:r>
      <w:r>
        <w:t>For semiconductor devices operating under elevated temperatures, especially in high‐insolation regions, the intrinsic thermal degradation of optoelectronic performance poses a fundamental challenge. Herein, we report a heat‐activated interfacial polarization strategy that uniquely converts this performance loss into a substantial gain. By incorporating electron‐deficient N‐heteroaromatic cations into lead–iodide perovskites, we induce a thermally driven electron cloud deformation at the organic–inorganic interface. This process establishes a reversible interfacial dipole that reshapes the electrostatic landscape, lowering charge‐transport barriers and effectively screening deep trap states. As a result, carrier mobility increases by ∼100‐fold and trap density reduces by ∼80% upon heating from 300 to 363 K, directly inverting the conventional thermal‐roll‐off trend. The universality of this mechanism is demonstrated across 1D, 2D, and 3D perovskite systems, all exhibiting pronounced photocurrent enhancement with temperature. As a proof‐of‐concept application, fire‐warning detectors based on this strategy achieve 100‐fold and 1000‐fold enhanced responsivity to flame‐signal infrared irradiation and smoke‐marker NO</w:t>
      </w:r>
      <w:r>
        <w:rPr>
          <w:vertAlign w:val="subscript"/>
        </w:rPr>
        <w:t>2</w:t>
      </w:r>
      <w:r>
        <w:t>gas, respectively, under identical heating conditions. This work establishes thermal energy as a functional asset rather than a performance liability, opening new avenues for thermally robust and smart optoelectronics.</w:t>
      </w:r>
    </w:p>
    <w:p>
      <w:pPr>
        <w:spacing w:before="120" w:after="120"/>
      </w:pPr>
      <w:r>
        <w:rPr>
          <w:sz w:val="18"/>
        </w:rPr>
        <w:t>——————————————————————————————————————————————————————————————————————</w:t>
      </w:r>
    </w:p>
    <w:p>
      <w:pPr>
        <w:spacing w:before="160" w:after="40" w:line="240" w:lineRule="auto"/>
      </w:pPr>
      <w:r>
        <w:rPr>
          <w:b/>
        </w:rPr>
        <w:t xml:space="preserve">[4] </w:t>
      </w:r>
      <w:hyperlink r:id="rId15">
        <w:r>
          <w:rPr>
            <w:color w:val="1155CC"/>
            <w:u w:val="single"/>
          </w:rPr>
          <w:t>通过低剂量并发 4D-STEM-EDX 映射解决卤化铅钙钛矿中的纳米级异质性</w:t>
        </w:r>
      </w:hyperlink>
    </w:p>
    <w:p>
      <w:pPr>
        <w:spacing w:before="0" w:after="80"/>
      </w:pPr>
      <w:r>
        <w:rPr>
          <w:i/>
          <w:sz w:val="20"/>
        </w:rPr>
        <w:t>EN: Resolving Nanoscale Heterogeneities in Lead Halide Perovskites Through Low‐Dose Concurrent 4D‐STEM‐EDX Mapping</w:t>
      </w:r>
    </w:p>
    <w:p>
      <w:pPr>
        <w:spacing w:before="0" w:after="120"/>
      </w:pPr>
      <w:r>
        <w:rPr>
          <w:b/>
        </w:rPr>
        <w:t xml:space="preserve">Source: </w:t>
      </w:r>
      <w:r>
        <w:t>Wiley: Advanced Materials: Table of Contents</w:t>
      </w:r>
      <w:r>
        <w:t xml:space="preserve">    </w:t>
      </w:r>
      <w:r>
        <w:rPr>
          <w:b/>
        </w:rPr>
        <w:t xml:space="preserve">Pub date: </w:t>
      </w:r>
      <w:r>
        <w:t>2026-07-31 09:56:31+00:00</w:t>
      </w:r>
      <w:r>
        <w:t xml:space="preserve">    </w:t>
      </w:r>
      <w:r>
        <w:rPr>
          <w:b/>
        </w:rPr>
        <w:t xml:space="preserve">DOI: </w:t>
      </w:r>
      <w:hyperlink r:id="rId16">
        <w:r>
          <w:rPr>
            <w:color w:val="1155CC"/>
            <w:u w:val="single"/>
          </w:rPr>
          <w:t>10.1002/adma.74382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混合阳离子铅混合卤化物钙钛矿是光伏应用中很有前景的材料；然而，有人认为它们表现出与纳米级异质性相关的不稳定性。直接探究这种异质性的起源需要以纳米级空间分辨率进行表征，这使得透射电子显微镜 (TEM) 成为一种重要的工具。然而，由于这些材料对电子辐射极其敏感，表征这些材料具有挑战性。在这里，我们开发了一种使用四维扫描透射电子显微镜 (4D-STEM) 和能量色散 X 射线光谱 (EDX) 的低剂量并行方法，以绘制 (FA</w:t>
      </w:r>
      <w:r>
        <w:rPr>
          <w:vertAlign w:val="subscript"/>
        </w:rPr>
        <w:t>0</w:t>
      </w:r>
      <w:r>
        <w:t>。</w:t>
      </w:r>
      <w:r>
        <w:rPr>
          <w:vertAlign w:val="subscript"/>
        </w:rPr>
        <w:t>83</w:t>
      </w:r>
      <w:r>
        <w:t>铯</w:t>
      </w:r>
      <w:r>
        <w:rPr>
          <w:vertAlign w:val="subscript"/>
        </w:rPr>
        <w:t>0</w:t>
      </w:r>
      <w:r>
        <w:t>。</w:t>
      </w:r>
      <w:r>
        <w:t xml:space="preserve"> </w:t>
      </w:r>
      <w:r>
        <w:t>17 号</w:t>
      </w:r>
      <w:r>
        <w:t xml:space="preserve"> </w:t>
      </w:r>
      <w:r>
        <w:t>)Pb(I</w:t>
      </w:r>
      <w:r>
        <w:rPr>
          <w:vertAlign w:val="subscript"/>
        </w:rPr>
        <w:t>0</w:t>
      </w:r>
      <w:r>
        <w:t>。</w:t>
      </w:r>
      <w:r>
        <w:rPr>
          <w:vertAlign w:val="subscript"/>
        </w:rPr>
        <w:t>8</w:t>
      </w:r>
      <w:r>
        <w:t>溴</w:t>
      </w:r>
      <w:r>
        <w:rPr>
          <w:vertAlign w:val="subscript"/>
        </w:rPr>
        <w:t>0</w:t>
      </w:r>
      <w:r>
        <w:t>。</w:t>
      </w:r>
      <w:r>
        <w:rPr>
          <w:vertAlign w:val="subscript"/>
        </w:rPr>
        <w:t>2</w:t>
      </w:r>
      <w:r>
        <w:t>）</w:t>
      </w:r>
      <w:r>
        <w:rPr>
          <w:vertAlign w:val="subscript"/>
        </w:rPr>
        <w:t>3</w:t>
      </w:r>
      <w:r>
        <w:t>钙钛矿薄膜不会引起损伤。我们的相关分析揭示了这种最先进的 LHP 薄膜中共存晶体结构的复杂镶嵌。我们在局部化学成分和晶体结构之间建立了直接联系，表明不受欢迎的光伏非活性六方多型体的形成主要是由稳定铯阳离子的局部缺陷驱动的。钍</w:t>
      </w:r>
    </w:p>
    <w:p>
      <w:pPr>
        <w:spacing w:before="0" w:after="200" w:lineRule="auto" w:line="276"/>
      </w:pPr>
      <w:r>
        <w:rPr>
          <w:b/>
        </w:rPr>
        <w:t xml:space="preserve">Abstract (EN): </w:t>
      </w:r>
      <w:r>
        <w:t>Mixed‐cation lead mixed‐halide perovskites are promising materials for applications in photovoltaics; however, it has been suggested that they exhibit instabilities linked to nanoscale heterogeneity. Directly probing the origins of this heterogeneity requires characterization with nanoscale spatial resolution, making transmission electron microscopy (TEM) an essential tool. However, characterizing these materials is challenging due to their extreme sensitivity to electron irradiation. Here, we develop a low‐dose, concurrent methodology using four‐dimensional scanning transmission electron microscopy (4D‐STEM) and energy‐dispersive x‐ray spectroscopy (EDX) in order to map both the chemical and structural architecture of a (FA</w:t>
      </w:r>
      <w:r>
        <w:rPr>
          <w:vertAlign w:val="subscript"/>
        </w:rPr>
        <w:t>0</w:t>
      </w:r>
      <w:r>
        <w:t>.</w:t>
      </w:r>
      <w:r>
        <w:rPr>
          <w:vertAlign w:val="subscript"/>
        </w:rPr>
        <w:t>83</w:t>
      </w:r>
      <w:r>
        <w:t>Cs</w:t>
      </w:r>
      <w:r>
        <w:rPr>
          <w:vertAlign w:val="subscript"/>
        </w:rPr>
        <w:t>0</w:t>
      </w:r>
      <w:r>
        <w:t>.</w:t>
      </w:r>
      <w:r>
        <w:rPr>
          <w:vertAlign w:val="subscript"/>
        </w:rPr>
        <w:t>17</w:t>
      </w:r>
      <w:r>
        <w:t>)Pb(I</w:t>
      </w:r>
      <w:r>
        <w:rPr>
          <w:vertAlign w:val="subscript"/>
        </w:rPr>
        <w:t>0</w:t>
      </w:r>
      <w:r>
        <w:t>.</w:t>
      </w:r>
      <w:r>
        <w:rPr>
          <w:vertAlign w:val="subscript"/>
        </w:rPr>
        <w:t>8</w:t>
      </w:r>
      <w:r>
        <w:t>Br</w:t>
      </w:r>
      <w:r>
        <w:rPr>
          <w:vertAlign w:val="subscript"/>
        </w:rPr>
        <w:t>0</w:t>
      </w:r>
      <w:r>
        <w:t>.</w:t>
      </w:r>
      <w:r>
        <w:rPr>
          <w:vertAlign w:val="subscript"/>
        </w:rPr>
        <w:t>2</w:t>
      </w:r>
      <w:r>
        <w:t>)</w:t>
      </w:r>
      <w:r>
        <w:rPr>
          <w:vertAlign w:val="subscript"/>
        </w:rPr>
        <w:t>3</w:t>
      </w:r>
      <w:r>
        <w:t>perovskite film without inducing damage. Our correlative analysis reveals a complex mosaic of coexisting crystal structures in this state‐of‐the‐art LHP film. We establish a direct link between local chemical composition and crystal structure, showing that the formation of undesirable, photovoltaically inactive hexagonal polytypes is predominantly driven by local deficiencies in the stabilizing cesium cation. These findings provide crucial insight into one of the fundamental origins of structural instabilities in mixed composition perovskite thin‐films, suggesting that achieving long‐term device performance requires the development of fabrication routes that ensure compositional homogeneity at the nanoscale.</w:t>
      </w:r>
    </w:p>
    <w:p>
      <w:pPr>
        <w:spacing w:before="120" w:after="120"/>
      </w:pPr>
      <w:r>
        <w:rPr>
          <w:sz w:val="18"/>
        </w:rPr>
        <w:t>——————————————————————————————————————————————————————————————————————</w:t>
      </w:r>
    </w:p>
    <w:p>
      <w:pPr>
        <w:spacing w:before="160" w:after="40" w:line="240" w:lineRule="auto"/>
      </w:pPr>
      <w:r>
        <w:rPr>
          <w:b/>
        </w:rPr>
        <w:t xml:space="preserve">[5] </w:t>
      </w:r>
      <w:hyperlink r:id="rId17">
        <w:r>
          <w:rPr>
            <w:color w:val="1155CC"/>
            <w:u w:val="single"/>
          </w:rPr>
          <w:t>钙钛矿单晶飞行时间迁移率测量中的几何伪影</w:t>
        </w:r>
      </w:hyperlink>
    </w:p>
    <w:p>
      <w:pPr>
        <w:spacing w:before="0" w:after="80"/>
      </w:pPr>
      <w:r>
        <w:rPr>
          <w:i/>
          <w:sz w:val="20"/>
        </w:rPr>
        <w:t>EN: Geometric Artifacts in Time‐of‐Flight Mobility Measurements of Perovskite Single Crystals</w:t>
      </w:r>
    </w:p>
    <w:p>
      <w:pPr>
        <w:spacing w:before="0" w:after="120"/>
      </w:pPr>
      <w:r>
        <w:rPr>
          <w:b/>
        </w:rPr>
        <w:t xml:space="preserve">Source: </w:t>
      </w:r>
      <w:r>
        <w:t>Wiley: Advanced Materials: Table of Contents</w:t>
      </w:r>
      <w:r>
        <w:t xml:space="preserve">    </w:t>
      </w:r>
      <w:r>
        <w:rPr>
          <w:b/>
        </w:rPr>
        <w:t xml:space="preserve">Pub date: </w:t>
      </w:r>
      <w:r>
        <w:t>2026-07-31 10:09:44+00:00</w:t>
      </w:r>
      <w:r>
        <w:t xml:space="preserve">    </w:t>
      </w:r>
      <w:r>
        <w:rPr>
          <w:b/>
        </w:rPr>
        <w:t xml:space="preserve">DOI: </w:t>
      </w:r>
      <w:hyperlink r:id="rId18">
        <w:r>
          <w:rPr>
            <w:color w:val="1155CC"/>
            <w:u w:val="single"/>
          </w:rPr>
          <w:t>10.1002/adma.74407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载流子迁移率是金属卤化物钙钛矿的重要参数，决定了太阳能电池中载流子的扩散长度、探测器的响应速度以及其他器件特性。飞行时间（ToF）广泛用于评估厚钙钛矿晶体中的载流子迁移率，并且通常被视为长程漂移传输的直接探针。在这里，我们表明提取的 ToF 迁移率对电极几何形状敏感。电场线集中在电极边缘附近可以大大缩短传输时间。由于电极直径小于晶体厚度的器件中扭曲的电场，ToF 迁移率可能被高估多达 10 倍。需要大于 8 的电极直径与晶体厚度比才能获得一致的电荷传输时间，从而获得一致的载流子迁移率。使用与电极偏置相同电位的保护环，最小电极直径与晶体厚度之比可降至 2.5。</w:t>
      </w:r>
    </w:p>
    <w:p>
      <w:pPr>
        <w:spacing w:before="0" w:after="200" w:lineRule="auto" w:line="276"/>
      </w:pPr>
      <w:r>
        <w:rPr>
          <w:b/>
        </w:rPr>
        <w:t xml:space="preserve">Abstract (EN): </w:t>
      </w:r>
      <w:r>
        <w:t>Carrier mobility is an important parameter of metal halide perovskites that determines carrier diffusion length in solar cells, response speed of detectors, and other device characteristics. Time‐of‐flight (ToF) is widely used to evaluate carrier mobilities in thick perovskite crystals and is often regarded as a direct probe of long‐range drift transport. Here we show that extracted ToF mobilities are sensitive to the electrode geometry. The concentration of electric field lines near electrode edges can dramatically shorten the transit time. ToF mobilities can be overestimated by up to 10 times by the distorted electric field in devices with electrode diameters smaller than the crystal thickness. An electrode‐diameter‐to‐crystal‐thickness ratio larger than 8 is required to obtain consistent charge transit time and thus the carrier mobility. Using a guard ring biased at the same potential as the electrode, the minimum electrode‐diameter‐to‐crystal‐thickness ratio can be reduced to 2.5.</w:t>
      </w:r>
    </w:p>
    <w:p>
      <w:pPr>
        <w:spacing w:before="120" w:after="120"/>
      </w:pPr>
      <w:r>
        <w:rPr>
          <w:sz w:val="18"/>
        </w:rPr>
        <w:t>——————————————————————————————————————————————————————————————————————</w:t>
      </w:r>
    </w:p>
    <w:p>
      <w:pPr>
        <w:spacing w:before="160" w:after="40" w:line="240" w:lineRule="auto"/>
      </w:pPr>
      <w:r>
        <w:rPr>
          <w:b/>
        </w:rPr>
        <w:t xml:space="preserve">[6] </w:t>
      </w:r>
      <w:hyperlink r:id="rId19">
        <w:r>
          <w:rPr>
            <w:color w:val="1155CC"/>
            <w:u w:val="single"/>
          </w:rPr>
          <w:t>将电流失配转化为优势：抑制迟滞并提高两端钙钛矿/硅串联太阳能电池的运行稳定性</w:t>
        </w:r>
      </w:hyperlink>
    </w:p>
    <w:p>
      <w:pPr>
        <w:spacing w:before="0" w:after="80"/>
      </w:pPr>
      <w:r>
        <w:rPr>
          <w:i/>
          <w:sz w:val="20"/>
        </w:rPr>
        <w:t>EN: Turning current mismatch into advantage: suppressing hysteresis and improving operational stability in two-terminal perovskite/silicon tandem solar cells</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20">
        <w:r>
          <w:rPr>
            <w:color w:val="1155CC"/>
            <w:u w:val="single"/>
          </w:rPr>
          <w:t>10.1016/j.apenergy.2026.128576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1">
        <w:r>
          <w:rPr>
            <w:color w:val="1155CC"/>
            <w:u w:val="single"/>
          </w:rPr>
          <w:t>光伏储能系统（PV-ESS）与电动公交车动态充电基础设施规划和调度的集成</w:t>
        </w:r>
      </w:hyperlink>
    </w:p>
    <w:p>
      <w:pPr>
        <w:spacing w:before="0" w:after="80"/>
      </w:pPr>
      <w:r>
        <w:rPr>
          <w:i/>
          <w:sz w:val="20"/>
        </w:rPr>
        <w:t>EN: Integration of photovoltaic energy storage system (PV-ESS) with in-motion charging infrastructure planning and scheduling for e-buses</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22">
        <w:r>
          <w:rPr>
            <w:color w:val="1155CC"/>
            <w:u w:val="single"/>
          </w:rPr>
          <w:t>10.1016/j.apenergy.2026.128572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3">
        <w:r>
          <w:rPr>
            <w:color w:val="1155CC"/>
            <w:u w:val="single"/>
          </w:rPr>
          <w:t>多氟芳烃的取代电子效应对大面积钙钛矿太阳能电池组件制造的协同结晶调节</w:t>
        </w:r>
      </w:hyperlink>
    </w:p>
    <w:p>
      <w:pPr>
        <w:spacing w:before="0" w:after="80"/>
      </w:pPr>
      <w:r>
        <w:rPr>
          <w:i/>
          <w:sz w:val="20"/>
        </w:rPr>
        <w:t>EN: Synergistic Crystallization Regulation by Substituent Electronic Effects of Polyfluoroarenes Toward Large Area Perovskite Solar Module Fabrication</w:t>
      </w:r>
    </w:p>
    <w:p>
      <w:pPr>
        <w:spacing w:before="0" w:after="120"/>
      </w:pPr>
      <w:r>
        <w:rPr>
          <w:b/>
        </w:rPr>
        <w:t xml:space="preserve">Source: </w:t>
      </w:r>
      <w:r>
        <w:t>Wiley: Advanced Materials: Table of Contents</w:t>
      </w:r>
      <w:r>
        <w:t xml:space="preserve">    </w:t>
      </w:r>
      <w:r>
        <w:rPr>
          <w:b/>
        </w:rPr>
        <w:t xml:space="preserve">Pub date: </w:t>
      </w:r>
      <w:r>
        <w:t>2026-08-01 10:02:21+00:00</w:t>
      </w:r>
      <w:r>
        <w:t xml:space="preserve">    </w:t>
      </w:r>
      <w:r>
        <w:rPr>
          <w:b/>
        </w:rPr>
        <w:t xml:space="preserve">DOI: </w:t>
      </w:r>
      <w:hyperlink r:id="rId24">
        <w:r>
          <w:rPr>
            <w:color w:val="1155CC"/>
            <w:u w:val="single"/>
          </w:rPr>
          <w:t>10.1002/adma.74469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大型基板上实现均匀且高质量的钙钛矿结晶是将钙钛矿太阳能电池（PSC）从实验室规模过渡到工业生产的先决条件。在此，我们通过使用具有独特电子效应的多氟芳烃分子来系统地调节钙钛矿结晶动力学。我们证明含有强吸电子氰基的 3,4,5-三氟苯甲腈 (TFBN) 会产生缺电子共轭体系。这种配置增强了阴离子-π 与 I 的相互作用</w:t>
      </w:r>
      <w:r>
        <w:t xml:space="preserve"> </w:t>
      </w:r>
      <w:r>
        <w:t>-</w:t>
      </w:r>
      <w:r>
        <w:t>并与Pb形成强配位</w:t>
      </w:r>
      <w:r>
        <w:t xml:space="preserve"> </w:t>
      </w:r>
      <w:r>
        <w:t>2+</w:t>
      </w:r>
      <w:r>
        <w:t xml:space="preserve"> </w:t>
      </w:r>
      <w:r>
        <w:t>框架。 TFBN 与分子间氢键协同作用，增加了有效的成核势垒，将快速成核转化为受控、均匀的生长过程。因此，这种多维调控产生了无针孔的钙钛矿薄膜，并且显着抑制了非辐射复合。 TFBN优化的小面积器件（孔径面积：0.09 cm</w:t>
      </w:r>
      <w:r>
        <w:rPr>
          <w:vertAlign w:val="subscript"/>
        </w:rPr>
        <w:t>2</w:t>
      </w:r>
      <w:r>
        <w:t>）实现了 27.01% 的冠军功率转换效率 (PCE)，同时非辐射电压损耗仅为 55 mV。此外，我们还展示了出色的可扩展性，1 cm 的 PCE 达到 25.56%</w:t>
      </w:r>
      <w:r>
        <w:rPr>
          <w:vertAlign w:val="subscript"/>
        </w:rPr>
        <w:t>2</w:t>
      </w:r>
      <w:r>
        <w:t>（孔径面积）细胞，14.63 cm 为 24.51%</w:t>
      </w:r>
      <w:r>
        <w:rPr>
          <w:vertAlign w:val="subscript"/>
        </w:rPr>
        <w:t>2</w:t>
      </w:r>
      <w:r>
        <w:t>（有效区域）模块，58.51 cm 为 21.05%</w:t>
      </w:r>
      <w:r>
        <w:rPr>
          <w:vertAlign w:val="subscript"/>
        </w:rPr>
        <w:t>2</w:t>
      </w:r>
      <w:r>
        <w:t>（活动区域）</w:t>
      </w:r>
    </w:p>
    <w:p>
      <w:pPr>
        <w:spacing w:before="0" w:after="200" w:lineRule="auto" w:line="276"/>
      </w:pPr>
      <w:r>
        <w:rPr>
          <w:b/>
        </w:rPr>
        <w:t xml:space="preserve">Abstract (EN): </w:t>
      </w:r>
      <w:r>
        <w:t>Achieving uniform and high‐quality perovskite crystallization across large substrates is a prerequisite for transitioning perovskite solar cells (PSCs) from laboratory scale to industrial production. Herein, we systematically regulate perovskite crystallization kinetics by using polyfluoroarene molecules featured with distinct electronic effects. We demonstrate that 3,4,5‐trifluorobenzonitrile (TFBN) containing a strong electron‐withdrawing cyano group creates an electron‐deficient conjugation system. This configuration enhances anion‐π interactions with I</w:t>
      </w:r>
      <w:r>
        <w:t xml:space="preserve"> </w:t>
      </w:r>
      <w:r>
        <w:t>−</w:t>
      </w:r>
      <w:r>
        <w:t>and forms strong coordination with Pb</w:t>
      </w:r>
      <w:r>
        <w:t xml:space="preserve"> </w:t>
      </w:r>
      <w:r>
        <w:t>2+</w:t>
      </w:r>
      <w:r>
        <w:t xml:space="preserve"> </w:t>
      </w:r>
      <w:r>
        <w:t>framework. Synergizing with intermolecular hydrogen bonding, TFBN increases the effective nucleation barrier, converting rapid nucleation into a controlled, uniform growth process. Consequently, this multidimensional regulation yields pinhole‐free perovskite films with significantly suppressed non‐radiative recombination. The TFBN‐optimized small area device (aperture area: 0.09 cm</w:t>
      </w:r>
      <w:r>
        <w:rPr>
          <w:vertAlign w:val="subscript"/>
        </w:rPr>
        <w:t>2</w:t>
      </w:r>
      <w:r>
        <w:t>) achieves a champion power conversion efficiency (PCE) of 27.01% along with a low non‐radiative voltage loss of only 55 mV. Furthermore, we demonstrate excellent scalability, achieving PCEs of 25.56% for 1 cm</w:t>
      </w:r>
      <w:r>
        <w:rPr>
          <w:vertAlign w:val="subscript"/>
        </w:rPr>
        <w:t>2</w:t>
      </w:r>
      <w:r>
        <w:t>(aperture area) cells, 24.51% for 14.63 cm</w:t>
      </w:r>
      <w:r>
        <w:rPr>
          <w:vertAlign w:val="subscript"/>
        </w:rPr>
        <w:t>2</w:t>
      </w:r>
      <w:r>
        <w:t>(active area) modules, and 21.05% for 58.51 cm</w:t>
      </w:r>
      <w:r>
        <w:rPr>
          <w:vertAlign w:val="subscript"/>
        </w:rPr>
        <w:t>2</w:t>
      </w:r>
      <w:r>
        <w:t>(active area) modules, respectively. Moreover, the resulting devices exhibit improved long‐term operational stability under maximum power point tracking and thermal stress. Overall, this synergistic regulation approach provides molecular‐level design principles for scalable fabrication of efficient and durable perovskite photovoltaics.</w:t>
      </w:r>
    </w:p>
    <w:p>
      <w:pPr>
        <w:spacing w:before="120" w:after="120"/>
      </w:pPr>
      <w:r>
        <w:rPr>
          <w:sz w:val="18"/>
        </w:rPr>
        <w:t>——————————————————————————————————————————————————————————————————————</w:t>
      </w:r>
    </w:p>
    <w:p>
      <w:pPr>
        <w:spacing w:before="160" w:after="40" w:line="240" w:lineRule="auto"/>
      </w:pPr>
      <w:r>
        <w:rPr>
          <w:b/>
        </w:rPr>
        <w:t xml:space="preserve">[9] </w:t>
      </w:r>
      <w:hyperlink r:id="rId25">
        <w:r>
          <w:rPr>
            <w:color w:val="1155CC"/>
            <w:u w:val="single"/>
          </w:rPr>
          <w:t>稳定宽带隙钙钛矿太阳能电池和模块的结晶调制</w:t>
        </w:r>
      </w:hyperlink>
    </w:p>
    <w:p>
      <w:pPr>
        <w:spacing w:before="0" w:after="80"/>
      </w:pPr>
      <w:r>
        <w:rPr>
          <w:i/>
          <w:sz w:val="20"/>
        </w:rPr>
        <w:t>EN: Crystallization Modulation for Stable Wide‐Bandgap Perovskite Solar Cells and Modules</w:t>
      </w:r>
    </w:p>
    <w:p>
      <w:pPr>
        <w:spacing w:before="0" w:after="120"/>
      </w:pPr>
      <w:r>
        <w:rPr>
          <w:b/>
        </w:rPr>
        <w:t xml:space="preserve">Source: </w:t>
      </w:r>
      <w:r>
        <w:t>Wiley: Advanced Materials: Table of Contents</w:t>
      </w:r>
      <w:r>
        <w:t xml:space="preserve">    </w:t>
      </w:r>
      <w:r>
        <w:rPr>
          <w:b/>
        </w:rPr>
        <w:t xml:space="preserve">Pub date: </w:t>
      </w:r>
      <w:r>
        <w:t>2026-08-01 10:23:14+00:00</w:t>
      </w:r>
      <w:r>
        <w:t xml:space="preserve">    </w:t>
      </w:r>
      <w:r>
        <w:rPr>
          <w:b/>
        </w:rPr>
        <w:t xml:space="preserve">DOI: </w:t>
      </w:r>
      <w:hyperlink r:id="rId26">
        <w:r>
          <w:rPr>
            <w:color w:val="1155CC"/>
            <w:u w:val="single"/>
          </w:rPr>
          <w:t>10.1002/adma.74388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单结钙钛矿太阳能电池（PSC）的功率转换效率（PCE）接近Shockley-Queisser理论极限，基于钙钛矿的串联太阳能电池（TSC）已被广泛认为是超越单结PSC并实现下一代高性能光伏的关键途径。然而，宽带隙（WBG）钙钛矿，特别是混合卤化物体系，仍然面临重大挑战，包括光致相偏析、高缺陷密度和界面失配。这些问题很大程度上源于其复杂的结晶过程。这篇综述描述了宽带隙钙钛矿的不均匀结晶如何造成以下挑战：初始相偏析、缺陷形成和稳定性问题。随后，对结晶调制的最新进展进行了全面综述。讨论了界面工程、成分工程、溶剂工程、工艺优化和增材工程等策略，重点是精确调节成核和生长以获得高质量的宽带隙钙钛矿。最后，总结了宽带隙钙钛矿大面积制备的进展和稳定性问题，并概述了未来的研究方向。</w:t>
      </w:r>
    </w:p>
    <w:p>
      <w:pPr>
        <w:spacing w:before="0" w:after="200" w:lineRule="auto" w:line="276"/>
      </w:pPr>
      <w:r>
        <w:rPr>
          <w:b/>
        </w:rPr>
        <w:t xml:space="preserve">Abstract (EN): </w:t>
      </w:r>
      <w:r>
        <w:t>As the power conversion efficiency (PCE) of single‐junction perovskite solar cells (PSCs) approaches the Shockley–Queisser theoretical limit, perovskite‐based tandem solar cells (TSCs) have been widely recognized as a key pathway to surpass single‐junction PSCs and enable next‐generation high‐performance photovoltaics. However, wide‐bandgap (WBG) perovskites, particularly mixed‐halide systems, still face significant challenges, including photoinduced phase segregation, high defect densities, and interfacial mismatches. These issues largely stem from their complex crystallization processes. This review describes how inhomogeneous crystallization of WBG perovskites underlies the following challenges: initial phase segregation, defect formation, and stability issues. Following this, a comprehensive review of recent advances in crystallization modulation was carried out. Strategies such as interface engineering, composition engineering, solvent engineering, process optimization, and additive engineering are discussed, with a focus on precisely modulating nucleation and growth to achieve high‐quality WBG perovskites. Finally, the development of large‐area fabrication of WBG perovskites and stability issues are summarized, and future research directions are outlined.</w:t>
      </w:r>
    </w:p>
    <w:p>
      <w:pPr>
        <w:spacing w:before="120" w:after="120"/>
      </w:pPr>
      <w:r>
        <w:rPr>
          <w:sz w:val="18"/>
        </w:rPr>
        <w:t>——————————————————————————————————————————————————————————————————————</w:t>
      </w:r>
    </w:p>
    <w:p>
      <w:pPr>
        <w:spacing w:before="160" w:after="40" w:line="240" w:lineRule="auto"/>
      </w:pPr>
      <w:r>
        <w:rPr>
          <w:b/>
        </w:rPr>
        <w:t xml:space="preserve">[10] </w:t>
      </w:r>
      <w:hyperlink r:id="rId27">
        <w:r>
          <w:rPr>
            <w:color w:val="1155CC"/>
            <w:u w:val="single"/>
          </w:rPr>
          <w:t>更深入地了解自旋动力学、增强传输性能和新兴多功能器件：有机自旋电子学和材料的最新进展</w:t>
        </w:r>
      </w:hyperlink>
    </w:p>
    <w:p>
      <w:pPr>
        <w:spacing w:before="0" w:after="80"/>
      </w:pPr>
      <w:r>
        <w:rPr>
          <w:i/>
          <w:sz w:val="20"/>
        </w:rPr>
        <w:t>EN: Deeper Insights Into the Spin Dynamics, Enhancing Transport Performance, and Emerged Multifunctional Devices: Recent Progress in Organic Spintronics and Materials</w:t>
      </w:r>
    </w:p>
    <w:p>
      <w:pPr>
        <w:spacing w:before="0" w:after="120"/>
      </w:pPr>
      <w:r>
        <w:rPr>
          <w:b/>
        </w:rPr>
        <w:t xml:space="preserve">Source: </w:t>
      </w:r>
      <w:r>
        <w:t>Wiley: Advanced Materials: Table of Contents</w:t>
      </w:r>
      <w:r>
        <w:t xml:space="preserve">    </w:t>
      </w:r>
      <w:r>
        <w:rPr>
          <w:b/>
        </w:rPr>
        <w:t xml:space="preserve">Pub date: </w:t>
      </w:r>
      <w:r>
        <w:t>2026-08-01 16:28:58+00:00</w:t>
      </w:r>
      <w:r>
        <w:t xml:space="preserve">    </w:t>
      </w:r>
      <w:r>
        <w:rPr>
          <w:b/>
        </w:rPr>
        <w:t xml:space="preserve">DOI: </w:t>
      </w:r>
      <w:hyperlink r:id="rId28">
        <w:r>
          <w:rPr>
            <w:color w:val="1155CC"/>
            <w:u w:val="single"/>
          </w:rPr>
          <w:t>10.1002/adma.74315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在现代电子工业领域具有巨大的实际潜力，有机自旋电子学是一个快速发展的前沿跨学科领域。有机半导体（OSC）由于其轻元素组成框架，与无机半导体相比通常表现出显着的自旋输运性能，已成为开发多功能有机电子器件的有前景的平台。近年来，随着有机自旋弛豫机制理论框架的进一步完善，许多新颖的设计策略被提出，大大增强了有机太阳能电池在多功能自旋电子器件中的适用性。本文全面总结了自旋输运动力学、化学调制策略和衍生功能器件。首先，讨论了各种 OSC 中自旋或载流子传输的物理图像，特别是自旋弛豫与电荷或晶格动力学之间的耦合。随后，对旨在实现高自旋输运性能的OSC的设计策略进行了分类。此外，还介绍了自旋忆阻器、自旋发光二极管（spin-LED）、自旋光伏器件等多种自旋相关多功能器件领域的进展。最后，提出总结和未来展望，强调有机自旋电子学的多样性和长期发展的潜力。</w:t>
      </w:r>
    </w:p>
    <w:p>
      <w:pPr>
        <w:spacing w:before="0" w:after="200" w:lineRule="auto" w:line="276"/>
      </w:pPr>
      <w:r>
        <w:rPr>
          <w:b/>
        </w:rPr>
        <w:t xml:space="preserve">Abstract (EN): </w:t>
      </w:r>
      <w:r>
        <w:t>Organic spintronics is a rapidly evolving frontier interdisciplinary field because of the significant practical potential in the field of the modern electronics industry. Organic semiconductors (OSCs), which typically exhibit remarkably spin transport performance compared to inorganic counterparts owing to their light elements composing framework, have emerged as a promising platform for the development of multifunctional organic electronic devices. In recent years, as the theoretical framework of organic spin relaxation mechanisms has been further refined, many novel design strategies have been proposed, substantially enhancing the applicability of OSCs in multifunctional spintronics devices. Herein, spin transport dynamics, chemical modulation strategies, and the derivative functional devices are comprehensively summarized in this review. First, the physical pictures of the spin or carrier transport in various OSCs, especially the coupling between spin relaxations and charge or lattice dynamics, are discussed. Subsequently, the design strategies of OSCs aimed at realizing high spin transport performance are classified. Moreover, the progress in the field of several spin‐related multifunctional devices, such as spin memristor, spin light emitting diode (spin‐LED), spin photovoltaic devices, are presented. Finally, a summary and future outlook are proposed, emphasizing the diversity and potential for long‐term development in organic spintronics.</w:t>
      </w:r>
    </w:p>
    <w:p>
      <w:pPr>
        <w:spacing w:before="120" w:after="120"/>
      </w:pPr>
      <w:r>
        <w:rPr>
          <w:sz w:val="18"/>
        </w:rPr>
        <w:t>——————————————————————————————————————————————————————————————————————</w:t>
      </w:r>
    </w:p>
    <w:p>
      <w:pPr>
        <w:spacing w:before="160" w:after="40" w:line="240" w:lineRule="auto"/>
      </w:pPr>
      <w:r>
        <w:rPr>
          <w:b/>
        </w:rPr>
        <w:t xml:space="preserve">[11] </w:t>
      </w:r>
      <w:hyperlink r:id="rId29">
        <w:r>
          <w:rPr>
            <w:color w:val="1155CC"/>
            <w:u w:val="single"/>
          </w:rPr>
          <w:t>用于钙钛矿光伏界面钝化的混合配体驱动相纯二维钙钛矿</w:t>
        </w:r>
      </w:hyperlink>
    </w:p>
    <w:p>
      <w:pPr>
        <w:spacing w:before="0" w:after="80"/>
      </w:pPr>
      <w:r>
        <w:rPr>
          <w:i/>
          <w:sz w:val="20"/>
        </w:rPr>
        <w:t>EN: Mixed-Ligand-Driven Phase-Pure 2D Perovskite for Interfacial Passivation of Perovskite Photovoltaics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30">
        <w:r>
          <w:rPr>
            <w:color w:val="1155CC"/>
            <w:u w:val="single"/>
          </w:rPr>
          <w:t>10.1021/jacs.6c05503</w:t>
        </w:r>
      </w:hyperlink>
    </w:p>
    <w:p>
      <w:pPr>
        <w:spacing w:before="0" w:after="120"/>
      </w:pPr>
      <w:r>
        <w:rPr>
          <w:b/>
        </w:rPr>
        <w:t xml:space="preserve">Notes: </w:t>
      </w:r>
      <w:r>
        <w:t>abstract_source=crossref</w:t>
      </w:r>
    </w:p>
    <w:p>
      <w:pPr>
        <w:spacing w:before="0" w:after="80" w:lineRule="auto" w:line="276"/>
      </w:pPr>
      <w:r>
        <w:rPr>
          <w:b/>
        </w:rPr>
        <w:t xml:space="preserve">摘要（ZH）: </w:t>
      </w:r>
      <w:r>
        <w:t>摘要 有效的界面钝化对于实现高性能钙钛矿光伏电池至关重要。 2D/3D 异质结构是一种广泛采用的缺陷钝化和能带对准调节策略。尽管最近取得了进展，但实现有利的界面能量并全面抑制表面和晶界的非辐射复合仍然是一个活跃的研究领域。我们引入了一种共组装的二维结构，其中长链配体由短链配体的少数成分补充，形成混合配体钝化层。这种共组装结构优先促进纯相、n = 2、二维层的形成，从而产生能量上有利的能带排列，从而增强电荷提取。此外，这种共组装有助于有效钝化表面和晶界处的界面缺陷，从而抑制非辐射复合。因此，这些界面改进可延长载流子寿命并提高器件的填充因子和开路电压，从而产生更高的功率转换效率。</w:t>
      </w:r>
    </w:p>
    <w:p>
      <w:pPr>
        <w:spacing w:before="0" w:after="200" w:lineRule="auto" w:line="276"/>
      </w:pPr>
      <w:r>
        <w:rPr>
          <w:b/>
        </w:rPr>
        <w:t xml:space="preserve">Abstract (EN): </w:t>
      </w:r>
      <w:r>
        <w:t>Effective interfacial passivation is essential for achieving high-performance perovskite photovoltaics. 2D/3D heterostructures are a widely adopted strategy for defect passivation and band alignment regulation. Despite recent progress, achieving favorable interfacial energetics and comprehensively suppressing nonradiative recombination at both surfaces and grain boundaries continues to be an active area of investigation. We introduce a coassembled 2D architecture in which long-chain ligands are complemented by a minority component of short-chain ligands to form a mixed-ligand passivation layer. Such a coassembled structure promotes preferentially phase-pure, n = 2, 2D layer formation, resulting in an energetically favorable band alignment that enhances charge extraction. In addition, this coassembly facilitates effective passivation of interfacial defects at both surfaces and grain boundaries, leading to suppressed nonradiative recombination. As a consequence, these interfacial improvements increase carrier lifetimes and enhance the fill factor and open-circuit voltage of the device, yielding a higher power-conversion efficiency.</w:t>
      </w:r>
    </w:p>
    <w:p>
      <w:pPr>
        <w:spacing w:before="120" w:after="120"/>
      </w:pPr>
      <w:r>
        <w:rPr>
          <w:sz w:val="18"/>
        </w:rPr>
        <w:t>——————————————————————————————————————————————————————————————————————</w:t>
      </w:r>
    </w:p>
    <w:p>
      <w:pPr>
        <w:spacing w:before="160" w:after="40" w:line="240" w:lineRule="auto"/>
      </w:pPr>
      <w:r>
        <w:rPr>
          <w:b/>
        </w:rPr>
        <w:t xml:space="preserve">[12] </w:t>
      </w:r>
      <w:hyperlink r:id="rId31">
        <w:r>
          <w:rPr>
            <w:color w:val="1155CC"/>
            <w:u w:val="single"/>
          </w:rPr>
          <w:t>分子配位实现均匀的锌黄锡矿吸收膜，用于高效太阳能模块</w:t>
        </w:r>
      </w:hyperlink>
    </w:p>
    <w:p>
      <w:pPr>
        <w:spacing w:before="0" w:after="80"/>
      </w:pPr>
      <w:r>
        <w:rPr>
          <w:i/>
          <w:sz w:val="20"/>
        </w:rPr>
        <w:t>EN: Molecular coordination achieves uniform kesterite absorber film for efficient solar modules</w:t>
      </w:r>
    </w:p>
    <w:p>
      <w:pPr>
        <w:spacing w:before="0" w:after="120"/>
      </w:pPr>
      <w:r>
        <w:rPr>
          <w:b/>
        </w:rPr>
        <w:t xml:space="preserve">Source: </w:t>
      </w:r>
      <w:r>
        <w:t>Nature Materials</w:t>
      </w:r>
      <w:r>
        <w:t xml:space="preserve">    </w:t>
      </w:r>
      <w:r>
        <w:rPr>
          <w:b/>
        </w:rPr>
        <w:t xml:space="preserve">Pub date: </w:t>
      </w:r>
      <w:r>
        <w:t>2026-08-03 00:00:00+00:00</w:t>
      </w:r>
      <w:r>
        <w:t xml:space="preserve">    </w:t>
      </w:r>
      <w:r>
        <w:rPr>
          <w:b/>
        </w:rPr>
        <w:t xml:space="preserve">DOI: </w:t>
      </w:r>
      <w:hyperlink r:id="rId32">
        <w:r>
          <w:rPr>
            <w:color w:val="1155CC"/>
            <w:u w:val="single"/>
          </w:rPr>
          <w:t>10.1038/s41563-026-02703-6</w:t>
        </w:r>
      </w:hyperlink>
    </w:p>
    <w:p>
      <w:pPr>
        <w:spacing w:before="0" w:after="120"/>
      </w:pPr>
      <w:r>
        <w:rPr>
          <w:b/>
        </w:rPr>
        <w:t xml:space="preserve">Notes: </w:t>
      </w:r>
      <w:r>
        <w:t>abstract_source=pubmed</w:t>
      </w:r>
    </w:p>
    <w:p>
      <w:pPr>
        <w:spacing w:before="0" w:after="80" w:lineRule="auto" w:line="276"/>
      </w:pPr>
      <w:r>
        <w:rPr>
          <w:b/>
        </w:rPr>
        <w:t xml:space="preserve">摘要（ZH）: </w:t>
      </w:r>
      <w:r>
        <w:t>环境友好、地球资源丰富的黄黄锡矿 Cu2ZnSn(S,Se)4 (CZTSSe) 太阳能电池通过基于溶液的加工技术取得了迅速发展。然而，从实验室规模的设备到模块的扩展仍然是一个重大挑战，很大程度上是因为前体中复杂的配位网络阻碍了均匀大面积薄膜的形成。在这里，我们表明，金属有机配位的分子水平调控可以抑制前体溶液中交联网络的形成，促进有效的溶剂去除和均匀的硒化和结晶。这种协调控制策略能够实现超过 10 cm2 的高度均匀薄膜的刮刀涂层，实现 1 cm2 电池 14.2% 的认证效率和 10.5 cm2 模块 13.0% 的认证效率，代表了可扩展的锌黄锡光伏发电的飞跃式改进。除了性能之外，所提供的对锌黄锡矿溶液化学的分子见解有助于建立一种可扩展且低成本的路线，以实现这种薄膜太阳能技术的工业部署。</w:t>
      </w:r>
    </w:p>
    <w:p>
      <w:pPr>
        <w:spacing w:before="0" w:after="200" w:lineRule="auto" w:line="276"/>
      </w:pPr>
      <w:r>
        <w:rPr>
          <w:b/>
        </w:rPr>
        <w:t xml:space="preserve">Abstract (EN): </w:t>
      </w:r>
      <w:r>
        <w:t>Environmentally benign and earth-abundant kesterite Cu2ZnSn(S,Se)4 (CZTSSe) solar cells have advanced rapidly through solution-based processing. However, scaling from laboratory-scale devices to modules remains a major challenge, largely because complex coordination networks in the precursors hinder the formation of uniform large-area films. Here we show that molecular-level regulation of metal-organic coordination can suppress the formation of cross-linked networks in precursor solutions, promoting efficient solvent removal and uniform selenization and crystallization. This coordination-controlled strategy enables the blade coating of highly homogeneous films over 10 cm2, realizing certified efficiencies of 14.2% for 1 cm2 cells and 13.0% for 10.5 cm2 modules, representing a leap-forward improvement in scalable kesterite photovoltaics. Beyond performance, the provided molecular insights into kesterite solution chemistry facilitate establishing a scalable and low-cost route towards industrial deployment of this thin-film solar technology.</w:t>
      </w:r>
    </w:p>
    <w:p>
      <w:pPr>
        <w:spacing w:before="120" w:after="120"/>
      </w:pPr>
      <w:r>
        <w:rPr>
          <w:sz w:val="18"/>
        </w:rPr>
        <w:t>——————————————————————————————————————————————————————————————————————</w:t>
      </w:r>
    </w:p>
    <w:p>
      <w:pPr>
        <w:spacing w:before="160" w:after="40" w:line="240" w:lineRule="auto"/>
      </w:pPr>
      <w:r>
        <w:rPr>
          <w:b/>
        </w:rPr>
        <w:t xml:space="preserve">[13] </w:t>
      </w:r>
      <w:hyperlink r:id="rId33">
        <w:r>
          <w:rPr>
            <w:color w:val="1155CC"/>
            <w:u w:val="single"/>
          </w:rPr>
          <w:t>层状有机太阳能电池中的体异质结三重态复合途径</w:t>
        </w:r>
      </w:hyperlink>
    </w:p>
    <w:p>
      <w:pPr>
        <w:spacing w:before="0" w:after="80"/>
      </w:pPr>
      <w:r>
        <w:rPr>
          <w:i/>
          <w:sz w:val="20"/>
        </w:rPr>
        <w:t>EN: Bulk Heterojunction-Like Triplet Recombination Pathways in Layer-by-Layer Organic Solar Cells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34">
        <w:r>
          <w:rPr>
            <w:color w:val="1155CC"/>
            <w:u w:val="single"/>
          </w:rPr>
          <w:t>10.1021/acsami.6c12131</w:t>
        </w:r>
      </w:hyperlink>
    </w:p>
    <w:p>
      <w:pPr>
        <w:spacing w:before="0" w:after="120"/>
      </w:pPr>
      <w:r>
        <w:rPr>
          <w:b/>
        </w:rPr>
        <w:t xml:space="preserve">Notes: </w:t>
      </w:r>
      <w:r>
        <w:t>abstract_source=crossref</w:t>
      </w:r>
    </w:p>
    <w:p>
      <w:pPr>
        <w:spacing w:before="0" w:after="80" w:lineRule="auto" w:line="276"/>
      </w:pPr>
      <w:r>
        <w:rPr>
          <w:b/>
        </w:rPr>
        <w:t xml:space="preserve">摘要（ZH）: </w:t>
      </w:r>
      <w:r>
        <w:t>摘要 有效的激子解离和抑制其复合是提高有机太阳能电池（OSC）性能的关键。虽然本体异质结 (BHJ) 通过广泛的供体-受体 (D/A) 混合促进电荷分离，但逐层 (LbL) 处理提供了控制 D/A 形态的替代方案。尽管 LbL 有源层经常被描述为伪双层、伪 BHJ 或准平面异质结 (PHJ) 结构，但有效 D/A 界面区域的重组结果很少与 BHJ 和低混合 PHJ 类参考进行定量基准比较。使用基准 PM6/L8-BO 系统，我们建立了 BHJ/LbL/PHJ 模型器件，并根据 BHJ 和低混合 PHJ 类参考推导出 LbL 处理的有源层的复合特性。非辐射复合损耗分析表明，PHJ 的损耗 (0.187 eV) 明显低于 BHJ (0.248 eV) 和 LbL (0.249 eV)，这与 D/A 界面面积的减小一致。器件架构相关的 J−V 测量结果与 LbL 堆栈中受主对供体的大量渗透一致，表明存在类似 BHJ 的界面接触。瞬态吸收光谱揭示了 BHJ 和 LbL 薄膜中最低能量三重态的显着形成，在低混合 PHJ 类参考中受到强烈抑制。这种趋势与 BHJ 和 LbL 薄膜中早期 T1 介导的重组途径一致，可能涉及 D/A 界面处的非成对重组。结果表明，LbL 器件是</w:t>
      </w:r>
    </w:p>
    <w:p>
      <w:pPr>
        <w:spacing w:before="0" w:after="200" w:lineRule="auto" w:line="276"/>
      </w:pPr>
      <w:r>
        <w:rPr>
          <w:b/>
        </w:rPr>
        <w:t xml:space="preserve">Abstract (EN): </w:t>
      </w:r>
      <w:r>
        <w:t>Efficient exciton dissociation and the suppression of its recombination are key to improving the performance of organic solar cells (OSCs). While bulk heterojunctions (BHJ) promote charge separation through extensive donor−acceptor (D/A) intermixing, layer-by-layer (LbL) processing offers an alternative to control D/A morphology. Although LbL active layers are frequently described as pseudo-bilayer, pseudo-BHJ, or quasi-planar heterojunction (PHJ) structures, the recombination consequences of the effective D/A interfacial area have rarely been benchmarked quantitatively against both BHJ and a low-intermixing PHJ-like reference. Using a benchmark PM6/L8-BO system, we establish BHJ/LbL/PHJ model devices and deduce recombination characteristics of LbL-processed active layers against BHJ and low-intermixing PHJ-like references. Non-radiative recombination loss analysis shows that PHJ achieves substantially lower loss (0.187 eV) than BHJ (0.248 eV) and LbL (0.249 eV), consistent with a reduced D/A interfacial area. Device-architecture-dependent J−V measurements are consistent with substantial acceptor penetration into the donor in LbL stacks, suggesting BHJ-like interfacial contact. Transient-absorption spectroscopy discloses the pronounced formation of the lowest-energy triplet state in BHJ and LbL films, strongly suppressed in the low-intermixing PHJ-like reference. This trend is consistent with an early-stage T1-mediated recombination pathway in the BHJ and LbL films, likely involving non-geminate recombination at D/A interfaces. The results show that LbL devices behave distinctly from PHJ yet BHJ-like, contrary to the general assumption that the LbL architecture represents intermediate recombination behavior. Our findings suggest that simply minimizing the D/A interfacial area is not universally practical for LbL OSCs, as achieving PHJ-like voltage-loss characteristics would require an extremely reduced interface, penalizing exciton harvesting when the exciton diffusion length is limited.</w:t>
      </w:r>
    </w:p>
    <w:p>
      <w:pPr>
        <w:spacing w:before="120" w:after="120"/>
      </w:pPr>
      <w:r>
        <w:rPr>
          <w:sz w:val="18"/>
        </w:rPr>
        <w:t>——————————————————————————————————————————————————————————————————————</w:t>
      </w:r>
    </w:p>
    <w:p>
      <w:pPr>
        <w:spacing w:before="160" w:after="40" w:line="240" w:lineRule="auto"/>
      </w:pPr>
      <w:r>
        <w:rPr>
          <w:b/>
        </w:rPr>
        <w:t xml:space="preserve">[14] </w:t>
      </w:r>
      <w:hyperlink r:id="rId35">
        <w:r>
          <w:rPr>
            <w:color w:val="1155CC"/>
            <w:u w:val="single"/>
          </w:rPr>
          <w:t>用于高效钙钛矿太阳能电池的偶极矩调谐自组装单层膜</w:t>
        </w:r>
      </w:hyperlink>
    </w:p>
    <w:p>
      <w:pPr>
        <w:spacing w:before="0" w:after="80"/>
      </w:pPr>
      <w:r>
        <w:rPr>
          <w:i/>
          <w:sz w:val="20"/>
        </w:rPr>
        <w:t>EN: Dipole-Moment-Tuned Self-Assembled Monolayers for Efficient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36">
        <w:r>
          <w:rPr>
            <w:color w:val="1155CC"/>
            <w:u w:val="single"/>
          </w:rPr>
          <w:t>10.1021/acsami.6c11467</w:t>
        </w:r>
      </w:hyperlink>
    </w:p>
    <w:p>
      <w:pPr>
        <w:spacing w:before="0" w:after="120"/>
      </w:pPr>
      <w:r>
        <w:rPr>
          <w:b/>
        </w:rPr>
        <w:t xml:space="preserve">Notes: </w:t>
      </w:r>
      <w:r>
        <w:t>abstract_source=crossref</w:t>
      </w:r>
    </w:p>
    <w:p>
      <w:pPr>
        <w:spacing w:before="0" w:after="80" w:lineRule="auto" w:line="276"/>
      </w:pPr>
      <w:r>
        <w:rPr>
          <w:b/>
        </w:rPr>
        <w:t xml:space="preserve">摘要（ZH）: </w:t>
      </w:r>
      <w:r>
        <w:t>摘要 作为空穴传输层（HTL）的自组装单层（SAM）极大地促进了高效钙钛矿太阳能电池（PSC）的进步。然而，较差的润湿性和吸附性、覆盖不均匀以及埋入衬底钙钛矿的缺陷限制了器件性能的进一步提高。在此，我们提出了一种界面工程策略，将 2-氟苯-1,3-二甲酸 (m-FBC) 纳入 SAM 层。利用 m-FBC 的高偶极矩，能级有效对齐，从而降低电荷传输能垒。这种修饰同时增强了表面润湿性并减轻了界面处的电子不均匀性。结果，制备的具有m-FBC修饰的PSC实现了25.03%的高PCE，这表明与受控器件的PCE（23.05%）相比有显着的提高。此外，优化后的器件表现出长期稳定性，在储存 500 小时后仍保持其初始效率的 94%。这项工作不仅为多功能空穴传输层的设计提供了一种有前途的策略，而且还为倒置 PSC 中 SAM 的结构-性能关系提供了有价值的见解。</w:t>
      </w:r>
    </w:p>
    <w:p>
      <w:pPr>
        <w:spacing w:before="0" w:after="200" w:lineRule="auto" w:line="276"/>
      </w:pPr>
      <w:r>
        <w:rPr>
          <w:b/>
        </w:rPr>
        <w:t xml:space="preserve">Abstract (EN): </w:t>
      </w:r>
      <w:r>
        <w:t>Self-assembled monolayers (SAMs) serving as hole transport layers (HTLs) have greatly boosted the advances in efficient perovskite solar cells (PSCs). Nevertheless, the poor wettability and adsorbability, nonuniform coverage, and defects at the buried substrate-perovskite limit the further improvement of device performance. Herein, we propose an interfacial engineering strategy by incorporating 2-fluorobenzene-1,3-dicarboxylic acid (m-FBC) into the SAM layer. Leveraging the high dipole moment of m-FBC, the energy levels are effectively aligned, thereby reducing the charge-transport energy barrier. This modification concurrently enhances surface wettability and mitigates electronic inhomogeneity at the interface. As a result, the prepared PSCs with m-FBC modification achieved a high PCE of 25.03%, indicating a substantial improvement compared to the PCE (23.05%) of the controlled device. Furthermore, the optimized devices showed long-term stability, retaining 94% of their initial efficiency after 500 h of storage. This work not only provides a promising strategy for the design of multifunctional hole transport layer but also offers valuable insights into the structure-property relationships of SAMs in inverted PSCs.</w:t>
      </w:r>
    </w:p>
    <w:p>
      <w:pPr>
        <w:spacing w:before="120" w:after="120"/>
      </w:pPr>
      <w:r>
        <w:rPr>
          <w:sz w:val="18"/>
        </w:rPr>
        <w:t>——————————————————————————————————————————————————————————————————————</w:t>
      </w:r>
    </w:p>
    <w:p>
      <w:pPr>
        <w:spacing w:before="160" w:after="40" w:line="240" w:lineRule="auto"/>
      </w:pPr>
      <w:r>
        <w:rPr>
          <w:b/>
        </w:rPr>
        <w:t xml:space="preserve">[15] </w:t>
      </w:r>
      <w:hyperlink r:id="rId37">
        <w:r>
          <w:rPr>
            <w:color w:val="1155CC"/>
            <w:u w:val="single"/>
          </w:rPr>
          <w:t>用于高效耐用有机太阳能电池的增韧混合电子传输中间层</w:t>
        </w:r>
      </w:hyperlink>
    </w:p>
    <w:p>
      <w:pPr>
        <w:spacing w:before="0" w:after="80"/>
      </w:pPr>
      <w:r>
        <w:rPr>
          <w:i/>
          <w:sz w:val="20"/>
        </w:rPr>
        <w:t>EN: Toughened Hybrid Electron‐Transporting Interlayers for Efficient and Durable Organic Solar Cells</w:t>
      </w:r>
    </w:p>
    <w:p>
      <w:pPr>
        <w:spacing w:before="0" w:after="120"/>
      </w:pPr>
      <w:r>
        <w:rPr>
          <w:b/>
        </w:rPr>
        <w:t xml:space="preserve">Source: </w:t>
      </w:r>
      <w:r>
        <w:t>Wiley: Advanced Materials: Table of Contents</w:t>
      </w:r>
      <w:r>
        <w:t xml:space="preserve">    </w:t>
      </w:r>
      <w:r>
        <w:rPr>
          <w:b/>
        </w:rPr>
        <w:t xml:space="preserve">Pub date: </w:t>
      </w:r>
      <w:r>
        <w:t>2026-08-03 15:18:01+00:00</w:t>
      </w:r>
      <w:r>
        <w:t xml:space="preserve">    </w:t>
      </w:r>
      <w:r>
        <w:rPr>
          <w:b/>
        </w:rPr>
        <w:t xml:space="preserve">DOI: </w:t>
      </w:r>
      <w:hyperlink r:id="rId38">
        <w:r>
          <w:rPr>
            <w:color w:val="1155CC"/>
            <w:u w:val="single"/>
          </w:rPr>
          <w:t>10.1002/adma.74415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电子传输层（ETL）对于决定有机太阳能电池（OSC）的性能至关重要。然而，对于基于单组件 ETL 的设备来说，同时实现所需的效率和稳定性具有挑战性。在这里，我们展示了多金属氧酸盐（POM）掺杂的混合 ETL 的应用，以显着减轻 OSC 中的效率与稳定性权衡。通过定制掺杂行为，混合 ETL 表现出级联能级排列、增加的电导率、改善的电极粘附力、强大的厚度公差和抑制的自聚集。这些优点相结合，实现了卓越的效率 (20.4%) 和出色的稳定性（a</w:t>
      </w:r>
      <w:r>
        <w:t xml:space="preserve"> </w:t>
      </w:r>
      <w:r>
        <w:t>时间</w:t>
      </w:r>
      <w:r>
        <w:rPr>
          <w:vertAlign w:val="subscript"/>
        </w:rPr>
        <w:t>93</w:t>
      </w:r>
      <w:r>
        <w:t>/</w:t>
      </w:r>
      <w:r>
        <w:t>时间</w:t>
      </w:r>
      <w:r>
        <w:rPr>
          <w:vertAlign w:val="subscript"/>
        </w:rPr>
        <w:t>92</w:t>
      </w:r>
      <w:r>
        <w:t>OSC 在 40°C/65°C 的 MPP 跟踪下的使用寿命可达到 1500/1000 小时。效率进一步提高 20.8%（经认证为 20.4%）</w:t>
      </w:r>
      <w:r>
        <w:t xml:space="preserve"> </w:t>
      </w:r>
      <w:r>
        <w:t>时间</w:t>
      </w:r>
      <w:r>
        <w:rPr>
          <w:vertAlign w:val="subscript"/>
        </w:rPr>
        <w:t>90</w:t>
      </w:r>
      <w:r>
        <w:t>当 PDIN-EME 用作混合 ETL 中的新有机组件时，也可以实现 1000 小时的使用寿命，这证明了这些混合中间层可以轻松调节，从而实现更高效、更稳健的 OSC。</w:t>
      </w:r>
    </w:p>
    <w:p>
      <w:pPr>
        <w:spacing w:before="0" w:after="200" w:lineRule="auto" w:line="276"/>
      </w:pPr>
      <w:r>
        <w:rPr>
          <w:b/>
        </w:rPr>
        <w:t xml:space="preserve">Abstract (EN): </w:t>
      </w:r>
      <w:r>
        <w:t>Electron‐transporting layers (ETLs) are crucial in determining the performance of organic solar cells (OSCs). However, it is challenging to achieve desired efficiency and stability simultaneously for devices based on single‐component ETLs. Here, we demonstrate the application of polyoxometalate (POM)‐doped hybrid ETLs to achieve significantly mitigated efficiency‐stability trade‐off in OSCs. By tailoring the doping behaviors, hybrid ETLs exhibit cascade energy‐level alignment, increased conductivity, improved electrode adhesion, strong thickness tolerance, and suppressed self‐aggregation. These combined merits enable excellent efficiency (20.4%) and outstanding stability (a</w:t>
      </w:r>
      <w:r>
        <w:t xml:space="preserve"> </w:t>
      </w:r>
      <w:r>
        <w:t>T</w:t>
      </w:r>
      <w:r>
        <w:rPr>
          <w:vertAlign w:val="subscript"/>
        </w:rPr>
        <w:t>93</w:t>
      </w:r>
      <w:r>
        <w:t>/</w:t>
      </w:r>
      <w:r>
        <w:t>T</w:t>
      </w:r>
      <w:r>
        <w:rPr>
          <w:vertAlign w:val="subscript"/>
        </w:rPr>
        <w:t>92</w:t>
      </w:r>
      <w:r>
        <w:t>lifetime of 1500/1000 h under MPP tracking at 40°C/65°C) to be achieved for OSCs. A further elevated efficiency of 20.8% (20.4%, certified) and a</w:t>
      </w:r>
      <w:r>
        <w:t xml:space="preserve"> </w:t>
      </w:r>
      <w:r>
        <w:t>T</w:t>
      </w:r>
      <w:r>
        <w:rPr>
          <w:vertAlign w:val="subscript"/>
        </w:rPr>
        <w:t>90</w:t>
      </w:r>
      <w:r>
        <w:t>lifetime of 1000 h can also be achieved when PDIN‐EME is used as the new organic component in the hybrid ETL, demonstrating the easy tunability of these hybrid interlayers for more efficient and robust OSCs.</w:t>
      </w:r>
    </w:p>
    <w:p>
      <w:pPr>
        <w:spacing w:before="120" w:after="120"/>
      </w:pPr>
      <w:r>
        <w:rPr>
          <w:sz w:val="18"/>
        </w:rPr>
        <w:t>——————————————————————————————————————————————————————————————————————</w:t>
      </w:r>
    </w:p>
    <w:p>
      <w:pPr>
        <w:spacing w:before="160" w:after="40" w:line="240" w:lineRule="auto"/>
      </w:pPr>
      <w:r>
        <w:rPr>
          <w:b/>
        </w:rPr>
        <w:t xml:space="preserve">[16] </w:t>
      </w:r>
      <w:hyperlink r:id="rId39">
        <w:r>
          <w:rPr>
            <w:color w:val="1155CC"/>
            <w:u w:val="single"/>
          </w:rPr>
          <w:t>氟化苯乙铵和预退火静态阶段可实现锡钙钛矿太阳能电池的中间介导逐步结晶</w:t>
        </w:r>
      </w:hyperlink>
    </w:p>
    <w:p>
      <w:pPr>
        <w:spacing w:before="0" w:after="80"/>
      </w:pPr>
      <w:r>
        <w:rPr>
          <w:i/>
          <w:sz w:val="20"/>
        </w:rPr>
        <w:t>EN: Fluorinated Phenethylammonium and Pre-Annealing Static Stage Enable Intermediate-Mediated Stepwise Crystallization in Tin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40">
        <w:r>
          <w:rPr>
            <w:color w:val="1155CC"/>
            <w:u w:val="single"/>
          </w:rPr>
          <w:t>10.1021/acsami.6c11057</w:t>
        </w:r>
      </w:hyperlink>
    </w:p>
    <w:p>
      <w:pPr>
        <w:spacing w:before="0" w:after="120"/>
      </w:pPr>
      <w:r>
        <w:rPr>
          <w:b/>
        </w:rPr>
        <w:t xml:space="preserve">Notes: </w:t>
      </w:r>
      <w:r>
        <w:t>abstract_source=crossref</w:t>
      </w:r>
    </w:p>
    <w:p>
      <w:pPr>
        <w:spacing w:before="0" w:after="80" w:lineRule="auto" w:line="276"/>
      </w:pPr>
      <w:r>
        <w:rPr>
          <w:b/>
        </w:rPr>
        <w:t xml:space="preserve">摘要（ZH）: </w:t>
      </w:r>
      <w:r>
        <w:t>摘要 锡基钙钛矿太阳能电池（Sn-PSC）从根本上受到快速结晶的限制，这会导致缺陷形貌和严重的 Sn2+ 氧化。在这里，我们报告了 Sn-PSC 的 4-氟苯乙基铵 (FPEA) 和预退火静态阶段 (PASS) 的组合。虽然过多的 FPEA 会在晶粒生长和薄膜致密性之间产生显着的权衡，但我们的系统优化表明，最佳低浓度 FPEA 与 PASS 相结合可同时减轻这种权衡。原位光谱揭示了中间体介导的逐步结晶过程，其中在 PASS 过程中发生从中间体到钙钛矿相的逐渐部分转变，并伴随着有效的晶体生长。随后的热退火促进晶粒重建和愈合以及相变的完成。 X 射线光电子能谱证实吸电子氟原子调节 [SnI6]4− 电子景观并显着抑制 Sn2+ 氧化。因此，优化后的 FPEA0.04FA0.96SnI3 薄膜表现出改善的结晶质量、增大的晶粒和减少的能量无序（FA：甲脒）。他们的器件功率转换效率达到9.29%（参考：7.99%），运行稳定性显着提高。这项工作建立了清晰的机制框架，并为高性能锡基钙钛矿提供了稳健的设计原理。</w:t>
      </w:r>
    </w:p>
    <w:p>
      <w:pPr>
        <w:spacing w:before="0" w:after="200" w:lineRule="auto" w:line="276"/>
      </w:pPr>
      <w:r>
        <w:rPr>
          <w:b/>
        </w:rPr>
        <w:t xml:space="preserve">Abstract (EN): </w:t>
      </w:r>
      <w:r>
        <w:t>Tin-based perovskite solar cells (Sn-PSCs) are fundamentally limited by rapid crystallization, which induces defective morphologies and severe Sn2+ oxidation. Here, we report a combination of 4-fluorophenethylammonium (FPEA) and a pre-annealing static stage (PASS) for Sn-PSCs. While excessive FPEA generates a significant trade-off between grain growth and film compactness, our systematic optimization reveals that an optimal low concentration of FPEA combined with PASS simultaneously mitigates this trade-off. In situ optical spectroscopy reveals an intermediate-mediated stepwise crystallization process, in which a gradual and partial transition from the intermediate to the perovskite phase occurs during PASS, accompanied by effective crystal growth. Subsequent thermal annealing promotes grain reconstruction and healing together with completion of the phase transition. X-ray photoelectron spectroscopy confirms that the electron-withdrawing fluorine atoms modulate the [SnI6]4− electronic landscape and dramatically suppress Sn2+ oxidation. Consequently, the optimized FPEA0.04FA0.96SnI3 films exhibit improved crystalline quality, enlarged grains, and reduced energetic disorder (FA: formamidinium). Their devices deliver a power conversion efficiency of 9.29% (reference: 7.99%) with markedly improved operational stability. This work establishes a clear mechanistic framework and provides a robust design principle for high-performance tin-based perovskites.</w:t>
      </w:r>
    </w:p>
    <w:p>
      <w:pPr>
        <w:spacing w:before="120" w:after="120"/>
      </w:pPr>
      <w:r>
        <w:rPr>
          <w:sz w:val="18"/>
        </w:rPr>
        <w:t>——————————————————————————————————————————————————————————————————————</w:t>
      </w:r>
    </w:p>
    <w:p>
      <w:pPr>
        <w:spacing w:before="160" w:after="40" w:line="240" w:lineRule="auto"/>
      </w:pPr>
      <w:r>
        <w:rPr>
          <w:b/>
        </w:rPr>
        <w:t xml:space="preserve">[17] </w:t>
      </w:r>
      <w:hyperlink r:id="rId41">
        <w:r>
          <w:rPr>
            <w:color w:val="1155CC"/>
            <w:u w:val="single"/>
          </w:rPr>
          <w:t>用于无色透明光伏的近红外选择性有机半导体的拉波尔特规则引导分子对称控制</w:t>
        </w:r>
      </w:hyperlink>
    </w:p>
    <w:p>
      <w:pPr>
        <w:spacing w:before="0" w:after="80"/>
      </w:pPr>
      <w:r>
        <w:rPr>
          <w:i/>
          <w:sz w:val="20"/>
        </w:rPr>
        <w:t>EN: Laporte-Rule-Guided Molecular Symmetry Control of NIR-Selective Organic Semiconductors for Colorless and Transparent Photovoltaics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42">
        <w:r>
          <w:rPr>
            <w:color w:val="1155CC"/>
            <w:u w:val="single"/>
          </w:rPr>
          <w:t>10.1021/jacs.6c05512</w:t>
        </w:r>
      </w:hyperlink>
    </w:p>
    <w:p>
      <w:pPr>
        <w:spacing w:before="0" w:after="120"/>
      </w:pPr>
      <w:r>
        <w:rPr>
          <w:b/>
        </w:rPr>
        <w:t xml:space="preserve">Notes: </w:t>
      </w:r>
      <w:r>
        <w:t>abstract_source=crossref</w:t>
      </w:r>
    </w:p>
    <w:p>
      <w:pPr>
        <w:spacing w:before="0" w:after="80" w:lineRule="auto" w:line="276"/>
      </w:pPr>
      <w:r>
        <w:rPr>
          <w:b/>
        </w:rPr>
        <w:t xml:space="preserve">摘要（ZH）: </w:t>
      </w:r>
      <w:r>
        <w:t>摘要 近红外（NIR）选择性有机光伏（OPV）可收集近红外光子，同时在可见光区域保持透明，为无色透明太阳能电池提供了一个有前途的平台。然而，设计同时具有近红外选择性吸收和 OPV 操作所需的半导体特性的分子仍然很困难。在这里，我们将拉波尔特规则引导的分子对称性控制与分子内电荷转移工程相结合，使用强给电子茚并二吡咯单元来开发吸收延伸至近红外区域的受体-供体-受体分子 P1。理论计算预测，P1 的主要允许跃迁是向第一激发态的跃迁，而向更高激发态的跃迁在很大程度上受到抑制。与此一致的是，P1 在近红外区域选择性吸收，可见光吸收可以忽略不计，从而产生无色透明的外观。 P1的前沿轨道能量学和激子参数适合近红外选择性光电转换。值得注意的是，基于 P1 的单组分 OPV 在近红外区域实现了超过 15% 的外量子效率，同时保持了高可见光透明度。时间分辨测量进一步证实了近红外光激发下有效的载流子生成和电荷传输。这些结果表明，轨道对称控制可以抑制可见光吸收，而电荷转移引起的带隙变窄可以实现近红外光响应，为无色波长提供分子设计原理</w:t>
      </w:r>
    </w:p>
    <w:p>
      <w:pPr>
        <w:spacing w:before="0" w:after="200" w:lineRule="auto" w:line="276"/>
      </w:pPr>
      <w:r>
        <w:rPr>
          <w:b/>
        </w:rPr>
        <w:t xml:space="preserve">Abstract (EN): </w:t>
      </w:r>
      <w:r>
        <w:t>Near-infrared (NIR)-selective organic photovoltaics (OPVs), which harvest NIR photons while remaining transparent in the visible region, offer a promising platform for colorless and transparent solar cells. However, it remains difficult to design molecules that simultaneously possess NIR-selective absorption and the semiconductor characteristics required for OPV operation. Here, we combine Laporte-rule-guided control of molecular symmetry with intramolecular charge-transfer engineering using a strongly electron-donating indacenodipyrrole unit to develop an acceptor–donor–acceptor molecule P1 with absorption extending into the NIR region. Theoretical calculations predict that the dominant allowed transition of P1 is to the first excited state, whereas transitions to higher excited states are largely suppressed. Consistent with this, P1 selectively absorbs in the NIR region with negligible visible absorption, yielding a colorless and transparent appearance. The frontier-orbital energetics and excitonic parameters of P1 are suitable for NIR-selective photoelectric conversion. Notably, single-component OPVs based on P1 achieve external quantum efficiencies exceeding 15% in the NIR region while retaining high visible transparency. Time-resolved measurements further confirm effective carrier generation and charge transport under NIR photoexcitation. These results demonstrate that orbital-symmetry control can suppress visible absorption while charge-transfer-induced bandgap narrowing enables NIR photoresponse, offering a molecular design principle for colorless wavelength-selective organic optoelectronic devices.</w:t>
      </w:r>
    </w:p>
    <w:p>
      <w:pPr>
        <w:spacing w:before="120" w:after="120"/>
      </w:pPr>
      <w:r>
        <w:rPr>
          <w:sz w:val="18"/>
        </w:rPr>
        <w:t>——————————————————————————————————————————————————————————————————————</w:t>
      </w:r>
    </w:p>
    <w:p>
      <w:pPr>
        <w:spacing w:before="160" w:after="40" w:line="240" w:lineRule="auto"/>
      </w:pPr>
      <w:r>
        <w:rPr>
          <w:b/>
        </w:rPr>
        <w:t xml:space="preserve">[18] </w:t>
      </w:r>
      <w:hyperlink r:id="rId43">
        <w:r>
          <w:rPr>
            <w:color w:val="1155CC"/>
            <w:u w:val="single"/>
          </w:rPr>
          <w:t>通过钙钛矿形成中的瞬态蒸气介体降低 δ 到 α 相变势垒</w:t>
        </w:r>
      </w:hyperlink>
    </w:p>
    <w:p>
      <w:pPr>
        <w:spacing w:before="0" w:after="80"/>
      </w:pPr>
      <w:r>
        <w:rPr>
          <w:i/>
          <w:sz w:val="20"/>
        </w:rPr>
        <w:t>EN: Lowering the δ-to-α Phase-Transition Barrier via a Transient Vapor Mediator in Perovskite 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44">
        <w:r>
          <w:rPr>
            <w:color w:val="1155CC"/>
            <w:u w:val="single"/>
          </w:rPr>
          <w:t>10.1021/jacs.6c12975</w:t>
        </w:r>
      </w:hyperlink>
    </w:p>
    <w:p>
      <w:pPr>
        <w:spacing w:before="0" w:after="120"/>
      </w:pPr>
      <w:r>
        <w:rPr>
          <w:b/>
        </w:rPr>
        <w:t xml:space="preserve">Notes: </w:t>
      </w:r>
      <w:r>
        <w:t>abstract_source=crossref</w:t>
      </w:r>
    </w:p>
    <w:p>
      <w:pPr>
        <w:spacing w:before="0" w:after="80" w:lineRule="auto" w:line="276"/>
      </w:pPr>
      <w:r>
        <w:rPr>
          <w:b/>
        </w:rPr>
        <w:t xml:space="preserve">摘要（ZH）: </w:t>
      </w:r>
      <w:r>
        <w:t>摘要 混合顺序沉积（HSD）仍然是钙钛矿光伏电池可扩展制造的实用途径，尽管它经常受到致密蒸发前驱体框架的形成以及随后固体相互扩散的相关动力学限制的限制。这些限制通常表现为所得钙钛矿薄膜的不完全转化和垂直不均匀性。在此，我们报告了一种瞬态气相沉积介体（TVM）策略，该策略将液相介体工程的原理转化为气相过程。通过在无机前体共蒸发过程中掺入 Pb(SCN)2，所得框架表现出改进的孔隙率，有利于有机盐的渗透并降低固态 δ 到 α 相变的活化能。在环境湿度下介质的消除伴随着与 FASCN 相关的挥发性物质的逸出，促进整个膜厚度的更完全和均匀的转化，同时减少残留 PbI2 和降低陷阱密度。这种TVM工艺使太阳能电池的功率转换效率从22.3%提高到25.2%，并增强了运行鲁棒性，在85°C下热老化1200小时后保留了91%的初始性能，在光照下连续最大功率点跟踪1600小时后保留了95%的初始性能。</w:t>
      </w:r>
    </w:p>
    <w:p>
      <w:pPr>
        <w:spacing w:before="0" w:after="200" w:lineRule="auto" w:line="276"/>
      </w:pPr>
      <w:r>
        <w:rPr>
          <w:b/>
        </w:rPr>
        <w:t xml:space="preserve">Abstract (EN): </w:t>
      </w:r>
      <w:r>
        <w:t>Hybrid sequential deposition (HSD) remains a practical pathway for the scalable fabrication of perovskite photovoltaics, though it is frequently constrained by the formation of dense evaporated precursor frameworks and the associated kinetic limitations of the subsequent solid interdiffusion. These constraints often manifest as incomplete conversion and vertical inhomogeneity in the resulting perovskite film. Herein, we report a transient vapor-deposited mediator (TVM) strategy that translates the principles of liquid-phase mediator engineering to a vapor-phase process. By incorporating Pb(SCN)2 during the coevaporation of inorganic precursors, the resulting framework exhibits modified porosity that facilitates the infiltration of organic salts and lowers the activation energy for the solid-state δ-to-α phase transition. The elimination of the mediator under ambient humidity is accompanied by the egress of FASCN-related volatile species, promoting more complete and uniform conversion through the full film thickness with reduced residual PbI2 and lower trap density. This TVM process enables solar cells’ power-conversion efficiency to increase from 22.3% to 25.2% and yields enhanced operational robustness, retaining 91% of initial performance after 1200 h of thermal aging at 85 °C and 95% after 1600 h of continuous maximum power point tracking under illumination.</w:t>
      </w:r>
    </w:p>
    <w:p>
      <w:pPr>
        <w:spacing w:before="120" w:after="120"/>
      </w:pPr>
      <w:r>
        <w:rPr>
          <w:sz w:val="18"/>
        </w:rPr>
        <w:t>——————————————————————————————————————————————————————————————————————</w:t>
      </w:r>
    </w:p>
    <w:p>
      <w:pPr>
        <w:spacing w:before="160" w:after="40" w:line="240" w:lineRule="auto"/>
      </w:pPr>
      <w:r>
        <w:rPr>
          <w:b/>
        </w:rPr>
        <w:t xml:space="preserve">[19] </w:t>
      </w:r>
      <w:hyperlink r:id="rId45">
        <w:r>
          <w:rPr>
            <w:color w:val="1155CC"/>
            <w:u w:val="single"/>
          </w:rPr>
          <w:t>先进有机半导体器件的电极工程</w:t>
        </w:r>
      </w:hyperlink>
    </w:p>
    <w:p>
      <w:pPr>
        <w:spacing w:before="0" w:after="80"/>
      </w:pPr>
      <w:r>
        <w:rPr>
          <w:i/>
          <w:sz w:val="20"/>
        </w:rPr>
        <w:t>EN: Electrode Engineering for Advanced Organic Semiconductor Devices</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46">
        <w:r>
          <w:rPr>
            <w:color w:val="1155CC"/>
            <w:u w:val="single"/>
          </w:rPr>
          <w:t>10.1021/acsami.6c08807</w:t>
        </w:r>
      </w:hyperlink>
    </w:p>
    <w:p>
      <w:pPr>
        <w:spacing w:before="0" w:after="120"/>
      </w:pPr>
      <w:r>
        <w:rPr>
          <w:b/>
        </w:rPr>
        <w:t xml:space="preserve">Notes: </w:t>
      </w:r>
      <w:r>
        <w:t>abstract_source=crossref</w:t>
      </w:r>
    </w:p>
    <w:p>
      <w:pPr>
        <w:spacing w:before="0" w:after="80" w:lineRule="auto" w:line="276"/>
      </w:pPr>
      <w:r>
        <w:rPr>
          <w:b/>
        </w:rPr>
        <w:t xml:space="preserve">摘要（ZH）: </w:t>
      </w:r>
      <w:r>
        <w:t>摘要 电极是半导体器件性能的基本决定因素，控制着电荷注入、提取和界面传输的关键过程。随着设备架构从刚性、大规模系统过渡到小型化、柔性和生物集成平台，电极设计的要求已演变成复杂的、多目标优化挑战。本综述全面概述了电极材料和工程策略的最新进展，使用有机场效应晶体管 (OFET) 作为主要模型系统，以说明普遍适用于有机发光二极管 (OLED)、有机光伏 (OPV) 和其他有机半导体电子器件的更广泛的半导体设计原理。我们首先建立了理想电极评估的多维框架，包括电性能、制造加工性、环境稳定性以及对机械和生物兼容性的新兴需求。对传统金属电极和新兴替代品（包括导电聚合物、碳基纳米材料和掺杂有机电极（DOE））进行了系统比较。特别关注有机电子学中的“电导率阈值”，这表明在决定器件功效时界面相容性通常超过体电导率。最后，通过概述多功能、绿色和生物相容性电极技术的路线图，本次审查旨在为下一步的发展奠定基础。</w:t>
      </w:r>
    </w:p>
    <w:p>
      <w:pPr>
        <w:spacing w:before="0" w:after="200" w:lineRule="auto" w:line="276"/>
      </w:pPr>
      <w:r>
        <w:rPr>
          <w:b/>
        </w:rPr>
        <w:t xml:space="preserve">Abstract (EN): </w:t>
      </w:r>
      <w:r>
        <w:t>Electrodes are fundamental determinants of performance in semiconductor devices, governing the critical processes of charge injection, extraction, and interfacial transport. As device architectures transition from rigid, large-scale systems toward miniaturized, flexible, and biointegrated platforms, the requirements for electrode design have evolved into a complex, multiobjective optimization challenge. This review provides a comprehensive overview of the recent advances in electrode materials and engineering strategies using organic field-effect transistors (OFETs) as a primary model system to illustrate broader semiconductor design principles that are universally applicable to organic light-emitting diodes (OLEDs), organic photovoltaics (OPVs), and other organic semiconductor electronics. We first establish a multidimensional framework for ideal electrode evaluation, encompassing electrical properties, fabrication processability, environmental stability, and the burgeoning demands for mechanical and biological compatibility. A systematic comparison is provided between traditional metallic electrodes and emerging alternatives, including conducting polymers, carbon-based nanomaterials, and doped organic electrodes (DOEs). Special attention is given to the “conductivity threshold” in organic electronics, suggesting that interfacial compatibility often outweighs bulk conductivity in determining device efficacy. Finally, by outlining a roadmap toward multifunctional, green, and biocompatible electrode technologies, this review aims to provide a cornerstone for the next generation of ubiquitous and human-centric semiconductor electronics.</w:t>
      </w:r>
    </w:p>
    <w:p>
      <w:pPr>
        <w:spacing w:before="120" w:after="120"/>
      </w:pPr>
      <w:r>
        <w:rPr>
          <w:sz w:val="18"/>
        </w:rPr>
        <w:t>——————————————————————————————————————————————————————————————————————</w:t>
      </w:r>
    </w:p>
    <w:p>
      <w:pPr>
        <w:spacing w:before="160" w:after="40" w:line="240" w:lineRule="auto"/>
      </w:pPr>
      <w:r>
        <w:rPr>
          <w:b/>
        </w:rPr>
        <w:t xml:space="preserve">[20] </w:t>
      </w:r>
      <w:hyperlink r:id="rId47">
        <w:r>
          <w:rPr>
            <w:color w:val="1155CC"/>
            <w:u w:val="single"/>
          </w:rPr>
          <w:t>自组装层的分子工程</w:t>
        </w:r>
      </w:hyperlink>
    </w:p>
    <w:p>
      <w:pPr>
        <w:spacing w:before="0" w:after="80"/>
      </w:pPr>
      <w:r>
        <w:rPr>
          <w:i/>
          <w:sz w:val="20"/>
        </w:rPr>
        <w:t>EN: Molecular engineering of self-assembled layers</w:t>
      </w:r>
    </w:p>
    <w:p>
      <w:pPr>
        <w:spacing w:before="0" w:after="120"/>
      </w:pPr>
      <w:r>
        <w:rPr>
          <w:b/>
        </w:rPr>
        <w:t xml:space="preserve">Source: </w:t>
      </w:r>
      <w:r>
        <w:t>Nature Materials</w:t>
      </w:r>
      <w:r>
        <w:t xml:space="preserve">    </w:t>
      </w:r>
      <w:r>
        <w:rPr>
          <w:b/>
        </w:rPr>
        <w:t xml:space="preserve">Pub date: </w:t>
      </w:r>
      <w:r>
        <w:t>2026-08-04 00:00:00+00:00</w:t>
      </w:r>
      <w:r>
        <w:t xml:space="preserve">    </w:t>
      </w:r>
      <w:r>
        <w:rPr>
          <w:b/>
        </w:rPr>
        <w:t xml:space="preserve">DOI: </w:t>
      </w:r>
      <w:hyperlink r:id="rId48">
        <w:r>
          <w:rPr>
            <w:color w:val="1155CC"/>
            <w:u w:val="single"/>
          </w:rPr>
          <w:t>10.1038/s41563-026-02664-w</w:t>
        </w:r>
      </w:hyperlink>
    </w:p>
    <w:p>
      <w:pPr>
        <w:spacing w:before="0" w:after="120"/>
      </w:pPr>
      <w:r>
        <w:rPr>
          <w:b/>
        </w:rPr>
        <w:t xml:space="preserve">Notes: </w:t>
      </w:r>
      <w:r>
        <w:t>abstract_source=rss_nature</w:t>
      </w:r>
    </w:p>
    <w:p>
      <w:pPr>
        <w:spacing w:before="0" w:after="80" w:lineRule="auto" w:line="276"/>
      </w:pPr>
      <w:r>
        <w:rPr>
          <w:b/>
        </w:rPr>
        <w:t xml:space="preserve">摘要（ZH）: </w:t>
      </w:r>
      <w:r>
        <w:t>间隔设计的分子有助于稳定埋孔传输界面并提高组装密度，以实现抗紫外线和热应力的钙钛矿太阳能电池。</w:t>
      </w:r>
    </w:p>
    <w:p>
      <w:pPr>
        <w:spacing w:before="0" w:after="200" w:lineRule="auto" w:line="276"/>
      </w:pPr>
      <w:r>
        <w:rPr>
          <w:b/>
        </w:rPr>
        <w:t xml:space="preserve">Abstract (EN): </w:t>
      </w:r>
      <w:r>
        <w:t>A spacer-engineered molecule helps to stabilize the buried hole-transport interface and enhances assembly density to realize perovskite solar cells that are resistant to ultraviolet and thermal stress.</w:t>
      </w:r>
    </w:p>
    <w:p>
      <w:pPr>
        <w:spacing w:before="120" w:after="120"/>
      </w:pPr>
      <w:r>
        <w:rPr>
          <w:sz w:val="18"/>
        </w:rPr>
        <w:t>——————————————————————————————————————————————————————————————————————</w:t>
      </w:r>
    </w:p>
    <w:p>
      <w:pPr>
        <w:spacing w:before="160" w:after="40" w:line="240" w:lineRule="auto"/>
      </w:pPr>
      <w:r>
        <w:rPr>
          <w:b/>
        </w:rPr>
        <w:t xml:space="preserve">[21] </w:t>
      </w:r>
      <w:hyperlink r:id="rId49">
        <w:r>
          <w:rPr>
            <w:color w:val="1155CC"/>
            <w:u w:val="single"/>
          </w:rPr>
          <w:t>三氟甲硫基工程为有机太阳能电池提供平衡的静电势，效率超过 20%，能量损失低</w:t>
        </w:r>
      </w:hyperlink>
    </w:p>
    <w:p>
      <w:pPr>
        <w:spacing w:before="0" w:after="80"/>
      </w:pPr>
      <w:r>
        <w:rPr>
          <w:i/>
          <w:sz w:val="20"/>
        </w:rPr>
        <w:t>EN: Trifluoromethylthio Engineering Enables a Balanced Electrostatic Potential for Organic Solar Cells with over 20% Efficiency and Low Energy Loss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50">
        <w:r>
          <w:rPr>
            <w:color w:val="1155CC"/>
            <w:u w:val="single"/>
          </w:rPr>
          <w:t>10.1021/jacs.6c09915</w:t>
        </w:r>
      </w:hyperlink>
    </w:p>
    <w:p>
      <w:pPr>
        <w:spacing w:before="0" w:after="120"/>
      </w:pPr>
      <w:r>
        <w:rPr>
          <w:b/>
        </w:rPr>
        <w:t xml:space="preserve">Notes: </w:t>
      </w:r>
      <w:r>
        <w:t>abstract_source=crossref</w:t>
      </w:r>
    </w:p>
    <w:p>
      <w:pPr>
        <w:spacing w:before="0" w:after="80" w:lineRule="auto" w:line="276"/>
      </w:pPr>
      <w:r>
        <w:rPr>
          <w:b/>
        </w:rPr>
        <w:t xml:space="preserve">摘要（ZH）: </w:t>
      </w:r>
      <w:r>
        <w:t>摘要 氟化被广泛用于调节有机太阳能电池（OSC）中的分子静电势（ESP）和非富勒烯受体（NFA）的堆积。目前的策略主要涉及直接氟化或三氟甲基化，但高性能NFA仍然存在较大的激子结合能（Eb）和非辐射能量损失（ΔE3）。在此，我们将一种新型氟化基团三氟甲硫基（SCF3）引入到A-DA'D-A型NFA的喹喔啉核心中，结合烷基侧链工程，构建了三种新型受体ZY-SCF3-EH、ZY-SCF3-BO和ZY-SCF3-HD。理论计算表明，SCF3具有适度的吸电子能力，为平衡激子解离和ΔE3抑制提供了良好的ESP。此外，基于SCF3的受体表现出较小的空穴电子重叠、较大的质心距离和较低的Eb，这有利于进一步抑制能量损失。实验上，SCF3 的高亲脂性增强了溶解度和溶液加工性，而多种非共价相互作用诱导了三维蜂窝状堆积网络，从而提高了电荷迁移率。因此，侧链优化的受体 ZY-SCF3-HD 具有 19.4% 的卓越功率转换效率 (PCE)，同时提高了开路电压 (VOC)、短路电流密度 (JSC) 和填充因子 (FF)，以及 0.23 eV 的低 ΔE3。三元混合物进一步将效率提高至 20.1%。值得注意的是，在室温下制造的 20.25 cm2 模块实现了 16.4% 的令人印象深刻的效率，</w:t>
      </w:r>
    </w:p>
    <w:p>
      <w:pPr>
        <w:spacing w:before="0" w:after="200" w:lineRule="auto" w:line="276"/>
      </w:pPr>
      <w:r>
        <w:rPr>
          <w:b/>
        </w:rPr>
        <w:t xml:space="preserve">Abstract (EN): </w:t>
      </w:r>
      <w:r>
        <w:t>Fluorination is widely used to regulate the molecular electrostatic potential (ESP) and packing of nonfullerene acceptors (NFAs) in organic solar cells (OSCs). Current strategies mainly involve direct fluorination or trifluoromethylation, but high-performance NFAs still suffer from large exciton binding energy (Eb) and nonradiative energy loss (ΔE3). Herein, we introduce a novel fluorinated group, trifluoromethylthio (SCF3), into the quinoxaline core of an A-DA′D-A-type NFA, combined with alkyl side-chain engineering, to construct three new acceptors, ZY-SCF3-EH, ZY-SCF3-BO, and ZY-SCF3-HD. Theoretical calculations reveal that SCF3 possesses moderate electron-withdrawing ability, affording a favorable ESP to balance exciton dissociation and ΔE3 suppression. Besides, SCF3-based acceptors exhibit smaller hole–electron overlap, larger centroid distances, and lower Eb, which are beneficial for further suppressing energy loss. Experimentally, the high lipophilicity of SCF3 enhances solubility and solution processability, while multiple noncovalent interactions induce a three-dimensional honeycomb-like packing network that improves charge mobility. Consequently, the side-chain-optimized acceptor ZY-SCF3-HD delivers a superior power conversion efficiency (PCE) of 19.4%, with simultaneously improved open-circuit voltage (VOC), short-circuit current density (JSC), and fill factor (FF), alongside a low ΔE3 of 0.23 eV. A ternary blend further boosts the efficiency to 20.1%. Notably, a 20.25 cm2 module fabricated at room temperature achieves an impressive efficiency of 16.4%, ranking among the highest values reported to date. This work illustrates SCF3 as an effective fluorinated unit for constructing high-performance NFAs, providing a new strategy to simultaneously achieve high VOC, JSC, FF, and low ΔE3, and offering new design insights for next-generation high-efficiency OSCs.</w:t>
      </w:r>
    </w:p>
    <w:p>
      <w:pPr>
        <w:spacing w:before="120" w:after="120"/>
      </w:pPr>
      <w:r>
        <w:rPr>
          <w:sz w:val="18"/>
        </w:rPr>
        <w:t>——————————————————————————————————————————————————————————————————————</w:t>
      </w:r>
    </w:p>
    <w:p>
      <w:pPr>
        <w:spacing w:before="160" w:after="40" w:line="240" w:lineRule="auto"/>
      </w:pPr>
      <w:r>
        <w:rPr>
          <w:b/>
        </w:rPr>
        <w:t xml:space="preserve">[22] </w:t>
      </w:r>
      <w:hyperlink r:id="rId51">
        <w:r>
          <w:rPr>
            <w:color w:val="1155CC"/>
            <w:u w:val="single"/>
          </w:rPr>
          <w:t>ALD 弹性 SAM 的通用牺牲协调策略实现高性能钙钛矿/有机串联太阳能电池</w:t>
        </w:r>
      </w:hyperlink>
    </w:p>
    <w:p>
      <w:pPr>
        <w:spacing w:before="0" w:after="80"/>
      </w:pPr>
      <w:r>
        <w:rPr>
          <w:i/>
          <w:sz w:val="20"/>
        </w:rPr>
        <w:t>EN: Universal Sacrificial Coordination Strategy for ALD‐Resilient SAMs Achieving High‐Performance Perovskite/Organic Tandem Solar Cells</w:t>
      </w:r>
    </w:p>
    <w:p>
      <w:pPr>
        <w:spacing w:before="0" w:after="120"/>
      </w:pPr>
      <w:r>
        <w:rPr>
          <w:b/>
        </w:rPr>
        <w:t xml:space="preserve">Source: </w:t>
      </w:r>
      <w:r>
        <w:t>Wiley: Advanced Materials: Table of Contents</w:t>
      </w:r>
      <w:r>
        <w:t xml:space="preserve">    </w:t>
      </w:r>
      <w:r>
        <w:rPr>
          <w:b/>
        </w:rPr>
        <w:t xml:space="preserve">Pub date: </w:t>
      </w:r>
      <w:r>
        <w:t>2026-08-04 13:05:21+00:00</w:t>
      </w:r>
      <w:r>
        <w:t xml:space="preserve">    </w:t>
      </w:r>
      <w:r>
        <w:rPr>
          <w:b/>
        </w:rPr>
        <w:t xml:space="preserve">DOI: </w:t>
      </w:r>
      <w:hyperlink r:id="rId52">
        <w:r>
          <w:rPr>
            <w:color w:val="1155CC"/>
            <w:u w:val="single"/>
          </w:rPr>
          <w:t>10.1002/adma.74461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钙钛矿/有机串联太阳能电池（TSC）提供了一条突破肖克利-奎瑟极限的令人信服的途径。在这些 TSC 中，自组装单层 (SAM) 作为空穴提取层，关键控制着界面特性和器件性能。原子层沉积 (ALD) 是一种很有前途的技术，可以在 SAM 上生长致密、无针孔的氧化物，从而改善润湿性和泄漏阻断。然而，ALD 前体和 SAM 锚定基团之间的有害反应会导致 SAM 解吸和严重的电流泄漏，这是一个广泛存在且尚未解决的问题。 为了应对这一根本挑战，我们通过将多功能 6-羟基-4-(三氟甲基)烟酸 (HTFNA) 引入 SAM 前体中，制定了通用牺牲配位 (SC) 策略。 HTFNA 可以通过氢键抑制 SAM 分子聚集，优先与 ALD 前驱体反应以屏蔽锚定的 SAM，并增加功函数以实现有利的界面能级排列。该策略展示了跨各种基于 SAM 的设备的广泛适用性。冠军钙钛矿/有机 TSC 的效率高达 27.03%（认证为 26.56%；0.062 cm</w:t>
      </w:r>
      <w:r>
        <w:rPr>
          <w:vertAlign w:val="subscript"/>
        </w:rPr>
        <w:t>2</w:t>
      </w:r>
      <w:r>
        <w:t>）。此外，根据 ASTMD3359 标准，增强的 SAM/钙钛矿异质界面表现出显着增强的粘附力，从而实现卓越的操作稳定性（</w:t>
      </w:r>
      <w:r>
        <w:t xml:space="preserve"> </w:t>
      </w:r>
      <w:r>
        <w:t>时间</w:t>
      </w:r>
      <w:r>
        <w:rPr>
          <w:vertAlign w:val="subscript"/>
        </w:rPr>
        <w:t>90</w:t>
      </w:r>
      <w:r>
        <w:t>1265 小时）和环境存储性能</w:t>
      </w:r>
    </w:p>
    <w:p>
      <w:pPr>
        <w:spacing w:before="0" w:after="200" w:lineRule="auto" w:line="276"/>
      </w:pPr>
      <w:r>
        <w:rPr>
          <w:b/>
        </w:rPr>
        <w:t xml:space="preserve">Abstract (EN): </w:t>
      </w:r>
      <w:r>
        <w:t>Perovskite/organic tandem solar cells (TSCs) offer a compelling route to surpass the Shockley–Queisser limit. In these TSCs, the self‐assembled monolayer (SAM), functioning as the hole extraction layer, critically governs the interfacial properties and device performance. Atomic layer deposition (ALD) is a promising technique to grow dense, pinhole‐free oxides on SAMs for improved wettability and leakage blocking. However, the detrimental reaction between the ALD precursor and SAM anchoring groups, which causes SAM desorption and severe current leakage, is a widespread and unresolved issue. To address this fundamental challenge, we developed a universal sacrificial coordination (SC) strategy by introducing a multifunctional 6‑hydroxy‑4‑(trifluoromethyl)nicotinic acid (HTFNA) into SAM precursors. HTFNA can suppress SAM molecular aggregation through hydrogen bonding, preferentially react with the ALD precursor to shield the anchored SAM, and increase the work function for favorable interfacial energy level alignment. This strategy demonstrates broad applicability across various SAM‐based devices. The champion perovskite/organic TSCs deliver a remarkable efficiency of 27.03% (certified of 26.56%; 0.062 cm</w:t>
      </w:r>
      <w:r>
        <w:rPr>
          <w:vertAlign w:val="subscript"/>
        </w:rPr>
        <w:t>2</w:t>
      </w:r>
      <w:r>
        <w:t>). Moreover, the reinforced SAM/perovskite heterointerface exhibits substantially enhanced adhesion according to the ASTMD3359 standard, leading to superior operational stability (</w:t>
      </w:r>
      <w:r>
        <w:t xml:space="preserve"> </w:t>
      </w:r>
      <w:r>
        <w:t>T</w:t>
      </w:r>
      <w:r>
        <w:rPr>
          <w:vertAlign w:val="subscript"/>
        </w:rPr>
        <w:t>90</w:t>
      </w:r>
      <w:r>
        <w:t>of 1265 h) and ambient storage performance (</w:t>
      </w:r>
      <w:r>
        <w:t xml:space="preserve"> </w:t>
      </w:r>
      <w:r>
        <w:t>T</w:t>
      </w:r>
      <w:r>
        <w:rPr>
          <w:vertAlign w:val="subscript"/>
        </w:rPr>
        <w:t>90</w:t>
      </w:r>
      <w:r>
        <w:t>of 2037 h; ISOS‐D‐1 protocol).</w:t>
      </w:r>
    </w:p>
    <w:p>
      <w:pPr>
        <w:spacing w:before="120" w:after="120"/>
      </w:pPr>
      <w:r>
        <w:rPr>
          <w:sz w:val="18"/>
        </w:rPr>
        <w:t>——————————————————————————————————————————————————————————————————————</w:t>
      </w:r>
    </w:p>
    <w:p>
      <w:pPr>
        <w:spacing w:before="160" w:after="40" w:line="240" w:lineRule="auto"/>
      </w:pPr>
      <w:r>
        <w:rPr>
          <w:b/>
        </w:rPr>
        <w:t xml:space="preserve">[23] </w:t>
      </w:r>
      <w:hyperlink r:id="rId53">
        <w:r>
          <w:rPr>
            <w:color w:val="1155CC"/>
            <w:u w:val="single"/>
          </w:rPr>
          <w:t>通过固体添加剂辅助策略降低溶剂选择性，使有机太阳能电池的效率接近 21%</w:t>
        </w:r>
      </w:hyperlink>
    </w:p>
    <w:p>
      <w:pPr>
        <w:spacing w:before="0" w:after="80"/>
      </w:pPr>
      <w:r>
        <w:rPr>
          <w:i/>
          <w:sz w:val="20"/>
        </w:rPr>
        <w:t>EN: Reducing Solvent Selectivity via Solid Additive‐Assisted Strategy Enables Organic Solar Cells With Approaching 21% Efficiency</w:t>
      </w:r>
    </w:p>
    <w:p>
      <w:pPr>
        <w:spacing w:before="0" w:after="120"/>
      </w:pPr>
      <w:r>
        <w:rPr>
          <w:b/>
        </w:rPr>
        <w:t xml:space="preserve">Source: </w:t>
      </w:r>
      <w:r>
        <w:t>Wiley: Advanced Materials: Table of Contents</w:t>
      </w:r>
      <w:r>
        <w:t xml:space="preserve">    </w:t>
      </w:r>
      <w:r>
        <w:rPr>
          <w:b/>
        </w:rPr>
        <w:t xml:space="preserve">Pub date: </w:t>
      </w:r>
      <w:r>
        <w:t>2026-08-04 14:17:02+00:00</w:t>
      </w:r>
      <w:r>
        <w:t xml:space="preserve">    </w:t>
      </w:r>
      <w:r>
        <w:rPr>
          <w:b/>
        </w:rPr>
        <w:t xml:space="preserve">DOI: </w:t>
      </w:r>
      <w:hyperlink r:id="rId54">
        <w:r>
          <w:rPr>
            <w:color w:val="1155CC"/>
            <w:u w:val="single"/>
          </w:rPr>
          <w:t>10.1002/adma.74452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高性能有机太阳能电池（OSC）主要使用氯仿（CF）来制造，以实现最佳的活性层形态。然而，其快速成膜导致加工窗口狭窄，严重限制了工业可扩展性。因此，在有源层加工过程中降低溶剂选择性对于促进可扩展的 OSC 制造至关重要。在这里，这个关键问题通过固体添加剂辅助策略得到了很好的解决，其中加入2,6-二甲基萘（2,6-DMN）来调节不同加工溶剂中的成膜动态和分子聚集。据透露，2,6-DMN 能够对成膜过程进行阶段特定的控制。其机制涉及在旋涂过程中抑制受体聚集，然后在退火过程中促进有序受体自组装。这种两阶段调制简化了供体-受体相互作用，减轻了溶剂缓慢干燥引起的过度聚集，从而防止了大规模的相分离。因此，2,6-DMN 在各种加工溶剂中诱导出高度均匀且良好的活性层形态，从而减轻由溶剂效应引起的器件性能变化。因此，基于 2,6-DMN 的 PM6:D18:L8-BO-X 三元器件由</w:t>
      </w:r>
      <w:r>
        <w:t xml:space="preserve"> </w:t>
      </w:r>
      <w:r>
        <w:t>哦</w:t>
      </w:r>
      <w:r>
        <w:t xml:space="preserve"> </w:t>
      </w:r>
      <w:r>
        <w:t>‐二甲苯实现了 20.86% 的惊人效率，创下了非卤化溶剂加工 OSC 的记录。这项工作提供了一种实用且有效的固体添加剂屁股</w:t>
      </w:r>
    </w:p>
    <w:p>
      <w:pPr>
        <w:spacing w:before="0" w:after="200" w:lineRule="auto" w:line="276"/>
      </w:pPr>
      <w:r>
        <w:rPr>
          <w:b/>
        </w:rPr>
        <w:t xml:space="preserve">Abstract (EN): </w:t>
      </w:r>
      <w:r>
        <w:t>Currently, high‐performance organic solar cells (OSCs) are predominantly fabricated using chloroform (CF) to achieve an optimal active‐layer morphology. However, its rapid film formation results in a narrow processing window and severely limits industrial scalability. Therefore, reducing solvent selectivity during active‐layer processing is essential to facilitate scalable OSC manufacturing. Herein, this critical issue is finely addressed by a solid‐additive‐assisted strategy, in which 2,6‐dimethylnaphthalene (2,6‐DMN) is incorporated to modulate the film formation dynamic and molecular aggregation in different processing solvents. It is revealed that 2,6‐DMN enables stage‐specific control over the film formation process. Its mechanism involves suppressing acceptor aggregation during spin‐coating and then promoting ordered acceptor self‐assembly during annealing. This two‐stage modulation simplifies donor–acceptor interactions, mitigates excessive aggregation caused by slow solvent drying, and thereby prevents large‐scale phase separation. As a result, 2,6‐DMN induces a highly uniform and favorable active‐layer morphology across various processing solvents, thereby alleviating performance variations in devices caused by solvent effect. Consequently, the 2,6‐DMN‐based PM6:D18:L8‐BO‐X ternary device processed from</w:t>
      </w:r>
      <w:r>
        <w:t xml:space="preserve"> </w:t>
      </w:r>
      <w:r>
        <w:t>o</w:t>
      </w:r>
      <w:r>
        <w:t xml:space="preserve"> </w:t>
      </w:r>
      <w:r>
        <w:t>‐xylene achieves a remarkable efficiency of 20.86%, setting a record for non‐halogenated solvent‐processed OSCs. This work provides a practical and efficient solid‐additive‐assisted strategy to mitigate the solvent selectivity in OSCs, demonstrating significant potential for achieving high‐performance OSCs with enhanced processing compatibility.</w:t>
      </w:r>
    </w:p>
    <w:p>
      <w:pPr>
        <w:spacing w:before="120" w:after="120"/>
      </w:pPr>
      <w:r>
        <w:rPr>
          <w:sz w:val="18"/>
        </w:rPr>
        <w:t>——————————————————————————————————————————————————————————————————————</w:t>
      </w:r>
    </w:p>
    <w:p>
      <w:pPr>
        <w:spacing w:before="160" w:after="40" w:line="240" w:lineRule="auto"/>
      </w:pPr>
      <w:r>
        <w:rPr>
          <w:b/>
        </w:rPr>
        <w:t xml:space="preserve">[24] </w:t>
      </w:r>
      <w:hyperlink r:id="rId55">
        <w:r>
          <w:rPr>
            <w:color w:val="1155CC"/>
            <w:u w:val="single"/>
          </w:rPr>
          <w:t>均匀化垂直应变分布可通过两步沉积实现具有更厚吸收层的高性能锡基钙钛矿太阳能电池</w:t>
        </w:r>
      </w:hyperlink>
    </w:p>
    <w:p>
      <w:pPr>
        <w:spacing w:before="0" w:after="80"/>
      </w:pPr>
      <w:r>
        <w:rPr>
          <w:i/>
          <w:sz w:val="20"/>
        </w:rPr>
        <w:t>EN: Homogenizing Vertical Strain Distribution Enables High‐Performance Tin‐Based Perovskite Solar Cells With Thicker Absorber via Two‐Step Deposition</w:t>
      </w:r>
    </w:p>
    <w:p>
      <w:pPr>
        <w:spacing w:before="0" w:after="120"/>
      </w:pPr>
      <w:r>
        <w:rPr>
          <w:b/>
        </w:rPr>
        <w:t xml:space="preserve">Source: </w:t>
      </w:r>
      <w:r>
        <w:t>Wiley: Advanced Materials: Table of Contents</w:t>
      </w:r>
      <w:r>
        <w:t xml:space="preserve">    </w:t>
      </w:r>
      <w:r>
        <w:rPr>
          <w:b/>
        </w:rPr>
        <w:t xml:space="preserve">Pub date: </w:t>
      </w:r>
      <w:r>
        <w:t>2026-08-04 14:18:52+00:00</w:t>
      </w:r>
      <w:r>
        <w:t xml:space="preserve">    </w:t>
      </w:r>
      <w:r>
        <w:rPr>
          <w:b/>
        </w:rPr>
        <w:t xml:space="preserve">DOI: </w:t>
      </w:r>
      <w:hyperlink r:id="rId56">
        <w:r>
          <w:rPr>
            <w:color w:val="1155CC"/>
            <w:u w:val="single"/>
          </w:rPr>
          <w:t>10.1002/adma.74441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由于活性层厚度通常受到限制（〜200 nm），溶液处理的锡基钙钛矿太阳能电池（TPVSC）会出现不完全的光子到电子转换，这从根本上限制了功率转换效率（PCE）。不幸的是，我们首次发现，增加有源层厚度会导致有害的垂直晶格应变梯度和更快的结晶速率，从而加剧缺陷形成，最终导致锡基钙钛矿器件中电子扩散长度和吸收体厚度之间的严重失配。为了解决这个问题，我们创新性地引入了还原性4,4'-硫代双苯硫酚（TBBT），其-SH基团可以与Sn形成二齿配位</w:t>
      </w:r>
      <w:r>
        <w:t xml:space="preserve"> </w:t>
      </w:r>
      <w:r>
        <w:t>2+</w:t>
      </w:r>
      <w:r>
        <w:t xml:space="preserve"> </w:t>
      </w:r>
      <w:r>
        <w:t>离子。这种相互作用可以松弛 Sn-I 键，这有利于晶格均匀性。同时，它延缓了结晶动力学，从而实现了与活性层厚度相称的电子扩散长度。最终，0.04 cm 处刚性设备的 PCE 为 15.02%（经认证为 14.78%），柔性设备的 PCE 为 12.43%</w:t>
      </w:r>
      <w:r>
        <w:rPr>
          <w:vertAlign w:val="subscript"/>
        </w:rPr>
        <w:t>2</w:t>
      </w:r>
      <w:r>
        <w:t>，对于 1.00 cm 处的刚性设备，为 13.37%</w:t>
      </w:r>
      <w:r>
        <w:rPr>
          <w:vertAlign w:val="subscript"/>
        </w:rPr>
        <w:t>2</w:t>
      </w:r>
      <w:r>
        <w:t>都实现了。值得注意的是，未封装的刚性装置保留了</w:t>
      </w:r>
      <w:r>
        <w:t xml:space="preserve"> </w:t>
      </w:r>
      <w:r>
        <w:t>时间</w:t>
      </w:r>
      <w:r>
        <w:rPr>
          <w:vertAlign w:val="subscript"/>
        </w:rPr>
        <w:t>95</w:t>
      </w:r>
      <w:r>
        <w:t>3500 小时的货架存储和</w:t>
      </w:r>
      <w:r>
        <w:t xml:space="preserve"> </w:t>
      </w:r>
      <w:r>
        <w:t>时间</w:t>
      </w:r>
      <w:r>
        <w:rPr>
          <w:vertAlign w:val="subscript"/>
        </w:rPr>
        <w:t>90</w:t>
      </w:r>
      <w:r>
        <w:t>MPP 跟踪下 684 小时。同时，柔性装置保持其初始 P 的 85%</w:t>
      </w:r>
    </w:p>
    <w:p>
      <w:pPr>
        <w:spacing w:before="0" w:after="200" w:lineRule="auto" w:line="276"/>
      </w:pPr>
      <w:r>
        <w:rPr>
          <w:b/>
        </w:rPr>
        <w:t xml:space="preserve">Abstract (EN): </w:t>
      </w:r>
      <w:r>
        <w:t>Owing to typically restricted active layer thickness (∼200 nm), solution‐processed tin‐based perovskite solar cells (TPVSCs) suffer from incomplete photon‐to‐electron conversion, which fundamentally limits power conversion efficiency (PCE). Unfortunately, we uncover for the first time that increasing the active layer thickness induces detrimental vertical lattice strain gradient and faster crystallization rate, which exacerbate defect formation and ultimately cause a severe mismatch between electron diffusion length and absorber thickness in the tin‐based perovskite device. To address this, we innovatively introduce reductive 4,4′‐thiobisbenzenethiol (TBBT), whose ‐SH groups can form bidentate coordination with Sn</w:t>
      </w:r>
      <w:r>
        <w:t xml:space="preserve"> </w:t>
      </w:r>
      <w:r>
        <w:t>2+</w:t>
      </w:r>
      <w:r>
        <w:t xml:space="preserve"> </w:t>
      </w:r>
      <w:r>
        <w:t>ions. This interaction can relax Sn‐I bonds, which is beneficial for lattice homogeneity. Concurrently, it retards crystallization kinetics, thus achieving an electron diffusion length commensurate with active layer thickness. Ultimately, the excellent PCEs of 15.02% (certified 14.78%) for rigid devices and 12.43% for flexible devices at 0.04 cm</w:t>
      </w:r>
      <w:r>
        <w:rPr>
          <w:vertAlign w:val="subscript"/>
        </w:rPr>
        <w:t>2</w:t>
      </w:r>
      <w:r>
        <w:t>, and 13.37% for rigid devices at 1.00 cm</w:t>
      </w:r>
      <w:r>
        <w:rPr>
          <w:vertAlign w:val="subscript"/>
        </w:rPr>
        <w:t>2</w:t>
      </w:r>
      <w:r>
        <w:t>are achieved. Notably, the unencapsulated rigid device retains</w:t>
      </w:r>
      <w:r>
        <w:t xml:space="preserve"> </w:t>
      </w:r>
      <w:r>
        <w:t>T</w:t>
      </w:r>
      <w:r>
        <w:rPr>
          <w:vertAlign w:val="subscript"/>
        </w:rPr>
        <w:t>95</w:t>
      </w:r>
      <w:r>
        <w:t>of 3500 h shelf storage and</w:t>
      </w:r>
      <w:r>
        <w:t xml:space="preserve"> </w:t>
      </w:r>
      <w:r>
        <w:t>T</w:t>
      </w:r>
      <w:r>
        <w:rPr>
          <w:vertAlign w:val="subscript"/>
        </w:rPr>
        <w:t>90</w:t>
      </w:r>
      <w:r>
        <w:t>of 684 h under MPP tracking. Meanwhile, the flexible device maintains 85% of its initial PCE after 4000 bending cycles. These results demonstrate that our strategy yields synergistic gains in both efficiency and stability.</w:t>
      </w:r>
    </w:p>
    <w:p>
      <w:pPr>
        <w:spacing w:before="120" w:after="120"/>
      </w:pPr>
      <w:r>
        <w:rPr>
          <w:sz w:val="18"/>
        </w:rPr>
        <w:t>——————————————————————————————————————————————————————————————————————</w:t>
      </w:r>
    </w:p>
    <w:p>
      <w:pPr>
        <w:spacing w:before="160" w:after="40" w:line="240" w:lineRule="auto"/>
      </w:pPr>
      <w:r>
        <w:rPr>
          <w:b/>
        </w:rPr>
        <w:t xml:space="preserve">[25] </w:t>
      </w:r>
      <w:hyperlink r:id="rId57">
        <w:r>
          <w:rPr>
            <w:color w:val="1155CC"/>
            <w:u w:val="single"/>
          </w:rPr>
          <w:t>超短期光伏预报的物理感知视觉提示：基于卫星图像的多模态融合方法</w:t>
        </w:r>
      </w:hyperlink>
    </w:p>
    <w:p>
      <w:pPr>
        <w:spacing w:before="0" w:after="80"/>
      </w:pPr>
      <w:r>
        <w:rPr>
          <w:i/>
          <w:sz w:val="20"/>
        </w:rPr>
        <w:t>EN: Physics-aware visual prompting for ultra-short-term photovoltaic forecasting: A multimodal fusion method based on satellite imagery</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58">
        <w:r>
          <w:rPr>
            <w:color w:val="1155CC"/>
            <w:u w:val="single"/>
          </w:rPr>
          <w:t>10.1016/j.apenergy.2026.128585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59">
        <w:r>
          <w:rPr>
            <w:color w:val="1155CC"/>
            <w:u w:val="single"/>
          </w:rPr>
          <w:t>大极化子屏蔽延迟了高注入下卤化物钙钛矿的迁移率滚降</w:t>
        </w:r>
      </w:hyperlink>
    </w:p>
    <w:p>
      <w:pPr>
        <w:spacing w:before="0" w:after="80"/>
      </w:pPr>
      <w:r>
        <w:rPr>
          <w:i/>
          <w:sz w:val="20"/>
        </w:rPr>
        <w:t>EN: Large Polaron Screening Delays Mobility Roll-Off in Halide Perovskites under High Injection</w:t>
      </w:r>
    </w:p>
    <w:p>
      <w:pPr>
        <w:spacing w:before="0" w:after="120"/>
      </w:pPr>
      <w:r>
        <w:rPr>
          <w:b/>
        </w:rPr>
        <w:t xml:space="preserve">Source: </w:t>
      </w:r>
      <w:r>
        <w:t>ACS Energy Letters: Latest Articles (ACS Publications)</w:t>
      </w:r>
      <w:r>
        <w:t xml:space="preserve">    </w:t>
      </w:r>
      <w:r>
        <w:rPr>
          <w:b/>
        </w:rPr>
        <w:t xml:space="preserve">Pub date: </w:t>
      </w:r>
      <w:r>
        <w:t>2026-08-05 00:00:00+00:00</w:t>
      </w:r>
      <w:r>
        <w:t xml:space="preserve">    </w:t>
      </w:r>
      <w:r>
        <w:rPr>
          <w:b/>
        </w:rPr>
        <w:t xml:space="preserve">DOI: </w:t>
      </w:r>
      <w:hyperlink r:id="rId60">
        <w:r>
          <w:rPr>
            <w:color w:val="1155CC"/>
            <w:u w:val="single"/>
          </w:rPr>
          <w:t>10.1021/acsenergylett.6c01114</w:t>
        </w:r>
      </w:hyperlink>
    </w:p>
    <w:p>
      <w:pPr>
        <w:spacing w:before="0" w:after="120"/>
      </w:pPr>
      <w:r>
        <w:rPr>
          <w:b/>
        </w:rPr>
        <w:t xml:space="preserve">Notes: </w:t>
      </w:r>
      <w:r>
        <w:t>abstract_source=crossref</w:t>
      </w:r>
    </w:p>
    <w:p>
      <w:pPr>
        <w:spacing w:before="0" w:after="80" w:lineRule="auto" w:line="276"/>
      </w:pPr>
      <w:r>
        <w:rPr>
          <w:b/>
        </w:rPr>
        <w:t xml:space="preserve">摘要（ZH）: </w:t>
      </w:r>
      <w:r>
        <w:t>摘要 载流子密度范围和各种散射过程之间的相互作用是理解高性能半导体中电荷传输效率的基础。结合超快时间分辨太赫兹光谱 (TRTS) 和瞬态微波光电导 (TRMC)，我们测量了超过 7 个数量级的载流子迁移率 (1013–1020 个载流子 cm–3)，达到载流子-载流子散射占主导地位且迁移率开始下降的状态。我们发现 Caughey-Thomas 模型可以有效地用于 3D 金属卤化物钙钛矿 (MHP) 的输运建模，并且可以通过 MHP 成分来调整~1019 cm-3 附近的迁移率滚降。由于带间多载流子复合，MHP 中的载流子寿命在低得多的载流子密度下开始减少，而带内载流子迁移率保持不变，因为载流子散射被极化子的存在屏蔽。经过验证的 Caughey-Thomas 模型为器件模拟提供了实用的输入，防止高注入下扩散长度的高估，并表明 MHP 是高载流子密度下单极器件应用的绝佳候选者。</w:t>
      </w:r>
    </w:p>
    <w:p>
      <w:pPr>
        <w:spacing w:before="0" w:after="200" w:lineRule="auto" w:line="276"/>
      </w:pPr>
      <w:r>
        <w:rPr>
          <w:b/>
        </w:rPr>
        <w:t xml:space="preserve">Abstract (EN): </w:t>
      </w:r>
      <w:r>
        <w:t>The interplay between carrier density regimes and the various scattering processes is fundamental for understanding charge transport efficiency in high-performance semiconductors. Combining ultrafast time-resolved terahertz spectroscopy (TRTS) and transient microwave photoconductivity (TRMC), we measure carrier mobilities over 7 orders of magnitude (1013–1020 carriers cm–3), reaching a regime where carrier–carrier scattering dominates and mobility begins to roll off. We find the Caughey–Thomas model can be effectively employed for transport modeling in 3D metal halide perovskites (MHPs), and the mobility roll-off near ∼1019 cm–3 can be tuned by MHP composition. Carrier lifetime in MHPs starts decreasing at much lower carrier densities due to interband multi-carrier recombination, while intraband carrier mobility remains unchanged as carrier–carrier scattering is screened by the presence of polarons. The validated Caughey–Thomas model provides a practical input for device simulations, prevents overestimation of diffusion length under high injection, and suggests that MHPs are excellent candidates for unipolar device applications under high carrier densities.</w:t>
      </w:r>
    </w:p>
    <w:p>
      <w:pPr>
        <w:spacing w:before="120" w:after="120"/>
      </w:pPr>
      <w:r>
        <w:rPr>
          <w:sz w:val="18"/>
        </w:rPr>
        <w:t>——————————————————————————————————————————————————————————————————————</w:t>
      </w:r>
    </w:p>
    <w:p>
      <w:pPr>
        <w:spacing w:before="160" w:after="40" w:line="240" w:lineRule="auto"/>
      </w:pPr>
      <w:r>
        <w:rPr>
          <w:b/>
        </w:rPr>
        <w:t xml:space="preserve">[27] </w:t>
      </w:r>
      <w:hyperlink r:id="rId61">
        <w:r>
          <w:rPr>
            <w:color w:val="1155CC"/>
            <w:u w:val="single"/>
          </w:rPr>
          <w:t>改善高效钙钛矿/Cu(In,Ga)Se2串联太阳能电池的界面介导载流子传输</w:t>
        </w:r>
      </w:hyperlink>
    </w:p>
    <w:p>
      <w:pPr>
        <w:spacing w:before="0" w:after="80"/>
      </w:pPr>
      <w:r>
        <w:rPr>
          <w:i/>
          <w:sz w:val="20"/>
        </w:rPr>
        <w:t>EN: Improving interface-mediated carrier transport for efficient perovskite/Cu(In,Ga)Se2 tandem solar cells</w:t>
      </w:r>
    </w:p>
    <w:p>
      <w:pPr>
        <w:spacing w:before="0" w:after="120"/>
      </w:pPr>
      <w:r>
        <w:rPr>
          <w:b/>
        </w:rPr>
        <w:t xml:space="preserve">Source: </w:t>
      </w:r>
      <w:r>
        <w:t>Nature Energy</w:t>
      </w:r>
      <w:r>
        <w:t xml:space="preserve">    </w:t>
      </w:r>
      <w:r>
        <w:rPr>
          <w:b/>
        </w:rPr>
        <w:t xml:space="preserve">Pub date: </w:t>
      </w:r>
      <w:r>
        <w:t>2026-08-05 00:00:00+00:00</w:t>
      </w:r>
      <w:r>
        <w:t xml:space="preserve">    </w:t>
      </w:r>
      <w:r>
        <w:rPr>
          <w:b/>
        </w:rPr>
        <w:t xml:space="preserve">DOI: </w:t>
      </w:r>
      <w:hyperlink r:id="rId62">
        <w:r>
          <w:rPr>
            <w:color w:val="1155CC"/>
            <w:u w:val="single"/>
          </w:rPr>
          <w:t>10.1038/s41560-026-02125-3</w:t>
        </w:r>
      </w:hyperlink>
    </w:p>
    <w:p>
      <w:pPr>
        <w:spacing w:before="0" w:after="120"/>
      </w:pPr>
      <w:r>
        <w:rPr>
          <w:b/>
        </w:rPr>
        <w:t xml:space="preserve">Notes: </w:t>
      </w:r>
      <w:r>
        <w:t>abstract_source=rss_nature</w:t>
      </w:r>
    </w:p>
    <w:p>
      <w:pPr>
        <w:spacing w:before="0" w:after="80" w:lineRule="auto" w:line="276"/>
      </w:pPr>
      <w:r>
        <w:rPr>
          <w:b/>
        </w:rPr>
        <w:t xml:space="preserve">摘要（ZH）: </w:t>
      </w:r>
      <w:r>
        <w:t>钙钛矿/Cu(In,Ga)Se2串联太阳能电池的性能受到层间界面处的光学和电子损耗的限制。 Zeng、Wang、Tang 等人通过设计其中两个接口。实现 30.57% 的认证效率并提高了器件稳定性。</w:t>
      </w:r>
    </w:p>
    <w:p>
      <w:pPr>
        <w:spacing w:before="0" w:after="200" w:lineRule="auto" w:line="276"/>
      </w:pPr>
      <w:r>
        <w:rPr>
          <w:b/>
        </w:rPr>
        <w:t xml:space="preserve">Abstract (EN): </w:t>
      </w:r>
      <w:r>
        <w:t>The performance of perovskite/Cu(In,Ga)Se2 tandem solar cells is limited by optical and electronic losses at the interfaces between layers. By engineering two of these interfaces, Zeng, Wang, Tang et al. achieve a certified efficiency of 30.57% and improved device stability.</w:t>
      </w:r>
    </w:p>
    <w:p>
      <w:pPr>
        <w:spacing w:before="120" w:after="120"/>
      </w:pPr>
      <w:r>
        <w:rPr>
          <w:sz w:val="18"/>
        </w:rPr>
        <w:t>——————————————————————————————————————————————————————————————————————</w:t>
      </w:r>
    </w:p>
    <w:p>
      <w:pPr>
        <w:spacing w:before="160" w:after="40" w:line="240" w:lineRule="auto"/>
      </w:pPr>
      <w:r>
        <w:rPr>
          <w:b/>
        </w:rPr>
        <w:t xml:space="preserve">[28] </w:t>
      </w:r>
      <w:hyperlink r:id="rId63">
        <w:r>
          <w:rPr>
            <w:color w:val="1155CC"/>
            <w:u w:val="single"/>
          </w:rPr>
          <w:t>通过甲脒共晶热蒸发钙钛矿/硅串联</w:t>
        </w:r>
      </w:hyperlink>
    </w:p>
    <w:p>
      <w:pPr>
        <w:spacing w:before="0" w:after="80"/>
      </w:pPr>
      <w:r>
        <w:rPr>
          <w:i/>
          <w:sz w:val="20"/>
        </w:rPr>
        <w:t>EN: Thermally evaporated perovskite/silicon tandems via formamidinium eutectic</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64">
        <w:r>
          <w:rPr>
            <w:color w:val="1155CC"/>
            <w:u w:val="single"/>
          </w:rPr>
          <w:t>10.1038/s41586-026-10970-1</w:t>
        </w:r>
      </w:hyperlink>
    </w:p>
    <w:p>
      <w:pPr>
        <w:spacing w:before="0" w:after="120"/>
      </w:pPr>
      <w:r>
        <w:rPr>
          <w:b/>
        </w:rPr>
        <w:t xml:space="preserve">Notes: </w:t>
      </w:r>
      <w:r>
        <w:t>abstract_source=nature_html</w:t>
      </w:r>
    </w:p>
    <w:p>
      <w:pPr>
        <w:spacing w:before="0" w:after="80" w:lineRule="auto" w:line="276"/>
      </w:pPr>
      <w:r>
        <w:rPr>
          <w:b/>
        </w:rPr>
        <w:t xml:space="preserve">摘要（ZH）: </w:t>
      </w:r>
      <w:r>
        <w:t>溶液加工仍然是高性能钙钛矿/硅串联的主要途径，但同时实现工业可扩展性和长期可靠性仍然具有挑战性。1-3 热蒸发在工业上更具可行性，但尚未成功证明大面积钙钛矿/硅串联，这主要是由于高温蒸发过程中碘化甲脒 (FAI) 的热降解。在这里，我们合成了一种基于甲脒的低共熔物 (Eu)，可将 FAI 的有效蒸发温度平均降低 36 °C（低于其降解阈值），从而实现稳定的 FAI 蒸发而不会发生热降解。结果，蒸发的钙钛矿薄膜表现出增强的结晶度和原子级成分均匀性。顺序蒸发的钙钛矿/硅串联实现了 31.5% (1 cm2) 的稳态效率。受益于蒸发的均匀性，我们进一步在商业半切 G12 晶圆上展示了第一个热蒸发的大面积钙钛矿/硅串联，实现了 30.0%（200 cm2）的稳态效率。将器件面积从 1 cm2 缩放至 200 cm2 只会导致 3.99% 的相对效率损失，这代表了基于钙钛矿的串联中面积缩放的最低效率损失。基于欧盟的串联在 2000 小时的湿热老化（85 °C/85% RH）后仍保持其初始效率的 95%，并且在实际户外运行两个月后表现出可忽略不计的功率损失。</w:t>
      </w:r>
    </w:p>
    <w:p>
      <w:pPr>
        <w:spacing w:before="0" w:after="200" w:lineRule="auto" w:line="276"/>
      </w:pPr>
      <w:r>
        <w:rPr>
          <w:b/>
        </w:rPr>
        <w:t xml:space="preserve">Abstract (EN): </w:t>
      </w:r>
      <w:r>
        <w:t>Solution processing remains the dominant route to high-performance perovskite/silicon tandems, but it remains challenging to simultaneously achieve industrial scalability and long-term reliability.1-3 Thermal evaporation is more industrially viable, yet it has not been successfully demonstrated for large-area perovskite/Si tandems, largely due to the thermal degradation of formamidinium iodide (FAI) during high-temperature evaporation. Here, we synthesize a formamidinium-based eutectic (Eu) that lowers the effective evaporation temperature of FAI by an average of 36 °C - below its degradation threshold - thereby enabling stable FAI evaporation without thermal degradation. As a result, the evaporated perovskite films exhibit enhanced crystallinity and atomic-scale compositional homogeneity. Sequentially evaporated perovskite/Si tandems achieve a steady-state efficiency of 31.5% (1 cm2). Benefiting from the uniformity of evaporation, we further demonstrate the first thermally evaporated large-area perovskite/Si tandem on a commercial half-cut G12 wafer, delivering a steady-state efficiency of 30.0% (200 cm2). Scaling the device area from 1 to 200 cm2 incurs only a 3.99% relative efficiency loss, representing the lowest reported efficiency penalty for area scaling in perovskite-based tandems. The Eu-based tandem retains 95% of its initial efficiency after 2000 hours of damp-heat aging (85 °C/85% RH) and exhibits negligible power loss after two months of real-world outdoor operation.</w:t>
      </w:r>
    </w:p>
    <w:p>
      <w:pPr>
        <w:spacing w:before="120" w:after="120"/>
      </w:pPr>
      <w:r>
        <w:rPr>
          <w:sz w:val="18"/>
        </w:rPr>
        <w:t>——————————————————————————————————————————————————————————————————————</w:t>
      </w:r>
    </w:p>
    <w:p>
      <w:pPr>
        <w:spacing w:before="160" w:after="40" w:line="240" w:lineRule="auto"/>
      </w:pPr>
      <w:r>
        <w:rPr>
          <w:b/>
        </w:rPr>
        <w:t xml:space="preserve">[29] </w:t>
      </w:r>
      <w:hyperlink r:id="rId65">
        <w:r>
          <w:rPr>
            <w:color w:val="1155CC"/>
            <w:u w:val="single"/>
          </w:rPr>
          <w:t>金属有机框架光催化剂中的水合依赖性激子-声子耦合</w:t>
        </w:r>
      </w:hyperlink>
    </w:p>
    <w:p>
      <w:pPr>
        <w:spacing w:before="0" w:after="80"/>
      </w:pPr>
      <w:r>
        <w:rPr>
          <w:i/>
          <w:sz w:val="20"/>
        </w:rPr>
        <w:t>EN: Hydration-dependent exciton-phonon coupling in a metal-organic framework photocatalyst</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金属有机框架（MOF）由于其通过构建块选择可调节的光电特性，因此在光捕获应用方面具有潜力。众所周知，MOF 中存在的结合溶剂会影响气体吸附性能，但对其光学性能的影响却知之甚少。在这里，我们研究了结合水的存在如何调节已报道的 MOF 光催化剂 SU-101 的光学特性。使用 GW 近似和从头算 Bethe-Salpeter 方程 (BSE) 并用有限差分法处理激子-声子耦合，我们表明 SU-101 中的激子-声子相互作用很强，并且对束缚水分子的存在高度敏感。具体来说，我们发现结合水的存在与声子引起的激子更强的局域化有关。在我们的计算指导下，我们合成了 SU-101 并在不同的水负载下研究了这种 MOF。我们测量了 MOF 的光致发光（PL）发射和紫外-可见吸收光谱，后者与我们的计算预测非常一致。通过考虑水负载、声子和激子的相互作用，我们的计算使测量的紫外-可见吸收和 PL 光谱合理化。我们的工作还强调了激子-声子相互作用及其对水合的敏感性对具有大孔和柔性有机连接体的 MOF 光电特性的关键作用。</w:t>
      </w:r>
    </w:p>
    <w:p>
      <w:pPr>
        <w:spacing w:before="0" w:after="200" w:lineRule="auto" w:line="276"/>
      </w:pPr>
      <w:r>
        <w:rPr>
          <w:b/>
        </w:rPr>
        <w:t xml:space="preserve">Abstract (EN): </w:t>
      </w:r>
      <w:r>
        <w:t>Metal-organic frameworks (MOFs) have potential for light-harvesting applications owing to their tunable optoelectronic properties via building block selection. The presence of bound solvent in MOFs is known to impact gas adsorption properties, but little is known about their effect on optical properties. Here, we investigate how the presence of bound water can modulate the optical properties of a reported MOF photocatalyst, SU-101. Using the GW approximation and the ab initio Bethe-Salpeter equation (BSE) and treating exciton-phonon coupling with a finite difference method, we show that exciton-phonon interactions in SU-101 are strong and highly sensitive to the presence of bound water molecules. Specifically, we find that the presence of bound water is associated with a stronger localization of excitons due to phonons. Guided by our calculations, we synthesize SU-101 and study this MOF under different water loadings. We measure photoluminescence (PL) emission and UV-Vis absorption spectra of the MOFs, the latter in good agreement with our computational predictions. By considering the interplay of water loading, phonons, and excitons, our calculations rationalize measured UV-Vis absorption and PL spectra. Our work also highlights the pivotal role of exciton-phonon interactions and their sensitivity to hydration on the optoelectronic properties of MOFs with large pores and flexible organic linkers.</w:t>
      </w:r>
    </w:p>
    <w:p>
      <w:pPr>
        <w:spacing w:before="120" w:after="120"/>
      </w:pPr>
      <w:r>
        <w:rPr>
          <w:sz w:val="18"/>
        </w:rPr>
        <w:t>——————————————————————————————————————————————————————————————————————</w:t>
      </w:r>
    </w:p>
    <w:p>
      <w:pPr>
        <w:spacing w:before="160" w:after="40" w:line="240" w:lineRule="auto"/>
      </w:pPr>
      <w:r>
        <w:rPr>
          <w:b/>
        </w:rPr>
        <w:t xml:space="preserve">[30] </w:t>
      </w:r>
      <w:hyperlink r:id="rId66">
        <w:r>
          <w:rPr>
            <w:color w:val="1155CC"/>
            <w:u w:val="single"/>
          </w:rPr>
          <w:t>文化遗产作为屋顶太阳能部署的结构调节剂：受遗产限制的城市脱碳的建筑级框架</w:t>
        </w:r>
      </w:hyperlink>
    </w:p>
    <w:p>
      <w:pPr>
        <w:spacing w:before="0" w:after="80"/>
      </w:pPr>
      <w:r>
        <w:rPr>
          <w:i/>
          <w:sz w:val="20"/>
        </w:rPr>
        <w:t>EN: Cultural heritage as a structural modifier of rooftop solar deployment: A building-level framework for heritage-constrained urban decarbonisation</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67">
        <w:r>
          <w:rPr>
            <w:color w:val="1155CC"/>
            <w:u w:val="single"/>
          </w:rPr>
          <w:t>10.1016/j.apenergy.2026.128610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68">
        <w:r>
          <w:rPr>
            <w:color w:val="1155CC"/>
            <w:u w:val="single"/>
          </w:rPr>
          <w:t>超越黄金标准：为耐用钙钛矿太阳能电池开发工业上可行的电极</w:t>
        </w:r>
      </w:hyperlink>
    </w:p>
    <w:p>
      <w:pPr>
        <w:spacing w:before="0" w:after="80"/>
      </w:pPr>
      <w:r>
        <w:rPr>
          <w:i/>
          <w:sz w:val="20"/>
        </w:rPr>
        <w:t>EN: Beyond the Gold Standard: Towards Industrially Viable Electrodes for Durable Perovskite Solar Cells</w:t>
      </w:r>
    </w:p>
    <w:p>
      <w:pPr>
        <w:spacing w:before="0" w:after="120"/>
      </w:pPr>
      <w:r>
        <w:rPr>
          <w:b/>
        </w:rPr>
        <w:t xml:space="preserve">Source: </w:t>
      </w:r>
      <w:r>
        <w:t>Wiley: Advanced Energy Materials: Table of Contents</w:t>
      </w:r>
      <w:r>
        <w:t xml:space="preserve">    </w:t>
      </w:r>
      <w:r>
        <w:rPr>
          <w:b/>
        </w:rPr>
        <w:t xml:space="preserve">Pub date: </w:t>
      </w:r>
      <w:r>
        <w:t>2026-08-05 06:23:42+00:00</w:t>
      </w:r>
      <w:r>
        <w:t xml:space="preserve">    </w:t>
      </w:r>
      <w:r>
        <w:rPr>
          <w:b/>
        </w:rPr>
        <w:t xml:space="preserve">DOI: </w:t>
      </w:r>
      <w:hyperlink r:id="rId69">
        <w:r>
          <w:rPr>
            <w:color w:val="1155CC"/>
            <w:u w:val="single"/>
          </w:rPr>
          <w:t>10.1002/aenm.71372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已经实现了高效率，但仍然受到不稳定性的限制。对于不透明金属后电极，通常使用金来实现稳定运行，但由于成本原因对于可扩展光伏发电来说是不切实际的。我们研究了低成本金属（Al、Ag、Cu）下方的 5 nm 铬 (Cr) 中间层对抑制金属相互扩散的影响。 Cr/Al 电极生产的器件具有高效率（高达 24.7%），并且在热和光应力下与使用 Au 后电极的参考器件相当，运行稳定性高，而且原材料成本降低了五个数量级。在阳光入射的前半透明电极处，我们通过深度分辨质谱法揭示了氧化铟锡 (ITO) 中的铟扩散是一个关键的降解机制。我们证明，用掺氟氧化锡 (FTO) 替代 ITO 可以显着提高稳定性。将这两项改进相结合，FTO 与 Cr/Al 触点相结合，生产出的器件在模拟阳光下 75°C 下老化 &gt;1000 小时后仍能保持 &gt;66% 的初始效率。这些结果凸显了电极选择对钙钛矿太阳能电池耐久性的关键作用，并为实现稳定且经济高效的钙钛矿光伏发电提供了一条实用途径。</w:t>
      </w:r>
    </w:p>
    <w:p>
      <w:pPr>
        <w:spacing w:before="0" w:after="200" w:lineRule="auto" w:line="276"/>
      </w:pPr>
      <w:r>
        <w:rPr>
          <w:b/>
        </w:rPr>
        <w:t xml:space="preserve">Abstract (EN): </w:t>
      </w:r>
      <w:r>
        <w:t>Perovskite solar cells have achieved high efficiencies but remain limited by instabilities. For the opaque metal rear electrode, Au is commonly used to achieve stable operation but is impractical for scalable photovoltaics due to cost. We investigate the effect of a 5 nm chromium (Cr) interlayer beneath low‐cost metals (Al, Ag, Cu) to inhibit metal interdiffusion. Cr/Al electrodes yield devices with high efficiencies (up to 24.7%) and operational stability comparable to reference devices using Au rear electrodes under heat and light stress, with raw material costs reduced by five orders of magnitude. At the front semi‐transparent electrode, through which sunlight will be incident, we identify indium diffusion from indium tin oxide (ITO) as a key degradation mechanism, revealed via depth‐resolved mass spectrometry. We demonstrate that replacing ITO with fluorine‐doped tin oxide (FTO) substantially improves stability. Combining both improvements, FTO with Cr/Al contacts, produces devices retaining &amp;gt;66% of the initial efficiency after &amp;gt;1000 h ageing at 75 °C under simulated sunlight. These results highlight the critical role of electrode selection on perovskite solar cell durability and provide a practical route toward stable and cost‐effective perovskite photovoltaics.</w:t>
      </w:r>
    </w:p>
    <w:p>
      <w:pPr>
        <w:spacing w:before="120" w:after="120"/>
      </w:pPr>
      <w:r>
        <w:rPr>
          <w:sz w:val="18"/>
        </w:rPr>
        <w:t>——————————————————————————————————————————————————————————————————————</w:t>
      </w:r>
    </w:p>
    <w:p>
      <w:pPr>
        <w:spacing w:before="160" w:after="40" w:line="240" w:lineRule="auto"/>
      </w:pPr>
      <w:r>
        <w:rPr>
          <w:b/>
        </w:rPr>
        <w:t xml:space="preserve">[32] </w:t>
      </w:r>
      <w:hyperlink r:id="rId70">
        <w:r>
          <w:rPr>
            <w:color w:val="1155CC"/>
            <w:u w:val="single"/>
          </w:rPr>
          <w:t>酸碱络合诱导偶极子工程用于耐用的倒置钙钛矿光伏</w:t>
        </w:r>
      </w:hyperlink>
    </w:p>
    <w:p>
      <w:pPr>
        <w:spacing w:before="0" w:after="80"/>
      </w:pPr>
      <w:r>
        <w:rPr>
          <w:i/>
          <w:sz w:val="20"/>
        </w:rPr>
        <w:t>EN: Acid‐Base Complexation Induced Dipole Engineering for Durable Inverted Perovskite Photovoltaics</w:t>
      </w:r>
    </w:p>
    <w:p>
      <w:pPr>
        <w:spacing w:before="0" w:after="120"/>
      </w:pPr>
      <w:r>
        <w:rPr>
          <w:b/>
        </w:rPr>
        <w:t xml:space="preserve">Source: </w:t>
      </w:r>
      <w:r>
        <w:t>Wiley: Advanced Materials: Table of Contents</w:t>
      </w:r>
      <w:r>
        <w:t xml:space="preserve">    </w:t>
      </w:r>
      <w:r>
        <w:rPr>
          <w:b/>
        </w:rPr>
        <w:t xml:space="preserve">Pub date: </w:t>
      </w:r>
      <w:r>
        <w:t>2026-08-05 10:53:17+00:00</w:t>
      </w:r>
      <w:r>
        <w:t xml:space="preserve">    </w:t>
      </w:r>
      <w:r>
        <w:rPr>
          <w:b/>
        </w:rPr>
        <w:t xml:space="preserve">DOI: </w:t>
      </w:r>
      <w:hyperlink r:id="rId71">
        <w:r>
          <w:rPr>
            <w:color w:val="1155CC"/>
            <w:u w:val="single"/>
          </w:rPr>
          <w:t>10.1002/adma.74438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不稳定的埋入界面阻碍了倒置钙钛矿太阳能电池（PSC）的商业化。尽管自组装单层（SAM）作为有前景的空穴选择性接触，但其覆盖范围不足和热锚定较弱会导致能量损失和结构退化。在这里，我们引入了一种偶极工程策略，将 4-氨基吡啶 (4-AP) 合并到 Me-4PACz 基质中，通过酸碱络合形成强大的静电络合物。这种方法抑制聚集，确保均匀覆盖，实现垂直分子取向，并将界面偶极矩从 1.64 德拜提高到 8.34 德拜，从而改善空穴提取。由此产生的小面积（0.09 cm</w:t>
      </w:r>
      <w:r>
        <w:rPr>
          <w:vertAlign w:val="subscript"/>
        </w:rPr>
        <w:t>2</w:t>
      </w:r>
      <w:r>
        <w:t>）反向PSC实现了27.06%的功率转换效率（PCE）和开路电压（</w:t>
      </w:r>
      <w:r>
        <w:t xml:space="preserve"> </w:t>
      </w:r>
      <w:r>
        <w:t>V</w:t>
      </w:r>
      <w:r>
        <w:t xml:space="preserve"> </w:t>
      </w:r>
      <w:r>
        <w:t>奥克</w:t>
      </w:r>
      <w:r>
        <w:t xml:space="preserve"> </w:t>
      </w:r>
      <w:r>
        <w:t>）为 1.194 V。这种方法还可以实现大面积模块（655.2 cm</w:t>
      </w:r>
      <w:r>
        <w:rPr>
          <w:vertAlign w:val="subscript"/>
        </w:rPr>
        <w:t>2</w:t>
      </w:r>
      <w:r>
        <w:t>），效率为 20.3%（认证为 20.11%），填充因子为 79.9%。此外，这些器件还表现出卓越的热稳定性，在 85°C 下 1000 小时和 200 次热循环后分别保留了初始 PCE 的 90.1% 和 89.3%。这项工作通过利用超分子相互作用进行界面偶极子工程，为实现耐用和高性能钙钛矿光伏发电提供了一条通用途径。</w:t>
      </w:r>
    </w:p>
    <w:p>
      <w:pPr>
        <w:spacing w:before="0" w:after="200" w:lineRule="auto" w:line="276"/>
      </w:pPr>
      <w:r>
        <w:rPr>
          <w:b/>
        </w:rPr>
        <w:t xml:space="preserve">Abstract (EN): </w:t>
      </w:r>
      <w:r>
        <w:t>Thermally unstable buried interfaces hinder the commercialization of inverted perovskite solar cells (PSCs). Although self‐assembled monolayers (SAMs) serve as promising hole‐selective contacts, their inadequate coverage and weak thermal anchoring cause energy loss and structural degradation. Here, we introduce a dipole‐engineering strategy by incorporating 4‐aminopyridine (4‐AP) into the Me‐4PACz matrix to form a robust electrostatic complex via acid‐base complexation. This approach suppresses aggregation, ensures uniform coverage, enables a vertical molecular orientation, and enhances the interfacial dipole moment from 1.64 to 8.34 Debye, thereby improving hole extraction. The resulting small‐area (0.09 cm</w:t>
      </w:r>
      <w:r>
        <w:rPr>
          <w:vertAlign w:val="subscript"/>
        </w:rPr>
        <w:t>2</w:t>
      </w:r>
      <w:r>
        <w:t>) inverted PSC achieves a power conversion efficiency (PCE) of 27.06% and an open‐circuit voltage (</w:t>
      </w:r>
      <w:r>
        <w:t xml:space="preserve"> </w:t>
      </w:r>
      <w:r>
        <w:t>V</w:t>
      </w:r>
      <w:r>
        <w:t xml:space="preserve"> </w:t>
      </w:r>
      <w:r>
        <w:t>OC</w:t>
      </w:r>
      <w:r>
        <w:t xml:space="preserve"> </w:t>
      </w:r>
      <w:r>
        <w:t>) of 1.194 V. This approach also enables large‐area modules (655.2 cm</w:t>
      </w:r>
      <w:r>
        <w:rPr>
          <w:vertAlign w:val="subscript"/>
        </w:rPr>
        <w:t>2</w:t>
      </w:r>
      <w:r>
        <w:t>) with an efficiency of 20.3% (certified 20.11%) and a fill factor of 79.9%. Additionally, the devices demonstrate exceptional thermal stability, retaining 90.1% and 89.3% of their initial PCE after 1000 h at 85°C and 200 thermal cycles, respectively. This work provides a generalizable pathway toward durable and high‐performance perovskite photovoltaics by leveraging supramolecular interactions for interfacial dipole engineering.</w:t>
      </w:r>
    </w:p>
    <w:p>
      <w:pPr>
        <w:spacing w:before="120" w:after="120"/>
      </w:pPr>
      <w:r>
        <w:rPr>
          <w:sz w:val="18"/>
        </w:rPr>
        <w:t>——————————————————————————————————————————————————————————————————————</w:t>
      </w:r>
    </w:p>
    <w:p>
      <w:pPr>
        <w:spacing w:before="160" w:after="40" w:line="240" w:lineRule="auto"/>
      </w:pPr>
      <w:r>
        <w:rPr>
          <w:b/>
        </w:rPr>
        <w:t xml:space="preserve">[33] </w:t>
      </w:r>
      <w:hyperlink r:id="rId72">
        <w:r>
          <w:rPr>
            <w:color w:val="1155CC"/>
            <w:u w:val="single"/>
          </w:rPr>
          <w:t>使用 PMMA 金属捕获网抑制电极扩散可实现稳定的传统有机光伏</w:t>
        </w:r>
      </w:hyperlink>
    </w:p>
    <w:p>
      <w:pPr>
        <w:spacing w:before="0" w:after="80"/>
      </w:pPr>
      <w:r>
        <w:rPr>
          <w:i/>
          <w:sz w:val="20"/>
        </w:rPr>
        <w:t>EN: Suppressing Electrode Diffusion With a PMMA Metal‐Capture Mesh Enables Stable Conventional Organic Photovoltaics</w:t>
      </w:r>
    </w:p>
    <w:p>
      <w:pPr>
        <w:spacing w:before="0" w:after="120"/>
      </w:pPr>
      <w:r>
        <w:rPr>
          <w:b/>
        </w:rPr>
        <w:t xml:space="preserve">Source: </w:t>
      </w:r>
      <w:r>
        <w:t>Wiley: Advanced Materials: Table of Contents</w:t>
      </w:r>
      <w:r>
        <w:t xml:space="preserve">    </w:t>
      </w:r>
      <w:r>
        <w:rPr>
          <w:b/>
        </w:rPr>
        <w:t xml:space="preserve">Pub date: </w:t>
      </w:r>
      <w:r>
        <w:t>2026-08-05 10:56:10+00:00</w:t>
      </w:r>
      <w:r>
        <w:t xml:space="preserve">    </w:t>
      </w:r>
      <w:r>
        <w:rPr>
          <w:b/>
        </w:rPr>
        <w:t xml:space="preserve">DOI: </w:t>
      </w:r>
      <w:hyperlink r:id="rId73">
        <w:r>
          <w:rPr>
            <w:color w:val="1155CC"/>
            <w:u w:val="single"/>
          </w:rPr>
          <w:t>10.1002/adma.74521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有机光伏（OPV）经常会过早失效，因为顶电极金属在热应力下扩散到有机堆栈中，产生界面陷阱和泄漏路径。在这里，我们将严重的老化驱动的银扩散确定为高效传统架构中的关键失效途径。为了在不影响电荷提取的情况下抑制这种现象，我们引入了聚甲基丙烯酸甲酯（PMMA），它在 PDINN 层上自组装成不连续的网状网络，既充当物理扩散屏障又充当化学金属捕获网格。光谱分析表明，PMMA 羰基通过 Ag-O 相互作用与 Ag 配位，提供化学固定，补充物理屏障，阻止热激活、浓度梯度驱动的迁移。因此，PMMA 改性器件的功率转换效率 (PCE) 为 20.2%，并且稳定性显着增强：在 ISOS-D-1I 货架存储下 3,574 小时后，它们保留了超过 80% 的初始 PCE，显示</w:t>
      </w:r>
      <w:r>
        <w:t xml:space="preserve"> </w:t>
      </w:r>
      <w:r>
        <w:t>时间</w:t>
      </w:r>
      <w:r>
        <w:rPr>
          <w:vertAlign w:val="subscript"/>
        </w:rPr>
        <w:t>80</w:t>
      </w:r>
      <w:r>
        <w:t>在 85°C 的 ISOS-D-2I 热老化条件下，老化时间为 105 小时，而对照设备仅老化 10 小时，在 ISOS-L-3 条件（1 太阳、65°C、50% 相对湿度）下 94 小时后，仍保留 70.1%，而对照设备为 51.4%。该策略还提高了铜基和金基器件的热稳定性，建立了广泛适用的界面概念，以减轻高效传统设备中电极扩散引起的故障。</w:t>
      </w:r>
    </w:p>
    <w:p>
      <w:pPr>
        <w:spacing w:before="0" w:after="200" w:lineRule="auto" w:line="276"/>
      </w:pPr>
      <w:r>
        <w:rPr>
          <w:b/>
        </w:rPr>
        <w:t xml:space="preserve">Abstract (EN): </w:t>
      </w:r>
      <w:r>
        <w:t>Conventional organic photovoltaics (OPVs) often suffer from premature failure because top‐electrode metals diffuse into the organic stack under thermal stress, generating interfacial traps and leakage pathways. Here, we identify severe aging‐driven Ag diffusion as a critical failure pathway in high‐efficiency conventional architectures. To suppress this without compromising charge extraction, we introduce polymethyl methacrylate (PMMA) that self‐assembles into a discontinuous, mesh‐like network on the PDINN layer, functioning as both a physical diffusion barrier and a chemical metal‐capture mesh. Spectroscopic analyses reveal that PMMA carbonyl groups coordinate with Ag through Ag‐O interactions, providing chemical immobilization that complements the physical barrier in blocking thermally activated, concentration‐gradient‐driven migration. Therefore, PMMA‐modified devices deliver a power conversion efficiency (PCE) of 20.2% with markedly enhanced stability: they retain &amp;gt;80% of the initial PCE after 3,574 h under ISOS‐D‐1I shelf storage, show a</w:t>
      </w:r>
      <w:r>
        <w:t xml:space="preserve"> </w:t>
      </w:r>
      <w:r>
        <w:t>T</w:t>
      </w:r>
      <w:r>
        <w:rPr>
          <w:vertAlign w:val="subscript"/>
        </w:rPr>
        <w:t>80</w:t>
      </w:r>
      <w:r>
        <w:t>of 105 h under ISOS‐D‐2I thermal aging at 85°C, compared with only 10 h for control devices, and retain 70.1% after 94 h under ISOS‐L‐3 conditions (1 sun, 65°C, 50% relative humidity), versus 51.4% for controls. This strategy also improves the thermal stability of Cu‐ and Au‐based devices, establishing a broadly applicable interfacial concept for mitigating electrode‐diffusion‐induced failure in high‐efficiency conventional OPVs.</w:t>
      </w:r>
    </w:p>
    <w:p>
      <w:pPr>
        <w:spacing w:before="120" w:after="120"/>
      </w:pPr>
      <w:r>
        <w:rPr>
          <w:sz w:val="18"/>
        </w:rPr>
        <w:t>——————————————————————————————————————————————————————————————————————</w:t>
      </w:r>
    </w:p>
    <w:p>
      <w:pPr>
        <w:spacing w:before="160" w:after="40" w:line="240" w:lineRule="auto"/>
      </w:pPr>
      <w:r>
        <w:rPr>
          <w:b/>
        </w:rPr>
        <w:t xml:space="preserve">[34] </w:t>
      </w:r>
      <w:hyperlink r:id="rId74">
        <w:r>
          <w:rPr>
            <w:color w:val="1155CC"/>
            <w:u w:val="single"/>
          </w:rPr>
          <w:t>设计供体-受体型自组装单层膜的组装自由度，以实现高效、稳定的柔性钙钛矿光伏</w:t>
        </w:r>
      </w:hyperlink>
    </w:p>
    <w:p>
      <w:pPr>
        <w:spacing w:before="0" w:after="80"/>
      </w:pPr>
      <w:r>
        <w:rPr>
          <w:i/>
          <w:sz w:val="20"/>
        </w:rPr>
        <w:t>EN: Engineering the Assembly Freedom of Donor–Acceptor Type Self‐Assembled Monolayers Toward Efficient and Stable Flexible Perovskite Photovoltaics</w:t>
      </w:r>
    </w:p>
    <w:p>
      <w:pPr>
        <w:spacing w:before="0" w:after="120"/>
      </w:pPr>
      <w:r>
        <w:rPr>
          <w:b/>
        </w:rPr>
        <w:t xml:space="preserve">Source: </w:t>
      </w:r>
      <w:r>
        <w:t>Wiley: Advanced Materials: Table of Contents</w:t>
      </w:r>
      <w:r>
        <w:t xml:space="preserve">    </w:t>
      </w:r>
      <w:r>
        <w:rPr>
          <w:b/>
        </w:rPr>
        <w:t xml:space="preserve">Pub date: </w:t>
      </w:r>
      <w:r>
        <w:t>2026-08-05 12:24:56+00:00</w:t>
      </w:r>
      <w:r>
        <w:t xml:space="preserve">    </w:t>
      </w:r>
      <w:r>
        <w:rPr>
          <w:b/>
        </w:rPr>
        <w:t xml:space="preserve">DOI: </w:t>
      </w:r>
      <w:hyperlink r:id="rId75">
        <w:r>
          <w:rPr>
            <w:color w:val="1155CC"/>
            <w:u w:val="single"/>
          </w:rPr>
          <w:t>10.1002/adma.74486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钙钛矿太阳能电池（f-PSC）是便携式和可穿戴光伏发电的有前途的竞争者，但开发同时实现高功率转换效率（PCE）和卓越的运行稳定性（包括机械鲁棒性）的f-PSC仍然具有挑战性。在此，我们提出了一种调节供体-受体型自组装单层（SAM）的组装自由度的策略来解决这个问题。与之前报道的2FMPA-BT-BA (BA) SAM相比，新设计的2FMPA-BT-PPA (PPA) SAM在柔性ITO基板上表现出更高的组装自由度，具有两个关键优势：首先，它们通过改进的构象适应性和增强的π-π堆叠形成更高质量的单层，从而促进高效的载流子传输。其次，SAM的构象适应性和均匀倾斜的方向可以有效地消散外部机械载荷下的界面应变，从而增强柔性器件的机械鲁棒性。这些协同作用产生的 f-PSC 的冠军 PCE 为 25.3%（刚性设备为 26.3%），同时具有出色的运行稳定性。至关重要的是，基于 PPA 的器件在 10,000 次多向弯曲循环（3 mm 半径）后保留了 98% 的初始 PCE，没有观察到的结构损坏，优于基于 BA 的器件和所有报道的基于 SAM 的 f-PSC。这项工作为高效、稳健的 f-PSC 提供了供体-受体 SAM 设计经验，揭示了组装自由度在界面载流子提取和机械鲁棒性方面的关键作用。</w:t>
      </w:r>
    </w:p>
    <w:p>
      <w:pPr>
        <w:spacing w:before="0" w:after="200" w:lineRule="auto" w:line="276"/>
      </w:pPr>
      <w:r>
        <w:rPr>
          <w:b/>
        </w:rPr>
        <w:t xml:space="preserve">Abstract (EN): </w:t>
      </w:r>
      <w:r>
        <w:t>Flexible perovskite solar cells (f‐PSCs) are promising contenders for portable and wearable photovoltaics, yet developing f‐PSCs that simultaneously achieve high power conversion efficiency (PCE) and superior operational stability, including mechanical robustness, remains challenging. Herein, we propose a strategy of modulating the assembly freedom of donor–acceptor type self‐assembled monolayers (SAMs) to address this issue. The newly designed 2FMPA‐BT‐PPA (PPA) SAMs exhibit higher assembly freedom on flexible ITO substrates compared to the previously reported 2FMPA‐BT‐BA (BA) SAMs, delivering two key benefits: first, they enable the formation of a higher‐quality monolayer via improved conformational adaptability and strengthened π–π stacking, which facilitates efficient carrier transport. Second, the SAMs’ conformational adaptability and uniformly tilted orientations can effectively dissipate interfacial strain under external mechanical loads, thereby enhancing the mechanical robustness of flexible devices. These synergies yield f‐PSCs with a champion PCE of 25.3% (26.3% for rigid device), alongside exceptional operational stability. Crucially, PPA‐based devices retain 98% initial PCE after 10 000 multidirectional bending cycles (3 mm radius) with no observable structural damage, outperforming BA‐based devices and all reported SAMs‐based f‐PSCs. This work offers donor‐acceptor SAMs design experiences for efficient, robust f‐PSCs, revealing assembly freedom's key role in interfacial carrier extraction and mechanical robustness.</w:t>
      </w:r>
    </w:p>
    <w:p>
      <w:pPr>
        <w:spacing w:before="120" w:after="120"/>
      </w:pPr>
      <w:r>
        <w:rPr>
          <w:sz w:val="18"/>
        </w:rPr>
        <w:t>——————————————————————————————————————————————————————————————————————</w:t>
      </w:r>
    </w:p>
    <w:p>
      <w:pPr>
        <w:spacing w:before="160" w:after="40" w:line="240" w:lineRule="auto"/>
      </w:pPr>
      <w:r>
        <w:rPr>
          <w:b/>
        </w:rPr>
        <w:t xml:space="preserve">[35] </w:t>
      </w:r>
      <w:hyperlink r:id="rId76">
        <w:r>
          <w:rPr>
            <w:color w:val="1155CC"/>
            <w:u w:val="single"/>
          </w:rPr>
          <w:t>开壳客体受体操纵有机太阳能电池中的电荷转移自旋动力学</w:t>
        </w:r>
      </w:hyperlink>
    </w:p>
    <w:p>
      <w:pPr>
        <w:spacing w:before="0" w:after="80"/>
      </w:pPr>
      <w:r>
        <w:rPr>
          <w:i/>
          <w:sz w:val="20"/>
        </w:rPr>
        <w:t>EN: Open‐Shell Guest Acceptors Manipulate Charge‐Transfer Spin Dynamics in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2026-08-05 13:35:37+00:00</w:t>
      </w:r>
      <w:r>
        <w:t xml:space="preserve">    </w:t>
      </w:r>
      <w:r>
        <w:rPr>
          <w:b/>
        </w:rPr>
        <w:t xml:space="preserve">DOI: </w:t>
      </w:r>
      <w:hyperlink r:id="rId77">
        <w:r>
          <w:rPr>
            <w:color w:val="1155CC"/>
            <w:u w:val="single"/>
          </w:rPr>
          <w:t>10.1002/anie.2691122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高效有机太阳能电池（OSC）中的非辐射能量损失与涉及三重态电荷转移的三重态介导的重组密切相关。</w:t>
      </w:r>
      <w:r>
        <w:rPr>
          <w:vertAlign w:val="subscript"/>
        </w:rPr>
        <w:t>3</w:t>
      </w:r>
      <w:r>
        <w:t>CT) 状态。在这里，我们不是仅仅通过激发态能量工程来抑制这条途径，而是探索一种使用本质上开壳非富勒烯受体（NFA）作为 OSC 共混物中自旋活性客体受体的自旋操纵策略。两种（硫代）巴比妥酸封端的开壳 NFA（MAZ-1 和 MAZ-2）被纳入 D18:N3 太阳能电池中。电子自旋共振 (ESR)、变温 ESR 和变温</w:t>
      </w:r>
      <w:r>
        <w:rPr>
          <w:vertAlign w:val="subscript"/>
        </w:rPr>
        <w:t>1</w:t>
      </w:r>
      <w:r>
        <w:t>H NMR 测量证实了它们的开壳层特征和热可接近的三重态。掺入 MAZ 后，三元器件表现出减弱的高场磁光电流响应和长寿命 CT 态的加速衰减，与调制的 CT 态自旋演化和抑制的三重态相关重组一致。因此，非辐射能量损失减少了约 20 meV，同时电荷传输增强，形态改善，功率转换效率从 18.52% 增加到 20.23%。这项工作将开壳客体受体建立为一个内在的自旋活性平台，用于操纵 CT 态自旋动力学并减少 OSC 中的非辐射复合损失。</w:t>
      </w:r>
    </w:p>
    <w:p>
      <w:pPr>
        <w:spacing w:before="0" w:after="200" w:lineRule="auto" w:line="276"/>
      </w:pPr>
      <w:r>
        <w:rPr>
          <w:b/>
        </w:rPr>
        <w:t xml:space="preserve">Abstract (EN): </w:t>
      </w:r>
      <w:r>
        <w:t>Non‐radiative energy loss in high‐efficiency organic solar cells (OSCs) is closely associated with triplet‐mediated recombination involving triplet charge‐transfer (</w:t>
      </w:r>
      <w:r>
        <w:rPr>
          <w:vertAlign w:val="subscript"/>
        </w:rPr>
        <w:t>3</w:t>
      </w:r>
      <w:r>
        <w:t>CT) states. Here, rather than suppressing this pathway solely through excited‐state energetic engineering, we explore a spin‐manipulation strategy using intrinsically open‐shell non‐fullerene acceptors (NFAs) as spin‐active guest acceptors in OSC blends. Two (thio)barbituric acid‐terminated open‐shell NFAs, MAZ‐1 and MAZ‐2, were incorporated into D18:N3 solar cells. Electron spin resonance (ESR), variable‐temperature ESR, and variable‐temperature</w:t>
      </w:r>
      <w:r>
        <w:rPr>
          <w:vertAlign w:val="subscript"/>
        </w:rPr>
        <w:t>1</w:t>
      </w:r>
      <w:r>
        <w:t>H NMR measurements confirm their open‐shell character and thermally accessible triplet states. Upon MAZ incorporation, the ternary devices exhibit weakened high‐field magneto‐photocurrent responses and accelerated decay of long‐lived CT states, consistent with modulated CT‐state spin evolution and suppressed triplet‐related recombination. Consequently, the non‐radiative energy loss is reduced by up to ∼20 meV, accompanied by enhanced charge transport, improved morphology, and a power conversion efficiency increase from 18.52% to 20.23%. This work establishes open‐shell guest acceptors as an intrinsic spin‐active platform for manipulating CT‐state spin dynamics and reducing non‐radiative recombination losses in OSCs.</w:t>
      </w:r>
    </w:p>
    <w:p>
      <w:pPr>
        <w:spacing w:before="120" w:after="120"/>
      </w:pPr>
      <w:r>
        <w:rPr>
          <w:sz w:val="18"/>
        </w:rPr>
        <w:t>——————————————————————————————————————————————————————————————————————</w:t>
      </w:r>
    </w:p>
    <w:p>
      <w:pPr>
        <w:spacing w:before="160" w:after="40" w:line="240" w:lineRule="auto"/>
      </w:pPr>
      <w:r>
        <w:rPr>
          <w:b/>
        </w:rPr>
        <w:t xml:space="preserve">[36] </w:t>
      </w:r>
      <w:hyperlink r:id="rId78">
        <w:r>
          <w:rPr>
            <w:color w:val="1155CC"/>
            <w:u w:val="single"/>
          </w:rPr>
          <w:t>通过磺酸钠工程减轻应力引起的非光活性相变，实现稳定高效的钙钛矿太阳能电池</w:t>
        </w:r>
      </w:hyperlink>
    </w:p>
    <w:p>
      <w:pPr>
        <w:spacing w:before="0" w:after="80"/>
      </w:pPr>
      <w:r>
        <w:rPr>
          <w:i/>
          <w:sz w:val="20"/>
        </w:rPr>
        <w:t>EN: Mitigating Stress‐Induced Nonphotoactive Phase Transition Through Sodium Sulfonate Engineering for Stable and Efficient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2026-08-05 13:58:53+00:00</w:t>
      </w:r>
      <w:r>
        <w:t xml:space="preserve">    </w:t>
      </w:r>
      <w:r>
        <w:rPr>
          <w:b/>
        </w:rPr>
        <w:t xml:space="preserve">DOI: </w:t>
      </w:r>
      <w:hyperlink r:id="rId79">
        <w:r>
          <w:rPr>
            <w:color w:val="1155CC"/>
            <w:u w:val="single"/>
          </w:rPr>
          <w:t>10.1002/anie.2425823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甲脒三碘化铅 (FAPbI</w:t>
      </w:r>
      <w:r>
        <w:rPr>
          <w:vertAlign w:val="subscript"/>
        </w:rPr>
        <w:t>3</w:t>
      </w:r>
      <w:r>
        <w:t>）钙钛矿太阳能电池（PSC）由于其出色的光电性能而引起了人们的广泛关注。然而，它们的长期稳定性仍然受到晶格应变诱导的从光活性α相到非光活性δ相的转变的限制。在这项工作中，第一性原理计算表明 Na 的掺入</w:t>
      </w:r>
      <w:r>
        <w:t xml:space="preserve"> </w:t>
      </w:r>
      <w:r>
        <w:t>+</w:t>
      </w:r>
      <w:r>
        <w:t xml:space="preserve"> </w:t>
      </w:r>
      <w:r>
        <w:t>进入相邻 FA 之间的间隙位置</w:t>
      </w:r>
      <w:r>
        <w:t xml:space="preserve"> </w:t>
      </w:r>
      <w:r>
        <w:t>+</w:t>
      </w:r>
      <w:r>
        <w:t xml:space="preserve"> </w:t>
      </w:r>
      <w:r>
        <w:t>阳离子显着降低α相的形成能，从而促进其热力学稳定性。然后，实验结果证实引入2 mol% Na</w:t>
      </w:r>
      <w:r>
        <w:t xml:space="preserve"> </w:t>
      </w:r>
      <w:r>
        <w:t>+</w:t>
      </w:r>
      <w:r>
        <w:t xml:space="preserve"> </w:t>
      </w:r>
      <w:r>
        <w:t>有效缓解晶格应变，同时抑制δ相。此外，伴随的磺酸基与 PbI 相互作用</w:t>
      </w:r>
      <w:r>
        <w:rPr>
          <w:vertAlign w:val="subscript"/>
        </w:rPr>
        <w:t>2</w:t>
      </w:r>
      <w:r>
        <w:t>可以调节结晶，提高薄膜质量。结果，优化后的 PSC 实现了高达 26.67% 的功率转换效率 (PCE)（认证为 26.44%），在 n-i-p 结构器件中位居最高报道之列。值得注意的是，没有封装的裸器件在 85°C 连续加热 1200 小时后仍保留了 90% 以上的初始效率，在连续照明 800 小时后仍保持 80% 以上。这项研究表明，金属阳离子掺杂是稳定钙钛矿晶格和增强长期运行的有效策略</w:t>
      </w:r>
    </w:p>
    <w:p>
      <w:pPr>
        <w:spacing w:before="0" w:after="200" w:lineRule="auto" w:line="276"/>
      </w:pPr>
      <w:r>
        <w:rPr>
          <w:b/>
        </w:rPr>
        <w:t xml:space="preserve">Abstract (EN): </w:t>
      </w:r>
      <w:r>
        <w:t>Formamidinium lead triiodide (FAPbI</w:t>
      </w:r>
      <w:r>
        <w:rPr>
          <w:vertAlign w:val="subscript"/>
        </w:rPr>
        <w:t>3</w:t>
      </w:r>
      <w:r>
        <w:t>) perovskite solar cells (PSCs) have attracted significant attention due to their outstanding optoelectronic properties. However, their long‐term stability remains limited by lattice strain‐induced transition from the photoactive α‐phase to the nonphotoactive δ‐phase. In this work, first‐principles calculations reveal that the incorporation of Na</w:t>
      </w:r>
      <w:r>
        <w:t xml:space="preserve"> </w:t>
      </w:r>
      <w:r>
        <w:t>+</w:t>
      </w:r>
      <w:r>
        <w:t xml:space="preserve"> </w:t>
      </w:r>
      <w:r>
        <w:t>into interstitial sites between adjacent FA</w:t>
      </w:r>
      <w:r>
        <w:t xml:space="preserve"> </w:t>
      </w:r>
      <w:r>
        <w:t>+</w:t>
      </w:r>
      <w:r>
        <w:t xml:space="preserve"> </w:t>
      </w:r>
      <w:r>
        <w:t>cations significantly reduces the formation energy of the α‐phase, thereby promoting its thermodynamic stabilization. Then, experimental results confirm that the introduction of 2 mol% Na</w:t>
      </w:r>
      <w:r>
        <w:t xml:space="preserve"> </w:t>
      </w:r>
      <w:r>
        <w:t>+</w:t>
      </w:r>
      <w:r>
        <w:t xml:space="preserve"> </w:t>
      </w:r>
      <w:r>
        <w:t>effectively alleviates lattice strain while simultaneously suppressing δ phase. Moreover, the accompanying sulfonate groups interacting with PbI</w:t>
      </w:r>
      <w:r>
        <w:rPr>
          <w:vertAlign w:val="subscript"/>
        </w:rPr>
        <w:t>2</w:t>
      </w:r>
      <w:r>
        <w:t>can regulate the crystallization and improve film quality. As a result, the optimized PSC achieved power conversion efficiency (PCE) as high as 26.67% (certificated 26.44%), ranking among the highest reported for the n‐i‐p structured devices. Notably, the bare device without encapsulation retained over 90% of its initial efficiency after continuous heating at 85°C for 1200 h and maintained 80% after 800 h continuous illumination. This study demonstrates that metal cation doping is an effective strategy for stabilizing the perovskite lattice and enhancing long‐term operational stability of perovskite‐based optoelectronic devices.</w:t>
      </w:r>
    </w:p>
    <w:p>
      <w:pPr>
        <w:spacing w:before="120" w:after="120"/>
      </w:pPr>
      <w:r>
        <w:rPr>
          <w:sz w:val="18"/>
        </w:rPr>
        <w:t>——————————————————————————————————————————————————————————————————————</w:t>
      </w:r>
    </w:p>
    <w:p>
      <w:pPr>
        <w:spacing w:before="160" w:after="40" w:line="240" w:lineRule="auto"/>
      </w:pPr>
      <w:r>
        <w:rPr>
          <w:b/>
        </w:rPr>
        <w:t xml:space="preserve">[37] </w:t>
      </w:r>
      <w:hyperlink r:id="rId80">
        <w:r>
          <w:rPr>
            <w:color w:val="1155CC"/>
            <w:u w:val="single"/>
          </w:rPr>
          <w:t>高性能无HTL碳基钙钛矿太阳能电池的不对称共轭分子共沉积</w:t>
        </w:r>
      </w:hyperlink>
    </w:p>
    <w:p>
      <w:pPr>
        <w:spacing w:before="0" w:after="80"/>
      </w:pPr>
      <w:r>
        <w:rPr>
          <w:i/>
          <w:sz w:val="20"/>
        </w:rPr>
        <w:t>EN: Asymmetric Conjugated Molecule Co‐Deposition for High‐Performance HTL‐Free Carbon‐Based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2026-08-05 14:13:41+00:00</w:t>
      </w:r>
      <w:r>
        <w:t xml:space="preserve">    </w:t>
      </w:r>
      <w:r>
        <w:rPr>
          <w:b/>
        </w:rPr>
        <w:t xml:space="preserve">DOI: </w:t>
      </w:r>
      <w:hyperlink r:id="rId81">
        <w:r>
          <w:rPr>
            <w:color w:val="1155CC"/>
            <w:u w:val="single"/>
          </w:rPr>
          <w:t>10.1002/anie.3883037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无平面空穴传输层（HTL）的碳基钙钛矿太阳能电池（C-PSC）由于其化学稳定性和成本效益而显示出巨大的前景。然而，无 HTL C-PSC 的功率转换效率（PCE）仍然受到严重的界面非辐射复合和低效电荷提取的限制。在此，我们设计了一种不对称的 D−A−D'−A' 共轭分子 2BCz-BD，并采用共沉积策略，在薄膜制造过程中将 2BCz-BD 掺入钙钛矿前驱体溶液中。 2BCz-BD的配位能力调节钙钛矿结晶并钝化表面缺陷，从而抑制界面非辐射复合。受青睐的</w:t>
      </w:r>
      <w:r>
        <w:t xml:space="preserve"> </w:t>
      </w:r>
      <w:r>
        <w:t>p</w:t>
      </w:r>
      <w:r>
        <w:t xml:space="preserve"> </w:t>
      </w:r>
      <w:r>
        <w:t>型半导体特性还优化能级排列以增强电荷提取。此外，2BCz-BD 的大偶极矩会在钙钛矿表面上产生有序取向，作为受控碳电极沉积的模板并实现高质量的电极制造。结果，小面积（0.062 cm</w:t>
      </w:r>
      <w:r>
        <w:rPr>
          <w:vertAlign w:val="subscript"/>
        </w:rPr>
        <w:t>2</w:t>
      </w:r>
      <w:r>
        <w:t>）和大面积（1.004 cm</w:t>
      </w:r>
      <w:r>
        <w:rPr>
          <w:vertAlign w:val="subscript"/>
        </w:rPr>
        <w:t>2</w:t>
      </w:r>
      <w:r>
        <w:t>）器件的 PCE 分别达到 23.24% 和 22.09%。未封装的器件在运行 3100 小时后保留了超过 90.4% 的初始 PCE。</w:t>
      </w:r>
    </w:p>
    <w:p>
      <w:pPr>
        <w:spacing w:before="0" w:after="200" w:lineRule="auto" w:line="276"/>
      </w:pPr>
      <w:r>
        <w:rPr>
          <w:b/>
        </w:rPr>
        <w:t xml:space="preserve">Abstract (EN): </w:t>
      </w:r>
      <w:r>
        <w:t>Planar hole‐transport‐layer (HTL)‐free carbon‐based perovskite solar cells (C‐PSCs) show great promise due to their chemical stability and cost‐effectiveness. However, the power conversion efficiency (PCE) of HTL‐free C‐PSCs remains limited by severe interfacial nonradiative recombination and inefficient charge extraction. Herein, we designed an asymmetric D−A−D'−A' conjugated molecule 2BCz‐BD and employed a co‐deposition strategy by incorporating 2BCz‐BD into the perovskite precursor solution during film fabrication. The coordination ability of 2BCz‐BD regulates perovskite crystallization and passivates surface defects, thereby suppressing interfacial non‐radiative recombination. The favored</w:t>
      </w:r>
      <w:r>
        <w:t xml:space="preserve"> </w:t>
      </w:r>
      <w:r>
        <w:t>p</w:t>
      </w:r>
      <w:r>
        <w:t xml:space="preserve"> </w:t>
      </w:r>
      <w:r>
        <w:t>‐type semiconducting characters also optimize energy‐level alignment to enhance charge extraction. Additionally, the large dipole moment of 2BCz‐BD induces an ordered orientation on the perovskite surface, serving as a template for controlled carbon electrode deposition and enabling high‐quality electrode fabrication. As a result, small‐area (0.062 cm</w:t>
      </w:r>
      <w:r>
        <w:rPr>
          <w:vertAlign w:val="subscript"/>
        </w:rPr>
        <w:t>2</w:t>
      </w:r>
      <w:r>
        <w:t>) and large‐area (1.004 cm</w:t>
      </w:r>
      <w:r>
        <w:rPr>
          <w:vertAlign w:val="subscript"/>
        </w:rPr>
        <w:t>2</w:t>
      </w:r>
      <w:r>
        <w:t>) devices achieved remarkable PCEs of 23.24% and 22.09%, respectively. The unencapsulated devices retained over 90.4% of their initial PCE after 3100 h of operation.</w:t>
      </w:r>
    </w:p>
    <w:p>
      <w:pPr>
        <w:spacing w:before="120" w:after="120"/>
      </w:pPr>
      <w:r>
        <w:rPr>
          <w:sz w:val="18"/>
        </w:rPr>
        <w:t>——————————————————————————————————————————————————————————————————————</w:t>
      </w:r>
    </w:p>
    <w:p>
      <w:pPr>
        <w:spacing w:before="160" w:after="40" w:line="240" w:lineRule="auto"/>
      </w:pPr>
      <w:r>
        <w:rPr>
          <w:b/>
        </w:rPr>
        <w:t xml:space="preserve">[38] </w:t>
      </w:r>
      <w:hyperlink r:id="rId82">
        <w:r>
          <w:rPr>
            <w:color w:val="1155CC"/>
            <w:u w:val="single"/>
          </w:rPr>
          <w:t>钙钛矿基材料中多金属氧酸盐的调制策略、应用和未来方向：综述</w:t>
        </w:r>
      </w:hyperlink>
    </w:p>
    <w:p>
      <w:pPr>
        <w:spacing w:before="0" w:after="80"/>
      </w:pPr>
      <w:r>
        <w:rPr>
          <w:i/>
          <w:sz w:val="20"/>
        </w:rPr>
        <w:t>EN: The Modulation Strategies, Applications, and Future Directions of Polyoxometalates in Perovskite-Based Materials: A Review</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83">
        <w:r>
          <w:rPr>
            <w:color w:val="1155CC"/>
            <w:u w:val="single"/>
          </w:rPr>
          <w:t>10.1021/acsami.6c09864</w:t>
        </w:r>
      </w:hyperlink>
    </w:p>
    <w:p>
      <w:pPr>
        <w:spacing w:before="0" w:after="120"/>
      </w:pPr>
      <w:r>
        <w:rPr>
          <w:b/>
        </w:rPr>
        <w:t xml:space="preserve">Notes: </w:t>
      </w:r>
      <w:r>
        <w:t>abstract_source=crossref</w:t>
      </w:r>
    </w:p>
    <w:p>
      <w:pPr>
        <w:spacing w:before="0" w:after="80" w:lineRule="auto" w:line="276"/>
      </w:pPr>
      <w:r>
        <w:rPr>
          <w:b/>
        </w:rPr>
        <w:t xml:space="preserve">摘要（ZH）: </w:t>
      </w:r>
      <w:r>
        <w:t>摘要 钙钛矿材料因其出色的光吸收能力和可调谐的电子结构而成为下一代光电器件的核心候选材料。多金属氧酸盐（POM）是一类典型的无机阴离子金属氧化物簇，以其稳定的骨架、可调的氧化还原性能、较低的制备成本和良好的环境相容性而闻名，使其在能源转换和环境管理方面具有重要价值。当集成到基于钙钛矿的器件中时，POM 可以精确调节钙钛矿的电学和光学特性，并通过调整电荷传输层等功能层来优化整体性能。通过这种相互作用，两种材料在功能和性能上相互补充和协同，为提高钙钛矿器件性能并扩展其在多个领域的应用提供了新的研究视角。本文系统总结了钙钛矿和聚甲醛协同应用的最新进展，重点介绍了它们在钙钛矿太阳能电池、光催化降解与合成、传感器以及荧光光开关系统中的创新作用和机制。此外，还探讨了潜在的跨学科发展方向，并提出了具有定制功能的POM基材料的设计。通过采用钙钛矿的多种协同策略，这些混合系统有望实现持续的性能优化，从而推进纳米材料的构建和应用。</w:t>
      </w:r>
    </w:p>
    <w:p>
      <w:pPr>
        <w:spacing w:before="0" w:after="200" w:lineRule="auto" w:line="276"/>
      </w:pPr>
      <w:r>
        <w:rPr>
          <w:b/>
        </w:rPr>
        <w:t xml:space="preserve">Abstract (EN): </w:t>
      </w:r>
      <w:r>
        <w:t>Perovskite materials are core candidates for next-generation optoelectronic devices due to their outstanding light absorption capability and tunable electronic structures. Polyoxometalates (POMs), a typical class of inorganic anionic metal-oxide clusters, are renowned for their stable frameworks, tunable redox properties, low preparation costs, and good environmental compatibility, making them valuable in energy conversion and environmental management. When incorporated into perovskite-based devices, POMs can precisely modulate the electrical and optical properties of perovskites and optimize the overall performance by adjusting functional layers, such as charge transport layers. Through this interaction, the two materials complement and synergize with each other in both functionality and performance, providing new research perspectives for improving perovskite device performance and expanding their applications across multiple fields. This review systematically summarizes the recent progress in the synergistic application of perovskites and POMs, focusing on their innovative roles and mechanisms in perovskite solar cells, photocatalytic degradation and synthesis, and sensors as well as fluorescence photo-switching systems. Additionally, potential interdisciplinary development directions are explored, and the design of POM-based materials with customized functions is proposed. By adopting diverse synergistic strategies with perovskites, these hybrid systems hold promise for continuous performance optimization, thereby advancing the construction and application of novel functional materials.</w:t>
      </w:r>
    </w:p>
    <w:p>
      <w:pPr>
        <w:spacing w:before="120" w:after="120"/>
      </w:pPr>
      <w:r>
        <w:rPr>
          <w:sz w:val="18"/>
        </w:rPr>
        <w:t>——————————————————————————————————————————————————————————————————————</w:t>
      </w:r>
    </w:p>
    <w:p>
      <w:pPr>
        <w:spacing w:before="160" w:after="40" w:line="240" w:lineRule="auto"/>
      </w:pPr>
      <w:r>
        <w:rPr>
          <w:b/>
        </w:rPr>
        <w:t xml:space="preserve">[39] </w:t>
      </w:r>
      <w:hyperlink r:id="rId84">
        <w:r>
          <w:rPr>
            <w:color w:val="1155CC"/>
            <w:u w:val="single"/>
          </w:rPr>
          <w:t>使用窄带隙三元聚合物供体具有优异性能和增强稳定性的全聚合物半透明有机太阳能电池</w:t>
        </w:r>
      </w:hyperlink>
    </w:p>
    <w:p>
      <w:pPr>
        <w:spacing w:before="0" w:after="80"/>
      </w:pPr>
      <w:r>
        <w:rPr>
          <w:i/>
          <w:sz w:val="20"/>
        </w:rPr>
        <w:t>EN: All‐Polymer Semitransparent Organic Solar Cells With Excellent Performance and Enhanced Stability Using Narrow‐Bandgap Terpolymer Donors</w:t>
      </w:r>
    </w:p>
    <w:p>
      <w:pPr>
        <w:spacing w:before="0" w:after="120"/>
      </w:pPr>
      <w:r>
        <w:rPr>
          <w:b/>
        </w:rPr>
        <w:t xml:space="preserve">Source: </w:t>
      </w:r>
      <w:r>
        <w:t>Wiley: Advanced Energy Materials: Table of Contents</w:t>
      </w:r>
      <w:r>
        <w:t xml:space="preserve">    </w:t>
      </w:r>
      <w:r>
        <w:rPr>
          <w:b/>
        </w:rPr>
        <w:t xml:space="preserve">Pub date: </w:t>
      </w:r>
      <w:r>
        <w:t>2026-08-06 06:21:39+00:00</w:t>
      </w:r>
      <w:r>
        <w:t xml:space="preserve">    </w:t>
      </w:r>
      <w:r>
        <w:rPr>
          <w:b/>
        </w:rPr>
        <w:t xml:space="preserve">DOI: </w:t>
      </w:r>
      <w:hyperlink r:id="rId85">
        <w:r>
          <w:rPr>
            <w:color w:val="1155CC"/>
            <w:u w:val="single"/>
          </w:rPr>
          <w:t>10.1002/aenm.71392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全聚合物半透明有机太阳能电池（ST-OSC）采用窄带隙（NBG）聚合物供体和NBG聚合物受体进行波长选择性光利用，在解决高效光吸收和光透射率之间的权衡以及器件稳定性方面具有巨大潜力。然而，高性能 NBG 聚合物供体的稀缺阻碍了其发展。在这项工作中，通过将苯并二噻吩二酮单元战略性地纳入 PCE10 主链中，开发了两种具有更深能级的 NBG 三元共聚物供体 PS1 和 PS2。重要的是，PS2 表现出适当的分子堆积和结晶度，以及与受体 PY-IT 的良好混溶性。受益于显着抑制非辐射复合损耗和最佳形态而降低的电压损耗，基于不透明PS2:PY-IT的全聚合物太阳能电池的功率转换效率（PCE）为15.10%。此外，基于PS2:PY-IT的ST-OSC实现了4.19%的优异光利用率（LUE），PCE为10.26%，平均可见光透过率为40.84%，是全聚合物ST-OSC中最高的LUE。该器件在存储条件、热应力和光浸泡下表现出增强的稳定性。这些结果为设计新型 NBG 聚合物提供了指导，并证明 NBG 聚合物的设计对于推进高性能 ST-OSC 具有巨大的前景。</w:t>
      </w:r>
    </w:p>
    <w:p>
      <w:pPr>
        <w:spacing w:before="0" w:after="200" w:lineRule="auto" w:line="276"/>
      </w:pPr>
      <w:r>
        <w:rPr>
          <w:b/>
        </w:rPr>
        <w:t xml:space="preserve">Abstract (EN): </w:t>
      </w:r>
      <w:r>
        <w:t>All‐polymer semitransparent organic solar cells (ST‐OSCs), employing narrow‐bandgap (NBG) polymer donor and NBG polymer acceptor for wavelength‐selective light utilization, hold great potential for addressing the trade‐off between efficient light absorption and light transmittance, as well as the stability of devices. Nevertheless, its development has been hindered by the scarcity of high‐performance NBG polymer donors. In this work, through strategic incorporation of a benzodithiophenedione unit into the PCE10 backbone, two NBG terpolymer donors, PS1 and PS2, with deeper energy levels are developed. Importantly, PS2 demonstrates appropriate molecular stacking and crystallinity, and favorable miscibility with the acceptor PY‐IT. Benefiting from the reduced voltage loss due to significantly suppressed non‐radiative recombination loss and the optimal morphology, the opaque PS2:PY‐IT‐based all‐polymer solar cell demonstrates a power conversion efficiency (PCE) of 15.10%. Moreover, the PS2:PY‐IT‐based ST‐OSC achieves an excellent light utilization efficiency (LUE) of 4.19% with PCE of 10.26% and average visible transmittance of 40.84%, which is the highest LUE among all‐polymer ST‐OSCs. This device demonstrates enhanced stability under storage conditions, thermal stress, and light soaking. These results provide guidelines for designing novel NBG polymers and demonstrate that the design of NBG polymers holds immense promise for advancing high‐performance ST‐OSCs.</w:t>
      </w:r>
    </w:p>
    <w:p>
      <w:pPr>
        <w:spacing w:before="120" w:after="120"/>
      </w:pPr>
      <w:r>
        <w:rPr>
          <w:sz w:val="18"/>
        </w:rPr>
        <w:t>——————————————————————————————————————————————————————————————————————</w:t>
      </w:r>
    </w:p>
    <w:p>
      <w:pPr>
        <w:spacing w:before="160" w:after="40" w:line="240" w:lineRule="auto"/>
      </w:pPr>
      <w:r>
        <w:rPr>
          <w:b/>
        </w:rPr>
        <w:t xml:space="preserve">[40] </w:t>
      </w:r>
      <w:hyperlink r:id="rId86">
        <w:r>
          <w:rPr>
            <w:color w:val="1155CC"/>
            <w:u w:val="single"/>
          </w:rPr>
          <w:t>通过计算引导高性能有机太阳能电池自组装界面层的分子设计来抑制非辐射损失</w:t>
        </w:r>
      </w:hyperlink>
    </w:p>
    <w:p>
      <w:pPr>
        <w:spacing w:before="0" w:after="80"/>
      </w:pPr>
      <w:r>
        <w:rPr>
          <w:i/>
          <w:sz w:val="20"/>
        </w:rPr>
        <w:t>EN: Suppressing Nonradiative Losses via Computation‐Guided Molecular Design of Self‐Assembled Interfacial Layers for High‐Performance Organic Solar Cells</w:t>
      </w:r>
    </w:p>
    <w:p>
      <w:pPr>
        <w:spacing w:before="0" w:after="120"/>
      </w:pPr>
      <w:r>
        <w:rPr>
          <w:b/>
        </w:rPr>
        <w:t xml:space="preserve">Source: </w:t>
      </w:r>
      <w:r>
        <w:t>Wiley: Advanced Materials: Table of Contents</w:t>
      </w:r>
      <w:r>
        <w:t xml:space="preserve">    </w:t>
      </w:r>
      <w:r>
        <w:rPr>
          <w:b/>
        </w:rPr>
        <w:t xml:space="preserve">Pub date: </w:t>
      </w:r>
      <w:r>
        <w:t>2026-08-06 06:23:38+00:00</w:t>
      </w:r>
      <w:r>
        <w:t xml:space="preserve">    </w:t>
      </w:r>
      <w:r>
        <w:rPr>
          <w:b/>
        </w:rPr>
        <w:t xml:space="preserve">DOI: </w:t>
      </w:r>
      <w:hyperlink r:id="rId87">
        <w:r>
          <w:rPr>
            <w:color w:val="1155CC"/>
            <w:u w:val="single"/>
          </w:rPr>
          <w:t>10.1002/adma.74526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高效自组装中间层（SAI）的合理设计对于克服有机太阳能电池（OSC）的效率瓶颈至关重要，其中大量的非辐射能量损失限制了性能的进一步提高。在这项研究中，以理论计算为指导，我们报告了一系列新的 SAI 材料（</w:t>
      </w:r>
      <w:r>
        <w:t xml:space="preserve"> </w:t>
      </w:r>
      <w:r>
        <w:t>BT-nBZCz</w:t>
      </w:r>
      <w:r>
        <w:t xml:space="preserve"> </w:t>
      </w:r>
      <w:r>
        <w:t>;</w:t>
      </w:r>
      <w:r>
        <w:t xml:space="preserve"> </w:t>
      </w:r>
      <w:r>
        <w:t>n</w:t>
      </w:r>
      <w:r>
        <w:t xml:space="preserve"> </w:t>
      </w:r>
      <w:r>
        <w:t>= 2、3 和 4）基于苯并[b]噻吩（BT）单元功能化的苯并咔唑核，并系统地研究它们对非辐射损耗和 OSC 性能的影响。值得注意的是，二进制 OSC 结合了</w:t>
      </w:r>
      <w:r>
        <w:t xml:space="preserve"> </w:t>
      </w:r>
      <w:r>
        <w:t>BT-4BZCz</w:t>
      </w:r>
      <w:r>
        <w:t xml:space="preserve"> </w:t>
      </w:r>
      <w:r>
        <w:t>与无 BT SAI 的 18.08% 相比，实现了 20.46% 的显着更高的功率转换效率 (PCE)。结合理论和实验分析表明，相对于不含 BT 的 SAI，BT 功能化改善了能级排列，增强了偶极矩，并优化了分子堆积、结晶动力学和纤维网络形成。这些改进促进了更有效的激子解离，减少了电荷复合，特别是抑制了相应 OSC 中的非辐射能量损失（0.284 与 0.217 eV）。此外，</w:t>
      </w:r>
      <w:r>
        <w:t xml:space="preserve"> </w:t>
      </w:r>
      <w:r>
        <w:t>BT-4BZCz</w:t>
      </w:r>
      <w:r>
        <w:t xml:space="preserve"> </w:t>
      </w:r>
      <w:r>
        <w:t>表现出出色的通用性，在各种二元光活性混合物中保持高性能。这项工作为 SAI 提供了一种可行的分子工程策略，以抑制非辐射损失并促进 SAI 的发展</w:t>
      </w:r>
    </w:p>
    <w:p>
      <w:pPr>
        <w:spacing w:before="0" w:after="200" w:lineRule="auto" w:line="276"/>
      </w:pPr>
      <w:r>
        <w:rPr>
          <w:b/>
        </w:rPr>
        <w:t xml:space="preserve">Abstract (EN): </w:t>
      </w:r>
      <w:r>
        <w:t>The rational design of efficient self‐assembled interlayers (SAIs) is pivotal for overcoming the efficiency bottleneck in organic solar cells (OSCs), in which substantial nonradiative energy losses limit further performance improvements. In this study, guided by theoretical calculations, we report a series of new SAI materials (</w:t>
      </w:r>
      <w:r>
        <w:t xml:space="preserve"> </w:t>
      </w:r>
      <w:r>
        <w:t>BT‐nBZCz</w:t>
      </w:r>
      <w:r>
        <w:t xml:space="preserve"> </w:t>
      </w:r>
      <w:r>
        <w:t>;</w:t>
      </w:r>
      <w:r>
        <w:t xml:space="preserve"> </w:t>
      </w:r>
      <w:r>
        <w:t>n</w:t>
      </w:r>
      <w:r>
        <w:t xml:space="preserve"> </w:t>
      </w:r>
      <w:r>
        <w:t>= 2, 3, and 4) based on a benzocarbazole core functionalized with a benzo[b]thiophene (BT) unit, and systematically investigate their impact on nonradiative losses and OSC performance. Notably, binary OSCs incorporating</w:t>
      </w:r>
      <w:r>
        <w:t xml:space="preserve"> </w:t>
      </w:r>
      <w:r>
        <w:t>BT‐4BZCz</w:t>
      </w:r>
      <w:r>
        <w:t xml:space="preserve"> </w:t>
      </w:r>
      <w:r>
        <w:t>achieve a significantly higher power conversion efficiency (PCE) of 20.46% compared to 18.08% for BT‐free SAIs. Combined theoretical and experimental analyses reveal that BT functionalization improves energy level alignment, enhances dipole moment, and optimizes molecular packing, crystallization kinetics, and fibrillar network formation relative to BT‐free SAIs. These improvements promote more efficient exciton dissociation, reduce charge recombination, and in particular, suppress nonradiative energy losses (0.284 vs. 0.217 eV) in the corresponding OSCs. Furthermore,</w:t>
      </w:r>
      <w:r>
        <w:t xml:space="preserve"> </w:t>
      </w:r>
      <w:r>
        <w:t>BT‐4BZCz</w:t>
      </w:r>
      <w:r>
        <w:t xml:space="preserve"> </w:t>
      </w:r>
      <w:r>
        <w:t>exhibits excellent universality, maintaining high performance across various binary photoactive blends. This work presents a viable molecular engineering strategy for SAIs to suppress nonradiative losses and advance the development of high‐performance OSCs.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88">
        <w:r>
          <w:rPr>
            <w:color w:val="1155CC"/>
            <w:u w:val="single"/>
          </w:rPr>
          <w:t>电池颗粒中非扩散机制的类扩散过电势</w:t>
        </w:r>
      </w:hyperlink>
    </w:p>
    <w:p>
      <w:pPr>
        <w:spacing w:before="0" w:after="80"/>
      </w:pPr>
      <w:r>
        <w:rPr>
          <w:i/>
          <w:sz w:val="20"/>
        </w:rPr>
        <w:t>EN: Diffusion-like overpotentials from non-diffusion mechanisms in battery particles</w:t>
      </w:r>
    </w:p>
    <w:p>
      <w:pPr>
        <w:spacing w:before="0" w:after="120"/>
      </w:pPr>
      <w:r>
        <w:rPr>
          <w:b/>
        </w:rPr>
        <w:t xml:space="preserve">Source: </w:t>
      </w:r>
      <w:r>
        <w:t>Nature Energy</w:t>
      </w:r>
      <w:r>
        <w:t xml:space="preserve">    </w:t>
      </w:r>
      <w:r>
        <w:rPr>
          <w:b/>
        </w:rPr>
        <w:t xml:space="preserve">Pub date: </w:t>
      </w:r>
      <w:r>
        <w:t>2026-07-31 00:00:00+00:00</w:t>
      </w:r>
      <w:r>
        <w:t xml:space="preserve">    </w:t>
      </w:r>
      <w:r>
        <w:rPr>
          <w:b/>
        </w:rPr>
        <w:t xml:space="preserve">DOI: </w:t>
      </w:r>
      <w:hyperlink r:id="rId89">
        <w:r>
          <w:rPr>
            <w:color w:val="1155CC"/>
            <w:u w:val="single"/>
          </w:rPr>
          <w:t>10.1038/s41560-026-02118-2</w:t>
        </w:r>
      </w:hyperlink>
    </w:p>
    <w:p>
      <w:pPr>
        <w:spacing w:before="0" w:after="120"/>
      </w:pPr>
      <w:r>
        <w:rPr>
          <w:b/>
        </w:rPr>
        <w:t xml:space="preserve">Notes: </w:t>
      </w:r>
      <w:r>
        <w:t>abstract_source=rss_nature</w:t>
      </w:r>
    </w:p>
    <w:p>
      <w:pPr>
        <w:spacing w:before="0" w:after="80" w:lineRule="auto" w:line="276"/>
      </w:pPr>
      <w:r>
        <w:rPr>
          <w:b/>
        </w:rPr>
        <w:t xml:space="preserve">摘要（ZH）: </w:t>
      </w:r>
      <w:r>
        <w:t>锂离子电池电极的低频电化学响应被广泛解释为固态锂扩散的特征。在这里，作者表明，电解质渗透到多孔阴极颗粒中可以产生类似的扩散行为，而与体扩散无关。</w:t>
      </w:r>
    </w:p>
    <w:p>
      <w:pPr>
        <w:spacing w:before="0" w:after="200" w:lineRule="auto" w:line="276"/>
      </w:pPr>
      <w:r>
        <w:rPr>
          <w:b/>
        </w:rPr>
        <w:t xml:space="preserve">Abstract (EN): </w:t>
      </w:r>
      <w:r>
        <w:t>Low-frequency electrochemical responses in lithium-ion battery electrodes are widely interpreted as signatures of solid-state lithium diffusion. Here the authors show that electrolyte penetration in porous cathode particles can generate similar diffusion-like behaviour independent of bulk diffusion.</w:t>
      </w:r>
    </w:p>
    <w:p>
      <w:pPr>
        <w:spacing w:before="120" w:after="120"/>
      </w:pPr>
      <w:r>
        <w:rPr>
          <w:sz w:val="18"/>
        </w:rPr>
        <w:t>——————————————————————————————————————————————————————————————————————</w:t>
      </w:r>
    </w:p>
    <w:p>
      <w:pPr>
        <w:spacing w:before="160" w:after="40" w:line="240" w:lineRule="auto"/>
      </w:pPr>
      <w:r>
        <w:rPr>
          <w:b/>
        </w:rPr>
        <w:t xml:space="preserve">[2] </w:t>
      </w:r>
      <w:hyperlink r:id="rId90">
        <w:r>
          <w:rPr>
            <w:color w:val="1155CC"/>
            <w:u w:val="single"/>
          </w:rPr>
          <w:t>通过热驱动 La 分层稳定晶格氧氧化还原以获得超稳定富锂阴极</w:t>
        </w:r>
      </w:hyperlink>
    </w:p>
    <w:p>
      <w:pPr>
        <w:spacing w:before="0" w:after="80"/>
      </w:pPr>
      <w:r>
        <w:rPr>
          <w:i/>
          <w:sz w:val="20"/>
        </w:rPr>
        <w:t>EN: Stabilizing Lattice Oxygen Redox via Thermally Driven La‐Stratification for Ultra‐Stable Li‐Rich Cathodes</w:t>
      </w:r>
    </w:p>
    <w:p>
      <w:pPr>
        <w:spacing w:before="0" w:after="120"/>
      </w:pPr>
      <w:r>
        <w:rPr>
          <w:b/>
        </w:rPr>
        <w:t xml:space="preserve">Source: </w:t>
      </w:r>
      <w:r>
        <w:t>Wiley: Advanced Materials: Table of Contents</w:t>
      </w:r>
      <w:r>
        <w:t xml:space="preserve">    </w:t>
      </w:r>
      <w:r>
        <w:rPr>
          <w:b/>
        </w:rPr>
        <w:t xml:space="preserve">Pub date: </w:t>
      </w:r>
      <w:r>
        <w:t>2026-07-31 09:54:17+00:00</w:t>
      </w:r>
      <w:r>
        <w:t xml:space="preserve">    </w:t>
      </w:r>
      <w:r>
        <w:rPr>
          <w:b/>
        </w:rPr>
        <w:t xml:space="preserve">DOI: </w:t>
      </w:r>
      <w:hyperlink r:id="rId91">
        <w:r>
          <w:rPr>
            <w:color w:val="1155CC"/>
            <w:u w:val="single"/>
          </w:rPr>
          <w:t>10.1002/adma.74354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含锂和富锰的层状氧化物（LMR）由于其高容量和低成本而成为下一代锂离子电池的有前途的正极。然而，由不可逆晶格氧损失引起的严重容量衰减和电压衰减仍然是商业化的主要障碍。在此，开发了热驱动分层（TDS）策略来同时构建均匀的La</w:t>
      </w:r>
      <w:r>
        <w:rPr>
          <w:vertAlign w:val="subscript"/>
        </w:rPr>
        <w:t>2</w:t>
      </w:r>
      <w:r>
        <w:t>氧</w:t>
      </w:r>
      <w:r>
        <w:rPr>
          <w:vertAlign w:val="subscript"/>
        </w:rPr>
        <w:t>3</w:t>
      </w:r>
      <w:r>
        <w:t>表面涂层和本体中的浓度梯度 La 分布。先进的表征与 DFT 计算相结合表明，块状 La 稳定了 TM 和晶格氧的化学状态、局部电子结构和配位环境以及整体晶体框架，同时增强了 Li</w:t>
      </w:r>
      <w:r>
        <w:t xml:space="preserve"> </w:t>
      </w:r>
      <w:r>
        <w:t>+</w:t>
      </w:r>
      <w:r>
        <w:t xml:space="preserve"> </w:t>
      </w:r>
      <w:r>
        <w:t>扩散动力学。同时，表面La</w:t>
      </w:r>
      <w:r>
        <w:rPr>
          <w:vertAlign w:val="subscript"/>
        </w:rPr>
        <w:t>2</w:t>
      </w:r>
      <w:r>
        <w:t>氧</w:t>
      </w:r>
      <w:r>
        <w:rPr>
          <w:vertAlign w:val="subscript"/>
        </w:rPr>
        <w:t>3</w:t>
      </w:r>
      <w:r>
        <w:t>层促进稳定的阴极电解质界面的形成并抑制微裂纹的产生，从而在循环过程中保持结构完整性。因此，优化的 LMR-TDS 正极具有 287.5 mAh g 的高初始放电容量</w:t>
      </w:r>
      <w:r>
        <w:t xml:space="preserve"> </w:t>
      </w:r>
      <w:r>
        <w:t>−1</w:t>
      </w:r>
      <w:r>
        <w:t xml:space="preserve"> </w:t>
      </w:r>
      <w:r>
        <w:t>初始库仑效率为 88.50%，在 1 C 下循环 500 次后仍保留 90.37% 的容量，并且表现出每循环仅 0.967 mV 的超低电压衰减。此外，LMR-TDS||石墨软包电池实现了 84.67% 的容量</w:t>
      </w:r>
    </w:p>
    <w:p>
      <w:pPr>
        <w:spacing w:before="0" w:after="200" w:lineRule="auto" w:line="276"/>
      </w:pPr>
      <w:r>
        <w:rPr>
          <w:b/>
        </w:rPr>
        <w:t xml:space="preserve">Abstract (EN): </w:t>
      </w:r>
      <w:r>
        <w:t>Lithium‐ and manganese‐rich layered oxides (LMR) are promising cathodes for next‐generation lithium‐ion batteries owing to their high capacity and low cost. However, severe capacity fading and voltage decay caused by irreversible lattice‐oxygen loss remain major obstacles to commercialization. Herein, a thermally driven stratification (TDS) strategy is developed to simultaneously construct a uniform La</w:t>
      </w:r>
      <w:r>
        <w:rPr>
          <w:vertAlign w:val="subscript"/>
        </w:rPr>
        <w:t>2</w:t>
      </w:r>
      <w:r>
        <w:t>O</w:t>
      </w:r>
      <w:r>
        <w:rPr>
          <w:vertAlign w:val="subscript"/>
        </w:rPr>
        <w:t>3</w:t>
      </w:r>
      <w:r>
        <w:t>surface coating and a concentration‐gradient La distribution in the bulk. Advanced characterization combined with DFT calculations reveals that bulk La stabilizes the chemical states of TMs and lattice oxygen, their local electronic structures and coordination environments, and the overall crystallographic framework, while enhancing Li</w:t>
      </w:r>
      <w:r>
        <w:t xml:space="preserve"> </w:t>
      </w:r>
      <w:r>
        <w:t>+</w:t>
      </w:r>
      <w:r>
        <w:t xml:space="preserve"> </w:t>
      </w:r>
      <w:r>
        <w:t>diffusion kinetics. Meanwhile, the surface La</w:t>
      </w:r>
      <w:r>
        <w:rPr>
          <w:vertAlign w:val="subscript"/>
        </w:rPr>
        <w:t>2</w:t>
      </w:r>
      <w:r>
        <w:t>O</w:t>
      </w:r>
      <w:r>
        <w:rPr>
          <w:vertAlign w:val="subscript"/>
        </w:rPr>
        <w:t>3</w:t>
      </w:r>
      <w:r>
        <w:t>layer promotes the formation of a stable cathode‐electrolyte interphase and suppresses microcrack generation, thereby preserving structural integrity during cycling. As a result, the optimized LMR‐TDS cathode delivers a high initial discharge capacity of 287.5 mAh g</w:t>
      </w:r>
      <w:r>
        <w:t xml:space="preserve"> </w:t>
      </w:r>
      <w:r>
        <w:t>−1</w:t>
      </w:r>
      <w:r>
        <w:t xml:space="preserve"> </w:t>
      </w:r>
      <w:r>
        <w:t>with an initial Coulombic efficiency of 88.50%, retains 90.37% of its capacity after 500 cycles at 1 C, and exhibits an ultralow voltage decay of only 0.967 mV per cycle. Furthermore, an LMR‐TDS||graphite pouch cell achieves 84.67% capacity retention after 1000 cycles. This work provides an effective surface‐bulk co‐engineering strategy for simultaneously mitigating capacity fading and voltage decay in LMR cathodes.</w:t>
      </w:r>
    </w:p>
    <w:p>
      <w:pPr>
        <w:spacing w:before="120" w:after="120"/>
      </w:pPr>
      <w:r>
        <w:rPr>
          <w:sz w:val="18"/>
        </w:rPr>
        <w:t>——————————————————————————————————————————————————————————————————————</w:t>
      </w:r>
    </w:p>
    <w:p>
      <w:pPr>
        <w:spacing w:before="160" w:after="40" w:line="240" w:lineRule="auto"/>
      </w:pPr>
      <w:r>
        <w:rPr>
          <w:b/>
        </w:rPr>
        <w:t xml:space="preserve">[3] </w:t>
      </w:r>
      <w:hyperlink r:id="rId92">
        <w:r>
          <w:rPr>
            <w:color w:val="1155CC"/>
            <w:u w:val="single"/>
          </w:rPr>
          <w:t>固态锂硫电池界面化学的最新进展</w:t>
        </w:r>
      </w:hyperlink>
    </w:p>
    <w:p>
      <w:pPr>
        <w:spacing w:before="0" w:after="80"/>
      </w:pPr>
      <w:r>
        <w:rPr>
          <w:i/>
          <w:sz w:val="20"/>
        </w:rPr>
        <w:t>EN: Recent Advances in Interfacial Chemistry for Solid‐State Lithium–Sulfur Batteries</w:t>
      </w:r>
    </w:p>
    <w:p>
      <w:pPr>
        <w:spacing w:before="0" w:after="120"/>
      </w:pPr>
      <w:r>
        <w:rPr>
          <w:b/>
        </w:rPr>
        <w:t xml:space="preserve">Source: </w:t>
      </w:r>
      <w:r>
        <w:t>Wiley: Advanced Materials: Table of Contents</w:t>
      </w:r>
      <w:r>
        <w:t xml:space="preserve">    </w:t>
      </w:r>
      <w:r>
        <w:rPr>
          <w:b/>
        </w:rPr>
        <w:t xml:space="preserve">Pub date: </w:t>
      </w:r>
      <w:r>
        <w:t>2026-08-01 09:57:01+00:00</w:t>
      </w:r>
      <w:r>
        <w:t xml:space="preserve">    </w:t>
      </w:r>
      <w:r>
        <w:rPr>
          <w:b/>
        </w:rPr>
        <w:t xml:space="preserve">DOI: </w:t>
      </w:r>
      <w:hyperlink r:id="rId93">
        <w:r>
          <w:rPr>
            <w:color w:val="1155CC"/>
            <w:u w:val="single"/>
          </w:rPr>
          <w:t>10.1002/adma.74405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全固态锂硫电池（ASSLSB）已成为下一代储能系统的极有前途的候选者，其具有地球丰富的硫阴极、高容量锂金属阳极和不可燃固态电解质（SSE）的独特组合。这些组件共同规避了能量密度限制（&lt;300 Wh kg</w:t>
      </w:r>
      <w:r>
        <w:t xml:space="preserve"> </w:t>
      </w:r>
      <w:r>
        <w:t>−1</w:t>
      </w:r>
      <w:r>
        <w:t xml:space="preserve"> </w:t>
      </w:r>
      <w:r>
        <w:t>）和传统液体电解质锂离子电池的安全问题。然而，锂阳极和硫阴极的 SSE/电极界面处的高阻抗阻碍了有效的电荷转移和锂剥离/电镀动力学，这表明存在关键瓶颈。本综述重点关注控制这些固态界面的机械动力学。我们深入分析了 SSE/电极界面的起源和演变及其对电化学性能的影响。此外，我们系统地评估了破译固态硫转化反应和锂沉积/剥离过程以及增强界面稳定性和反应动力学的最先进策略。最后，我们研究了实验室当前的成就与实际 ASSSLB 的工业要求之间的差距，然后提出了可行的观点。本次综述预计将为固态电池社区提供有价值的见解，并促进高性能 ASSLSB 的实现。</w:t>
      </w:r>
    </w:p>
    <w:p>
      <w:pPr>
        <w:spacing w:before="0" w:after="200" w:lineRule="auto" w:line="276"/>
      </w:pPr>
      <w:r>
        <w:rPr>
          <w:b/>
        </w:rPr>
        <w:t xml:space="preserve">Abstract (EN): </w:t>
      </w:r>
      <w:r>
        <w:t>All‐solid‐state Lithium–sulfur batteries (ASSLSBs) have emerged as a highly promising candidate for next‐generation energy storage systems, featuring a unique combination of earth‐abundant sulfur cathodes, high‐capacity lithium metal anodes, and nonflammable solid‐state electrolytes (SSEs). These components collectively circumvent the energy density limitations (&amp;lt;300 Wh kg</w:t>
      </w:r>
      <w:r>
        <w:t xml:space="preserve"> </w:t>
      </w:r>
      <w:r>
        <w:t>−1</w:t>
      </w:r>
      <w:r>
        <w:t xml:space="preserve"> </w:t>
      </w:r>
      <w:r>
        <w:t>) and safety concerns for the conventional liquid electrolyte‐based lithium‐ion batteries. However, the high impedances at the SSEs/electrode interfaces, at both Li anodes and sulfur cathodes, impede efficient charge transfer and Li stripping/plating kinetics, indicating a critical bottleneck. This review focuses on the mechanistic dynamics governing these solid‐state interfaces. We provide an in‐depth analysis of the origin and evolution of SSEs/electrode interfaces and their impact on the electrochemical performance. Furthermore, we systematically evaluate state‐of‐the‐art strategies for deciphering solid‐state sulfur conversion reactions and Li plating/stripping processes, as well as for enhancing the interfacial stability and reaction kinetics. Finally, we examine the gap between current achievements in laboratories and the industrial requirements for practical ASSLSBs, followed by actionable perspectives. This review is expected to provide valuable insights for solid‐state battery community and facilitate the realization of high‐performance ASSLSBs.</w:t>
      </w:r>
    </w:p>
    <w:p>
      <w:pPr>
        <w:spacing w:before="120" w:after="120"/>
      </w:pPr>
      <w:r>
        <w:rPr>
          <w:sz w:val="18"/>
        </w:rPr>
        <w:t>——————————————————————————————————————————————————————————————————————</w:t>
      </w:r>
    </w:p>
    <w:p>
      <w:pPr>
        <w:spacing w:before="160" w:after="40" w:line="240" w:lineRule="auto"/>
      </w:pPr>
      <w:r>
        <w:rPr>
          <w:b/>
        </w:rPr>
        <w:t xml:space="preserve">[4] </w:t>
      </w:r>
      <w:hyperlink r:id="rId94">
        <w:r>
          <w:rPr>
            <w:color w:val="1155CC"/>
            <w:u w:val="single"/>
          </w:rPr>
          <w:t>超越传统化学调制的钠层氧化物阴极的表面重建集成体缺陷工程</w:t>
        </w:r>
      </w:hyperlink>
    </w:p>
    <w:p>
      <w:pPr>
        <w:spacing w:before="0" w:after="80"/>
      </w:pPr>
      <w:r>
        <w:rPr>
          <w:i/>
          <w:sz w:val="20"/>
        </w:rPr>
        <w:t>EN: Surface Reconstruction‐Integrated Bulk Defect Engineering Beyond Conventional Chemical Modulation for Na‐Layered Oxide Cathodes</w:t>
      </w:r>
    </w:p>
    <w:p>
      <w:pPr>
        <w:spacing w:before="0" w:after="120"/>
      </w:pPr>
      <w:r>
        <w:rPr>
          <w:b/>
        </w:rPr>
        <w:t xml:space="preserve">Source: </w:t>
      </w:r>
      <w:r>
        <w:t>Wiley: Advanced Materials: Table of Contents</w:t>
      </w:r>
      <w:r>
        <w:t xml:space="preserve">    </w:t>
      </w:r>
      <w:r>
        <w:rPr>
          <w:b/>
        </w:rPr>
        <w:t xml:space="preserve">Pub date: </w:t>
      </w:r>
      <w:r>
        <w:t>2026-08-01 11:02:24+00:00</w:t>
      </w:r>
      <w:r>
        <w:t xml:space="preserve">    </w:t>
      </w:r>
      <w:r>
        <w:rPr>
          <w:b/>
        </w:rPr>
        <w:t xml:space="preserve">DOI: </w:t>
      </w:r>
      <w:hyperlink r:id="rId95">
        <w:r>
          <w:rPr>
            <w:color w:val="1155CC"/>
            <w:u w:val="single"/>
          </w:rPr>
          <w:t>10.1002/adma.74313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作为钠离子电池（SIB）最有前景的正极材料，层状氧化物在循环过程中持续遭受有害的相变、不可逆的氧损失和严重的界面降解。在此，利用O3-NaNi</w:t>
      </w:r>
      <w:r>
        <w:t xml:space="preserve"> </w:t>
      </w:r>
      <w:r>
        <w:t>1/3</w:t>
      </w:r>
      <w:r>
        <w:t xml:space="preserve"> </w:t>
      </w:r>
      <w:r>
        <w:t>铁</w:t>
      </w:r>
      <w:r>
        <w:t xml:space="preserve"> </w:t>
      </w:r>
      <w:r>
        <w:t>1/3</w:t>
      </w:r>
      <w:r>
        <w:t xml:space="preserve"> </w:t>
      </w:r>
      <w:r>
        <w:t>锰</w:t>
      </w:r>
      <w:r>
        <w:t xml:space="preserve"> </w:t>
      </w:r>
      <w:r>
        <w:t>1/3</w:t>
      </w:r>
      <w:r>
        <w:t xml:space="preserve"> </w:t>
      </w:r>
      <w:r>
        <w:t>氧</w:t>
      </w:r>
      <w:r>
        <w:rPr>
          <w:vertAlign w:val="subscript"/>
        </w:rPr>
        <w:t>2</w:t>
      </w:r>
      <w:r>
        <w:t>以阴极为原型，我们提出了一种超越传统化学调制的综合改性策略，以同时提高体积、表面和界面性能。富含 Y 的 NaYO</w:t>
      </w:r>
      <w:r>
        <w:rPr>
          <w:vertAlign w:val="subscript"/>
        </w:rPr>
        <w:t>2</w:t>
      </w:r>
      <w:r>
        <w:t>通过表面重建衍生的（NYO）涂层有利于位点选择性批量取代，同时诱导适当量化的局部氧空位（O</w:t>
      </w:r>
      <w:r>
        <w:t xml:space="preserve"> </w:t>
      </w:r>
      <w:r>
        <w:t>V</w:t>
      </w:r>
      <w:r>
        <w:t xml:space="preserve"> </w:t>
      </w:r>
      <w:r>
        <w:t>）通过电荷平衡的缺陷。 Y─O─TM强键与O之间的协同作用</w:t>
      </w:r>
      <w:r>
        <w:t xml:space="preserve"> </w:t>
      </w:r>
      <w:r>
        <w:t>V</w:t>
      </w:r>
      <w:r>
        <w:t xml:space="preserve"> </w:t>
      </w:r>
      <w:r>
        <w:t>的电荷缓冲效应共同调节O</w:t>
      </w:r>
      <w:r>
        <w:t xml:space="preserve"> </w:t>
      </w:r>
      <w:r>
        <w:t>2p</w:t>
      </w:r>
      <w:r>
        <w:t xml:space="preserve"> </w:t>
      </w:r>
      <w:r>
        <w:t>轨道电子带结构，防止O过度氧化和电荷集中引起的O─O二聚体的形成。此外，钙钛矿相 NYO 表面可作为固有的快速 Na</w:t>
      </w:r>
      <w:r>
        <w:t xml:space="preserve"> </w:t>
      </w:r>
      <w:r>
        <w:t>+</w:t>
      </w:r>
      <w:r>
        <w:t xml:space="preserve"> </w:t>
      </w:r>
      <w:r>
        <w:t>导体确保界面上离子的高效传输，同时还提供坚固的机械屏障，有效抑制界面副反应和过渡金属的溶解</w:t>
      </w:r>
    </w:p>
    <w:p>
      <w:pPr>
        <w:spacing w:before="0" w:after="200" w:lineRule="auto" w:line="276"/>
      </w:pPr>
      <w:r>
        <w:rPr>
          <w:b/>
        </w:rPr>
        <w:t xml:space="preserve">Abstract (EN): </w:t>
      </w:r>
      <w:r>
        <w:t>As the most prospective cathode material for sodium‐ion batteries (SIBs), layered oxides persistently suffer from detrimental phase transitions, irreversible oxygen loss, and severe interfacial degradation during cycling. Herein, utilizing O3‐NaNi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cathode as prototype, we propose an integrated modification strategy beyond conventional chemical modulation to simultaneously boost the bulk, surface and interfacial properties. The Y‐enriched NaYO</w:t>
      </w:r>
      <w:r>
        <w:rPr>
          <w:vertAlign w:val="subscript"/>
        </w:rPr>
        <w:t>2</w:t>
      </w:r>
      <w:r>
        <w:t>(NYO) coating derived via surface reconstruction facilitates site‐selective bulk substitution whilst inducing suitably quantized local oxygen vacancy (O</w:t>
      </w:r>
      <w:r>
        <w:t xml:space="preserve"> </w:t>
      </w:r>
      <w:r>
        <w:t>V</w:t>
      </w:r>
      <w:r>
        <w:t xml:space="preserve"> </w:t>
      </w:r>
      <w:r>
        <w:t>) defects through charge balancing. The synergistic interaction between Y─O─TM strong bond and the O</w:t>
      </w:r>
      <w:r>
        <w:t xml:space="preserve"> </w:t>
      </w:r>
      <w:r>
        <w:t>V</w:t>
      </w:r>
      <w:r>
        <w:t xml:space="preserve"> </w:t>
      </w:r>
      <w:r>
        <w:t>'s charge‐buffering effect jointly modulates O</w:t>
      </w:r>
      <w:r>
        <w:t xml:space="preserve"> </w:t>
      </w:r>
      <w:r>
        <w:t>2p</w:t>
      </w:r>
      <w:r>
        <w:t xml:space="preserve"> </w:t>
      </w:r>
      <w:r>
        <w:t>orbital electronic band configuration, preventing excessive O oxidation and formation of O─O dimers arising from charge concentration. Moreover, the perovskite‐phase NYO surface serves as an inherent fast Na</w:t>
      </w:r>
      <w:r>
        <w:t xml:space="preserve"> </w:t>
      </w:r>
      <w:r>
        <w:t>+</w:t>
      </w:r>
      <w:r>
        <w:t xml:space="preserve"> </w:t>
      </w:r>
      <w:r>
        <w:t>conductor ensuring efficient ion transport at interface, whilst also providing a robust rigid mechanical barrier that effectively suppresses interfacial side reactions and dissolution of transition metals. As a result, anion redox reversibility and local chemical environment stability are elevated, thereby comprehensively boosting electrochemical reaction kinetics and charge transfer efficiency, as confirmed by theoretical calculations and advanced synchrotron characterization. This research establishes a novel paradigm for the advancement of high‐performance Na‐layered oxide cathodes incorporating synergistic multi‐mechanism modification.</w:t>
      </w:r>
    </w:p>
    <w:p>
      <w:pPr>
        <w:spacing w:before="120" w:after="120"/>
      </w:pPr>
      <w:r>
        <w:rPr>
          <w:sz w:val="18"/>
        </w:rPr>
        <w:t>——————————————————————————————————————————————————————————————————————</w:t>
      </w:r>
    </w:p>
    <w:p>
      <w:pPr>
        <w:spacing w:before="160" w:after="40" w:line="240" w:lineRule="auto"/>
      </w:pPr>
      <w:r>
        <w:rPr>
          <w:b/>
        </w:rPr>
        <w:t xml:space="preserve">[5] </w:t>
      </w:r>
      <w:hyperlink r:id="rId96">
        <w:r>
          <w:rPr>
            <w:color w:val="1155CC"/>
            <w:u w:val="single"/>
          </w:rPr>
          <w:t>过渡金属（Tm = Cu、Fe 和 Co）掺杂对涉及 Ti(III)/Ti(IV) 氧化还原对的 Na0.67Tm0.2Ti0.125Mn0.675O2 阴极电化学性能的机理洞察</w:t>
        </w:r>
      </w:hyperlink>
    </w:p>
    <w:p>
      <w:pPr>
        <w:spacing w:before="0" w:after="80"/>
      </w:pPr>
      <w:r>
        <w:rPr>
          <w:i/>
          <w:sz w:val="20"/>
        </w:rPr>
        <w:t>EN: Mechanistic Insight into Transition Metal (Tm = Cu, Fe, and Co) Doping on the Electrochemical Performance of Na0.67Tm0.2Ti0.125Mn0.675O2 Cathodes Involving a Ti(III)/Ti(IV) Redox Couple</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97">
        <w:r>
          <w:rPr>
            <w:color w:val="1155CC"/>
            <w:u w:val="single"/>
          </w:rPr>
          <w:t>10.1021/acsami.6c06432</w:t>
        </w:r>
      </w:hyperlink>
    </w:p>
    <w:p>
      <w:pPr>
        <w:spacing w:before="0" w:after="120"/>
      </w:pPr>
      <w:r>
        <w:rPr>
          <w:b/>
        </w:rPr>
        <w:t xml:space="preserve">Notes: </w:t>
      </w:r>
      <w:r>
        <w:t>abstract_source=crossref</w:t>
      </w:r>
    </w:p>
    <w:p>
      <w:pPr>
        <w:spacing w:before="0" w:after="80" w:lineRule="auto" w:line="276"/>
      </w:pPr>
      <w:r>
        <w:rPr>
          <w:b/>
        </w:rPr>
        <w:t xml:space="preserve">摘要（ZH）: </w:t>
      </w:r>
      <w:r>
        <w:t>摘要 层状P2型氧化物Na0.67MnO2被广泛认为是一种有前途的钠离子电池正极材料，并引起了广泛的研究兴趣。然而，作为一种锰基材料，它很容易受到 Jahn-Teller 效应和高压诱导相变等问题的影响，从而损害循环过程中的结构稳定性并导致容量快速下降。尽管通常采用惰性金属离子掺杂来增强循环稳定性，但由于这些掺杂剂的电化学惰性，通常会导致初始容量降低。在此，我们提出了一种共掺杂策略，将多价 Ti(III)/Ti(IV) 和过渡金属离子（Tm = Cu、Fe 和 Co）作为共掺杂剂，创建协同氧化还原活性环境，同时增强初始容量和循环稳定性。 dQ/dV 曲线揭示了所制备的共掺杂 P2 型正极材料在 1.7−1.9 V 范围内的新氧化还原峰，这抵消了与 Mn 取代相关的容量损失。相比之下，仅掺杂 Ti(III)/Ti(IV) 的 Na0.67Ti0.125Mn0.875O2 则不存在此特征。该电压窗口内的异位X射线光电子能谱和X射线衍射分析证实，氧化还原峰是由Ti(III)/Ti(IV)氧化还原电对和Tm离子迁移之间的协同相互作用产生的。因此，离子迁移过程中掺杂剂离子的价态变化贡献了额外的容量，从而影响新的氧化还原峰的强度。在研究的材料中，Co 离子和 Ti(III)/Ti(IV) cod</w:t>
      </w:r>
    </w:p>
    <w:p>
      <w:pPr>
        <w:spacing w:before="0" w:after="200" w:lineRule="auto" w:line="276"/>
      </w:pPr>
      <w:r>
        <w:rPr>
          <w:b/>
        </w:rPr>
        <w:t xml:space="preserve">Abstract (EN): </w:t>
      </w:r>
      <w:r>
        <w:t>The layered P2-type oxide Na0.67MnO2 is widely recognized as a promising cathode material for sodium-ion batteries and has attracted considerable research interest. However, as a manganese-based material, it is susceptible to issues such as the Jahn−Teller effect and high-voltage-induced phase transitions, which compromise structural stability during cycling and lead to rapid capacity degradation. Although doping with inert metal ions is commonly adopted to enhance cycling stability, it often results in a reduced initial capacity owing to the electrochemical inactivity of these dopants. Herein, we propose a codoping strategy incorporating multivalent Ti(III)/Ti(IV) and transition metal ions (Tm = Cu, Fe, and Co) as codopants, creating a synergistic redox-active environment that simultaneously enhances initial capacity and cycling stability. The dQ/dV curves reveal a new redox peak in the 1.7−1.9 V range for the prepared codoped P2-type cathode materials, which offsets the capacity loss associated with Mn substituted. In contrast, this feature is absent in Na0.67Ti0.125Mn0.875O2 doped exclusively with Ti(III)/Ti(IV). Ex situ X-ray photoelectron spectroscopy and X-ray diffraction analysis within this voltage window confirm that the redox peak arises from the synergistic interaction between Ti(III)/Ti(IV) redox couples and the migration of Tm ions. Valence changes of the dopant ions during ion migration thus contribute additional capacity and consequently influence the intensity of the new redox peak. Among the materials investigated, the Co ion and Ti(III)/Ti(IV) codoped Na0.67Co0.2Ti0.125Mn0.675O2 exhibits superior electrochemical performance. It delivers an initial capacity of 142 mAh g−1 in half-cells and 97 mAh g−1 in full cells, with capacity retentions of 81% and 73% after 100 cycles, respectively. This study demonstrates that manipulating the oxidation states of dopant ions offers a promising strategy for designing high-performance layered oxide cathodes.</w:t>
      </w:r>
    </w:p>
    <w:p>
      <w:pPr>
        <w:spacing w:before="120" w:after="120"/>
      </w:pPr>
      <w:r>
        <w:rPr>
          <w:sz w:val="18"/>
        </w:rPr>
        <w:t>——————————————————————————————————————————————————————————————————————</w:t>
      </w:r>
    </w:p>
    <w:p>
      <w:pPr>
        <w:spacing w:before="160" w:after="40" w:line="240" w:lineRule="auto"/>
      </w:pPr>
      <w:r>
        <w:rPr>
          <w:b/>
        </w:rPr>
        <w:t xml:space="preserve">[6] </w:t>
      </w:r>
      <w:hyperlink r:id="rId98">
        <w:r>
          <w:rPr>
            <w:color w:val="1155CC"/>
            <w:u w:val="single"/>
          </w:rPr>
          <w:t>富氟催化剂诱导的界面工程实现首款 Ah 级 FeF3 转换固态电池</w:t>
        </w:r>
      </w:hyperlink>
    </w:p>
    <w:p>
      <w:pPr>
        <w:spacing w:before="0" w:after="80"/>
      </w:pPr>
      <w:r>
        <w:rPr>
          <w:i/>
          <w:sz w:val="20"/>
        </w:rPr>
        <w:t>EN: Fluorine‐Rich Catalyst‐Induced Interphase Engineering to Enable the First Ah‐Level FeF3 Conversion Solid‐State Batteries</w:t>
      </w:r>
    </w:p>
    <w:p>
      <w:pPr>
        <w:spacing w:before="0" w:after="120"/>
      </w:pPr>
      <w:r>
        <w:rPr>
          <w:b/>
        </w:rPr>
        <w:t xml:space="preserve">Source: </w:t>
      </w:r>
      <w:r>
        <w:t>Wiley: Advanced Materials: Table of Contents</w:t>
      </w:r>
      <w:r>
        <w:t xml:space="preserve">    </w:t>
      </w:r>
      <w:r>
        <w:rPr>
          <w:b/>
        </w:rPr>
        <w:t xml:space="preserve">Pub date: </w:t>
      </w:r>
      <w:r>
        <w:t>2026-08-03 10:00:15+00:00</w:t>
      </w:r>
      <w:r>
        <w:t xml:space="preserve">    </w:t>
      </w:r>
      <w:r>
        <w:rPr>
          <w:b/>
        </w:rPr>
        <w:t xml:space="preserve">DOI: </w:t>
      </w:r>
      <w:hyperlink r:id="rId99">
        <w:r>
          <w:rPr>
            <w:color w:val="1155CC"/>
            <w:u w:val="single"/>
          </w:rPr>
          <w:t>10.1002/adma.74356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转化型FeF</w:t>
      </w:r>
      <w:r>
        <w:rPr>
          <w:vertAlign w:val="subscript"/>
        </w:rPr>
        <w:t>3</w:t>
      </w:r>
      <w:r>
        <w:t>阴极有望实现超高能量密度，但在固态电池系统中存在反应动力学缓慢和界面不稳定的问题。在这里，我们设计了一种富含氟的NaBiF</w:t>
      </w:r>
      <w:r>
        <w:rPr>
          <w:vertAlign w:val="subscript"/>
        </w:rPr>
        <w:t>4</w:t>
      </w:r>
      <w:r>
        <w:t>@毕</w:t>
      </w:r>
      <w:r>
        <w:rPr>
          <w:vertAlign w:val="subscript"/>
        </w:rPr>
        <w:t>2</w:t>
      </w:r>
      <w:r>
        <w:t>氧</w:t>
      </w:r>
      <w:r>
        <w:rPr>
          <w:vertAlign w:val="subscript"/>
        </w:rPr>
        <w:t>3</w:t>
      </w:r>
      <w:r>
        <w:t>通过 1,3-二氧戊环原位开环聚合制备催化剂引发的聚合物电解质。氟化钠</w:t>
      </w:r>
      <w:r>
        <w:rPr>
          <w:vertAlign w:val="subscript"/>
        </w:rPr>
        <w:t>4</w:t>
      </w:r>
      <w:r>
        <w:t>相引发聚合并充当氟储存库，而 Bi</w:t>
      </w:r>
      <w:r>
        <w:rPr>
          <w:vertAlign w:val="subscript"/>
        </w:rPr>
        <w:t>2</w:t>
      </w:r>
      <w:r>
        <w:t>氧</w:t>
      </w:r>
      <w:r>
        <w:rPr>
          <w:vertAlign w:val="subscript"/>
        </w:rPr>
        <w:t>3</w:t>
      </w:r>
      <w:r>
        <w:t>参与调节氟环境并有助于形成Li</w:t>
      </w:r>
      <w:r>
        <w:rPr>
          <w:vertAlign w:val="subscript"/>
        </w:rPr>
        <w:t>3</w:t>
      </w:r>
      <w:r>
        <w:t>循环过程中的Bi合金簇。这种电解质能够构建 LiF/NaF/Li</w:t>
      </w:r>
      <w:r>
        <w:rPr>
          <w:vertAlign w:val="subscript"/>
        </w:rPr>
        <w:t>2</w:t>
      </w:r>
      <w:r>
        <w:t>嵌入 Li 的 O 增强固体电解质界面</w:t>
      </w:r>
      <w:r>
        <w:rPr>
          <w:vertAlign w:val="subscript"/>
        </w:rPr>
        <w:t>3</w:t>
      </w:r>
      <w:r>
        <w:t>Bi域，提供同质Li</w:t>
      </w:r>
      <w:r>
        <w:t xml:space="preserve"> </w:t>
      </w:r>
      <w:r>
        <w:t>+</w:t>
      </w:r>
      <w:r>
        <w:t xml:space="preserve"> </w:t>
      </w:r>
      <w:r>
        <w:t>通量和无枝晶锂沉积，实现稳定的 Li‖Li 对称电池循环 9700 小时。该电解质与插层和转换正极具有广泛的兼容性，在 LiFePO 中实现了出色的循环稳定性（800 次循环）</w:t>
      </w:r>
      <w:r>
        <w:rPr>
          <w:vertAlign w:val="subscript"/>
        </w:rPr>
        <w:t>4</w:t>
      </w:r>
      <w:r>
        <w:t>和高面积容量（6 mAh cm</w:t>
      </w:r>
      <w:r>
        <w:t xml:space="preserve"> </w:t>
      </w:r>
      <w:r>
        <w:t>−2</w:t>
      </w:r>
      <w:r>
        <w:t xml:space="preserve"> </w:t>
      </w:r>
      <w:r>
        <w:t>）在李妮</w:t>
      </w:r>
      <w:r>
        <w:t xml:space="preserve"> </w:t>
      </w:r>
      <w:r>
        <w:t>0.8</w:t>
      </w:r>
    </w:p>
    <w:p>
      <w:pPr>
        <w:spacing w:before="0" w:after="200" w:lineRule="auto" w:line="276"/>
      </w:pPr>
      <w:r>
        <w:rPr>
          <w:b/>
        </w:rPr>
        <w:t xml:space="preserve">Abstract (EN): </w:t>
      </w:r>
      <w:r>
        <w:t>Conversion‐type FeF</w:t>
      </w:r>
      <w:r>
        <w:rPr>
          <w:vertAlign w:val="subscript"/>
        </w:rPr>
        <w:t>3</w:t>
      </w:r>
      <w:r>
        <w:t>cathodes promise ultrahigh energy density but suffer from sluggish reaction kinetics and interfacial instability in solid‐state battery systems. Here, we designed a fluorine‐rich NaBiF</w:t>
      </w:r>
      <w:r>
        <w:rPr>
          <w:vertAlign w:val="subscript"/>
        </w:rPr>
        <w:t>4</w:t>
      </w:r>
      <w:r>
        <w:t>@Bi</w:t>
      </w:r>
      <w:r>
        <w:rPr>
          <w:vertAlign w:val="subscript"/>
        </w:rPr>
        <w:t>2</w:t>
      </w:r>
      <w:r>
        <w:t>O</w:t>
      </w:r>
      <w:r>
        <w:rPr>
          <w:vertAlign w:val="subscript"/>
        </w:rPr>
        <w:t>3</w:t>
      </w:r>
      <w:r>
        <w:t>catalyst‐initiated polymer electrolyte via in situ ring‐opening polymerization of 1,3‐dioxolane. The NaBiF</w:t>
      </w:r>
      <w:r>
        <w:rPr>
          <w:vertAlign w:val="subscript"/>
        </w:rPr>
        <w:t>4</w:t>
      </w:r>
      <w:r>
        <w:t>phase initiates polymerization and serves as a fluorine reservoir, while Bi</w:t>
      </w:r>
      <w:r>
        <w:rPr>
          <w:vertAlign w:val="subscript"/>
        </w:rPr>
        <w:t>2</w:t>
      </w:r>
      <w:r>
        <w:t>O</w:t>
      </w:r>
      <w:r>
        <w:rPr>
          <w:vertAlign w:val="subscript"/>
        </w:rPr>
        <w:t>3</w:t>
      </w:r>
      <w:r>
        <w:t>participates in regulating the fluorine environment and contributes to the formation of a Li</w:t>
      </w:r>
      <w:r>
        <w:rPr>
          <w:vertAlign w:val="subscript"/>
        </w:rPr>
        <w:t>3</w:t>
      </w:r>
      <w:r>
        <w:t>Bi alloy clusters during cycling. This electrolyte enables the construction of LiF/NaF/Li</w:t>
      </w:r>
      <w:r>
        <w:rPr>
          <w:vertAlign w:val="subscript"/>
        </w:rPr>
        <w:t>2</w:t>
      </w:r>
      <w:r>
        <w:t>O‐reinforced solid electrolyte interface with embedded Li</w:t>
      </w:r>
      <w:r>
        <w:rPr>
          <w:vertAlign w:val="subscript"/>
        </w:rPr>
        <w:t>3</w:t>
      </w:r>
      <w:r>
        <w:t>Bi domains, delivering the homogeneous Li</w:t>
      </w:r>
      <w:r>
        <w:t xml:space="preserve"> </w:t>
      </w:r>
      <w:r>
        <w:t>+</w:t>
      </w:r>
      <w:r>
        <w:t xml:space="preserve"> </w:t>
      </w:r>
      <w:r>
        <w:t>flux and dendrite‐free Li deposition, enabling the stable Li‖Li symmetric cell cycling for 9700 h. The electrolyte demonstrates broad compatibility with both intercalation and conversion cathodes, achieving excellent cycling stability (800 cycles) in LiFePO</w:t>
      </w:r>
      <w:r>
        <w:rPr>
          <w:vertAlign w:val="subscript"/>
        </w:rPr>
        <w:t>4</w:t>
      </w:r>
      <w:r>
        <w:t>and high areal capacity (6 mAh cm</w:t>
      </w:r>
      <w:r>
        <w:t xml:space="preserve"> </w:t>
      </w:r>
      <w:r>
        <w:t>−2</w:t>
      </w:r>
      <w:r>
        <w:t xml:space="preserve"> </w:t>
      </w:r>
      <w:r>
        <w:t>) in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 The Bi</w:t>
      </w:r>
      <w:r>
        <w:rPr>
          <w:vertAlign w:val="subscript"/>
        </w:rPr>
        <w:t>2</w:t>
      </w:r>
      <w:r>
        <w:t>O</w:t>
      </w:r>
      <w:r>
        <w:rPr>
          <w:vertAlign w:val="subscript"/>
        </w:rPr>
        <w:t>3</w:t>
      </w:r>
      <w:r>
        <w:t>component further catalyzes the interfacial dissociation of LiF at FeF</w:t>
      </w:r>
      <w:r>
        <w:rPr>
          <w:vertAlign w:val="subscript"/>
        </w:rPr>
        <w:t>3</w:t>
      </w:r>
      <w:r>
        <w:t>cathode and promotes the dynamic evolution of fluorine‐rich cathode electrolyte interphase, enabling the remarkable reversibility in FeF</w:t>
      </w:r>
      <w:r>
        <w:rPr>
          <w:vertAlign w:val="subscript"/>
        </w:rPr>
        <w:t>3</w:t>
      </w:r>
      <w:r>
        <w:t>conversion chemistry (641 mAh g</w:t>
      </w:r>
      <w:r>
        <w:t xml:space="preserve"> </w:t>
      </w:r>
      <w:r>
        <w:t>−1</w:t>
      </w:r>
      <w:r>
        <w:t xml:space="preserve"> </w:t>
      </w:r>
      <w:r>
        <w:t>at 0.2 C and 300 cycles at 1 C). A 20‐layer FeF</w:t>
      </w:r>
      <w:r>
        <w:rPr>
          <w:vertAlign w:val="subscript"/>
        </w:rPr>
        <w:t>3</w:t>
      </w:r>
      <w:r>
        <w:t>‐based pouch cell is demonstrated with a discharge capacity exceeding 1 Ah for the first time, marking a critical milestone toward practical high‐energy FeF</w:t>
      </w:r>
      <w:r>
        <w:rPr>
          <w:vertAlign w:val="subscript"/>
        </w:rPr>
        <w:t>3</w:t>
      </w:r>
      <w:r>
        <w:t>batteries.</w:t>
      </w:r>
    </w:p>
    <w:p>
      <w:pPr>
        <w:spacing w:before="120" w:after="120"/>
      </w:pPr>
      <w:r>
        <w:rPr>
          <w:sz w:val="18"/>
        </w:rPr>
        <w:t>——————————————————————————————————————————————————————————————————————</w:t>
      </w:r>
    </w:p>
    <w:p>
      <w:pPr>
        <w:spacing w:before="160" w:after="40" w:line="240" w:lineRule="auto"/>
      </w:pPr>
      <w:r>
        <w:rPr>
          <w:b/>
        </w:rPr>
        <w:t xml:space="preserve">[7] </w:t>
      </w:r>
      <w:hyperlink r:id="rId100">
        <w:r>
          <w:rPr>
            <w:color w:val="1155CC"/>
            <w:u w:val="single"/>
          </w:rPr>
          <w:t>锰的自旋态工程提高了 LiFe0.2Mn0.8PO4 阴极的电化学性能</w:t>
        </w:r>
      </w:hyperlink>
    </w:p>
    <w:p>
      <w:pPr>
        <w:spacing w:before="0" w:after="80"/>
      </w:pPr>
      <w:r>
        <w:rPr>
          <w:i/>
          <w:sz w:val="20"/>
        </w:rPr>
        <w:t>EN: Spin-State Engineering of Manganese Boosts the Electrochemical Performance of LiFe0.2Mn0.8PO4 Cathodes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01">
        <w:r>
          <w:rPr>
            <w:color w:val="1155CC"/>
            <w:u w:val="single"/>
          </w:rPr>
          <w:t>10.1021/jacs.6c05295</w:t>
        </w:r>
      </w:hyperlink>
    </w:p>
    <w:p>
      <w:pPr>
        <w:spacing w:before="0" w:after="120"/>
      </w:pPr>
      <w:r>
        <w:rPr>
          <w:b/>
        </w:rPr>
        <w:t xml:space="preserve">Notes: </w:t>
      </w:r>
      <w:r>
        <w:t>abstract_source=crossref</w:t>
      </w:r>
    </w:p>
    <w:p>
      <w:pPr>
        <w:spacing w:before="0" w:after="80" w:lineRule="auto" w:line="276"/>
      </w:pPr>
      <w:r>
        <w:rPr>
          <w:b/>
        </w:rPr>
        <w:t xml:space="preserve">摘要（ZH）: </w:t>
      </w:r>
      <w:r>
        <w:t>摘要：橄榄石型磷酸锰铁锂（LMFP）由于在 4 V 处具有额外的电位平台，被认为是高能量密度锂离子电池的有前途的正极。然而，Mn3+的Jahn-Teller变形导致的较差的循环稳定性阻碍了它们的实际应用。在这项工作中，提出了高熵掺杂来将 LMFP 中 Mn2+ 的自旋态从高自旋配置降低到中自旋配置。自旋态的减少不仅消除了Jahn-Teller畸变的内在驱动力，而且增强了Mn-O键的稳定性。此外，实验数据和理论计算表明，Mn2+自旋态的降低可以缩小带隙，优化离子传输路径，并加速高熵掺杂LMFP内的Li+提取-插入动力学。精制的 LiMn0.65Mg0.03Ca0.03Zn0.03Cu0.03Nb0.03Fe0.2PO4 (HE-LMFP) 正极在 10 C 下循环 10,000 次后容量保持率高达 96.2%，同时具有出色的倍率性能（50 C 时为 64.7 mAh g–1）和巨大的商业应用潜力（在 10 C 下循环 1000 次后容量保持率为 82.5%）。 1.5 Ah 软包电池中为 0.5 C）。我们的自旋调制策略为抑制锰基阴极中的Jahn-Teller畸变提供了通用设计原理，从而促进了下一代高能量密度锂离子电池的发展。</w:t>
      </w:r>
    </w:p>
    <w:p>
      <w:pPr>
        <w:spacing w:before="0" w:after="200" w:lineRule="auto" w:line="276"/>
      </w:pPr>
      <w:r>
        <w:rPr>
          <w:b/>
        </w:rPr>
        <w:t xml:space="preserve">Abstract (EN): </w:t>
      </w:r>
      <w:r>
        <w:t>Olivine-type lithium manganese iron phosphates (LMFPs) have been regarded as promising cathodes for high-energy-density lithium-ion batteries owing to an additional potential plateau at 4 V; however, the poor cycle stability arising from the Jahn–Teller distortion of Mn3+ hinders their practical applications. In this work, high-entropy doping has been proposed to reduce the spin state of Mn2+ in LMFP from a high-spin to an intermediate-spin configuration. The spin-state reduction not only eliminates the intrinsic driving force for Jahn–Teller distortion but also strengthens the stability of the Mn–O bond. Additionally, experimental data and theoretical calculations demonstrate that the reduced spin state of Mn2+ can narrow the bandgap, optimize ion transport pathways, and accelerate Li+ extraction-insertion kinetics within the high-entropy-doped LMFP. The refined LiMn0.65Mg0.03Ca0.03Zn0.03Cu0.03Nb0.03Fe0.2PO4 (HE-LMFP) cathode can demonstrate a remarkable capacity retention of 96.2% after 10,000 cycles at 10 C, along with outstanding rate performance (64.7 mAh g–1 at 50 C) and great commercial application potential (82.5% retention over 1000 cycles at 0.5 C in a 1.5 Ah pouch cell). Our spin-modulation strategy provides a general design principle for suppressing the Jahn–Teller distortion in manganese-based cathodes, thereby promoting the development of next-generation high-energy-density lithium-ion batteries.</w:t>
      </w:r>
    </w:p>
    <w:p>
      <w:pPr>
        <w:spacing w:before="120" w:after="120"/>
      </w:pPr>
      <w:r>
        <w:rPr>
          <w:sz w:val="18"/>
        </w:rPr>
        <w:t>——————————————————————————————————————————————————————————————————————</w:t>
      </w:r>
    </w:p>
    <w:p>
      <w:pPr>
        <w:spacing w:before="160" w:after="40" w:line="240" w:lineRule="auto"/>
      </w:pPr>
      <w:r>
        <w:rPr>
          <w:b/>
        </w:rPr>
        <w:t xml:space="preserve">[8] </w:t>
      </w:r>
      <w:hyperlink r:id="rId102">
        <w:r>
          <w:rPr>
            <w:color w:val="1155CC"/>
            <w:u w:val="single"/>
          </w:rPr>
          <w:t>锂离子电池日历和循环老化过程中富锂和富锰氧化物正极的独特微观结构演变</w:t>
        </w:r>
      </w:hyperlink>
    </w:p>
    <w:p>
      <w:pPr>
        <w:spacing w:before="0" w:after="80"/>
      </w:pPr>
      <w:r>
        <w:rPr>
          <w:i/>
          <w:sz w:val="20"/>
        </w:rPr>
        <w:t>EN: Distinct Microstructural Evolution of Li- and Mn-Rich Oxide Cathodes during Calendar and Cycle Aging of Lithium-Ion Batteries</w:t>
      </w:r>
    </w:p>
    <w:p>
      <w:pPr>
        <w:spacing w:before="0" w:after="120"/>
      </w:pPr>
      <w:r>
        <w:rPr>
          <w:b/>
        </w:rPr>
        <w:t xml:space="preserve">Source: </w:t>
      </w:r>
      <w:r>
        <w:t>ACS Energy Letters: Latest Articles (ACS Publications)</w:t>
      </w:r>
      <w:r>
        <w:t xml:space="preserve">    </w:t>
      </w:r>
      <w:r>
        <w:rPr>
          <w:b/>
        </w:rPr>
        <w:t xml:space="preserve">Pub date: </w:t>
      </w:r>
      <w:r>
        <w:t>2026-08-04 00:00:00+00:00</w:t>
      </w:r>
      <w:r>
        <w:t xml:space="preserve">    </w:t>
      </w:r>
      <w:r>
        <w:rPr>
          <w:b/>
        </w:rPr>
        <w:t xml:space="preserve">DOI: </w:t>
      </w:r>
      <w:hyperlink r:id="rId103">
        <w:r>
          <w:rPr>
            <w:color w:val="1155CC"/>
            <w:u w:val="single"/>
          </w:rPr>
          <w:t>10.1021/acsenergylett.6c01995</w:t>
        </w:r>
      </w:hyperlink>
    </w:p>
    <w:p>
      <w:pPr>
        <w:spacing w:before="0" w:after="120"/>
      </w:pPr>
      <w:r>
        <w:rPr>
          <w:b/>
        </w:rPr>
        <w:t xml:space="preserve">Notes: </w:t>
      </w:r>
      <w:r>
        <w:t>abstract_source=crossref</w:t>
      </w:r>
    </w:p>
    <w:p>
      <w:pPr>
        <w:spacing w:before="0" w:after="80" w:lineRule="auto" w:line="276"/>
      </w:pPr>
      <w:r>
        <w:rPr>
          <w:b/>
        </w:rPr>
        <w:t xml:space="preserve">摘要（ZH）: </w:t>
      </w:r>
      <w:r>
        <w:t>摘要 锂离子电池正极的日历老化和循环老化各自的微观结构影响仍然难以区分，因为这两个过程通常同时发生。在这里，我们使用像差校正扫描透射电子显微镜 (STEM)、能量色散 X 射线光谱 (STEM-EDS) 和电子能量损失光谱 (STEM-EELS) 分离出富锂和富锰 (LMR) 层状氧化物阴极上这些老化模式的微观结构演变。两种老化模式都会引起类似的近表面退化，包括表面重建、阳离子混合和 (003) 面相变的激活。然而，阴极-电解质界面出现显着差异，表明静态和动态条件下电解质分解途径不同。更重要的是，纳米空隙的形成仅在循环老化的颗粒中观察到，但在日历老化后不存在，这表明重复的锂传输促进了氧和过渡金属物种的不可逆迁移和损失，从而导致块体晶格内的空位凝结。这些发现为提高 LMR 阴极的长期稳定性提供了线索。</w:t>
      </w:r>
    </w:p>
    <w:p>
      <w:pPr>
        <w:spacing w:before="0" w:after="200" w:lineRule="auto" w:line="276"/>
      </w:pPr>
      <w:r>
        <w:rPr>
          <w:b/>
        </w:rPr>
        <w:t xml:space="preserve">Abstract (EN): </w:t>
      </w:r>
      <w:r>
        <w:t>The respective microstructural impacts of calendar and cycle aging of Li-ion battery cathodes remain difficult to distinguish because both processes often occur simultaneously. Here, we isolate the microstructural evolution of these aging modes on a Li- and Mn-rich (LMR) layered oxide cathode using aberration-corrected scanning transmission electron microscopy (STEM), energy-dispersive X-ray spectroscopy (STEM-EDS), and electron energy-loss spectroscopy (STEM-EELS). Both aging modes induce similar near-surface degradation, including surface reconstruction, cation mixing, and activation of a (003)-facet phase transformation. However, notable differences emerge in the cathode–electrolyte interphase, indicating distinct electrolyte decomposition pathways under static and dynamic conditions. More significantly, nanovoid formation is exclusively observed in cycle-aged particles but is absent after calendar aging, suggesting that repeated Li transport promotes irreversible migration and loss of oxygen and transition-metal species, thus leading to vacancy condensation within the bulk lattice. These findings shed light on improving the long-term stability of LMR cathodes.</w:t>
      </w:r>
    </w:p>
    <w:p>
      <w:pPr>
        <w:spacing w:before="120" w:after="120"/>
      </w:pPr>
      <w:r>
        <w:rPr>
          <w:sz w:val="18"/>
        </w:rPr>
        <w:t>——————————————————————————————————————————————————————————————————————</w:t>
      </w:r>
    </w:p>
    <w:p>
      <w:pPr>
        <w:spacing w:before="160" w:after="40" w:line="240" w:lineRule="auto"/>
      </w:pPr>
      <w:r>
        <w:rPr>
          <w:b/>
        </w:rPr>
        <w:t xml:space="preserve">[9] </w:t>
      </w:r>
      <w:hyperlink r:id="rId104">
        <w:r>
          <w:rPr>
            <w:color w:val="1155CC"/>
            <w:u w:val="single"/>
          </w:rPr>
          <w:t>通过促进氧氧化还原可逆性来延长富锂锰层状氧化物的寿命</w:t>
        </w:r>
      </w:hyperlink>
    </w:p>
    <w:p>
      <w:pPr>
        <w:spacing w:before="0" w:after="80"/>
      </w:pPr>
      <w:r>
        <w:rPr>
          <w:i/>
          <w:sz w:val="20"/>
        </w:rPr>
        <w:t>EN: Enhancing the longevity of lithium-manganese-rich layered oxides by promoting oxygen redox reversibility</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为了实现电动汽车的广泛采用，正极材料必须在大型结构中满足高能量、长期稳定性和地球丰富的成分。富含锂锰的层状氧化物通过氧氧化还原化学实现的高能量和丰富的锰含量同时最大限度地减少钴含量而显示出前景。然而，氧氧化还原不可逆性和气体逸出对其在大型电池中的采用提出了挑战。在这里，我们通过集成 X 射线光谱和显微镜、电子显微镜和原位质谱揭示了施加的电压窗口如何控制氧氧化还原可逆性。与石墨相比，优化的电位窗口为 4.3-2.0 V，将氧氧化还原限制在可逆状态，同时确保完全还原、最大限度地减少电子缺陷并抑制气体逸出和结构降解。基于这些见解，我们的化成和循环方案基于正极活性材料的质量，使用贫钴锂锰富集层状氧化物（0.27 wt% 钴）在 40 Ah 电池中进行 883 次循环后，比能量达到 663 Wh/kg，保留率为 92.2%，这证明了可扩展且经济实惠的电动汽车电池的可行性。</w:t>
      </w:r>
    </w:p>
    <w:p>
      <w:pPr>
        <w:spacing w:before="0" w:after="200" w:lineRule="auto" w:line="276"/>
      </w:pPr>
      <w:r>
        <w:rPr>
          <w:b/>
        </w:rPr>
        <w:t xml:space="preserve">Abstract (EN): </w:t>
      </w:r>
      <w:r>
        <w:t>To enable widespread adoption of electric vehicles, positive-electrode materials must fulfill high energy, long-term stability, and earth-abundant composition within large-format architectures. Lithium-manganese-rich layered oxides show promise through high energy enabled by oxygen redox chemistry and abundant manganese content while minimizing cobalt content. However, oxygen redox irreversibility and gas evolution present challenges in its adoption to large-format cells. Here, we reveal how applied voltage window governs oxygen redox reversibility through integrated X-ray spectroscopy and microscopy, electron microscopy, and in-situ mass spectrometry. An optimized potential window of 4.3-2.0 V vs. graphite confines oxygen redox to reversible regimes while ensuring complete reduction, minimizing electron deficiency and suppressing gas evolution and structural degradation. Building on these insights, our formation and cycling protocol achieves specific energy of 663 Wh/kg based on the mass of the positive electrode active material with 92.2% retention after 883 cycles in 40 Ah cells using cobalt-lean lithium-manganese-rich layered oxides (0.27 wt% cobalt), demonstrating viability for scalable and affordable electric-vehicle batteries.</w:t>
      </w:r>
    </w:p>
    <w:p>
      <w:pPr>
        <w:spacing w:before="120" w:after="120"/>
      </w:pPr>
      <w:r>
        <w:rPr>
          <w:sz w:val="18"/>
        </w:rPr>
        <w:t>——————————————————————————————————————————————————————————————————————</w:t>
      </w:r>
    </w:p>
    <w:p>
      <w:pPr>
        <w:spacing w:before="160" w:after="40" w:line="240" w:lineRule="auto"/>
      </w:pPr>
      <w:r>
        <w:rPr>
          <w:b/>
        </w:rPr>
        <w:t xml:space="preserve">[10] </w:t>
      </w:r>
      <w:hyperlink r:id="rId105">
        <w:r>
          <w:rPr>
            <w:color w:val="1155CC"/>
            <w:u w:val="single"/>
          </w:rPr>
          <w:t>Mn取代VOPO4中各向异性介导的应力调节使水性锌电池具有长循环寿命</w:t>
        </w:r>
      </w:hyperlink>
    </w:p>
    <w:p>
      <w:pPr>
        <w:spacing w:before="0" w:after="80"/>
      </w:pPr>
      <w:r>
        <w:rPr>
          <w:i/>
          <w:sz w:val="20"/>
        </w:rPr>
        <w:t>EN: Anisotropy-mediated stress regulation in Mn-substituted VOPO4 enables aqueous zinc batteries with long cycle life</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层状VOPO4框架的结构完整性关键决定了它们在水性锌离子电池中的电化学性能，但VOPO4的高度有序堆叠使其在循环过程中容易受到晶格应力积累和化学机械降解的影响，导致容量快速衰减和电池寿命缩短。在此，我们展示了一种通过 VOPO4 晶格中的部分金属替代来缓解这些限制的策略，从而能够调节局部配位环境并减轻晶格和循环引起的应力。作为概念验证，Mn 取代的 VOPO4 的理论计算和实验验证揭示了沿 c 轴缩短的 M-O 键以及 Mn-O-P-O-V 离域结构的形成。这些修饰引入了微妙的晶格畸变并产生渗滤通道，使 Zn2+ 迁移更加容易、有序，从而促进均匀的晶格应力分布。循环过程中界面应力的实时监测表明，Mn 的掺入会引起电子重新分布和晶格各向异性，从而促进平衡的层内（a/b 轴）应力调节。因此，Mn取代的VOPO4表现出更高的比容量和循环稳定性，在1 A g−1下2000次循环后容量保持率为91.0%。这种层内各向异性工程策略为减轻循环过程中的溶解和应变影响提供了一条实用途径，为开发具有循环耐久性的高能量密度正极铺平了道路。</w:t>
      </w:r>
    </w:p>
    <w:p>
      <w:pPr>
        <w:spacing w:before="0" w:after="200" w:lineRule="auto" w:line="276"/>
      </w:pPr>
      <w:r>
        <w:rPr>
          <w:b/>
        </w:rPr>
        <w:t xml:space="preserve">Abstract (EN): </w:t>
      </w:r>
      <w:r>
        <w:t>The structural integrity of layered VOPO4 frameworks critically determines their electrochemical performance in aqueous zinc-ion batteries, yet the highly ordered stacking of VOPO4 renders it susceptible to lattice stress accumulation and chemo-mechanical degradation during cycling, causing rapid capacity fading and a shortened battery lifespan. Herein, we show a strategy to alleviate these limitations through partial metal substitution in the VOPO4 lattice, enabling the modulation of local coordination environments and mitigating lattice and cycling induced stress. As a proof-of-concept, theoretical calculations and experimental validation on Mn-substituted VOPO4 reveal shortened M–O bond along the c-axis and the formation of Mn–O–P–O–V delocalized structure. These modifications introduce subtle lattice distortions and generate percolation channels that enable more facile, ordered Zn2+ migration, facilitating uniform lattice stress distribution. Real-time monitoring of interfacial stress during cycling identifies that Mn incorporation induces electronic redistribution and lattice anisotropy, promoting balanced intra-layer (a/b-axis) stress accommodation. Therefore, Mn-substituted VOPO4 exhibits higher specific capacity and cycling stability, with 91.0% capacity retention over 2000 cycles at 1 A g−1. This intra-layer anisotropy engineering strategy offers a practical route for mitigating dissolution and strain effects during cycling, paving ways for the development of high-energy-density positive electrodes with cycling durability.</w:t>
      </w:r>
    </w:p>
    <w:p>
      <w:pPr>
        <w:spacing w:before="120" w:after="120"/>
      </w:pPr>
      <w:r>
        <w:rPr>
          <w:sz w:val="18"/>
        </w:rPr>
        <w:t>——————————————————————————————————————————————————————————————————————</w:t>
      </w:r>
    </w:p>
    <w:p>
      <w:pPr>
        <w:spacing w:before="160" w:after="40" w:line="240" w:lineRule="auto"/>
      </w:pPr>
      <w:r>
        <w:rPr>
          <w:b/>
        </w:rPr>
        <w:t xml:space="preserve">[11] </w:t>
      </w:r>
      <w:hyperlink r:id="rId106">
        <w:r>
          <w:rPr>
            <w:color w:val="1155CC"/>
            <w:u w:val="single"/>
          </w:rPr>
          <w:t>推出具有四电子化学的耐用水性锌碘软包电池的双界面协调编排</w:t>
        </w:r>
      </w:hyperlink>
    </w:p>
    <w:p>
      <w:pPr>
        <w:spacing w:before="0" w:after="80"/>
      </w:pPr>
      <w:r>
        <w:rPr>
          <w:i/>
          <w:sz w:val="20"/>
        </w:rPr>
        <w:t>EN: Unveiling Dual-Interface Coordination Orchestration for Durable Aqueous Zinc–Iodine Pouch Cells with Four-Electron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07">
        <w:r>
          <w:rPr>
            <w:color w:val="1155CC"/>
            <w:u w:val="single"/>
          </w:rPr>
          <w:t>10.1021/jacs.6c11308</w:t>
        </w:r>
      </w:hyperlink>
    </w:p>
    <w:p>
      <w:pPr>
        <w:spacing w:before="0" w:after="120"/>
      </w:pPr>
      <w:r>
        <w:rPr>
          <w:b/>
        </w:rPr>
        <w:t xml:space="preserve">Notes: </w:t>
      </w:r>
      <w:r>
        <w:t>abstract_source=crossref</w:t>
      </w:r>
    </w:p>
    <w:p>
      <w:pPr>
        <w:spacing w:before="0" w:after="80" w:lineRule="auto" w:line="276"/>
      </w:pPr>
      <w:r>
        <w:rPr>
          <w:b/>
        </w:rPr>
        <w:t xml:space="preserve">摘要（ZH）: </w:t>
      </w:r>
      <w:r>
        <w:t>摘要 电解质添加剂工程被认为是四电子水性锌碘电池（AZIB）双界面优化的有效策略。然而，实现具有工业级参数（≥10 mg cm-2 I2 阴极质量负载，≥5 mAh cm-2 Zn 阳极面积容量）的耐用 Ah 级 AZIB 仍然是一个重大障碍。在这里，我们比较了各种含氮阳离子配体，以评估它们对碘固定和锌成核的协同调节作用。此次筛选成功确立了 N-甲基咪唑氯化物 (MImCl) 作为稳定双界面配位的首要电解质添加剂。放电时，MIm+ 吸附在 I2 阴极上，能够与聚碘化物和 ICl2– 静电结合。这种相互作用不仅抑制了聚碘化物穿梭，而且还保护 I+ 物质免遭水解，从而在 I2 质量负载升高时促进稳健且可逆的四电子 I-/I0/I+ 氧化还原化学反应。在Zn阳极上，充电时MIm+优先吸附在其表面，加速Zn2+沉积动力学，抑制枝晶，同时钝化寄生反应，实现均匀的大容量镀/退锌。因此，工程化的 1.4 Ah 四电子 Zn||I2 软包电池实现了 800 次循环的优异循环性能和 455 Wh kg-1 的超高阴极质量比能量密度，超越了 Ah 级体系中大多数水基锌基系统。</w:t>
      </w:r>
    </w:p>
    <w:p>
      <w:pPr>
        <w:spacing w:before="0" w:after="200" w:lineRule="auto" w:line="276"/>
      </w:pPr>
      <w:r>
        <w:rPr>
          <w:b/>
        </w:rPr>
        <w:t xml:space="preserve">Abstract (EN): </w:t>
      </w:r>
      <w:r>
        <w:t>Electrolyte additive engineering is regarded as an effective strategy for dual-interface optimization in four-electron aqueous zinc–iodine batteries (AZIBs). However, realizing durable Ah-level AZIBs with industrial-grade parameters (≥10 mg cm–2 I2 cathode mass loading, ≥5 mAh cm–2 Zn anode areal capacity) remains a significant hurdle. Here, we compare various nitrogen-containing cationic ligands to evaluate their synergistic regulation on iodine immobilization and Zn nucleation. This screening successfully establishes N-methylimidazolium chloride (MImCl) as a premier electrolyte additive for stabilizing dual-interface coordination. Upon discharging, the adsorption of MIm+ on the I2 cathode enables electrostatic binding with polyiodides and ICl2–. This interaction not only suppresses the polyiodide shuttle but also shields the I+ species from hydrolysis, promoting a robust and reversible four-electron I–/I0/I+ redox chemistry at elevated I2 mass loading. On the Zn anode, MIm+ preferentially adsorbs onto its surface during charging, accelerating Zn2+ deposition kinetics for dendrite suppression while passivating parasitic reactions, realizing uniform large-capacity Zn plating/stripping. As a result, the engineered 1.4 Ah four-electron Zn||I2 pouch cells achieve an excellent cyclability of 800 cycles and an ultrahigh cathode-mass-specific energy density of 455 Wh kg–1, surpassing most aqueous Zn-based systems in the Ah-class regime.</w:t>
      </w:r>
    </w:p>
    <w:p>
      <w:pPr>
        <w:spacing w:before="120" w:after="120"/>
      </w:pPr>
      <w:r>
        <w:rPr>
          <w:sz w:val="18"/>
        </w:rPr>
        <w:t>——————————————————————————————————————————————————————————————————————</w:t>
      </w:r>
    </w:p>
    <w:p>
      <w:pPr>
        <w:spacing w:before="160" w:after="40" w:line="240" w:lineRule="auto"/>
      </w:pPr>
      <w:r>
        <w:rPr>
          <w:b/>
        </w:rPr>
        <w:t xml:space="preserve">[12] </w:t>
      </w:r>
      <w:hyperlink r:id="rId108">
        <w:r>
          <w:rPr>
            <w:color w:val="1155CC"/>
            <w:u w:val="single"/>
          </w:rPr>
          <w:t>Na3V2(PO4)2O2F 阴极中的高熵定制 d−p 轨道杂化用于耐用钠离子电池</w:t>
        </w:r>
      </w:hyperlink>
    </w:p>
    <w:p>
      <w:pPr>
        <w:spacing w:before="0" w:after="80"/>
      </w:pPr>
      <w:r>
        <w:rPr>
          <w:i/>
          <w:sz w:val="20"/>
        </w:rPr>
        <w:t>EN: High‐Entropy‐Tailored d−p Orbital Hybridization in Na3V2(PO4)2O2F Cathodes for Durable Sodium‐Ion Batteries</w:t>
      </w:r>
    </w:p>
    <w:p>
      <w:pPr>
        <w:spacing w:before="0" w:after="120"/>
      </w:pPr>
      <w:r>
        <w:rPr>
          <w:b/>
        </w:rPr>
        <w:t xml:space="preserve">Source: </w:t>
      </w:r>
      <w:r>
        <w:t>Wiley: Advanced Energy Materials: Table of Contents</w:t>
      </w:r>
      <w:r>
        <w:t xml:space="preserve">    </w:t>
      </w:r>
      <w:r>
        <w:rPr>
          <w:b/>
        </w:rPr>
        <w:t xml:space="preserve">Pub date: </w:t>
      </w:r>
      <w:r>
        <w:t>2026-08-04 07:24:51+00:00</w:t>
      </w:r>
      <w:r>
        <w:t xml:space="preserve">    </w:t>
      </w:r>
      <w:r>
        <w:rPr>
          <w:b/>
        </w:rPr>
        <w:t xml:space="preserve">DOI: </w:t>
      </w:r>
      <w:hyperlink r:id="rId109">
        <w:r>
          <w:rPr>
            <w:color w:val="1155CC"/>
            <w:u w:val="single"/>
          </w:rPr>
          <w:t>10.1002/aenm.71389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阴离子化合物由于其坚固的结构框架和高工作电压而成为钠离子电池（SIB）的有前途的阴极。然而，它们的实际应用受到较差的固有电子传导性以及深度脱钠过程中不可逆的结构恶化的阻碍。为了克服这些问题，我们在此报告了高熵Na</w:t>
      </w:r>
      <w:r>
        <w:rPr>
          <w:vertAlign w:val="subscript"/>
        </w:rPr>
        <w:t>3</w:t>
      </w:r>
      <w:r>
        <w:t>V</w:t>
      </w:r>
      <w:r>
        <w:rPr>
          <w:vertAlign w:val="subscript"/>
        </w:rPr>
        <w:t>2</w:t>
      </w:r>
      <w:r>
        <w:t>（采购订单</w:t>
      </w:r>
      <w:r>
        <w:rPr>
          <w:vertAlign w:val="subscript"/>
        </w:rPr>
        <w:t>4</w:t>
      </w:r>
      <w:r>
        <w:t>）</w:t>
      </w:r>
      <w:r>
        <w:rPr>
          <w:vertAlign w:val="subscript"/>
        </w:rPr>
        <w:t>2</w:t>
      </w:r>
      <w:r>
        <w:t>氧</w:t>
      </w:r>
      <w:r>
        <w:rPr>
          <w:vertAlign w:val="subscript"/>
        </w:rPr>
        <w:t>2</w:t>
      </w:r>
      <w:r>
        <w:t>F 通过结合多价阳离子 (Cr</w:t>
      </w:r>
      <w:r>
        <w:t xml:space="preserve"> </w:t>
      </w:r>
      <w:r>
        <w:t>3+</w:t>
      </w:r>
      <w:r>
        <w:t xml:space="preserve"> </w:t>
      </w:r>
      <w:r>
        <w:t>, 锰</w:t>
      </w:r>
      <w:r>
        <w:t xml:space="preserve"> </w:t>
      </w:r>
      <w:r>
        <w:t>2+</w:t>
      </w:r>
      <w:r>
        <w:t xml:space="preserve"> </w:t>
      </w:r>
      <w:r>
        <w:t>, 铁</w:t>
      </w:r>
      <w:r>
        <w:t xml:space="preserve"> </w:t>
      </w:r>
      <w:r>
        <w:t>3+</w:t>
      </w:r>
      <w:r>
        <w:t xml:space="preserve"> </w:t>
      </w:r>
      <w:r>
        <w:t>, 钴</w:t>
      </w:r>
      <w:r>
        <w:t xml:space="preserve"> </w:t>
      </w:r>
      <w:r>
        <w:t>2+</w:t>
      </w:r>
      <w:r>
        <w:t xml:space="preserve"> </w:t>
      </w:r>
      <w:r>
        <w:t>, 铝</w:t>
      </w:r>
      <w:r>
        <w:t xml:space="preserve"> </w:t>
      </w:r>
      <w:r>
        <w:t>3+</w:t>
      </w:r>
      <w:r>
        <w:t xml:space="preserve"> </w:t>
      </w:r>
      <w:r>
        <w:t>）进入V</w:t>
      </w:r>
      <w:r>
        <w:t xml:space="preserve"> </w:t>
      </w:r>
      <w:r>
        <w:t>4+</w:t>
      </w:r>
      <w:r>
        <w:t xml:space="preserve"> </w:t>
      </w:r>
      <w:r>
        <w:t>合理调节V 3 的位点</w:t>
      </w:r>
      <w:r>
        <w:t xml:space="preserve"> </w:t>
      </w:r>
      <w:r>
        <w:t>d</w:t>
      </w:r>
      <w:r>
        <w:t xml:space="preserve"> </w:t>
      </w:r>
      <w:r>
        <w:t>-O/F 2</w:t>
      </w:r>
      <w:r>
        <w:t xml:space="preserve"> </w:t>
      </w:r>
      <w:r>
        <w:t>p</w:t>
      </w:r>
      <w:r>
        <w:t xml:space="preserve"> </w:t>
      </w:r>
      <w:r>
        <w:t>轨道杂交。综合表征结果表明，高熵调制触发了复杂的电荷重新分布，从而驱动了双强化</w:t>
      </w:r>
      <w:r>
        <w:t xml:space="preserve"> </w:t>
      </w:r>
      <w:r>
        <w:t>d</w:t>
      </w:r>
      <w:r>
        <w:t xml:space="preserve"> </w:t>
      </w:r>
      <w:r>
        <w:t>-</w:t>
      </w:r>
      <w:r>
        <w:t>p</w:t>
      </w:r>
      <w:r>
        <w:t xml:space="preserve"> </w:t>
      </w:r>
      <w:r>
        <w:t>轨道杂化：一方面，强化的σ型杂化增强了V−O共价性，赋予框架优异的刚性，以减轻体积变化；另一方面，同时增强的</w:t>
      </w:r>
    </w:p>
    <w:p>
      <w:pPr>
        <w:spacing w:before="0" w:after="200" w:lineRule="auto" w:line="276"/>
      </w:pPr>
      <w:r>
        <w:rPr>
          <w:b/>
        </w:rPr>
        <w:t xml:space="preserve">Abstract (EN): </w:t>
      </w:r>
      <w:r>
        <w:t>Polyanionic compounds are promising cathodes for sodium‐ion batteries (SIBs) owing to their robust structural frameworks and high operating voltage. However, their practical applications are hindered by poor intrinsic electronic conductivity alongside irreversible structural deterioration over deep desodiation. To overcome these issues, herein we report a high‐entropy Na</w:t>
      </w:r>
      <w:r>
        <w:rPr>
          <w:vertAlign w:val="subscript"/>
        </w:rPr>
        <w:t>3</w:t>
      </w:r>
      <w:r>
        <w:t>V</w:t>
      </w:r>
      <w:r>
        <w:rPr>
          <w:vertAlign w:val="subscript"/>
        </w:rPr>
        <w:t>2</w:t>
      </w:r>
      <w:r>
        <w:t>(PO</w:t>
      </w:r>
      <w:r>
        <w:rPr>
          <w:vertAlign w:val="subscript"/>
        </w:rPr>
        <w:t>4</w:t>
      </w:r>
      <w:r>
        <w:t>)</w:t>
      </w:r>
      <w:r>
        <w:rPr>
          <w:vertAlign w:val="subscript"/>
        </w:rPr>
        <w:t>2</w:t>
      </w:r>
      <w:r>
        <w:t>O</w:t>
      </w:r>
      <w:r>
        <w:rPr>
          <w:vertAlign w:val="subscript"/>
        </w:rPr>
        <w:t>2</w:t>
      </w:r>
      <w:r>
        <w:t>F by incorporating multivalent cations (Cr</w:t>
      </w:r>
      <w:r>
        <w:t xml:space="preserve"> </w:t>
      </w:r>
      <w:r>
        <w:t>3+</w:t>
      </w:r>
      <w:r>
        <w:t xml:space="preserve"> </w:t>
      </w:r>
      <w:r>
        <w:t>, Mn</w:t>
      </w:r>
      <w:r>
        <w:t xml:space="preserve"> </w:t>
      </w:r>
      <w:r>
        <w:t>2+</w:t>
      </w:r>
      <w:r>
        <w:t xml:space="preserve"> </w:t>
      </w:r>
      <w:r>
        <w:t>, Fe</w:t>
      </w:r>
      <w:r>
        <w:t xml:space="preserve"> </w:t>
      </w:r>
      <w:r>
        <w:t>3+</w:t>
      </w:r>
      <w:r>
        <w:t xml:space="preserve"> </w:t>
      </w:r>
      <w:r>
        <w:t>, Co</w:t>
      </w:r>
      <w:r>
        <w:t xml:space="preserve"> </w:t>
      </w:r>
      <w:r>
        <w:t>2+</w:t>
      </w:r>
      <w:r>
        <w:t xml:space="preserve"> </w:t>
      </w:r>
      <w:r>
        <w:t>, Al</w:t>
      </w:r>
      <w:r>
        <w:t xml:space="preserve"> </w:t>
      </w:r>
      <w:r>
        <w:t>3+</w:t>
      </w:r>
      <w:r>
        <w:t xml:space="preserve"> </w:t>
      </w:r>
      <w:r>
        <w:t>) into the V</w:t>
      </w:r>
      <w:r>
        <w:t xml:space="preserve"> </w:t>
      </w:r>
      <w:r>
        <w:t>4+</w:t>
      </w:r>
      <w:r>
        <w:t xml:space="preserve"> </w:t>
      </w:r>
      <w:r>
        <w:t>sites to rationally modulate V 3</w:t>
      </w:r>
      <w:r>
        <w:t xml:space="preserve"> </w:t>
      </w:r>
      <w:r>
        <w:t>d</w:t>
      </w:r>
      <w:r>
        <w:t xml:space="preserve"> </w:t>
      </w:r>
      <w:r>
        <w:t>−O/F 2</w:t>
      </w:r>
      <w:r>
        <w:t xml:space="preserve"> </w:t>
      </w:r>
      <w:r>
        <w:t>p</w:t>
      </w:r>
      <w:r>
        <w:t xml:space="preserve"> </w:t>
      </w:r>
      <w:r>
        <w:t>orbital hybridization. The comprehensive characterization results indicate that the high‐entropy modulation triggers an intricate charge redistribution that drives a dual strengthened</w:t>
      </w:r>
      <w:r>
        <w:t xml:space="preserve"> </w:t>
      </w:r>
      <w:r>
        <w:t>d</w:t>
      </w:r>
      <w:r>
        <w:t xml:space="preserve"> </w:t>
      </w:r>
      <w:r>
        <w:t>−</w:t>
      </w:r>
      <w:r>
        <w:t>p</w:t>
      </w:r>
      <w:r>
        <w:t xml:space="preserve"> </w:t>
      </w:r>
      <w:r>
        <w:t>orbital hybridization: on the one hand, the strengthened σ‐type hybridization enhances the V−O covalency, endowing the framework with exceptional rigidity to mitigate volume variation; on the other hand, the concurrently enhanced π‐type hybridization via t</w:t>
      </w:r>
      <w:r>
        <w:t xml:space="preserve"> </w:t>
      </w:r>
      <w:r>
        <w:t>2g</w:t>
      </w:r>
      <w:r>
        <w:t xml:space="preserve"> </w:t>
      </w:r>
      <w:r>
        <w:t>orbital modulation leads to improved intrinsic electronic conductivity. Because of these advantages, a synchronous surface‐to‐bulk vanadium redox reaction with highly reversible and durable dynamic evolution is achieved. Consequently, the designed Na</w:t>
      </w:r>
      <w:r>
        <w:rPr>
          <w:vertAlign w:val="subscript"/>
        </w:rPr>
        <w:t>3</w:t>
      </w:r>
      <w:r>
        <w:t>V</w:t>
      </w:r>
      <w:r>
        <w:rPr>
          <w:vertAlign w:val="subscript"/>
        </w:rPr>
        <w:t>2</w:t>
      </w:r>
      <w:r>
        <w:t>(PO</w:t>
      </w:r>
      <w:r>
        <w:rPr>
          <w:vertAlign w:val="subscript"/>
        </w:rPr>
        <w:t>4</w:t>
      </w:r>
      <w:r>
        <w:t>)</w:t>
      </w:r>
      <w:r>
        <w:rPr>
          <w:vertAlign w:val="subscript"/>
        </w:rPr>
        <w:t>2</w:t>
      </w:r>
      <w:r>
        <w:t>O</w:t>
      </w:r>
      <w:r>
        <w:rPr>
          <w:vertAlign w:val="subscript"/>
        </w:rPr>
        <w:t>2</w:t>
      </w:r>
      <w:r>
        <w:t>F cathode delivers a high reversible capacity of 127.2 mAh g</w:t>
      </w:r>
      <w:r>
        <w:t xml:space="preserve"> </w:t>
      </w:r>
      <w:r>
        <w:t>−</w:t>
      </w:r>
      <w:r>
        <w:rPr>
          <w:vertAlign w:val="subscript"/>
        </w:rPr>
        <w:t>1</w:t>
      </w:r>
      <w:r>
        <w:t>at 0.5 C with robust long‐term cycling stability. This study provides deep insights into developing high‐performance SIBs through localized orbital engineering by entropy modulation.</w:t>
      </w:r>
    </w:p>
    <w:p>
      <w:pPr>
        <w:spacing w:before="120" w:after="120"/>
      </w:pPr>
      <w:r>
        <w:rPr>
          <w:sz w:val="18"/>
        </w:rPr>
        <w:t>——————————————————————————————————————————————————————————————————————</w:t>
      </w:r>
    </w:p>
    <w:p>
      <w:pPr>
        <w:spacing w:before="160" w:after="40" w:line="240" w:lineRule="auto"/>
      </w:pPr>
      <w:r>
        <w:rPr>
          <w:b/>
        </w:rPr>
        <w:t xml:space="preserve">[13] </w:t>
      </w:r>
      <w:hyperlink r:id="rId110">
        <w:r>
          <w:rPr>
            <w:color w:val="1155CC"/>
            <w:u w:val="single"/>
          </w:rPr>
          <w:t>石榴石诱导氟化物固体电解质中间层的非晶化使高电压和大容量锂金属固态电池成为可能</w:t>
        </w:r>
      </w:hyperlink>
    </w:p>
    <w:p>
      <w:pPr>
        <w:spacing w:before="0" w:after="80"/>
      </w:pPr>
      <w:r>
        <w:rPr>
          <w:i/>
          <w:sz w:val="20"/>
        </w:rPr>
        <w:t>EN: Garnet‐Induced Amorphization of Fluoride Solid Electrolyte Interlayer Enables High‐Voltage and Large‐Capacity Lithium Metal Solid‐State Batteries</w:t>
      </w:r>
    </w:p>
    <w:p>
      <w:pPr>
        <w:spacing w:before="0" w:after="120"/>
      </w:pPr>
      <w:r>
        <w:rPr>
          <w:b/>
        </w:rPr>
        <w:t xml:space="preserve">Source: </w:t>
      </w:r>
      <w:r>
        <w:t>Wiley: Advanced Energy Materials: Table of Contents</w:t>
      </w:r>
      <w:r>
        <w:t xml:space="preserve">    </w:t>
      </w:r>
      <w:r>
        <w:rPr>
          <w:b/>
        </w:rPr>
        <w:t xml:space="preserve">Pub date: </w:t>
      </w:r>
      <w:r>
        <w:t>2026-08-04 07:49:58+00:00</w:t>
      </w:r>
      <w:r>
        <w:t xml:space="preserve">    </w:t>
      </w:r>
      <w:r>
        <w:rPr>
          <w:b/>
        </w:rPr>
        <w:t xml:space="preserve">DOI: </w:t>
      </w:r>
      <w:hyperlink r:id="rId111">
        <w:r>
          <w:rPr>
            <w:color w:val="1155CC"/>
            <w:u w:val="single"/>
          </w:rPr>
          <w:t>10.1002/aenm.71375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石榴石型固态电解质Li</w:t>
      </w:r>
      <w:r>
        <w:t xml:space="preserve"> </w:t>
      </w:r>
      <w:r>
        <w:t>6.5</w:t>
      </w:r>
      <w:r>
        <w:t xml:space="preserve"> </w:t>
      </w:r>
      <w:r>
        <w:t>拉</w:t>
      </w:r>
      <w:r>
        <w:rPr>
          <w:vertAlign w:val="subscript"/>
        </w:rPr>
        <w:t>3</w:t>
      </w:r>
      <w:r>
        <w:t>锆</w:t>
      </w:r>
      <w:r>
        <w:t xml:space="preserve"> </w:t>
      </w:r>
      <w:r>
        <w:t>1.5</w:t>
      </w:r>
      <w:r>
        <w:t xml:space="preserve"> </w:t>
      </w:r>
      <w:r>
        <w:t>塔</w:t>
      </w:r>
      <w:r>
        <w:t xml:space="preserve"> </w:t>
      </w:r>
      <w:r>
        <w:t>0.5</w:t>
      </w:r>
      <w:r>
        <w:t xml:space="preserve"> </w:t>
      </w:r>
      <w:r>
        <w:t>氧</w:t>
      </w:r>
      <w:r>
        <w:rPr>
          <w:vertAlign w:val="subscript"/>
        </w:rPr>
        <w:t>12</w:t>
      </w:r>
      <w:r>
        <w:t>（LLZTO）由于其在室温（RT）下的高锂离子电导率和与锂金属良好的电化学稳定性而引起了广泛关注。然而，它在电解质/电极界面的高电阻以及石榴石内沿晶界生长的锂枝晶方面提出了挑战。这些挑战已被证明与厚的锂钝化层有关</w:t>
      </w:r>
      <w:r>
        <w:rPr>
          <w:vertAlign w:val="subscript"/>
        </w:rPr>
        <w:t>2</w:t>
      </w:r>
      <w:r>
        <w:t>一氧化碳</w:t>
      </w:r>
      <w:r>
        <w:rPr>
          <w:vertAlign w:val="subscript"/>
        </w:rPr>
        <w:t>3</w:t>
      </w:r>
      <w:r>
        <w:t>形成于LLZTO表面。在这里，我们提出了一种石榴石诱导的氟化物固体电解质（Li</w:t>
      </w:r>
      <w:r>
        <w:rPr>
          <w:vertAlign w:val="subscript"/>
        </w:rPr>
        <w:t>2</w:t>
      </w:r>
      <w:r>
        <w:t>氟化硅</w:t>
      </w:r>
      <w:r>
        <w:rPr>
          <w:vertAlign w:val="subscript"/>
        </w:rPr>
        <w:t>6</w:t>
      </w:r>
      <w:r>
        <w:t>) 离子电导率增强的中间层 (1.32 × 10</w:t>
      </w:r>
      <w:r>
        <w:t xml:space="preserve"> </w:t>
      </w:r>
      <w:r>
        <w:t>−6</w:t>
      </w:r>
      <w:r>
        <w:t xml:space="preserve"> </w:t>
      </w:r>
      <w:r>
        <w:t>S/cm at RT）和电子绝缘来应对这些挑战。锂金属对称电池表现出可忽略不计的界面电阻（约 1 Ω cm</w:t>
      </w:r>
      <w:r>
        <w:rPr>
          <w:vertAlign w:val="subscript"/>
        </w:rPr>
        <w:t>2</w:t>
      </w:r>
      <w:r>
        <w:t>）并达到 4.4 mA/cm 的创纪录高临界电流密度</w:t>
      </w:r>
      <w:r>
        <w:rPr>
          <w:vertAlign w:val="subscript"/>
        </w:rPr>
        <w:t>2</w:t>
      </w:r>
      <w:r>
        <w:t>在室温下。 Li出色的高压稳定性</w:t>
      </w:r>
      <w:r>
        <w:rPr>
          <w:vertAlign w:val="subscript"/>
        </w:rPr>
        <w:t>2</w:t>
      </w:r>
      <w:r>
        <w:t>氟化硅</w:t>
      </w:r>
      <w:r>
        <w:rPr>
          <w:vertAlign w:val="subscript"/>
        </w:rPr>
        <w:t>6</w:t>
      </w:r>
      <w:r>
        <w:t>有助于增强氧化</w:t>
      </w:r>
    </w:p>
    <w:p>
      <w:pPr>
        <w:spacing w:before="0" w:after="200" w:lineRule="auto" w:line="276"/>
      </w:pPr>
      <w:r>
        <w:rPr>
          <w:b/>
        </w:rPr>
        <w:t xml:space="preserve">Abstract (EN): </w:t>
      </w:r>
      <w:r>
        <w:t>Garnet‐type solid‐state electrolyte Li</w:t>
      </w:r>
      <w:r>
        <w:t xml:space="preserve"> </w:t>
      </w:r>
      <w:r>
        <w:t>6.5</w:t>
      </w:r>
      <w:r>
        <w:t xml:space="preserve"> </w:t>
      </w:r>
      <w:r>
        <w:t>La</w:t>
      </w:r>
      <w:r>
        <w:rPr>
          <w:vertAlign w:val="subscript"/>
        </w:rPr>
        <w:t>3</w:t>
      </w:r>
      <w:r>
        <w:t>Zr</w:t>
      </w:r>
      <w:r>
        <w:t xml:space="preserve"> </w:t>
      </w:r>
      <w:r>
        <w:t>1.5</w:t>
      </w:r>
      <w:r>
        <w:t xml:space="preserve"> </w:t>
      </w:r>
      <w:r>
        <w:t>Ta</w:t>
      </w:r>
      <w:r>
        <w:t xml:space="preserve"> </w:t>
      </w:r>
      <w:r>
        <w:t>0.5</w:t>
      </w:r>
      <w:r>
        <w:t xml:space="preserve"> </w:t>
      </w:r>
      <w:r>
        <w:t>O</w:t>
      </w:r>
      <w:r>
        <w:rPr>
          <w:vertAlign w:val="subscript"/>
        </w:rPr>
        <w:t>12</w:t>
      </w:r>
      <w:r>
        <w:t>(LLZTO) has garnered significant attention owing to its high Li‐ion conductivity at room temperature (RT) and good electrochemical stability with Li metal. However, it presents the challenges in terms of high resistance at electrolyte/electrode interfaces, coupled with the growth of lithium dendrites along grain boundaries within garnet. These challenges have been proven to be related to a thick passivation layer of Li</w:t>
      </w:r>
      <w:r>
        <w:rPr>
          <w:vertAlign w:val="subscript"/>
        </w:rPr>
        <w:t>2</w:t>
      </w:r>
      <w:r>
        <w:t>CO</w:t>
      </w:r>
      <w:r>
        <w:rPr>
          <w:vertAlign w:val="subscript"/>
        </w:rPr>
        <w:t>3</w:t>
      </w:r>
      <w:r>
        <w:t>formed on LLZTO surface. Here, we propose a garnet‐induced amorphization strategy of fluoride solid electrolyte (Li</w:t>
      </w:r>
      <w:r>
        <w:rPr>
          <w:vertAlign w:val="subscript"/>
        </w:rPr>
        <w:t>2</w:t>
      </w:r>
      <w:r>
        <w:t>SiF</w:t>
      </w:r>
      <w:r>
        <w:rPr>
          <w:vertAlign w:val="subscript"/>
        </w:rPr>
        <w:t>6</w:t>
      </w:r>
      <w:r>
        <w:t>) interlayer with enhanced ionic conductivity (1.32 × 10</w:t>
      </w:r>
      <w:r>
        <w:t xml:space="preserve"> </w:t>
      </w:r>
      <w:r>
        <w:t>−6</w:t>
      </w:r>
      <w:r>
        <w:t xml:space="preserve"> </w:t>
      </w:r>
      <w:r>
        <w:t>S/cm at RT) and electronic insulation to address these challenges. The Li metal symmetric cells exhibit negligible interfacial resistance (≈1 Ω cm</w:t>
      </w:r>
      <w:r>
        <w:rPr>
          <w:vertAlign w:val="subscript"/>
        </w:rPr>
        <w:t>2</w:t>
      </w:r>
      <w:r>
        <w:t>) and achieve a record‐high critical current density of 4.4 mA/cm</w:t>
      </w:r>
      <w:r>
        <w:rPr>
          <w:vertAlign w:val="subscript"/>
        </w:rPr>
        <w:t>2</w:t>
      </w:r>
      <w:r>
        <w:t>at RT. The outstanding high‐voltage stability of Li</w:t>
      </w:r>
      <w:r>
        <w:rPr>
          <w:vertAlign w:val="subscript"/>
        </w:rPr>
        <w:t>2</w:t>
      </w:r>
      <w:r>
        <w:t>SiF</w:t>
      </w:r>
      <w:r>
        <w:rPr>
          <w:vertAlign w:val="subscript"/>
        </w:rPr>
        <w:t>6</w:t>
      </w:r>
      <w:r>
        <w:t>contributes to enhance the oxidation capacity of the LLZTO system. The batteries coupled with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with a loading of 4.3 mg/cm</w:t>
      </w:r>
      <w:r>
        <w:rPr>
          <w:vertAlign w:val="subscript"/>
        </w:rPr>
        <w:t>2</w:t>
      </w:r>
      <w:r>
        <w:t>exhibit stable long‐term cycling up to 4.5 V. The all‐solid‐state conversion reaction batteries, with a high loading of FeF</w:t>
      </w:r>
      <w:r>
        <w:rPr>
          <w:vertAlign w:val="subscript"/>
        </w:rPr>
        <w:t>3</w:t>
      </w:r>
      <w:r>
        <w:t>cathode up to 5 mg/cm</w:t>
      </w:r>
      <w:r>
        <w:rPr>
          <w:vertAlign w:val="subscript"/>
        </w:rPr>
        <w:t>2</w:t>
      </w:r>
      <w:r>
        <w:t>, achieve a high reversible capacity close to 500 mAh/g. This study inspires the positive modulation of ceramic oxides on fluoride solid electrolytes and their multi‐functions on both anode and cathode.</w:t>
      </w:r>
    </w:p>
    <w:p>
      <w:pPr>
        <w:spacing w:before="120" w:after="120"/>
      </w:pPr>
      <w:r>
        <w:rPr>
          <w:sz w:val="18"/>
        </w:rPr>
        <w:t>——————————————————————————————————————————————————————————————————————</w:t>
      </w:r>
    </w:p>
    <w:p>
      <w:pPr>
        <w:spacing w:before="160" w:after="40" w:line="240" w:lineRule="auto"/>
      </w:pPr>
      <w:r>
        <w:rPr>
          <w:b/>
        </w:rPr>
        <w:t xml:space="preserve">[14] </w:t>
      </w:r>
      <w:hyperlink r:id="rId112">
        <w:r>
          <w:rPr>
            <w:color w:val="1155CC"/>
            <w:u w:val="single"/>
          </w:rPr>
          <w:t>打破高压锂电池电解质设计中的极性-配位耦合</w:t>
        </w:r>
      </w:hyperlink>
    </w:p>
    <w:p>
      <w:pPr>
        <w:spacing w:before="0" w:after="80"/>
      </w:pPr>
      <w:r>
        <w:rPr>
          <w:i/>
          <w:sz w:val="20"/>
        </w:rPr>
        <w:t>EN: Breaking the Polarity–Coordination Coupling in Electrolyte Design for High‐Voltage Lithium Batteries</w:t>
      </w:r>
    </w:p>
    <w:p>
      <w:pPr>
        <w:spacing w:before="0" w:after="120"/>
      </w:pPr>
      <w:r>
        <w:rPr>
          <w:b/>
        </w:rPr>
        <w:t xml:space="preserve">Source: </w:t>
      </w:r>
      <w:r>
        <w:t>Wiley: Advanced Energy Materials: Table of Contents</w:t>
      </w:r>
      <w:r>
        <w:t xml:space="preserve">    </w:t>
      </w:r>
      <w:r>
        <w:rPr>
          <w:b/>
        </w:rPr>
        <w:t xml:space="preserve">Pub date: </w:t>
      </w:r>
      <w:r>
        <w:t>2026-08-04 07:59:23+00:00</w:t>
      </w:r>
      <w:r>
        <w:t xml:space="preserve">    </w:t>
      </w:r>
      <w:r>
        <w:rPr>
          <w:b/>
        </w:rPr>
        <w:t xml:space="preserve">DOI: </w:t>
      </w:r>
      <w:hyperlink r:id="rId113">
        <w:r>
          <w:rPr>
            <w:color w:val="1155CC"/>
            <w:u w:val="single"/>
          </w:rPr>
          <w:t>10.1002/aenm.71380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电解质设计从根本上受到高溶剂极性和弱锂之间的权衡限制</w:t>
      </w:r>
      <w:r>
        <w:t xml:space="preserve"> </w:t>
      </w:r>
      <w:r>
        <w:t>+</w:t>
      </w:r>
      <w:r>
        <w:t xml:space="preserve"> </w:t>
      </w:r>
      <w:r>
        <w:t>溶剂化，因为极性溶剂通常会结合锂</w:t>
      </w:r>
      <w:r>
        <w:t xml:space="preserve"> </w:t>
      </w:r>
      <w:r>
        <w:t>+</w:t>
      </w:r>
      <w:r>
        <w:t xml:space="preserve"> </w:t>
      </w:r>
      <w:r>
        <w:t>强烈。在这里，我们建立了一种空间电子调制策略，将溶剂极性与锂解耦</w:t>
      </w:r>
      <w:r>
        <w:t xml:space="preserve"> </w:t>
      </w:r>
      <w:r>
        <w:t>+</w:t>
      </w:r>
      <w:r>
        <w:t xml:space="preserve"> </w:t>
      </w:r>
      <w:r>
        <w:t>协调，实现了可推广的伪弱溶剂化电解质设计范式。基于这一原理，将2,2,2-三氟-N,N-二甲基乙基酰胺（DMTFA）和氟代碳酸亚乙酯（FEC）与双锂盐相结合，开发了一种空间位阻介导的电解质。尽管 DMTFA 具有强极性，但其表现出弱 Li</w:t>
      </w:r>
      <w:r>
        <w:t xml:space="preserve"> </w:t>
      </w:r>
      <w:r>
        <w:t>+</w:t>
      </w:r>
      <w:r>
        <w:t xml:space="preserve"> </w:t>
      </w:r>
      <w:r>
        <w:t>由于 ‐CF 的空间位阻和吸电子效应的综合作用而产生配位</w:t>
      </w:r>
      <w:r>
        <w:rPr>
          <w:vertAlign w:val="subscript"/>
        </w:rPr>
        <w:t>3</w:t>
      </w:r>
      <w:r>
        <w:t>基团，实现阴离子主导的溶剂化结构。这种配位化学降低了Li</w:t>
      </w:r>
      <w:r>
        <w:t xml:space="preserve"> </w:t>
      </w:r>
      <w:r>
        <w:t>+</w:t>
      </w:r>
      <w:r>
        <w:t xml:space="preserve"> </w:t>
      </w:r>
      <w:r>
        <w:t>去溶剂化障碍并驱动阴极表面富含 B 和 P 的界面层的优先吸附，从而保护阴极免受 HF 腐蚀。所得电解质具有高离子电导率、固有阻燃性和超过 5.0 V 的电化学稳定性窗口。采用 LiNi 的电池</w:t>
      </w:r>
      <w:r>
        <w:t xml:space="preserve"> </w:t>
      </w:r>
      <w:r>
        <w:t>0.91</w:t>
      </w:r>
      <w:r>
        <w:t xml:space="preserve"> </w:t>
      </w:r>
      <w:r>
        <w:t>钴</w:t>
      </w:r>
      <w:r>
        <w:t xml:space="preserve"> </w:t>
      </w:r>
      <w:r>
        <w:t>0.06</w:t>
      </w:r>
      <w:r>
        <w:t xml:space="preserve"> </w:t>
      </w:r>
      <w:r>
        <w:t>锰</w:t>
      </w:r>
      <w:r>
        <w:t xml:space="preserve"> </w:t>
      </w:r>
      <w:r>
        <w:t>0.03</w:t>
      </w:r>
      <w:r>
        <w:t xml:space="preserve"> </w:t>
      </w:r>
      <w:r>
        <w:t>氧</w:t>
      </w:r>
      <w:r>
        <w:rPr>
          <w:vertAlign w:val="subscript"/>
        </w:rPr>
        <w:t>2</w:t>
      </w:r>
    </w:p>
    <w:p>
      <w:pPr>
        <w:spacing w:before="0" w:after="200" w:lineRule="auto" w:line="276"/>
      </w:pPr>
      <w:r>
        <w:rPr>
          <w:b/>
        </w:rPr>
        <w:t xml:space="preserve">Abstract (EN): </w:t>
      </w:r>
      <w:r>
        <w:t>Electrolyte design is fundamentally constrained by the trade‐off between high solvent polarity and weak Li</w:t>
      </w:r>
      <w:r>
        <w:t xml:space="preserve"> </w:t>
      </w:r>
      <w:r>
        <w:t>+</w:t>
      </w:r>
      <w:r>
        <w:t xml:space="preserve"> </w:t>
      </w:r>
      <w:r>
        <w:t>solvation, as polar solvents typically bind Li</w:t>
      </w:r>
      <w:r>
        <w:t xml:space="preserve"> </w:t>
      </w:r>
      <w:r>
        <w:t>+</w:t>
      </w:r>
      <w:r>
        <w:t xml:space="preserve"> </w:t>
      </w:r>
      <w:r>
        <w:t>strongly. Here, we establish a steric–electronic modulation strategy that decouples solvent polarity from Li</w:t>
      </w:r>
      <w:r>
        <w:t xml:space="preserve"> </w:t>
      </w:r>
      <w:r>
        <w:t>+</w:t>
      </w:r>
      <w:r>
        <w:t xml:space="preserve"> </w:t>
      </w:r>
      <w:r>
        <w:t>coordination, enabling a generalizable pseudo‐weak solvation electrolyte design paradigm. Based on this principle, a steric hindrance–mediated electrolyte is developed combining 2,2,2‐trifluoro‐N, N‐dimethylethylamide (DMTFA) and fluoroethylene carbonate (FEC) with dual lithium salts. Despite its strong polarity, DMTFA exhibits weak Li</w:t>
      </w:r>
      <w:r>
        <w:t xml:space="preserve"> </w:t>
      </w:r>
      <w:r>
        <w:t>+</w:t>
      </w:r>
      <w:r>
        <w:t xml:space="preserve"> </w:t>
      </w:r>
      <w:r>
        <w:t>coordination due to the combined steric hindrance and electron‐withdrawing effects of the ‐CF</w:t>
      </w:r>
      <w:r>
        <w:rPr>
          <w:vertAlign w:val="subscript"/>
        </w:rPr>
        <w:t>3</w:t>
      </w:r>
      <w:r>
        <w:t>group, enabling anion‐ dominated solvation structures. This coordination chemistry lowers Li</w:t>
      </w:r>
      <w:r>
        <w:t xml:space="preserve"> </w:t>
      </w:r>
      <w:r>
        <w:t>+</w:t>
      </w:r>
      <w:r>
        <w:t xml:space="preserve"> </w:t>
      </w:r>
      <w:r>
        <w:t>desolvation barriers and drives the preferential adsorption of a B‐ and P‐rich interphase layer at the cathode surface, thereby protecting the cathode from HF corrosion. The resulting electrolyte achieves high ionic conductivity, intrinsic flame retardancy, and an electrochemical stability window exceeding 5.0 V. Cells employing LiNi</w:t>
      </w:r>
      <w:r>
        <w:t xml:space="preserve"> </w:t>
      </w:r>
      <w:r>
        <w:t>0.91</w:t>
      </w:r>
      <w:r>
        <w:t xml:space="preserve"> </w:t>
      </w:r>
      <w:r>
        <w:t>Co</w:t>
      </w:r>
      <w:r>
        <w:t xml:space="preserve"> </w:t>
      </w:r>
      <w:r>
        <w:t>0.06</w:t>
      </w:r>
      <w:r>
        <w:t xml:space="preserve"> </w:t>
      </w:r>
      <w:r>
        <w:t>Mn</w:t>
      </w:r>
      <w:r>
        <w:t xml:space="preserve"> </w:t>
      </w:r>
      <w:r>
        <w:t>0.03</w:t>
      </w:r>
      <w:r>
        <w:t xml:space="preserve"> </w:t>
      </w:r>
      <w:r>
        <w:t>O</w:t>
      </w:r>
      <w:r>
        <w:rPr>
          <w:vertAlign w:val="subscript"/>
        </w:rPr>
        <w:t>2</w:t>
      </w:r>
      <w:r>
        <w:t>cathodes demonstrate a capacity retention of over 90.0% after 100 cycles at 1 C rate and 4.8 V charge cut‐off. The electrolyte enables approximately 1.6 Ah pouch cells to retain 84.97% capacity after 1800 cycles at 4.6 V.</w:t>
      </w:r>
    </w:p>
    <w:p>
      <w:pPr>
        <w:spacing w:before="120" w:after="120"/>
      </w:pPr>
      <w:r>
        <w:rPr>
          <w:sz w:val="18"/>
        </w:rPr>
        <w:t>——————————————————————————————————————————————————————————————————————</w:t>
      </w:r>
    </w:p>
    <w:p>
      <w:pPr>
        <w:spacing w:before="160" w:after="40" w:line="240" w:lineRule="auto"/>
      </w:pPr>
      <w:r>
        <w:rPr>
          <w:b/>
        </w:rPr>
        <w:t xml:space="preserve">[15] </w:t>
      </w:r>
      <w:hyperlink r:id="rId114">
        <w:r>
          <w:rPr>
            <w:color w:val="1155CC"/>
            <w:u w:val="single"/>
          </w:rPr>
          <w:t>通过 AlPO4 辅助多尺度调节实现富锂锰基氧化物的协同动力学和稳定性</w:t>
        </w:r>
      </w:hyperlink>
    </w:p>
    <w:p>
      <w:pPr>
        <w:spacing w:before="0" w:after="80"/>
      </w:pPr>
      <w:r>
        <w:rPr>
          <w:i/>
          <w:sz w:val="20"/>
        </w:rPr>
        <w:t>EN: Achieving Synergistic Kinetics and Stability in Li‐Rich Mn‐Based Oxides via AlPO4‐Assisted Multi‐Scale Regulation</w:t>
      </w:r>
    </w:p>
    <w:p>
      <w:pPr>
        <w:spacing w:before="0" w:after="120"/>
      </w:pPr>
      <w:r>
        <w:rPr>
          <w:b/>
        </w:rPr>
        <w:t xml:space="preserve">Source: </w:t>
      </w:r>
      <w:r>
        <w:t>Wiley: Advanced Energy Materials: Table of Contents</w:t>
      </w:r>
      <w:r>
        <w:t xml:space="preserve">    </w:t>
      </w:r>
      <w:r>
        <w:rPr>
          <w:b/>
        </w:rPr>
        <w:t xml:space="preserve">Pub date: </w:t>
      </w:r>
      <w:r>
        <w:t>2026-08-04 08:12:51+00:00</w:t>
      </w:r>
      <w:r>
        <w:t xml:space="preserve">    </w:t>
      </w:r>
      <w:r>
        <w:rPr>
          <w:b/>
        </w:rPr>
        <w:t xml:space="preserve">DOI: </w:t>
      </w:r>
      <w:hyperlink r:id="rId115">
        <w:r>
          <w:rPr>
            <w:color w:val="1155CC"/>
            <w:u w:val="single"/>
          </w:rPr>
          <w:t>10.1002/aenm.71400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实现富锂锰基氧化物（LRMO）的全部潜力取决于克服缓慢的阴离子氧化还原动力学与结构不稳定性之间的内在冲突。传统的修饰方法通常无法协调动力学增强与循环寿命。在此，我们报告了 AlPO</w:t>
      </w:r>
      <w:r>
        <w:rPr>
          <w:vertAlign w:val="subscript"/>
        </w:rPr>
        <w:t>4</w:t>
      </w:r>
      <w:r>
        <w:t>辅助高温锂化策略实现LRMO的多尺度协同调控。这种创新方法同时优化了颗粒形态，稳定了表面/界面化学，并增强了体晶格完整性：良好控制的中等尺寸初级颗粒有效缩短了Li</w:t>
      </w:r>
      <w:r>
        <w:t xml:space="preserve"> </w:t>
      </w:r>
      <w:r>
        <w:t>+</w:t>
      </w:r>
      <w:r>
        <w:t xml:space="preserve"> </w:t>
      </w:r>
      <w:r>
        <w:t>增强动力学的扩散路径；富铝近表面势垒和原位形成的锂</w:t>
      </w:r>
      <w:r>
        <w:rPr>
          <w:vertAlign w:val="subscript"/>
        </w:rPr>
        <w:t>3</w:t>
      </w:r>
      <w:r>
        <w:t>采购订单</w:t>
      </w:r>
      <w:r>
        <w:rPr>
          <w:vertAlign w:val="subscript"/>
        </w:rPr>
        <w:t>4</w:t>
      </w:r>
      <w:r>
        <w:t>涂层协同构建高度稳定的界面，抵抗电解质腐蚀；块体Al/P共掺杂优化了电子结构并稳定了晶格氧骨架；同时，准有序超晶格能够精确定制层间堆叠并减轻循环引起的晶格应变。受益于这种协同修改，优化的 LRMO 可提供~ 240 mAh g的高容量</w:t>
      </w:r>
      <w:r>
        <w:t xml:space="preserve"> </w:t>
      </w:r>
      <w:r>
        <w:t>−1</w:t>
      </w:r>
      <w:r>
        <w:t xml:space="preserve"> </w:t>
      </w:r>
      <w:r>
        <w:t>1 C 时，25°C 500 次循环后保留率为 82.5%。它还表现出强大的高温性能（∼ 270 mAh g</w:t>
      </w:r>
      <w:r>
        <w:t xml:space="preserve"> </w:t>
      </w:r>
      <w:r>
        <w:t>−1</w:t>
      </w:r>
    </w:p>
    <w:p>
      <w:pPr>
        <w:spacing w:before="0" w:after="200" w:lineRule="auto" w:line="276"/>
      </w:pPr>
      <w:r>
        <w:rPr>
          <w:b/>
        </w:rPr>
        <w:t xml:space="preserve">Abstract (EN): </w:t>
      </w:r>
      <w:r>
        <w:t>Realizing the full potential of Li‐rich Mn‐based oxides (LRMOs) is contingent upon overcoming the intrinsic conflict between sluggish anionic redox kinetics and structural instability. Conventional modification approaches often fail to harmonize kinetic enhancement with cycling longevity. Herein, we report an AlPO</w:t>
      </w:r>
      <w:r>
        <w:rPr>
          <w:vertAlign w:val="subscript"/>
        </w:rPr>
        <w:t>4</w:t>
      </w:r>
      <w:r>
        <w:t>‐assisted high‐temperature lithiation strategy to achieve multi‐scale synergistic regulation of LRMOs. This innovative approach simultaneously optimizes particle morphology, stabilizes the surface/interface chemistry, and reinforces the bulk lattice integrity: The well‐controlled moderate‐sized primary particles effectively shorten the Li</w:t>
      </w:r>
      <w:r>
        <w:t xml:space="preserve"> </w:t>
      </w:r>
      <w:r>
        <w:t>+</w:t>
      </w:r>
      <w:r>
        <w:t xml:space="preserve"> </w:t>
      </w:r>
      <w:r>
        <w:t>diffusion path to boost kinetics; the Al‐rich near‐surface barrier and in situ formed Li</w:t>
      </w:r>
      <w:r>
        <w:rPr>
          <w:vertAlign w:val="subscript"/>
        </w:rPr>
        <w:t>3</w:t>
      </w:r>
      <w:r>
        <w:t>PO</w:t>
      </w:r>
      <w:r>
        <w:rPr>
          <w:vertAlign w:val="subscript"/>
        </w:rPr>
        <w:t>4</w:t>
      </w:r>
      <w:r>
        <w:t>coating synergistically construct a highly stable interface against electrolyte corrosion; the bulk Al/P co‐doping optimizes the electronic structure and stabilizes the lattice oxygen framework; meanwhile, the quasi‐ordered superlattice enables precise tailoring of interlayer stacking and mitigates cycling‐induced lattice strain. Benefiting from this synergistic modification, the optimized LRMO delivers a high capacity of ∼ 240 mAh g</w:t>
      </w:r>
      <w:r>
        <w:t xml:space="preserve"> </w:t>
      </w:r>
      <w:r>
        <w:t>−1</w:t>
      </w:r>
      <w:r>
        <w:t xml:space="preserve"> </w:t>
      </w:r>
      <w:r>
        <w:t>at 1 C with 82.5% retention over 500 cycles at 25°C. It also exhibits robust high‐temperature performance (∼ 270 mAh g</w:t>
      </w:r>
      <w:r>
        <w:t xml:space="preserve"> </w:t>
      </w:r>
      <w:r>
        <w:t>−1</w:t>
      </w:r>
      <w:r>
        <w:t xml:space="preserve"> </w:t>
      </w:r>
      <w:r>
        <w:t>, 82.3% retention after 200 cycles at 50°C). Notably, a 1 Ah pouch cell maintains 68.4% capacity after 1000 cycles, validating the practical feasibility of this strategy for advanced high‐energy batteries.</w:t>
      </w:r>
    </w:p>
    <w:p>
      <w:pPr>
        <w:spacing w:before="120" w:after="120"/>
      </w:pPr>
      <w:r>
        <w:rPr>
          <w:sz w:val="18"/>
        </w:rPr>
        <w:t>——————————————————————————————————————————————————————————————————————</w:t>
      </w:r>
    </w:p>
    <w:p>
      <w:pPr>
        <w:spacing w:before="160" w:after="40" w:line="240" w:lineRule="auto"/>
      </w:pPr>
      <w:r>
        <w:rPr>
          <w:b/>
        </w:rPr>
        <w:t xml:space="preserve">[16] </w:t>
      </w:r>
      <w:hyperlink r:id="rId116">
        <w:r>
          <w:rPr>
            <w:color w:val="1155CC"/>
            <w:u w:val="single"/>
          </w:rPr>
          <w:t>通用准原子相互作用模型及其在碱金属硫系电池单原子催化剂设计中的应用</w:t>
        </w:r>
      </w:hyperlink>
    </w:p>
    <w:p>
      <w:pPr>
        <w:spacing w:before="0" w:after="80"/>
      </w:pPr>
      <w:r>
        <w:rPr>
          <w:i/>
          <w:sz w:val="20"/>
        </w:rPr>
        <w:t>EN: A Universal Quasi‐Atom Interaction Model and Application in Designing Single‐Atom Catalysts for Alkali–Metal Chalcogenide Batteries</w:t>
      </w:r>
    </w:p>
    <w:p>
      <w:pPr>
        <w:spacing w:before="0" w:after="120"/>
      </w:pPr>
      <w:r>
        <w:rPr>
          <w:b/>
        </w:rPr>
        <w:t xml:space="preserve">Source: </w:t>
      </w:r>
      <w:r>
        <w:t>Wiley: Advanced Materials: Table of Contents</w:t>
      </w:r>
      <w:r>
        <w:t xml:space="preserve">    </w:t>
      </w:r>
      <w:r>
        <w:rPr>
          <w:b/>
        </w:rPr>
        <w:t xml:space="preserve">Pub date: </w:t>
      </w:r>
      <w:r>
        <w:t>2026-08-04 13:07:31+00:00</w:t>
      </w:r>
      <w:r>
        <w:t xml:space="preserve">    </w:t>
      </w:r>
      <w:r>
        <w:rPr>
          <w:b/>
        </w:rPr>
        <w:t xml:space="preserve">DOI: </w:t>
      </w:r>
      <w:hyperlink r:id="rId117">
        <w:r>
          <w:rPr>
            <w:color w:val="1155CC"/>
            <w:u w:val="single"/>
          </w:rPr>
          <w:t>10.1002/adma.74445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深入了解反应物吸附行为对于阐明结构-活性关系和识别多电子氧化还原反应动力学的简单描述符至关重要，例如锂硫电池（LSB）中的硫氧化还原过程。最近，评估单原子吸附强度的“10电子法则”（</w:t>
      </w:r>
      <w:r>
        <w:t xml:space="preserve"> </w:t>
      </w:r>
      <w:r>
        <w:t>乙</w:t>
      </w:r>
      <w:r>
        <w:t xml:space="preserve"> </w:t>
      </w:r>
      <w:r>
        <w:t>广告</w:t>
      </w:r>
      <w:r>
        <w:t xml:space="preserve"> </w:t>
      </w:r>
      <w:r>
        <w:t>）已经为类自由原子单原子合金（SAA）建立。然而，我们的密度泛函理论计算表明，这一规则对于金属中心与非金属原子共价配位的单原子催化剂（SAC）来说是不可行的。在此，我们通过建立准原子相互作用模型，提出了共价 SAC 的新 18 电子规则（</w:t>
      </w:r>
      <w:r>
        <w:t xml:space="preserve"> </w:t>
      </w:r>
      <w:r>
        <w:t>问</w:t>
      </w:r>
      <w:r>
        <w:t xml:space="preserve"> </w:t>
      </w:r>
      <w:r>
        <w:t>‐AIM），解释了 U 型行为</w:t>
      </w:r>
      <w:r>
        <w:t xml:space="preserve"> </w:t>
      </w:r>
      <w:r>
        <w:t>乙</w:t>
      </w:r>
      <w:r>
        <w:t xml:space="preserve"> </w:t>
      </w:r>
      <w:r>
        <w:t>广告</w:t>
      </w:r>
      <w:r>
        <w:t xml:space="preserve"> </w:t>
      </w:r>
      <w:r>
        <w:t>(S) 以反键轨道填充为主。额外的计算表明</w:t>
      </w:r>
      <w:r>
        <w:t xml:space="preserve"> </w:t>
      </w:r>
      <w:r>
        <w:t>乙</w:t>
      </w:r>
      <w:r>
        <w:t xml:space="preserve"> </w:t>
      </w:r>
      <w:r>
        <w:t>广告</w:t>
      </w:r>
      <w:r>
        <w:t xml:space="preserve"> </w:t>
      </w:r>
      <w:r>
        <w:t>(S) 可以作为涉及多原子多硫化物的硫氧化还原动力学的有效描述符。然后，在有效预测器的指导下，</w:t>
      </w:r>
      <w:r>
        <w:t xml:space="preserve"> </w:t>
      </w:r>
      <w:r>
        <w:t>问</w:t>
      </w:r>
      <w:r>
        <w:t xml:space="preserve"> </w:t>
      </w:r>
      <w:r>
        <w:t>‐AIM，我们利用机器学习来筛选~800,000 个候选 SAC。最终，我们分别获得了 400 多个和 8000 多个有前景的 SAC，用于硫析出和硫还原。此外，</w:t>
      </w:r>
      <w:r>
        <w:t xml:space="preserve"> </w:t>
      </w:r>
      <w:r>
        <w:t>乙</w:t>
      </w:r>
      <w:r>
        <w:t xml:space="preserve"> </w:t>
      </w:r>
      <w:r>
        <w:t>广告</w:t>
      </w:r>
      <w:r>
        <w:t xml:space="preserve"> </w:t>
      </w:r>
      <w:r>
        <w:t>(S) 可以是 e</w:t>
      </w:r>
    </w:p>
    <w:p>
      <w:pPr>
        <w:spacing w:before="0" w:after="200" w:lineRule="auto" w:line="276"/>
      </w:pPr>
      <w:r>
        <w:rPr>
          <w:b/>
        </w:rPr>
        <w:t xml:space="preserve">Abstract (EN): </w:t>
      </w:r>
      <w:r>
        <w:t>A deep understanding of reactant adsorption behaviors is crucial for unraveling structure–activity relationships and identifying simple descriptors for the kinetics of multi‐electron redox reactions, such as the sulfur redox process in Li–S batteries (LSBs). Recently, the “10‐electron rule” for evaluating the adsorption strength of single atoms (</w:t>
      </w:r>
      <w:r>
        <w:t xml:space="preserve"> </w:t>
      </w:r>
      <w:r>
        <w:t>E</w:t>
      </w:r>
      <w:r>
        <w:t xml:space="preserve"> </w:t>
      </w:r>
      <w:r>
        <w:t>ads</w:t>
      </w:r>
      <w:r>
        <w:t xml:space="preserve"> </w:t>
      </w:r>
      <w:r>
        <w:t>) has been established for free‐atom‐like single‐atom alloys (SAAs). However, our density‐functional theory calculations show that this rule is unfeasible for single‐atom catalysts (SACs) with metal centers covalently coordinated by nonmetal atoms. Herein, we proposed a new 18‐electron rule for covalent SACs by establishing the quasi‐atom interaction model (</w:t>
      </w:r>
      <w:r>
        <w:t xml:space="preserve"> </w:t>
      </w:r>
      <w:r>
        <w:t>Q</w:t>
      </w:r>
      <w:r>
        <w:t xml:space="preserve"> </w:t>
      </w:r>
      <w:r>
        <w:t>‐AIM), which interprets the U‐type behavior of</w:t>
      </w:r>
      <w:r>
        <w:t xml:space="preserve"> </w:t>
      </w:r>
      <w:r>
        <w:t>E</w:t>
      </w:r>
      <w:r>
        <w:t xml:space="preserve"> </w:t>
      </w:r>
      <w:r>
        <w:t>ads</w:t>
      </w:r>
      <w:r>
        <w:t xml:space="preserve"> </w:t>
      </w:r>
      <w:r>
        <w:t>(S) dominated by antibonding‐orbital filling. Additional calculations demonstrate that</w:t>
      </w:r>
      <w:r>
        <w:t xml:space="preserve"> </w:t>
      </w:r>
      <w:r>
        <w:t>E</w:t>
      </w:r>
      <w:r>
        <w:t xml:space="preserve"> </w:t>
      </w:r>
      <w:r>
        <w:t>ads</w:t>
      </w:r>
      <w:r>
        <w:t xml:space="preserve"> </w:t>
      </w:r>
      <w:r>
        <w:t>(S) can serve as an efficient descriptor of the kinetics of sulfur redox involving multiatom polysulfides. Then, guided by the efficient predictor and</w:t>
      </w:r>
      <w:r>
        <w:t xml:space="preserve"> </w:t>
      </w:r>
      <w:r>
        <w:t>Q</w:t>
      </w:r>
      <w:r>
        <w:t xml:space="preserve"> </w:t>
      </w:r>
      <w:r>
        <w:t>‐AIM, we employed machine learning to screen ∼800,000 candidate SACs. Ultimately, we obtained over 400 and 8000 promising SACs for sulfur evolution and sulfur reduction, respectively. Furthermore,</w:t>
      </w:r>
      <w:r>
        <w:t xml:space="preserve"> </w:t>
      </w:r>
      <w:r>
        <w:t>E</w:t>
      </w:r>
      <w:r>
        <w:t xml:space="preserve"> </w:t>
      </w:r>
      <w:r>
        <w:t>ads</w:t>
      </w:r>
      <w:r>
        <w:t xml:space="preserve"> </w:t>
      </w:r>
      <w:r>
        <w:t>(S) can be extended to predict the catalytic performance of SACs in Li/Na/K‐S/Se batteries. This work not only simplifies complex multi‐electron processes to single‐atom adsorption energy but also establishes a link between occupied electronic states and the catalytic performance of SACs.</w:t>
      </w:r>
    </w:p>
    <w:p>
      <w:pPr>
        <w:spacing w:before="120" w:after="120"/>
      </w:pPr>
      <w:r>
        <w:rPr>
          <w:sz w:val="18"/>
        </w:rPr>
        <w:t>——————————————————————————————————————————————————————————————————————</w:t>
      </w:r>
    </w:p>
    <w:p>
      <w:pPr>
        <w:spacing w:before="160" w:after="40" w:line="240" w:lineRule="auto"/>
      </w:pPr>
      <w:r>
        <w:rPr>
          <w:b/>
        </w:rPr>
        <w:t xml:space="preserve">[17] </w:t>
      </w:r>
      <w:hyperlink r:id="rId118">
        <w:r>
          <w:rPr>
            <w:color w:val="1155CC"/>
            <w:u w:val="single"/>
          </w:rPr>
          <w:t>全活性单元分子设计策略为锂离子电池提供高容量且稳定的醌有机阴极</w:t>
        </w:r>
      </w:hyperlink>
    </w:p>
    <w:p>
      <w:pPr>
        <w:spacing w:before="0" w:after="80"/>
      </w:pPr>
      <w:r>
        <w:rPr>
          <w:i/>
          <w:sz w:val="20"/>
        </w:rPr>
        <w:t>EN: Full‐Active‐Unit Molecular Design Strategy Enabling High‐Capacity and Stable Quinone Organic Cathodes for Lithium‐Ion Batteries</w:t>
      </w:r>
    </w:p>
    <w:p>
      <w:pPr>
        <w:spacing w:before="0" w:after="120"/>
      </w:pPr>
      <w:r>
        <w:rPr>
          <w:b/>
        </w:rPr>
        <w:t xml:space="preserve">Source: </w:t>
      </w:r>
      <w:r>
        <w:t>Wiley: Advanced Materials: Table of Contents</w:t>
      </w:r>
      <w:r>
        <w:t xml:space="preserve">    </w:t>
      </w:r>
      <w:r>
        <w:rPr>
          <w:b/>
        </w:rPr>
        <w:t xml:space="preserve">Pub date: </w:t>
      </w:r>
      <w:r>
        <w:t>2026-08-04 13:17:17+00:00</w:t>
      </w:r>
      <w:r>
        <w:t xml:space="preserve">    </w:t>
      </w:r>
      <w:r>
        <w:rPr>
          <w:b/>
        </w:rPr>
        <w:t xml:space="preserve">DOI: </w:t>
      </w:r>
      <w:hyperlink r:id="rId119">
        <w:r>
          <w:rPr>
            <w:color w:val="1155CC"/>
            <w:u w:val="single"/>
          </w:rPr>
          <w:t>10.1002/adma.74442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还原活性醌已成为下一代锂离子电池（LIB）的有前途的有机阴极材料（OCM）。然而，它们的实际应用受到有机电解质中快速溶解和常见分子设计权衡的阻碍，其中引入非活性结构基序会降低比容量。为了应对这些挑战，我们提出了一种全活性单元分子设计策略。这种方法通过 C─C 单键将两个醌（9,10-蒽醌或 9,10-菲醌）单元连接到高容量芘-4,5,9,10-四酮核心，旨在实现低溶解度和高比容量。因此，我们合成了2,7-双(9,10-蒽醌基)芘-4,5,9,10-四酮(BAPO)和2,7-双(9,10-菲醌基)芘-4,5,9,10-四酮(BPPO)，两者均表现出低溶解度。电化学测试显示出优异的电池性能，特别是 BAPO 正极，其容量高达 317.5 mAh g</w:t>
      </w:r>
      <w:r>
        <w:t xml:space="preserve"> </w:t>
      </w:r>
      <w:r>
        <w:t>-</w:t>
      </w:r>
      <w:r>
        <w:rPr>
          <w:vertAlign w:val="subscript"/>
        </w:rPr>
        <w:t>1</w:t>
      </w:r>
      <w:r>
        <w:t>在 0.2 C 下表现出优异的长期循环稳定性，在 5 C 下循环 9000 次后容量保持率为 70.2%。这项工作为开发同时实现高容量和长循环寿命的醌正极材料提供了新的分子设计理念。</w:t>
      </w:r>
    </w:p>
    <w:p>
      <w:pPr>
        <w:spacing w:before="0" w:after="200" w:lineRule="auto" w:line="276"/>
      </w:pPr>
      <w:r>
        <w:rPr>
          <w:b/>
        </w:rPr>
        <w:t xml:space="preserve">Abstract (EN): </w:t>
      </w:r>
      <w:r>
        <w:t>Redox‐active quinones have emerged as promising organic cathode materials (OCMs) for next‐generation lithium‐ion batteries (LIBs). However, their practical application is hindered by rapid dissolution in organic electrolytes and the common molecular design trade‐off where the introduction of non‐active structural motifs diminishes the specific capacity. To address these challenges, we propose a full‐active‐unit molecular design strategy. This approach connects two quinone (9,10‐anthraquinone or 9,10‐phenanthrenequinone) units via C─C single bond to a high‐capacity pyrene‐4,5,9,10‐tetraone core, aiming for both low solubility and high specific capacity. Accordingly, we synthesized 2,7‐bis(9,10‐anthraquinonyl)pyrene‐4,5,9,10‐tetraone (BAPO) and 2,7‐bis(9,10‐phenanthraquinonyl)pyrene‐4,5,9,10‐tetraone (BPPO), both exhibiting low solubility. Electrochemical tests revealed excellent cell performance, particularly for the BAPO cathode, which delivered a high capacity of 317.5 mAh g</w:t>
      </w:r>
      <w:r>
        <w:t xml:space="preserve"> </w:t>
      </w:r>
      <w:r>
        <w:t>−</w:t>
      </w:r>
      <w:r>
        <w:rPr>
          <w:vertAlign w:val="subscript"/>
        </w:rPr>
        <w:t>1</w:t>
      </w:r>
      <w:r>
        <w:t>at 0.2 C and demonstrated exceptional long‐term cycling stability with 70.2% capacity retention after 9000 cycles at 5 C. This work provides a new molecular design concept for developing quinone cathode materials that simultaneously achieve high capacity and long cycle life.</w:t>
      </w:r>
    </w:p>
    <w:p>
      <w:pPr>
        <w:spacing w:before="120" w:after="120"/>
      </w:pPr>
      <w:r>
        <w:rPr>
          <w:sz w:val="18"/>
        </w:rPr>
        <w:t>——————————————————————————————————————————————————————————————————————</w:t>
      </w:r>
    </w:p>
    <w:p>
      <w:pPr>
        <w:spacing w:before="160" w:after="40" w:line="240" w:lineRule="auto"/>
      </w:pPr>
      <w:r>
        <w:rPr>
          <w:b/>
        </w:rPr>
        <w:t xml:space="preserve">[18] </w:t>
      </w:r>
      <w:hyperlink r:id="rId120">
        <w:r>
          <w:rPr>
            <w:color w:val="1155CC"/>
            <w:u w:val="single"/>
          </w:rPr>
          <w:t>用于四电子水性锌||Br电池的溶剂化工程准固体正极</w:t>
        </w:r>
      </w:hyperlink>
    </w:p>
    <w:p>
      <w:pPr>
        <w:spacing w:before="0" w:after="80"/>
      </w:pPr>
      <w:r>
        <w:rPr>
          <w:i/>
          <w:sz w:val="20"/>
        </w:rPr>
        <w:t>EN: Solvation-engineering-enabled quasi-solid positive electrode for four-electron aqueous Zn||Br batteries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溴物质在水性电解质中的扩散、交叉和水解阻碍了具有四电子2Br+/Br2/2Br−转换的Zn||Br电池的应用。在这里，我们研究了一种使用 ZnSO4·7H2O 和尿素的配体辅助的低溶剂化电解质。尿素的高溶解度抑制了水的活性，而其对溴的更强的亲和力使其能够比水分子优先配位。这种协同效应创造了一个准无溶剂的微环境，限制了溴的溶剂化和扩散，从而形成了坚固的准固体阴极。此外，紧凑的溶剂化结构通过加强亲核尿素配位和抑制水解，有利于 Br+ 物质的形成和稳定性。因此，所制造的 Zn||Br 电池表现出可逆的 4e 溴化学，在 1 A g−1 下容量为 417.5 mAh g−1 （基于 KBr）。构建了将 4e 碘正极和 4e 溴（来自电解质）耦合的锌电池，产生总 8e 转移，容量为 897.8 mAh g−1，2 A g−1 下的比能量为 1,344 Wh kg−1（基于 KI）。</w:t>
      </w:r>
    </w:p>
    <w:p>
      <w:pPr>
        <w:spacing w:before="0" w:after="200" w:lineRule="auto" w:line="276"/>
      </w:pPr>
      <w:r>
        <w:rPr>
          <w:b/>
        </w:rPr>
        <w:t xml:space="preserve">Abstract (EN): </w:t>
      </w:r>
      <w:r>
        <w:t>Diffusion, crossover, and hydrolysis of bromine species in aqueous electrolytes impede the application of Zn||Br batteries with four-electron 2Br+/Br2/2Br− conversion. Here, we study a ligand-assisted sparingly solvating electrolyte using ZnSO4·7H2O and urea. The high solubility of urea suppresses water activity, while its stronger affinity toward bromine enables preferential coordination over water molecules. This synergistic effect creates a quasi-solvent-free microenvironment that limits bromine solvation and diffusion, resulting in a robust quasi-solid cathode. Moreover, the compact solvation structure favors the formation and stability of Br+ species by strengthening nucleophilic urea coordination and inhibiting hydrolysis. Consequently, the fabricated Zn||Br battery exhibits reversible 4e bromine chemistry with a capacity of 417.5 mAh g−1 at 1 A g−1 (based on KBr). A zinc battery coupling the 4e iodine positive electrode and 4e bromine (from the electrolyte) is constructed, yielding a total 8e transfer with a capacity of 897.8 mAh g−1 and a specific energy of 1,344 Wh kg−1 at 2 A g−1 (based on KI).</w:t>
      </w:r>
    </w:p>
    <w:p>
      <w:pPr>
        <w:spacing w:before="120" w:after="120"/>
      </w:pPr>
      <w:r>
        <w:rPr>
          <w:sz w:val="18"/>
        </w:rPr>
        <w:t>——————————————————————————————————————————————————————————————————————</w:t>
      </w:r>
    </w:p>
    <w:p>
      <w:pPr>
        <w:spacing w:before="160" w:after="40" w:line="240" w:lineRule="auto"/>
      </w:pPr>
      <w:r>
        <w:rPr>
          <w:b/>
        </w:rPr>
        <w:t xml:space="preserve">[19] </w:t>
      </w:r>
      <w:hyperlink r:id="rId121">
        <w:r>
          <w:rPr>
            <w:color w:val="1155CC"/>
            <w:u w:val="single"/>
          </w:rPr>
          <w:t>稳定水系铁金属电池的水反应性同位素工程</w:t>
        </w:r>
      </w:hyperlink>
    </w:p>
    <w:p>
      <w:pPr>
        <w:spacing w:before="0" w:after="80"/>
      </w:pPr>
      <w:r>
        <w:rPr>
          <w:i/>
          <w:sz w:val="20"/>
        </w:rPr>
        <w:t>EN: Isotopic Engineering of Water Reactivity for Stable Aqueous Iron‐Metal Batteries</w:t>
      </w:r>
    </w:p>
    <w:p>
      <w:pPr>
        <w:spacing w:before="0" w:after="120"/>
      </w:pPr>
      <w:r>
        <w:rPr>
          <w:b/>
        </w:rPr>
        <w:t xml:space="preserve">Source: </w:t>
      </w:r>
      <w:r>
        <w:t>Wiley: Angewandte Chemie International Edition: Table of Contents</w:t>
      </w:r>
      <w:r>
        <w:t xml:space="preserve">    </w:t>
      </w:r>
      <w:r>
        <w:rPr>
          <w:b/>
        </w:rPr>
        <w:t xml:space="preserve">Pub date: </w:t>
      </w:r>
      <w:r>
        <w:t>2026-08-05 13:33:44+00:00</w:t>
      </w:r>
      <w:r>
        <w:t xml:space="preserve">    </w:t>
      </w:r>
      <w:r>
        <w:rPr>
          <w:b/>
        </w:rPr>
        <w:t xml:space="preserve">DOI: </w:t>
      </w:r>
      <w:hyperlink r:id="rId122">
        <w:r>
          <w:rPr>
            <w:color w:val="1155CC"/>
            <w:u w:val="single"/>
          </w:rPr>
          <w:t>10.1002/anie.5007458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阳极严重的寄生析氢反应（HER）以及由此导致的阴极结构退化严重阻碍了水系铁金属电池（AIB）的发展。这项工作超越了传统的基于添加剂的方法，提出了一种动力学靶向策略，通过同位素工程氘化水（D</w:t>
      </w:r>
      <w:r>
        <w:rPr>
          <w:vertAlign w:val="subscript"/>
        </w:rPr>
        <w:t>2</w:t>
      </w:r>
      <w:r>
        <w:t>O)基电解质。利用氘和氢之间零点能量的内在差异，D</w:t>
      </w:r>
      <w:r>
        <w:rPr>
          <w:vertAlign w:val="subscript"/>
        </w:rPr>
        <w:t>2</w:t>
      </w:r>
      <w:r>
        <w:t>O具有明显更高的水离解活化能垒，有效地抑制了有问题的铁阳极的反应性。同时，无铁金属配置的控制实验表明，这种同位素效应将重要的二次稳定作用扩展到阴极主体，建立了协作的双边保护机制。因此，D</w:t>
      </w:r>
      <w:r>
        <w:rPr>
          <w:vertAlign w:val="subscript"/>
        </w:rPr>
        <w:t>2</w:t>
      </w:r>
      <w:r>
        <w:t>O基电解质可实现平均库仑效率为99.6%的高度可逆铁阳极，并赋予Fe||MoS</w:t>
      </w:r>
      <w:r>
        <w:rPr>
          <w:vertAlign w:val="subscript"/>
        </w:rPr>
        <w:t>2</w:t>
      </w:r>
      <w:r>
        <w:t>全电池的稳定寿命为 2000 次循环，在 0.5 A g 下容量保持率为 87.6%</w:t>
      </w:r>
      <w:r>
        <w:t xml:space="preserve"> </w:t>
      </w:r>
      <w:r>
        <w:t>−1</w:t>
      </w:r>
      <w:r>
        <w:t xml:space="preserve"> </w:t>
      </w:r>
      <w:r>
        <w:t>。这项工作强调了同位素调制作为稳定高性能水系电池的有针对性的高效策略的潜力。</w:t>
      </w:r>
    </w:p>
    <w:p>
      <w:pPr>
        <w:spacing w:before="0" w:after="200" w:lineRule="auto" w:line="276"/>
      </w:pPr>
      <w:r>
        <w:rPr>
          <w:b/>
        </w:rPr>
        <w:t xml:space="preserve">Abstract (EN): </w:t>
      </w:r>
      <w:r>
        <w:t>The development of aqueous iron‐metal batteries (AIBs) is critically hindered by the severe parasitic hydrogen evolution reaction (HER) at the anodes and the resulting structural degradation of the cathode. Moving beyond conventional additive‐based approaches, this work presents a kinetically targeted strategy to suppress HER and enhance overall cell stability through an isotope‐engineered deuterated water (D</w:t>
      </w:r>
      <w:r>
        <w:rPr>
          <w:vertAlign w:val="subscript"/>
        </w:rPr>
        <w:t>2</w:t>
      </w:r>
      <w:r>
        <w:t>O)‐based electrolyte. Leveraging the intrinsic differences in zero‐point energy between deuterium and hydrogen, D</w:t>
      </w:r>
      <w:r>
        <w:rPr>
          <w:vertAlign w:val="subscript"/>
        </w:rPr>
        <w:t>2</w:t>
      </w:r>
      <w:r>
        <w:t>O features a substantially higher activation energy barrier for water dissociation, effectively taming the reactivity of the problematic Fe anode. Concurrently, control experiments in Fe metal‐free configurations reveal that this isotope effect extends a vital secondary stabilization to the cathode host, establishing a cooperative, dual‐side protection mechanism. Consequently, the D</w:t>
      </w:r>
      <w:r>
        <w:rPr>
          <w:vertAlign w:val="subscript"/>
        </w:rPr>
        <w:t>2</w:t>
      </w:r>
      <w:r>
        <w:t>O‐based electrolyte enables a highly reversible iron anode with an average Coulombic efficiency of 99.6% and grants Fe||MoS</w:t>
      </w:r>
      <w:r>
        <w:rPr>
          <w:vertAlign w:val="subscript"/>
        </w:rPr>
        <w:t>2</w:t>
      </w:r>
      <w:r>
        <w:t>full cells a stable lifespan of 2000 cycles with an 87.6% capacity retention at 0.5 A g</w:t>
      </w:r>
      <w:r>
        <w:t xml:space="preserve"> </w:t>
      </w:r>
      <w:r>
        <w:t>−1</w:t>
      </w:r>
      <w:r>
        <w:t xml:space="preserve"> </w:t>
      </w:r>
      <w:r>
        <w:t>. This work highlights the potential of isotopic modulation as a targeted, high‐efficacy strategy for stabilizing high‐performance aqueous batteries.</w:t>
      </w:r>
    </w:p>
    <w:p>
      <w:pPr>
        <w:spacing w:before="120" w:after="120"/>
      </w:pPr>
      <w:r>
        <w:rPr>
          <w:sz w:val="18"/>
        </w:rPr>
        <w:t>——————————————————————————————————————————————————————————————————————</w:t>
      </w:r>
    </w:p>
    <w:p>
      <w:pPr>
        <w:spacing w:before="160" w:after="40" w:line="240" w:lineRule="auto"/>
      </w:pPr>
      <w:r>
        <w:rPr>
          <w:b/>
        </w:rPr>
        <w:t xml:space="preserve">[20] </w:t>
      </w:r>
      <w:hyperlink r:id="rId123">
        <w:r>
          <w:rPr>
            <w:color w:val="1155CC"/>
            <w:u w:val="single"/>
          </w:rPr>
          <w:t>竞争性吸附和结构增强协同作用稳定高压准固态电池</w:t>
        </w:r>
      </w:hyperlink>
    </w:p>
    <w:p>
      <w:pPr>
        <w:spacing w:before="0" w:after="80"/>
      </w:pPr>
      <w:r>
        <w:rPr>
          <w:i/>
          <w:sz w:val="20"/>
        </w:rPr>
        <w:t>EN: Competitive Adsorption and Structural Reinforcement Synergy Stabilizes High‐Voltage Quasi‐Solid‐State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2026-08-05 14:11:33+00:00</w:t>
      </w:r>
      <w:r>
        <w:t xml:space="preserve">    </w:t>
      </w:r>
      <w:r>
        <w:rPr>
          <w:b/>
        </w:rPr>
        <w:t xml:space="preserve">DOI: </w:t>
      </w:r>
      <w:hyperlink r:id="rId124">
        <w:r>
          <w:rPr>
            <w:color w:val="1155CC"/>
            <w:u w:val="single"/>
          </w:rPr>
          <w:t>10.1002/anie.4447296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高压阴极的准固态电池（QSSB）具有高能量密度和安全性，但存在阴极/电解质界面不稳定和阴极退化的问题。在这里，我们提出了竞争性吸附和结构增强协同（CASR）策略来应对这些挑战。具体来说，以Cu为中心的自吸附分子被引入到聚合物电解质中，通过与溶剂分子的竞争吸附，优先吸附在阴极/电解质界面，从而减少阴极表面的溶剂含量，同时促进阴离子富集。该过程诱导形成均匀的富氟正极/电解质界面，其外层富含LiF，内层含有Cu─F键，从而有效抑制正极退化。通过在循环过程中动态将 Cu 掺杂到 TM 缺陷晶格位点，进一步增强了阴极结构稳定性。在低负载纽扣电池条件下（2.0 mg cm</w:t>
      </w:r>
      <w:r>
        <w:t xml:space="preserve"> </w:t>
      </w:r>
      <w:r>
        <w:t>−2</w:t>
      </w:r>
      <w:r>
        <w:t xml:space="preserve"> </w:t>
      </w:r>
      <w:r>
        <w:t>），得到的Li||LiNi</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QSSB 在 4.6 V 下进行 400 次循环后保留了 80% 的初始容量，并在 10C 和 4.5 V 下经过 1000 次循环后实现了 80% 的容量保留。在 4.3 V 和 1C 充电/0.5C 放电条件下测试的 1 Ah 级软包电池支持 CASR 策略的潜力。这项工作提供</w:t>
      </w:r>
    </w:p>
    <w:p>
      <w:pPr>
        <w:spacing w:before="0" w:after="200" w:lineRule="auto" w:line="276"/>
      </w:pPr>
      <w:r>
        <w:rPr>
          <w:b/>
        </w:rPr>
        <w:t xml:space="preserve">Abstract (EN): </w:t>
      </w:r>
      <w:r>
        <w:t>Quasi‐solid‐state batteries (QSSBs) employing high‐voltage cathodes promise high energy density and safety, yet suffer from unstable cathode/electrolyte interfaces and cathode degradation. Here, we propose a competitive adsorption and structural reinforcement synergy (CASR) strategy to address these challenges. Specifically, a Cu‐centered self‐adsorption molecule is incorporate into the polymer electrolyte, which preferentially adsorbs at the cathode/electrolyte interface through competitive adsorption against solvent molecules, thereby reducing the solvent content on the cathode surface while promoting anion enrichment. This process induces the formation of a uniform F‐rich cathode/electrolyte interphase with a LiF‐rich outer layer and an inner layer containing Cu─F bonds, thereby effectively suppressing cathode degradation. Cathode structural stability is further reinforced through dynamic Cu doping into TM‐deficient lattice sites during cycling. Under low‐loading coin‐cell conditions (2.0 mg cm</w:t>
      </w:r>
      <w:r>
        <w:t xml:space="preserve"> </w:t>
      </w:r>
      <w:r>
        <w:t>−2</w:t>
      </w:r>
      <w:r>
        <w:t xml:space="preserve"> </w:t>
      </w:r>
      <w:r>
        <w:t>), the resulting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QSSBs retain 80% of their initial capacity after 400 cycles at 4.6 V, and achieve 80% capacity retention over 1000 cycles under 10C and 4.5 V. A 1 Ah‐level pouch‐cell tested under 4.3 V and 1C charge/0.5C discharge conditions supports the potential of the CASR strategy. This work provides a promising pathway for synchronously stabilizing cathode/electrolyte interface and cathode structure in high‐voltage QSSBs.</w:t>
      </w:r>
    </w:p>
    <w:p>
      <w:pPr>
        <w:spacing w:before="120" w:after="120"/>
      </w:pPr>
      <w:r>
        <w:rPr>
          <w:sz w:val="18"/>
        </w:rPr>
        <w:t>——————————————————————————————————————————————————————————————————————</w:t>
      </w:r>
    </w:p>
    <w:p>
      <w:pPr>
        <w:spacing w:before="160" w:after="40" w:line="240" w:lineRule="auto"/>
      </w:pPr>
      <w:r>
        <w:rPr>
          <w:b/>
        </w:rPr>
        <w:t xml:space="preserve">[21] </w:t>
      </w:r>
      <w:hyperlink r:id="rId125">
        <w:r>
          <w:rPr>
            <w:color w:val="1155CC"/>
            <w:u w:val="single"/>
          </w:rPr>
          <w:t>双域耦合驱动的界面重塑为高压、宽温电池提供超稀阻燃电解质</w:t>
        </w:r>
      </w:hyperlink>
    </w:p>
    <w:p>
      <w:pPr>
        <w:spacing w:before="0" w:after="80"/>
      </w:pPr>
      <w:r>
        <w:rPr>
          <w:i/>
          <w:sz w:val="20"/>
        </w:rPr>
        <w:t>EN: Dual‐Domain Coupling‐Driven Interface Remodeling Enables Ultra‐Dilute Flame‐Retardant Electrolytes for High‐Voltage, Wide‐Temperature Batteries</w:t>
      </w:r>
    </w:p>
    <w:p>
      <w:pPr>
        <w:spacing w:before="0" w:after="120"/>
      </w:pPr>
      <w:r>
        <w:rPr>
          <w:b/>
        </w:rPr>
        <w:t xml:space="preserve">Source: </w:t>
      </w:r>
      <w:r>
        <w:t>Wiley: Angewandte Chemie International Edition: Table of Contents</w:t>
      </w:r>
      <w:r>
        <w:t xml:space="preserve">    </w:t>
      </w:r>
      <w:r>
        <w:rPr>
          <w:b/>
        </w:rPr>
        <w:t xml:space="preserve">Pub date: </w:t>
      </w:r>
      <w:r>
        <w:t>2026-08-05 15:02:25+00:00</w:t>
      </w:r>
      <w:r>
        <w:t xml:space="preserve">    </w:t>
      </w:r>
      <w:r>
        <w:rPr>
          <w:b/>
        </w:rPr>
        <w:t xml:space="preserve">DOI: </w:t>
      </w:r>
      <w:hyperlink r:id="rId126">
        <w:r>
          <w:rPr>
            <w:color w:val="1155CC"/>
            <w:u w:val="single"/>
          </w:rPr>
          <w:t>10.1002/anie.8321379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质研究的范式转变是极端条件下可持续电池性能突破的关键驱动力。超稀电解质（UDE）因其显着的成本优势和广阔的应用前景而受到广泛关注，但过量的游离溶剂导致高电压稳定性、宽温适应性、寿命和安全性之间的权衡。在这项工作中，我们提出了一种双域耦合驱动的界面重塑策略，通过整合分层溶剂化的碳酸酯、醚和氟化环磷腈来定制本体溶剂化和界面微环境。设计的 UDE (0.05 M) 具有更灵活的溶剂化配置，离子传输限制更少；同时，在电场感应下，通过分子竞争吸附和分解来调节两个电极表面的双电层。因此，实现了跨尺度微环境重塑，从根本上克服了现有的性能限制。 UDE不仅表现出固有的阻燃性，而且通过双向界面稳定机制显着提高了电极兼容性（磷酸盐和氧化物阴极、金属阳极）。值得注意的是，纳</w:t>
      </w:r>
      <w:r>
        <w:t xml:space="preserve"> </w:t>
      </w:r>
      <w:r>
        <w:t>0.67</w:t>
      </w:r>
      <w:r>
        <w:t xml:space="preserve"> </w:t>
      </w:r>
      <w:r>
        <w:t>镍</w:t>
      </w:r>
      <w:r>
        <w:t xml:space="preserve"> </w:t>
      </w:r>
      <w:r>
        <w:t>0.33</w:t>
      </w:r>
      <w:r>
        <w:t xml:space="preserve"> </w:t>
      </w:r>
      <w:r>
        <w:t>锰</w:t>
      </w:r>
      <w:r>
        <w:t xml:space="preserve"> </w:t>
      </w:r>
      <w:r>
        <w:t>0.67</w:t>
      </w:r>
      <w:r>
        <w:t xml:space="preserve"> </w:t>
      </w:r>
      <w:r>
        <w:t>氧</w:t>
      </w:r>
      <w:r>
        <w:rPr>
          <w:vertAlign w:val="subscript"/>
        </w:rPr>
        <w:t>2</w:t>
      </w:r>
      <w:r>
        <w:t>阴极在较宽的温度范围内（−40∼70°C）实现了理想的耐久性</w:t>
      </w:r>
    </w:p>
    <w:p>
      <w:pPr>
        <w:spacing w:before="0" w:after="200" w:lineRule="auto" w:line="276"/>
      </w:pPr>
      <w:r>
        <w:rPr>
          <w:b/>
        </w:rPr>
        <w:t xml:space="preserve">Abstract (EN): </w:t>
      </w:r>
      <w:r>
        <w:t>The paradigm shift in electrolyte research is a critical driver for performance breakthroughs in sustainable batteries under extreme conditions. Ultra‐dilute electrolytes (UDEs) have attracted extensive attention due to their remarkable cost advantages and broad application prospects, yet excess free solvents cause trade‐offs among high‐voltage stability, wide‐temperature adaptability, longevity, and safety. In this work, we propose a dual‐domain coupling‐driven interface remodeling strategy to tailor bulk solvation and interfacial microenvironments via integrating hierarchically‐solvated carbonate ester, ether, and fluorinated cyclophosphazene. The designed UDE (0.05 M) features a more flexible solvation configuration with less restricted ion transport; concurrently, electric double layers on both electrode surfaces are regulated through molecular competitive adsorption and decomposition under electric field induction. Consequently, cross‐scale microenvironment remodeling is realized to essentially overcome the existing performance limitations. The UDE not only exhibits intrinsic flame retardancy but also significantly improves electrode compatibility (phosphate and oxide cathodes, metal anode) through a bidirectional interface stabilization mechanism. Remarkably, Na</w:t>
      </w:r>
      <w:r>
        <w:t xml:space="preserve"> </w:t>
      </w:r>
      <w:r>
        <w:t>0.67</w:t>
      </w:r>
      <w:r>
        <w:t xml:space="preserve"> </w:t>
      </w:r>
      <w:r>
        <w:t>Ni</w:t>
      </w:r>
      <w:r>
        <w:t xml:space="preserve"> </w:t>
      </w:r>
      <w:r>
        <w:t>0.33</w:t>
      </w:r>
      <w:r>
        <w:t xml:space="preserve"> </w:t>
      </w:r>
      <w:r>
        <w:t>Mn</w:t>
      </w:r>
      <w:r>
        <w:t xml:space="preserve"> </w:t>
      </w:r>
      <w:r>
        <w:t>0.67</w:t>
      </w:r>
      <w:r>
        <w:t xml:space="preserve"> </w:t>
      </w:r>
      <w:r>
        <w:t>O</w:t>
      </w:r>
      <w:r>
        <w:rPr>
          <w:vertAlign w:val="subscript"/>
        </w:rPr>
        <w:t>2</w:t>
      </w:r>
      <w:r>
        <w:t>cathode achieves desirable durability over a wide temperature range (−40∼70°C). Furthermore, this strategy is extended to potassium‐ion batteries, enabling stable operation of KVPO</w:t>
      </w:r>
      <w:r>
        <w:rPr>
          <w:vertAlign w:val="subscript"/>
        </w:rPr>
        <w:t>4</w:t>
      </w:r>
      <w:r>
        <w:t>F cathode at 4.95 V. This work establishes a universal framework for multi‐scale interfacial molecular engineering, offering a promising advancement in extreme energy storage technologies.</w:t>
      </w:r>
    </w:p>
    <w:p>
      <w:pPr>
        <w:spacing w:before="120" w:after="120"/>
      </w:pPr>
      <w:r>
        <w:rPr>
          <w:sz w:val="18"/>
        </w:rPr>
        <w:t>——————————————————————————————————————————————————————————————————————</w:t>
      </w:r>
    </w:p>
    <w:p>
      <w:pPr>
        <w:spacing w:before="160" w:after="40" w:line="240" w:lineRule="auto"/>
      </w:pPr>
      <w:r>
        <w:rPr>
          <w:b/>
        </w:rPr>
        <w:t xml:space="preserve">[22] </w:t>
      </w:r>
      <w:hyperlink r:id="rId127">
        <w:r>
          <w:rPr>
            <w:color w:val="1155CC"/>
            <w:u w:val="single"/>
          </w:rPr>
          <w:t>COF 上的动态双功能位点可实现碘物质向锂碘电池的有效固定和转化</w:t>
        </w:r>
      </w:hyperlink>
    </w:p>
    <w:p>
      <w:pPr>
        <w:spacing w:before="0" w:after="80"/>
      </w:pPr>
      <w:r>
        <w:rPr>
          <w:i/>
          <w:sz w:val="20"/>
        </w:rPr>
        <w:t>EN: Dynamic Bifunctional Sites on a COF Enable Efficient Immobilization and Conversion of Iodine Species Toward Li‐Iodine Batteries</w:t>
      </w:r>
    </w:p>
    <w:p>
      <w:pPr>
        <w:spacing w:before="0" w:after="120"/>
      </w:pPr>
      <w:r>
        <w:rPr>
          <w:b/>
        </w:rPr>
        <w:t xml:space="preserve">Source: </w:t>
      </w:r>
      <w:r>
        <w:t>Wiley: Angewandte Chemie International Edition: Table of Contents</w:t>
      </w:r>
      <w:r>
        <w:t xml:space="preserve">    </w:t>
      </w:r>
      <w:r>
        <w:rPr>
          <w:b/>
        </w:rPr>
        <w:t xml:space="preserve">Pub date: </w:t>
      </w:r>
      <w:r>
        <w:t>2026-08-05 15:13:43+00:00</w:t>
      </w:r>
      <w:r>
        <w:t xml:space="preserve">    </w:t>
      </w:r>
      <w:r>
        <w:rPr>
          <w:b/>
        </w:rPr>
        <w:t xml:space="preserve">DOI: </w:t>
      </w:r>
      <w:hyperlink r:id="rId128">
        <w:r>
          <w:rPr>
            <w:color w:val="1155CC"/>
            <w:u w:val="single"/>
          </w:rPr>
          <w:t>10.1002/anie.2534734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碘阳离子（I</w:t>
      </w:r>
      <w:r>
        <w:t xml:space="preserve"> </w:t>
      </w:r>
      <w:r>
        <w:t>+</w:t>
      </w:r>
      <w:r>
        <w:t xml:space="preserve"> </w:t>
      </w:r>
      <w:r>
        <w:t>）和双电子锂碘（Li-I</w:t>
      </w:r>
      <w:r>
        <w:rPr>
          <w:vertAlign w:val="subscript"/>
        </w:rPr>
        <w:t>2</w:t>
      </w:r>
      <w:r>
        <w:t>）电池仍然是一个未解决的瓶颈。设计和制备能够有效锚定和激活碘物质的先进阴极是克服这些问题的理想但极具挑战性的目标。在这项研究中，我们战略性地合成了一种吡啶功能化的COF（BPY-COF-HI）阴极，它能够实现碘的高度可逆多价转变（I</w:t>
      </w:r>
      <w:r>
        <w:t xml:space="preserve"> </w:t>
      </w:r>
      <w:r>
        <w:t>-</w:t>
      </w:r>
      <w:r>
        <w:t>/我</w:t>
      </w:r>
      <w:r>
        <w:rPr>
          <w:vertAlign w:val="subscript"/>
        </w:rPr>
        <w:t>0</w:t>
      </w:r>
      <w:r>
        <w:t>/我</w:t>
      </w:r>
      <w:r>
        <w:t xml:space="preserve"> </w:t>
      </w:r>
      <w:r>
        <w:t>+</w:t>
      </w:r>
      <w:r>
        <w:t xml:space="preserve"> </w:t>
      </w:r>
      <w:r>
        <w:t>）在Li-I内</w:t>
      </w:r>
      <w:r>
        <w:rPr>
          <w:vertAlign w:val="subscript"/>
        </w:rPr>
        <w:t>2</w:t>
      </w:r>
      <w:r>
        <w:t>电池。吡啶位点在质子化状态（NH</w:t>
      </w:r>
      <w:r>
        <w:t xml:space="preserve"> </w:t>
      </w:r>
      <w:r>
        <w:t>+</w:t>
      </w:r>
      <w:r>
        <w:t xml:space="preserve"> </w:t>
      </w:r>
      <w:r>
        <w:t>）和中立状态（N），允许它们锚定 I</w:t>
      </w:r>
      <w:r>
        <w:rPr>
          <w:vertAlign w:val="subscript"/>
        </w:rPr>
        <w:t>3</w:t>
      </w:r>
      <w:r>
        <w:t>-</w:t>
      </w:r>
      <w:r>
        <w:t>通过静电相互作用并激活 I</w:t>
      </w:r>
      <w:r>
        <w:t xml:space="preserve"> </w:t>
      </w:r>
      <w:r>
        <w:t>+</w:t>
      </w:r>
      <w:r>
        <w:t xml:space="preserve"> </w:t>
      </w:r>
      <w:r>
        <w:t>分别通过卤素键合。受益于这种由单个吡啶位点驱动的动态双功能调节，碳纳米管集成复合阴极（BPY-COF@CNT-HI）可提供 3.58 V 的高压放电平台，对应于可逆 I</w:t>
      </w:r>
      <w:r>
        <w:t xml:space="preserve"> </w:t>
      </w:r>
      <w:r>
        <w:t>+</w:t>
      </w:r>
      <w:r>
        <w:t xml:space="preserve"> </w:t>
      </w:r>
      <w:r>
        <w:t>/我</w:t>
      </w:r>
      <w:r>
        <w:rPr>
          <w:vertAlign w:val="subscript"/>
        </w:rPr>
        <w:t>0</w:t>
      </w:r>
      <w:r>
        <w:t>氧化还原并实现 642 Wh kg 的重量能量密度</w:t>
      </w:r>
      <w:r>
        <w:t xml:space="preserve"> </w:t>
      </w:r>
      <w:r>
        <w:t>我</w:t>
      </w:r>
    </w:p>
    <w:p>
      <w:pPr>
        <w:spacing w:before="0" w:after="200" w:lineRule="auto" w:line="276"/>
      </w:pPr>
      <w:r>
        <w:rPr>
          <w:b/>
        </w:rPr>
        <w:t xml:space="preserve">Abstract (EN): </w:t>
      </w:r>
      <w:r>
        <w:t>The thermodynamic instability of iodine cation (I</w:t>
      </w:r>
      <w:r>
        <w:t xml:space="preserve"> </w:t>
      </w:r>
      <w:r>
        <w:t>+</w:t>
      </w:r>
      <w:r>
        <w:t xml:space="preserve"> </w:t>
      </w:r>
      <w:r>
        <w:t>) and shuttle effect of polyiodide in the two‐electron Li‐iodine (Li‐I</w:t>
      </w:r>
      <w:r>
        <w:rPr>
          <w:vertAlign w:val="subscript"/>
        </w:rPr>
        <w:t>2</w:t>
      </w:r>
      <w:r>
        <w:t>) batteries remain an unresolved bottleneck. The design and preparation of an advanced cathode capable of effectively anchoring and activating iodine species is a desirable but highly challenging target to overcome these issues. In this study, we strategically synthesized a pyridine‐functionalized COF (BPY‐COF‐HI) cathode that enables highly reversible multivalent transition of iodine (I</w:t>
      </w:r>
      <w:r>
        <w:t xml:space="preserve"> </w:t>
      </w:r>
      <w:r>
        <w:t>−</w:t>
      </w:r>
      <w:r>
        <w:t>/I</w:t>
      </w:r>
      <w:r>
        <w:rPr>
          <w:vertAlign w:val="subscript"/>
        </w:rPr>
        <w:t>0</w:t>
      </w:r>
      <w:r>
        <w:t>/I</w:t>
      </w:r>
      <w:r>
        <w:t xml:space="preserve"> </w:t>
      </w:r>
      <w:r>
        <w:t>+</w:t>
      </w:r>
      <w:r>
        <w:t xml:space="preserve"> </w:t>
      </w:r>
      <w:r>
        <w:t>) within Li‐I</w:t>
      </w:r>
      <w:r>
        <w:rPr>
          <w:vertAlign w:val="subscript"/>
        </w:rPr>
        <w:t>2</w:t>
      </w:r>
      <w:r>
        <w:t>batteries. The pyridine sites reversibly switch between protonated state (NH</w:t>
      </w:r>
      <w:r>
        <w:t xml:space="preserve"> </w:t>
      </w:r>
      <w:r>
        <w:t>+</w:t>
      </w:r>
      <w:r>
        <w:t xml:space="preserve"> </w:t>
      </w:r>
      <w:r>
        <w:t>) and neutral state (N), allowing them to anchor I</w:t>
      </w:r>
      <w:r>
        <w:rPr>
          <w:vertAlign w:val="subscript"/>
        </w:rPr>
        <w:t>3</w:t>
      </w:r>
      <w:r>
        <w:t>−</w:t>
      </w:r>
      <w:r>
        <w:t>via electrostatic interactions and activate I</w:t>
      </w:r>
      <w:r>
        <w:t xml:space="preserve"> </w:t>
      </w:r>
      <w:r>
        <w:t>+</w:t>
      </w:r>
      <w:r>
        <w:t xml:space="preserve"> </w:t>
      </w:r>
      <w:r>
        <w:t>via halogen bonding, respectively. Benefiting from this dynamic bifunctional regulation driven by the single pyridine site, a carbon‐nanotube‐integrated composite cathode (BPY‐COF@CNT‐HI) delivers a high‐voltage discharge plateau at 3.58 V corresponding to the reversible I</w:t>
      </w:r>
      <w:r>
        <w:t xml:space="preserve"> </w:t>
      </w:r>
      <w:r>
        <w:t>+</w:t>
      </w:r>
      <w:r>
        <w:t xml:space="preserve"> </w:t>
      </w:r>
      <w:r>
        <w:t>/I</w:t>
      </w:r>
      <w:r>
        <w:rPr>
          <w:vertAlign w:val="subscript"/>
        </w:rPr>
        <w:t>0</w:t>
      </w:r>
      <w:r>
        <w:t>redox and achieves a gravimetric energy density of 642 Wh kg</w:t>
      </w:r>
      <w:r>
        <w:t xml:space="preserve"> </w:t>
      </w:r>
      <w:r>
        <w:t>I</w:t>
      </w:r>
      <w:r>
        <w:t xml:space="preserve"> </w:t>
      </w:r>
      <w:r>
        <w:t>−1</w:t>
      </w:r>
      <w:r>
        <w:t xml:space="preserve"> </w:t>
      </w:r>
      <w:r>
        <w:t>at 0.3 A g</w:t>
      </w:r>
      <w:r>
        <w:t xml:space="preserve"> </w:t>
      </w:r>
      <w:r>
        <w:t>−1</w:t>
      </w:r>
      <w:r>
        <w:t xml:space="preserve"> </w:t>
      </w:r>
      <w:r>
        <w:t>. Remarkably, the cathode maintains ultralong cycling stability over 8000 cycles at 2.0 A g</w:t>
      </w:r>
      <w:r>
        <w:t xml:space="preserve"> </w:t>
      </w:r>
      <w:r>
        <w:t>−1</w:t>
      </w:r>
      <w:r>
        <w:t xml:space="preserve"> </w:t>
      </w:r>
      <w:r>
        <w:t>with an exceptionally low capacity fade of 0.0055% per cycle. This result widens perspectives for designing high‐performance cathodes for Li‐I</w:t>
      </w:r>
      <w:r>
        <w:rPr>
          <w:vertAlign w:val="subscript"/>
        </w:rPr>
        <w:t>2</w:t>
      </w:r>
      <w:r>
        <w:t>batteries with two‐electron redox chemistry.</w:t>
      </w:r>
    </w:p>
    <w:p>
      <w:pPr>
        <w:spacing w:before="120" w:after="120"/>
      </w:pPr>
      <w:r>
        <w:rPr>
          <w:sz w:val="18"/>
        </w:rPr>
        <w:t>——————————————————————————————————————————————————————————————————————</w:t>
      </w:r>
    </w:p>
    <w:p>
      <w:pPr>
        <w:spacing w:before="160" w:after="40" w:line="240" w:lineRule="auto"/>
      </w:pPr>
      <w:r>
        <w:rPr>
          <w:b/>
        </w:rPr>
        <w:t xml:space="preserve">[23] </w:t>
      </w:r>
      <w:hyperlink r:id="rId129">
        <w:r>
          <w:rPr>
            <w:color w:val="1155CC"/>
            <w:u w:val="single"/>
          </w:rPr>
          <w:t>破译用于极快充电锂离子电池的双阴离子电解质的动力学原理</w:t>
        </w:r>
      </w:hyperlink>
    </w:p>
    <w:p>
      <w:pPr>
        <w:spacing w:before="0" w:after="80"/>
      </w:pPr>
      <w:r>
        <w:rPr>
          <w:i/>
          <w:sz w:val="20"/>
        </w:rPr>
        <w:t>EN: Deciphering Kinetic Principles of Dual‐Anion Electrolytes for Extreme Fast‐Charging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2026-08-05 15:21:37+00:00</w:t>
      </w:r>
      <w:r>
        <w:t xml:space="preserve">    </w:t>
      </w:r>
      <w:r>
        <w:rPr>
          <w:b/>
        </w:rPr>
        <w:t xml:space="preserve">DOI: </w:t>
      </w:r>
      <w:hyperlink r:id="rId130">
        <w:r>
          <w:rPr>
            <w:color w:val="1155CC"/>
            <w:u w:val="single"/>
          </w:rPr>
          <w:t>10.1002/anie.5861510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李裁缝</w:t>
      </w:r>
      <w:r>
        <w:t xml:space="preserve"> </w:t>
      </w:r>
      <w:r>
        <w:t>+</w:t>
      </w:r>
      <w:r>
        <w:t xml:space="preserve"> </w:t>
      </w:r>
      <w:r>
        <w:t>溶剂化配位已被认为是在极快充电（XFC）条件下增强锂离子电池（LIB）电化学性能的一种策略。超越削弱李</w:t>
      </w:r>
      <w:r>
        <w:t xml:space="preserve"> </w:t>
      </w:r>
      <w:r>
        <w:t>+</w:t>
      </w:r>
      <w:r>
        <w:t xml:space="preserve"> </w:t>
      </w:r>
      <w:r>
        <w:t>溶剂化过程中，增加的锂-阴离子配对在阴离子衍生的、富含无机物的电极-电解质界面（EEI）的形成中起着至关重要的作用。在这项研究中，我们提出了一种利用本体电解质传输、去溶剂化能和界面动力学的阴离子筛选指南。我们研究了碳酸酯和酯基溶剂中双阴离子电解质的控制机制，旨在解决界面不稳定性、锂镀层和结构降解等关键挑战。综合计算和实验研究表明，优化的双阴离子系统在两个电极上产生部分离子对溶剂化结构和强大的阴离子衍生 EEI，从而在 XFC 条件下实现改进动力学的主要优点。在李妮</w:t>
      </w:r>
      <w:r>
        <w:t xml:space="preserve"> </w:t>
      </w:r>
      <w:r>
        <w:t>0.6</w:t>
      </w:r>
      <w:r>
        <w:t xml:space="preserve"> </w:t>
      </w:r>
      <w:r>
        <w:t>锰</w:t>
      </w:r>
      <w:r>
        <w:t xml:space="preserve"> </w:t>
      </w:r>
      <w:r>
        <w:t>0.2</w:t>
      </w:r>
      <w:r>
        <w:t xml:space="preserve"> </w:t>
      </w:r>
      <w:r>
        <w:t>钴</w:t>
      </w:r>
      <w:r>
        <w:t xml:space="preserve"> </w:t>
      </w:r>
      <w:r>
        <w:t>0.2</w:t>
      </w:r>
      <w:r>
        <w:t xml:space="preserve"> </w:t>
      </w:r>
      <w:r>
        <w:t>||石墨软包电池，优化的双阴离子配方，PF</w:t>
      </w:r>
      <w:r>
        <w:rPr>
          <w:vertAlign w:val="subscript"/>
        </w:rPr>
        <w:t>6</w:t>
      </w:r>
      <w:r>
        <w:t>-</w:t>
      </w:r>
      <w:r>
        <w:t>/TFSI</w:t>
      </w:r>
      <w:r>
        <w:t xml:space="preserve"> </w:t>
      </w:r>
      <w:r>
        <w:t>-</w:t>
      </w:r>
      <w:r>
        <w:t>，在基于碳酸二甲酯的电解质中，在 4C 下循环 500 次后，保留了超过 85% 的原始容量，而基于酯的变体在甲基</w:t>
      </w:r>
    </w:p>
    <w:p>
      <w:pPr>
        <w:spacing w:before="0" w:after="200" w:lineRule="auto" w:line="276"/>
      </w:pPr>
      <w:r>
        <w:rPr>
          <w:b/>
        </w:rPr>
        <w:t xml:space="preserve">Abstract (EN): </w:t>
      </w:r>
      <w:r>
        <w:t>Tailoring Li</w:t>
      </w:r>
      <w:r>
        <w:t xml:space="preserve"> </w:t>
      </w:r>
      <w:r>
        <w:t>+</w:t>
      </w:r>
      <w:r>
        <w:t xml:space="preserve"> </w:t>
      </w:r>
      <w:r>
        <w:t>solvation coordination has been recognized as a strategy to enhance the electrochemical performance of lithium‐ion batteries (LIBs) under extreme fast‐charging (XFC) conditions. Beyond weakening Li</w:t>
      </w:r>
      <w:r>
        <w:t xml:space="preserve"> </w:t>
      </w:r>
      <w:r>
        <w:t>+</w:t>
      </w:r>
      <w:r>
        <w:t xml:space="preserve"> </w:t>
      </w:r>
      <w:r>
        <w:t>solvation, increased Li–anion pairing plays a crucial role in the formation of anion‐derived, inorganic‐rich electrode–electrolyte interfaces (EEIs). In this study, we propose an anion‐screening guideline leveraging transport in bulk electrolyte, desolvation energy and interfacial kinetics. We investigated mechanisms governed by dual‐anion electrolytes in both carbonate‐ and ester‐based solvents, aiming to address key challenges such as interfacial instability, lithium plating, and structural degradation. Integrated computational and experimental studies reveal that optimized dual‐anion systems create partially ion‐paired solvation structures and robust anion‐derived EEI on both electrodes, enabling principal merits of improved kinetics under XFC conditions. In LiNi</w:t>
      </w:r>
      <w:r>
        <w:t xml:space="preserve"> </w:t>
      </w:r>
      <w:r>
        <w:t>0.6</w:t>
      </w:r>
      <w:r>
        <w:t xml:space="preserve"> </w:t>
      </w:r>
      <w:r>
        <w:t>Mn</w:t>
      </w:r>
      <w:r>
        <w:t xml:space="preserve"> </w:t>
      </w:r>
      <w:r>
        <w:t>0.2</w:t>
      </w:r>
      <w:r>
        <w:t xml:space="preserve"> </w:t>
      </w:r>
      <w:r>
        <w:t>Co</w:t>
      </w:r>
      <w:r>
        <w:t xml:space="preserve"> </w:t>
      </w:r>
      <w:r>
        <w:t>0.2</w:t>
      </w:r>
      <w:r>
        <w:t xml:space="preserve"> </w:t>
      </w:r>
      <w:r>
        <w:t>|| graphite pouch cells, the optimized dual‐anion formulation, PF</w:t>
      </w:r>
      <w:r>
        <w:rPr>
          <w:vertAlign w:val="subscript"/>
        </w:rPr>
        <w:t>6</w:t>
      </w:r>
      <w:r>
        <w:t>−</w:t>
      </w:r>
      <w:r>
        <w:t>/TFSI</w:t>
      </w:r>
      <w:r>
        <w:t xml:space="preserve"> </w:t>
      </w:r>
      <w:r>
        <w:t>−</w:t>
      </w:r>
      <w:r>
        <w:t>, in dimethyl carbonate‐based electrolyte retains over 85% of its original capacity and 94% retention after 500 cycles at 4C, while the ester‐based variant in methyl propionate achieves 94%/83% retention after 500/1000 cycles at 4C. These improvements are attributed to reduced charge‐transfer impedance with enriched inorganic fluorides and sulfates interface. Overall, this work provides a framework for anion regulations and offers a promising pathway to realizing fast‐charging, high‐energy‐density LIBs.</w:t>
      </w:r>
    </w:p>
    <w:p>
      <w:pPr>
        <w:spacing w:before="120" w:after="120"/>
      </w:pPr>
      <w:r>
        <w:rPr>
          <w:sz w:val="18"/>
        </w:rPr>
        <w:t>——————————————————————————————————————————————————————————————————————</w:t>
      </w:r>
    </w:p>
    <w:p>
      <w:pPr>
        <w:spacing w:before="160" w:after="40" w:line="240" w:lineRule="auto"/>
      </w:pPr>
      <w:r>
        <w:rPr>
          <w:b/>
        </w:rPr>
        <w:t xml:space="preserve">[24] </w:t>
      </w:r>
      <w:hyperlink r:id="rId131">
        <w:r>
          <w:rPr>
            <w:color w:val="1155CC"/>
            <w:u w:val="single"/>
          </w:rPr>
          <w:t>电子推拉效应驱动水性锌双卤素电池中的可逆六电子氧化还原反应</w:t>
        </w:r>
      </w:hyperlink>
    </w:p>
    <w:p>
      <w:pPr>
        <w:spacing w:before="0" w:after="80"/>
      </w:pPr>
      <w:r>
        <w:rPr>
          <w:i/>
          <w:sz w:val="20"/>
        </w:rPr>
        <w:t>EN: Electron Push–Pull Effect Drives Reversible Six-Electron Redox Reaction in Aqueous Zinc–Dual Halogen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32">
        <w:r>
          <w:rPr>
            <w:color w:val="1155CC"/>
            <w:u w:val="single"/>
          </w:rPr>
          <w:t>10.1021/jacs.6c08547</w:t>
        </w:r>
      </w:hyperlink>
    </w:p>
    <w:p>
      <w:pPr>
        <w:spacing w:before="0" w:after="120"/>
      </w:pPr>
      <w:r>
        <w:rPr>
          <w:b/>
        </w:rPr>
        <w:t xml:space="preserve">Notes: </w:t>
      </w:r>
      <w:r>
        <w:t>abstract_source=crossref</w:t>
      </w:r>
    </w:p>
    <w:p>
      <w:pPr>
        <w:spacing w:before="0" w:after="80" w:lineRule="auto" w:line="276"/>
      </w:pPr>
      <w:r>
        <w:rPr>
          <w:b/>
        </w:rPr>
        <w:t xml:space="preserve">摘要（ZH）: </w:t>
      </w:r>
      <w:r>
        <w:t>摘要具有I-/I0/I+转换的四电子水性锌碘（Zn-I2）电池可以实现高能量密度，但其发展在很大程度上受到I+水解和缓慢的氧化还原动力学的阻碍。在这里，通过引入1-乙基吡啶氢溴酸盐（EB）作为电解质添加剂，我们设计了水性锌-双卤素（碘-溴）电池来解决这些问题，该电池能够实现具有高容量和长期循环稳定性的可逆六电子转换。原位X射线吸收光谱、拉曼光谱和理论计算表明，I-Br卤间化合物中的供体-受体相互作用会诱导电子推拉效应，从而实现动力学增强的四电子途径(I–/I2Br–/IBr2–)，然后在充电时激活溴的二电子途径(IBr2–/IBr3–)，而部分IBr3–经历I+/Br0共还原反应，增强了溴的利用率在放电过程中，导致不对称但整体可逆的六电子转换。此外，EB 的阳离子基团重建了大量水的氢键网络并静电锚定了 IBr2- 和 IBr3- 物质，从而降低了水活度并稳定了卤间化合物。这些协同效应使锌-双卤素电池能够在 0.5 A g-1 电流下实现 656 mAh g-1 的卓越容量，并在 10 A g-1 电流下 2200 次循环后保持循环稳定性，初始容量高达 436.8 mAh g-1。这项工作扩展了卤间化学在构建多电高能量密度水电池中的应用</w:t>
      </w:r>
    </w:p>
    <w:p>
      <w:pPr>
        <w:spacing w:before="0" w:after="200" w:lineRule="auto" w:line="276"/>
      </w:pPr>
      <w:r>
        <w:rPr>
          <w:b/>
        </w:rPr>
        <w:t xml:space="preserve">Abstract (EN): </w:t>
      </w:r>
      <w:r>
        <w:t>Four-electron aqueous zinc–iodine (Zn–I2) batteries with I–/I0/I+ conversion could achieve high energy density, but the development is largely impeded by I+ hydrolysis and sluggish redox kinetics. Here, by introducing 1-ethylpyridine hydrobromide (EB) as an electrolyte additive, we designed aqueous zinc–dual halogen (iodine–bromine) batteries to address these issues, which enable reversible six-electron conversion with high capacity and long-term cycling stability. In situ X-ray absorption spectroscopy, Raman spectroscopy, and theoretical calculations reveal that the donor–acceptor interactions within I–Br interhalogen compounds induce an electron push–pull effect, enabling a kinetically enhanced four-electron pathway (I–/I2Br–/IBr2–) followed by an activated two-electron pathway of bromine (IBr2–/IBr3–) upon charging, while partial IBr3– undergoes an I+/Br0 co-reduction reaction with enhanced bromine utilization during discharge, leading to asymmetric yet overall reversible six-electron conversion. In addition, the cation groups of EB reconstruct the H-bond network of bulk water and electrostatically anchor IBr2– and IBr3– species, thereby reducing the water activity and stabilizing the interhalogen compounds. These synergistic effects enable zinc–dual halogen batteries to achieve a remarkable capacity of 656 mAh g–1 at 0.5 A g–1 and sustained cycling stability with a high initial capacity of 436.8 mAh g–1 over 2200 cycles at 10 A g–1. This work extends the application of interhalogen chemistry for constructing high-energy-density aqueous batteries with multielectron redox reactions.</w:t>
      </w:r>
    </w:p>
    <w:p>
      <w:pPr>
        <w:spacing w:before="120" w:after="120"/>
      </w:pPr>
      <w:r>
        <w:rPr>
          <w:sz w:val="18"/>
        </w:rPr>
        <w:t>——————————————————————————————————————————————————————————————————————</w:t>
      </w:r>
    </w:p>
    <w:p>
      <w:pPr>
        <w:spacing w:before="160" w:after="40" w:line="240" w:lineRule="auto"/>
      </w:pPr>
      <w:r>
        <w:rPr>
          <w:b/>
        </w:rPr>
        <w:t xml:space="preserve">[25] </w:t>
      </w:r>
      <w:hyperlink r:id="rId133">
        <w:r>
          <w:rPr>
            <w:color w:val="1155CC"/>
            <w:u w:val="single"/>
          </w:rPr>
          <w:t>探索多过渡金属 NASICON 框架作为钠离子电池的高性能阴极</w:t>
        </w:r>
      </w:hyperlink>
    </w:p>
    <w:p>
      <w:pPr>
        <w:spacing w:before="0" w:after="80"/>
      </w:pPr>
      <w:r>
        <w:rPr>
          <w:i/>
          <w:sz w:val="20"/>
        </w:rPr>
        <w:t>EN: Exploring Multi-Transition-Metal NASICON Frameworks as High-Performance Cathodes for Sodium-Ion Batteries</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34">
        <w:r>
          <w:rPr>
            <w:color w:val="1155CC"/>
            <w:u w:val="single"/>
          </w:rPr>
          <w:t>10.1021/acsami.6c11510</w:t>
        </w:r>
      </w:hyperlink>
    </w:p>
    <w:p>
      <w:pPr>
        <w:spacing w:before="0" w:after="120"/>
      </w:pPr>
      <w:r>
        <w:rPr>
          <w:b/>
        </w:rPr>
        <w:t xml:space="preserve">Notes: </w:t>
      </w:r>
      <w:r>
        <w:t>abstract_source=crossref</w:t>
      </w:r>
    </w:p>
    <w:p>
      <w:pPr>
        <w:spacing w:before="0" w:after="80" w:lineRule="auto" w:line="276"/>
      </w:pPr>
      <w:r>
        <w:rPr>
          <w:b/>
        </w:rPr>
        <w:t xml:space="preserve">摘要（ZH）: </w:t>
      </w:r>
      <w:r>
        <w:t>摘要：对可持续、高性能阴极的探索促使人们对用于钠离子电池（SIB）的钠超离子导体（NASICON）型磷酸盐化合物越来越感兴趣。为了识别含有地球丰富的过渡金属 (TM) 的有前途的 NASICON 成分，并系统地研究多种 TM 在影响 NASICON 阴极各种性能方面的作用，我们在这项工作中采用密度泛函理论计算来研究九种含有 Mn、Cr ​​和/或 Fe 的 NASICON 成分，涵盖一元、二元和三元组合。我们的计算表明，一元系统在 NaxTM2(PO4)3 中的 Na 含量（NaxTM2(PO4)3 中的 x）下表现出明确的稳定性，而二元和三元系统则表现出更复杂的相行为，其中一些系统表现出热力学最小值从 x = 3 到 x = 2 的转变。插层电压突出了 Fe4+/Fe3+ 氧化还原活性在提高平均电压 (∼4.0 V) 方面的主导作用，而 Mn 和 Cr分别引入中低电压氧化还原活性。电子结构数据表明带隙的非系统变化，特别是在包含多个TM的系统中。 Na+ 迁移率结果表明混合 TM 框架是有利的，可实现 0.3-0.4 eV 范围内的 Na+ 迁移势垒。重要的是，我们确定 NaxMnFe0.5Cr0.5(PO4)3 是一种有前途的三元组合物，可用于后续实验验证，提供相稳定性、电压、热力学（亚）稳定性和 Na+ 迁移阻挡的最佳交集</w:t>
      </w:r>
    </w:p>
    <w:p>
      <w:pPr>
        <w:spacing w:before="0" w:after="200" w:lineRule="auto" w:line="276"/>
      </w:pPr>
      <w:r>
        <w:rPr>
          <w:b/>
        </w:rPr>
        <w:t xml:space="preserve">Abstract (EN): </w:t>
      </w:r>
      <w:r>
        <w:t>The search for sustainable, high-performance cathodes has driven a growing interest in sodium superionic conductor (NASICON)-type phosphate compounds for sodium-ion batteries (SIBs). To identify promising NASICON compositions containing earth-abundant transition metals (TMs) and to systematically examine the role of multiple TMs in influencing the various properties of NASICON cathodes, we employ density functional theory calculations in this work to investigate nine NASICON compositions containing Mn, Cr, and/or Fe, spanning unary, binary, and ternary combinations. Our calculations reveal that unary systems, in terms of their Na intercalation phase behavior, exhibit well-defined stabilization at intermediate Na contents (x in NaxTM2(PO4)3), while binary and ternary systems display more complex phase behavior, with some systems showing a shift of thermodynamic minima from x = 3 to x = 2. Intercalation voltages highlight the dominant role of Fe4+/Fe3+ redox activity in elevating average voltages (∼4.0 V), while Mn and Cr introduce intermediate-to-low voltage redox activity, respectively. Electronic structure data demonstrate nonsystematic changes in the band gap, especially in systems containing multiple TMs. Na+ mobility results identify mixed-TM frameworks as favorable, achieving Na+ migration barriers in the 0.3–0.4 eV range. Importantly, we identify NaxMnFe0.5Cr0.5(PO4)3 to be a promising ternary composition for subsequent experimental validation, offering an optimal intersection of phase stability, voltages, thermodynamic (meta)stability, and Na+ migration barriers. Together, our study provides fundamental insights into the interplay between compositional complexity, thermodynamic stability, electronic structure, and ionic transport in NASICON cathodes, and offers actionable design principles for utilizing multi-TM NASICONs as high performance cathode materials in SIBs.</w:t>
      </w:r>
    </w:p>
    <w:p>
      <w:pPr>
        <w:spacing w:before="120" w:after="120"/>
      </w:pPr>
      <w:r>
        <w:rPr>
          <w:sz w:val="18"/>
        </w:rPr>
        <w:t>——————————————————————————————————————————————————————————————————————</w:t>
      </w:r>
    </w:p>
    <w:p>
      <w:pPr>
        <w:spacing w:before="160" w:after="40" w:line="240" w:lineRule="auto"/>
      </w:pPr>
      <w:r>
        <w:rPr>
          <w:b/>
        </w:rPr>
        <w:t xml:space="preserve">[26] </w:t>
      </w:r>
      <w:hyperlink r:id="rId135">
        <w:r>
          <w:rPr>
            <w:color w:val="1155CC"/>
            <w:u w:val="single"/>
          </w:rPr>
          <w:t>掺铝 LiCoO2 阴极动力学均匀化的直接光学可视化</w:t>
        </w:r>
      </w:hyperlink>
    </w:p>
    <w:p>
      <w:pPr>
        <w:spacing w:before="0" w:after="80"/>
      </w:pPr>
      <w:r>
        <w:rPr>
          <w:i/>
          <w:sz w:val="20"/>
        </w:rPr>
        <w:t>EN: Direct Optical Visualization of Kinetic Homogenization in Al‑Doped LiCoO2 Cathodes</w:t>
      </w:r>
    </w:p>
    <w:p>
      <w:pPr>
        <w:spacing w:before="0" w:after="120"/>
      </w:pPr>
      <w:r>
        <w:rPr>
          <w:b/>
        </w:rPr>
        <w:t xml:space="preserve">Source: </w:t>
      </w:r>
      <w:r>
        <w:t>Wiley: Advanced Energy Materials: Table of Contents</w:t>
      </w:r>
      <w:r>
        <w:t xml:space="preserve">    </w:t>
      </w:r>
      <w:r>
        <w:rPr>
          <w:b/>
        </w:rPr>
        <w:t xml:space="preserve">Pub date: </w:t>
      </w:r>
      <w:r>
        <w:t>2026-08-06 06:25:48+00:00</w:t>
      </w:r>
      <w:r>
        <w:t xml:space="preserve">    </w:t>
      </w:r>
      <w:r>
        <w:rPr>
          <w:b/>
        </w:rPr>
        <w:t xml:space="preserve">DOI: </w:t>
      </w:r>
      <w:hyperlink r:id="rId136">
        <w:r>
          <w:rPr>
            <w:color w:val="1155CC"/>
            <w:u w:val="single"/>
          </w:rPr>
          <w:t>10.1002/aenm.71404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相变动力学控制着层状氧化物阴极的性能和降解，但在操作条件下仍难以在单粒子水平上观察到。在这里，我们引入了光学散射显微镜，用于实时可视化单个 LiCoO 中的相变路径</w:t>
      </w:r>
      <w:r>
        <w:rPr>
          <w:vertAlign w:val="subscript"/>
        </w:rPr>
        <w:t>2</w:t>
      </w:r>
      <w:r>
        <w:t>（LCO）颗粒。通过解码 H1、H2 和 H1-3 相的光学特征，我们跟踪电池运行期间的相边界演化。未掺杂的 LCO 在高电压循环下表现出渐进的动力学不稳定：H1→H2 转变从对称收缩核心传播演变为不对称运动，并且在 H3→H1-3 转变期间层间动力学异步性加剧。相比之下，Al掺杂LCO表现出高度均匀和可逆的锂嵌入（脱嵌），抑制相分离和层间异质性。结合原位 XRD、热力学分析和相场模拟，我们证明 Al 掺杂可以平滑自由能景观并降低相分离的驱动力，从而将反应从突然的两相行为转变为类似固溶体的行为。这种动力学均质化促进了均匀的结构演化，减轻了应力积累，并增强了循环稳定性。我们的工作解决了高压 LCO 化学中长期存在的机械问题，并建立了一种用于探测能源材料相变的通用光学方法。</w:t>
      </w:r>
    </w:p>
    <w:p>
      <w:pPr>
        <w:spacing w:before="0" w:after="200" w:lineRule="auto" w:line="276"/>
      </w:pPr>
      <w:r>
        <w:rPr>
          <w:b/>
        </w:rPr>
        <w:t xml:space="preserve">Abstract (EN): </w:t>
      </w:r>
      <w:r>
        <w:t>Phase‐transformation dynamics govern the performance and degradation of layered oxide cathodes but remain difficult to observe at the single‐particle level under operating conditions. Here, we introduce optical scattering microscopy for real‐time visualization of phase‐transition pathways in individual LiCoO</w:t>
      </w:r>
      <w:r>
        <w:rPr>
          <w:vertAlign w:val="subscript"/>
        </w:rPr>
        <w:t>2</w:t>
      </w:r>
      <w:r>
        <w:t>(LCO) particles. By decoding optical signatures of the H1, H2, and H1–3 phases, we track phase‐boundary evolution during battery operation. Undoped LCO shows progressive kinetic destabilization under high‐voltage cycling: the H1→H2 transition evolves from symmetric shrinking‐core propagation to asymmetric motion, and interlayer kinetic asynchrony intensifies during the H3→H1–3 transition. In contrast, Al‐doped LCO exhibits highly homogeneous and reversible lithium (de)intercalation, suppressing phase separation and interlayer heterogeneity. Combined with in situ XRD, thermodynamic analysis, and phase‐field simulations, we demonstrate that Al doping smooths the free‐energy landscape and reduces the driving force for phase separation, shifting the reaction from abrupt two‐phase to solid‐solution‐like behavior. This kinetic homogenization promotes uniform structural evolution, alleviates stress accumulation, and enhances cycling stability. Our work resolves a long‐standing mechanistic question in high‐voltage LCO chemistry and establishes a generalizable optical methodology for probing phase transformations in energy materials.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137">
        <w:r>
          <w:rPr>
            <w:color w:val="1155CC"/>
            <w:u w:val="single"/>
          </w:rPr>
          <w:t>将原子银锚定在高性能无阳极锂金属​​电池的有序氧空位中</w:t>
        </w:r>
      </w:hyperlink>
    </w:p>
    <w:p>
      <w:pPr>
        <w:spacing w:before="0" w:after="80"/>
      </w:pPr>
      <w:r>
        <w:rPr>
          <w:i/>
          <w:sz w:val="20"/>
        </w:rPr>
        <w:t>EN: Anchoring Atomic Ag in Ordered Oxygen Vacancies for High‐Performance Anode‐Free Lithium Metal Batteries</w:t>
      </w:r>
    </w:p>
    <w:p>
      <w:pPr>
        <w:spacing w:before="0" w:after="120"/>
      </w:pPr>
      <w:r>
        <w:rPr>
          <w:b/>
        </w:rPr>
        <w:t xml:space="preserve">Source: </w:t>
      </w:r>
      <w:r>
        <w:t>Wiley: Advanced Energy Materials: Table of Contents</w:t>
      </w:r>
      <w:r>
        <w:t xml:space="preserve">    </w:t>
      </w:r>
      <w:r>
        <w:rPr>
          <w:b/>
        </w:rPr>
        <w:t xml:space="preserve">Pub date: </w:t>
      </w:r>
      <w:r>
        <w:t>2026-07-31 07:18:10+00:00</w:t>
      </w:r>
      <w:r>
        <w:t xml:space="preserve">    </w:t>
      </w:r>
      <w:r>
        <w:rPr>
          <w:b/>
        </w:rPr>
        <w:t xml:space="preserve">DOI: </w:t>
      </w:r>
      <w:hyperlink r:id="rId138">
        <w:r>
          <w:rPr>
            <w:color w:val="1155CC"/>
            <w:u w:val="single"/>
          </w:rPr>
          <w:t>10.1002/aenm.71382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枝晶的不可控生长和铜集流体上不稳定的固体电解质界面（SEI）的形成仍然是无阳极锂金属电池（AFLMB）实际应用的关键挑战。在这里，我们提出了一种简单有效的界面工程策略，通过在铜箔上构建由亲锂纳米片组成的三维薄膜（CAC@Cu）。在 CAC 薄膜中，Ag 原子以原子方式分散并固定在 CeO 内的氧空位位点上</w:t>
      </w:r>
      <w:r>
        <w:rPr>
          <w:vertAlign w:val="subscript"/>
        </w:rPr>
        <w:t>2</w:t>
      </w:r>
      <w:r>
        <w:t>晶格，诱导独特的原子重排，促进高度有序的氧空位分布。所得集流体表现出优异的亲锂性，将锂成核过电势显着降低至 23 mV，并提高了交换电流密度。这些特性引导均匀致密的锂沉积，同时促进富含无机成分的稳定复合SEI的形成。因此，CAC@Cu 在半电池中实现了高达 99.27% 的平均库仑效率，在对称电池中实现了超过 2500 小时的非常稳定的循环，并显着提高了无阳极 LiFePO 的容量保持率</w:t>
      </w:r>
      <w:r>
        <w:rPr>
          <w:vertAlign w:val="subscript"/>
        </w:rPr>
        <w:t>4</w:t>
      </w:r>
      <w:r>
        <w:t>和NCM811全电池。这项工作为通过空位锚定和原子重排进行金属掺杂的机制提供了深刻的见解，为开发高性能、无枝晶的锂金属电池提供了一种有前景的界面工程方法。</w:t>
      </w:r>
    </w:p>
    <w:p>
      <w:pPr>
        <w:spacing w:before="0" w:after="200" w:lineRule="auto" w:line="276"/>
      </w:pPr>
      <w:r>
        <w:rPr>
          <w:b/>
        </w:rPr>
        <w:t xml:space="preserve">Abstract (EN): </w:t>
      </w:r>
      <w:r>
        <w:t>The uncontrollable growth of lithium dendrites and the formation of unstable solid electrolyte interphase (SEI) on copper current collectors remain critical challenges for the practical application of anode‐free lithium metal batteries (AFLMB). Here, we propose a facile and effective interface engineering strategy by constructing a three‐dimensional film consisting of lithiophilic nano‐sheets on copper foil (CAC@Cu). In the CAC film, Ag atoms are atomically dispersed and anchored at the oxygen vacancy sites within the CeO</w:t>
      </w:r>
      <w:r>
        <w:rPr>
          <w:vertAlign w:val="subscript"/>
        </w:rPr>
        <w:t>2</w:t>
      </w:r>
      <w:r>
        <w:t>lattice, inducing a unique atomic rearrangement that promotes highly ordered oxygen vacancy distribution. The resultant current collector exhibits exceptional lithiophilicity, significantly reducing the lithium nucleation overpotential to 23 mV and enhancing the exchange current density. These properties guide uniform and dense lithium deposition while facilitating the formation of a stable, composite SEI rich in inorganic components. Consequently, the CAC@Cu enables a high average Coulombic efficiency of 99.27% in half‐cells, remarkably stable cycling over 2500 h in symmetric cells, and significantly improved capacity retention in anode‐free LiFePO</w:t>
      </w:r>
      <w:r>
        <w:rPr>
          <w:vertAlign w:val="subscript"/>
        </w:rPr>
        <w:t>4</w:t>
      </w:r>
      <w:r>
        <w:t>and NCM811 full cells. This work provides profound insights into the mechanism of metal doping via vacancy anchoring and atomic rearrangement, offering a promising interface‐engineering approach for developing high‐performance, dendrite‐free lithium metal batteries.</w:t>
      </w:r>
    </w:p>
    <w:p>
      <w:pPr>
        <w:spacing w:before="120" w:after="120"/>
      </w:pPr>
      <w:r>
        <w:rPr>
          <w:sz w:val="18"/>
        </w:rPr>
        <w:t>——————————————————————————————————————————————————————————————————————</w:t>
      </w:r>
    </w:p>
    <w:p>
      <w:pPr>
        <w:spacing w:before="160" w:after="40" w:line="240" w:lineRule="auto"/>
      </w:pPr>
      <w:r>
        <w:rPr>
          <w:b/>
        </w:rPr>
        <w:t xml:space="preserve">[2] </w:t>
      </w:r>
      <w:hyperlink r:id="rId92">
        <w:r>
          <w:rPr>
            <w:color w:val="1155CC"/>
            <w:u w:val="single"/>
          </w:rPr>
          <w:t>固态锂硫电池界面化学的最新进展</w:t>
        </w:r>
      </w:hyperlink>
    </w:p>
    <w:p>
      <w:pPr>
        <w:spacing w:before="0" w:after="80"/>
      </w:pPr>
      <w:r>
        <w:rPr>
          <w:i/>
          <w:sz w:val="20"/>
        </w:rPr>
        <w:t>EN: Recent Advances in Interfacial Chemistry for Solid‐State Lithium–Sulfur Batteries</w:t>
      </w:r>
    </w:p>
    <w:p>
      <w:pPr>
        <w:spacing w:before="0" w:after="120"/>
      </w:pPr>
      <w:r>
        <w:rPr>
          <w:b/>
        </w:rPr>
        <w:t xml:space="preserve">Source: </w:t>
      </w:r>
      <w:r>
        <w:t>Wiley: Advanced Materials: Table of Contents</w:t>
      </w:r>
      <w:r>
        <w:t xml:space="preserve">    </w:t>
      </w:r>
      <w:r>
        <w:rPr>
          <w:b/>
        </w:rPr>
        <w:t xml:space="preserve">Pub date: </w:t>
      </w:r>
      <w:r>
        <w:t>2026-08-01 09:57:01+00:00</w:t>
      </w:r>
      <w:r>
        <w:t xml:space="preserve">    </w:t>
      </w:r>
      <w:r>
        <w:rPr>
          <w:b/>
        </w:rPr>
        <w:t xml:space="preserve">DOI: </w:t>
      </w:r>
      <w:hyperlink r:id="rId93">
        <w:r>
          <w:rPr>
            <w:color w:val="1155CC"/>
            <w:u w:val="single"/>
          </w:rPr>
          <w:t>10.1002/adma.74405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全固态锂硫电池（ASSLSB）已成为下一代储能系统的极有前途的候选者，其具有地球丰富的硫阴极、高容量锂金属阳极和不可燃固态电解质（SSE）的独特组合。这些组件共同规避了能量密度限制（&lt;300 Wh kg</w:t>
      </w:r>
      <w:r>
        <w:t xml:space="preserve"> </w:t>
      </w:r>
      <w:r>
        <w:t>−1</w:t>
      </w:r>
      <w:r>
        <w:t xml:space="preserve"> </w:t>
      </w:r>
      <w:r>
        <w:t>）和传统液体电解质锂离子电池的安全问题。然而，锂阳极和硫阴极的 SSE/电极界面处的高阻抗阻碍了有效的电荷转移和锂剥离/电镀动力学，这表明存在关键瓶颈。本综述重点关注控制这些固态界面的机械动力学。我们深入分析了 SSE/电极界面的起源和演变及其对电化学性能的影响。此外，我们系统地评估了破译固态硫转化反应和锂沉积/剥离过程以及增强界面稳定性和反应动力学的最先进策略。最后，我们研究了实验室当前的成就与实际 ASSSLB 的工业要求之间的差距，然后提出了可行的观点。本次综述预计将为固态电池社区提供有价值的见解，并促进高性能 ASSLSB 的实现。</w:t>
      </w:r>
    </w:p>
    <w:p>
      <w:pPr>
        <w:spacing w:before="0" w:after="200" w:lineRule="auto" w:line="276"/>
      </w:pPr>
      <w:r>
        <w:rPr>
          <w:b/>
        </w:rPr>
        <w:t xml:space="preserve">Abstract (EN): </w:t>
      </w:r>
      <w:r>
        <w:t>All‐solid‐state Lithium–sulfur batteries (ASSLSBs) have emerged as a highly promising candidate for next‐generation energy storage systems, featuring a unique combination of earth‐abundant sulfur cathodes, high‐capacity lithium metal anodes, and nonflammable solid‐state electrolytes (SSEs). These components collectively circumvent the energy density limitations (&amp;lt;300 Wh kg</w:t>
      </w:r>
      <w:r>
        <w:t xml:space="preserve"> </w:t>
      </w:r>
      <w:r>
        <w:t>−1</w:t>
      </w:r>
      <w:r>
        <w:t xml:space="preserve"> </w:t>
      </w:r>
      <w:r>
        <w:t>) and safety concerns for the conventional liquid electrolyte‐based lithium‐ion batteries. However, the high impedances at the SSEs/electrode interfaces, at both Li anodes and sulfur cathodes, impede efficient charge transfer and Li stripping/plating kinetics, indicating a critical bottleneck. This review focuses on the mechanistic dynamics governing these solid‐state interfaces. We provide an in‐depth analysis of the origin and evolution of SSEs/electrode interfaces and their impact on the electrochemical performance. Furthermore, we systematically evaluate state‐of‐the‐art strategies for deciphering solid‐state sulfur conversion reactions and Li plating/stripping processes, as well as for enhancing the interfacial stability and reaction kinetics. Finally, we examine the gap between current achievements in laboratories and the industrial requirements for practical ASSLSBs, followed by actionable perspectives. This review is expected to provide valuable insights for solid‐state battery community and facilitate the realization of high‐performance ASSLSBs.</w:t>
      </w:r>
    </w:p>
    <w:p>
      <w:pPr>
        <w:spacing w:before="120" w:after="120"/>
      </w:pPr>
      <w:r>
        <w:rPr>
          <w:sz w:val="18"/>
        </w:rPr>
        <w:t>——————————————————————————————————————————————————————————————————————</w:t>
      </w:r>
    </w:p>
    <w:p>
      <w:pPr>
        <w:spacing w:before="160" w:after="40" w:line="240" w:lineRule="auto"/>
      </w:pPr>
      <w:r>
        <w:rPr>
          <w:b/>
        </w:rPr>
        <w:t xml:space="preserve">[3] </w:t>
      </w:r>
      <w:hyperlink r:id="rId139">
        <w:r>
          <w:rPr>
            <w:color w:val="1155CC"/>
            <w:u w:val="single"/>
          </w:rPr>
          <w:t>破译由电子泄漏和双轴压力驱动的固态电解质中的块状锂枝晶演化</w:t>
        </w:r>
      </w:hyperlink>
    </w:p>
    <w:p>
      <w:pPr>
        <w:spacing w:before="0" w:after="80"/>
      </w:pPr>
      <w:r>
        <w:rPr>
          <w:i/>
          <w:sz w:val="20"/>
        </w:rPr>
        <w:t>EN: Deciphering Bulk Lithium Dendrite Evolution in Solid-State Electrolytes Driven by Electron Leakage and Biaxial Pressures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140">
        <w:r>
          <w:rPr>
            <w:color w:val="1155CC"/>
            <w:u w:val="single"/>
          </w:rPr>
          <w:t>10.1021/acsami.6c10487</w:t>
        </w:r>
      </w:hyperlink>
    </w:p>
    <w:p>
      <w:pPr>
        <w:spacing w:before="0" w:after="120"/>
      </w:pPr>
      <w:r>
        <w:rPr>
          <w:b/>
        </w:rPr>
        <w:t xml:space="preserve">Notes: </w:t>
      </w:r>
      <w:r>
        <w:t>abstract_source=crossref</w:t>
      </w:r>
    </w:p>
    <w:p>
      <w:pPr>
        <w:spacing w:before="0" w:after="80" w:lineRule="auto" w:line="276"/>
      </w:pPr>
      <w:r>
        <w:rPr>
          <w:b/>
        </w:rPr>
        <w:t xml:space="preserve">摘要（ZH）: </w:t>
      </w:r>
      <w:r>
        <w:t>摘要 固态锂金属电池（SSLMBS）是下一代储能的有希望的候选者。然而，固体电解质晶界（GB）处电子泄漏引起的大量锂枝晶成核和生长以及界面枝晶生长严重阻碍了实际应用。现有的研究主要单独处理电子泄漏和机械应力，未能系统地阐明它们对体枝晶演化的耦合调节机制。为了弥补这一差距，我们开发了锂枝晶成核和生长的电化学机械相场模型。该框架动态地捕获了枝晶成核和生长的完整演变。通过引入关键的定量指标，包括平均成核概率、成核分布均匀性、体枝晶分数和穿透风险，我们揭示了电子浓度、堆积压力和侧向压力如何控制体枝晶的演化。此外，通过多参数等值线图，我们明确地确定了电子浓度在驱动枝晶成核和整体生长中的绝对主导作用。至关重要的是，我们阐明了在调节枝晶演化和减轻渗透风险方面严格的方向选择性和堆积压力与侧向压力之间的竞争权衡。该研究为GB电子特性和操作双轴压力的协同优化提供了坚实的理论基础，为从根本上提高SSL的安全性提供了合理的策略</w:t>
      </w:r>
    </w:p>
    <w:p>
      <w:pPr>
        <w:spacing w:before="0" w:after="200" w:lineRule="auto" w:line="276"/>
      </w:pPr>
      <w:r>
        <w:rPr>
          <w:b/>
        </w:rPr>
        <w:t xml:space="preserve">Abstract (EN): </w:t>
      </w:r>
      <w:r>
        <w:t>Solid-state lithium metal batteries (SSLMBSs) are promising candidates for next-generation energy storage. However, practical application is severely hindered by bulk lithium dendrite nucleation and growth induced by electron leakage at the grain boundaries (GBs) of solid electrolytes, alongside interfacial dendrite growth. Existing studies predominantly treat electron leakage and mechanical stress in isolation, failing to systematically elucidate their coupled regulatory mechanisms on bulk dendrite evolution. To bridge this gap, we develop an electro–chemo–mechanical phase-field model of lithium dendrite nucleation and growth. This framework dynamically captures the complete evolution of dendrite nucleation and growth. By introducing key quantitative metrics, including average nucleation probability, nucleation distribution uniformity, bulk dendrite fraction, and penetrating risk, we reveal how electron concentration, stacking pressure, and lateral pressure govern bulk dendrite evolution. Furthermore, through multiparameter contour maps, we unambiguously established the absolute dominance of electron concentration in driving dendrite nucleation and global growth. Crucially, we elucidate the strict directional selectivity and competing trade-offs between stacking and lateral pressures in modulating dendrite evolution and mitigating penetration risk. This study provides a robust theoretical foundation for the synergistic optimization of GB electronic properties and operational biaxial pressures, offering rational strategies to fundamentally enhance the safety of SSLMBs.</w:t>
      </w:r>
    </w:p>
    <w:p>
      <w:pPr>
        <w:spacing w:before="120" w:after="120"/>
      </w:pPr>
      <w:r>
        <w:rPr>
          <w:sz w:val="18"/>
        </w:rPr>
        <w:t>——————————————————————————————————————————————————————————————————————</w:t>
      </w:r>
    </w:p>
    <w:p>
      <w:pPr>
        <w:spacing w:before="160" w:after="40" w:line="240" w:lineRule="auto"/>
      </w:pPr>
      <w:r>
        <w:rPr>
          <w:b/>
        </w:rPr>
        <w:t xml:space="preserve">[4] </w:t>
      </w:r>
      <w:hyperlink r:id="rId141">
        <w:r>
          <w:rPr>
            <w:color w:val="1155CC"/>
            <w:u w:val="single"/>
          </w:rPr>
          <w:t>通过原位生长设计六氮杂苯并菲共价有机框架/碳纳米管纳米杂化物以实现卓越的阳极锂离子存储</w:t>
        </w:r>
      </w:hyperlink>
    </w:p>
    <w:p>
      <w:pPr>
        <w:spacing w:before="0" w:after="80"/>
      </w:pPr>
      <w:r>
        <w:rPr>
          <w:i/>
          <w:sz w:val="20"/>
        </w:rPr>
        <w:t>EN: Engineering Hexaazatriphenylene Covalent Organic Frameworks/Carbon Nanotube Nanohybrids through In Situ Growth for Superior Anodic Lithium-Ion Storage</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42">
        <w:r>
          <w:rPr>
            <w:color w:val="1155CC"/>
            <w:u w:val="single"/>
          </w:rPr>
          <w:t>10.1021/acsami.6c07460</w:t>
        </w:r>
      </w:hyperlink>
    </w:p>
    <w:p>
      <w:pPr>
        <w:spacing w:before="0" w:after="120"/>
      </w:pPr>
      <w:r>
        <w:rPr>
          <w:b/>
        </w:rPr>
        <w:t xml:space="preserve">Notes: </w:t>
      </w:r>
      <w:r>
        <w:t>abstract_source=crossref</w:t>
      </w:r>
    </w:p>
    <w:p>
      <w:pPr>
        <w:spacing w:before="0" w:after="80" w:lineRule="auto" w:line="276"/>
      </w:pPr>
      <w:r>
        <w:rPr>
          <w:b/>
        </w:rPr>
        <w:t xml:space="preserve">摘要（ZH）: </w:t>
      </w:r>
      <w:r>
        <w:t>摘要氧化还原活性共价有机框架（COF）代表了一类有前途的锂离子电池（LIB）可持续有机电极材料。然而，COF 紧密的层堆叠和较差的固有电导率对其内部氧化还原活性位点的利用构成了主要障碍。为了克服这一挑战，通过六酮环己烷与不同芳香族多胺单体在导电碳纳米管（CNT）表面的原位缩聚合成了三种吩嗪连接的COF杂化物（HHATP-COF@CNT、HDAB-COF@CNT和HTAB-COF@CNT），形成富含氧化还原活性六氮杂苯并菲（HAT）和芳香环部分的核壳纳米复合材料。受益于 COF 中扩展的 π 电子离域和高密度氧化还原活性位点，与 CNT 的卓越导电性和柔性网络协同作用，这些杂化材料具有高容量、倍率性能和循环稳定性。因此，HHATP-COF@CNT核壳阳极在0.1 A g-1下具有926 mAh g-1的高初始比容量，并在5.0 A g-1的高电流密度下表现出超过1500次循环的稳定循环性能。不同充电/放电状态下的互补 XPS 和 FT-IR 测量明确地将卓越的电化学性能归因于嵌入共轭 COF 架构中的丰富的氧化还原活性 HAT 单元和芳香环。这项研究凸显了 COF 基材料在实现高性能 Li+ 存储方面的巨大潜力。</w:t>
      </w:r>
    </w:p>
    <w:p>
      <w:pPr>
        <w:spacing w:before="0" w:after="200" w:lineRule="auto" w:line="276"/>
      </w:pPr>
      <w:r>
        <w:rPr>
          <w:b/>
        </w:rPr>
        <w:t xml:space="preserve">Abstract (EN): </w:t>
      </w:r>
      <w:r>
        <w:t>Redox-active covalent organic frameworks (COFs) represent a promising class of sustainable organic electrode materials for lithium-ion batteries (LIBs). However, the tight layer stacking and poor inherent conductivity of COFs pose a major barrier to utilizing their internal redox-active sites. To circumvent the challenge, three phenazine-linked COFs hybrids (HHATP-COF@CNT, HDAB-COF@CNT, and HTAB-COF@CNT) are synthesized through the in situ polycondensation of hexaketocyclohexane with distinct aromatic multi-amine monomers on conductive carbon nanotube (CNT) surfaces, forming core–shell nanocomposites rich in redox-active hexaazatriphenylene (HAT) and aromatic ring moieties. Benefiting from the extended π-electron delocalization and high-density redox-active sites in COFs, synergized with the superior conductivity and flexible network of CNTs, these hybrids deliver high capacity, rate capability, and cycling stability. Consequently, the HHATP-COF@CNT core–shell anode delivers a high initial specific capacity of 926 mAh g–1 at 0.1 A g–1 and exhibits stable cycling performance over 1500 cycles at a high current density of 5.0 A g–1. Complementary XPS and FT-IR measurements under different states of charge/discharge unequivocally attribute the superior electrochemical performance to the rich redox-active HAT units and aromatic rings embedded in the conjugated COF architectures. This research highlights the significant potential of COF-based materials in enabling high-performance Li+ storage.</w:t>
      </w:r>
    </w:p>
    <w:p>
      <w:pPr>
        <w:spacing w:before="120" w:after="120"/>
      </w:pPr>
      <w:r>
        <w:rPr>
          <w:sz w:val="18"/>
        </w:rPr>
        <w:t>——————————————————————————————————————————————————————————————————————</w:t>
      </w:r>
    </w:p>
    <w:p>
      <w:pPr>
        <w:spacing w:before="160" w:after="40" w:line="240" w:lineRule="auto"/>
      </w:pPr>
      <w:r>
        <w:rPr>
          <w:b/>
        </w:rPr>
        <w:t xml:space="preserve">[5] </w:t>
      </w:r>
      <w:hyperlink r:id="rId106">
        <w:r>
          <w:rPr>
            <w:color w:val="1155CC"/>
            <w:u w:val="single"/>
          </w:rPr>
          <w:t>推出具有四电子化学的耐用水性锌碘软包电池的双界面协调编排</w:t>
        </w:r>
      </w:hyperlink>
    </w:p>
    <w:p>
      <w:pPr>
        <w:spacing w:before="0" w:after="80"/>
      </w:pPr>
      <w:r>
        <w:rPr>
          <w:i/>
          <w:sz w:val="20"/>
        </w:rPr>
        <w:t>EN: Unveiling Dual-Interface Coordination Orchestration for Durable Aqueous Zinc–Iodine Pouch Cells with Four-Electron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07">
        <w:r>
          <w:rPr>
            <w:color w:val="1155CC"/>
            <w:u w:val="single"/>
          </w:rPr>
          <w:t>10.1021/jacs.6c11308</w:t>
        </w:r>
      </w:hyperlink>
    </w:p>
    <w:p>
      <w:pPr>
        <w:spacing w:before="0" w:after="120"/>
      </w:pPr>
      <w:r>
        <w:rPr>
          <w:b/>
        </w:rPr>
        <w:t xml:space="preserve">Notes: </w:t>
      </w:r>
      <w:r>
        <w:t>abstract_source=crossref</w:t>
      </w:r>
    </w:p>
    <w:p>
      <w:pPr>
        <w:spacing w:before="0" w:after="80" w:lineRule="auto" w:line="276"/>
      </w:pPr>
      <w:r>
        <w:rPr>
          <w:b/>
        </w:rPr>
        <w:t xml:space="preserve">摘要（ZH）: </w:t>
      </w:r>
      <w:r>
        <w:t>摘要 电解质添加剂工程被认为是四电子水性锌碘电池（AZIB）双界面优化的有效策略。然而，实现具有工业级参数（≥10 mg cm-2 I2 阴极质量负载，≥5 mAh cm-2 Zn 阳极面积容量）的耐用 Ah 级 AZIB 仍然是一个重大障碍。在这里，我们比较了各种含氮阳离子配体，以评估它们对碘固定和锌成核的协同调节作用。此次筛选成功确立了 N-甲基咪唑氯化物 (MImCl) 作为稳定双界面配位的首要电解质添加剂。放电时，MIm+ 吸附在 I2 阴极上，能够与聚碘化物和 ICl2– 静电结合。这种相互作用不仅抑制了聚碘化物穿梭，而且还保护 I+ 物质免遭水解，从而在 I2 质量负载升高时促进稳健且可逆的四电子 I-/I0/I+ 氧化还原化学反应。在Zn阳极上，充电时MIm+优先吸附在其表面，加速Zn2+沉积动力学，抑制枝晶，同时钝化寄生反应，实现均匀的大容量镀/退锌。因此，工程化的 1.4 Ah 四电子 Zn||I2 软包电池实现了 800 次循环的优异循环性能和 455 Wh kg-1 的超高阴极质量比能量密度，超越了 Ah 级体系中大多数水基锌基系统。</w:t>
      </w:r>
    </w:p>
    <w:p>
      <w:pPr>
        <w:spacing w:before="0" w:after="200" w:lineRule="auto" w:line="276"/>
      </w:pPr>
      <w:r>
        <w:rPr>
          <w:b/>
        </w:rPr>
        <w:t xml:space="preserve">Abstract (EN): </w:t>
      </w:r>
      <w:r>
        <w:t>Electrolyte additive engineering is regarded as an effective strategy for dual-interface optimization in four-electron aqueous zinc–iodine batteries (AZIBs). However, realizing durable Ah-level AZIBs with industrial-grade parameters (≥10 mg cm–2 I2 cathode mass loading, ≥5 mAh cm–2 Zn anode areal capacity) remains a significant hurdle. Here, we compare various nitrogen-containing cationic ligands to evaluate their synergistic regulation on iodine immobilization and Zn nucleation. This screening successfully establishes N-methylimidazolium chloride (MImCl) as a premier electrolyte additive for stabilizing dual-interface coordination. Upon discharging, the adsorption of MIm+ on the I2 cathode enables electrostatic binding with polyiodides and ICl2–. This interaction not only suppresses the polyiodide shuttle but also shields the I+ species from hydrolysis, promoting a robust and reversible four-electron I–/I0/I+ redox chemistry at elevated I2 mass loading. On the Zn anode, MIm+ preferentially adsorbs onto its surface during charging, accelerating Zn2+ deposition kinetics for dendrite suppression while passivating parasitic reactions, realizing uniform large-capacity Zn plating/stripping. As a result, the engineered 1.4 Ah four-electron Zn||I2 pouch cells achieve an excellent cyclability of 800 cycles and an ultrahigh cathode-mass-specific energy density of 455 Wh kg–1, surpassing most aqueous Zn-based systems in the Ah-class regime.</w:t>
      </w:r>
    </w:p>
    <w:p>
      <w:pPr>
        <w:spacing w:before="120" w:after="120"/>
      </w:pPr>
      <w:r>
        <w:rPr>
          <w:sz w:val="18"/>
        </w:rPr>
        <w:t>——————————————————————————————————————————————————————————————————————</w:t>
      </w:r>
    </w:p>
    <w:p>
      <w:pPr>
        <w:spacing w:before="160" w:after="40" w:line="240" w:lineRule="auto"/>
      </w:pPr>
      <w:r>
        <w:rPr>
          <w:b/>
        </w:rPr>
        <w:t xml:space="preserve">[6] </w:t>
      </w:r>
      <w:hyperlink r:id="rId110">
        <w:r>
          <w:rPr>
            <w:color w:val="1155CC"/>
            <w:u w:val="single"/>
          </w:rPr>
          <w:t>石榴石诱导氟化物固体电解质中间层的非晶化使高电压和大容量锂金属固态电池成为可能</w:t>
        </w:r>
      </w:hyperlink>
    </w:p>
    <w:p>
      <w:pPr>
        <w:spacing w:before="0" w:after="80"/>
      </w:pPr>
      <w:r>
        <w:rPr>
          <w:i/>
          <w:sz w:val="20"/>
        </w:rPr>
        <w:t>EN: Garnet‐Induced Amorphization of Fluoride Solid Electrolyte Interlayer Enables High‐Voltage and Large‐Capacity Lithium Metal Solid‐State Batteries</w:t>
      </w:r>
    </w:p>
    <w:p>
      <w:pPr>
        <w:spacing w:before="0" w:after="120"/>
      </w:pPr>
      <w:r>
        <w:rPr>
          <w:b/>
        </w:rPr>
        <w:t xml:space="preserve">Source: </w:t>
      </w:r>
      <w:r>
        <w:t>Wiley: Advanced Energy Materials: Table of Contents</w:t>
      </w:r>
      <w:r>
        <w:t xml:space="preserve">    </w:t>
      </w:r>
      <w:r>
        <w:rPr>
          <w:b/>
        </w:rPr>
        <w:t xml:space="preserve">Pub date: </w:t>
      </w:r>
      <w:r>
        <w:t>2026-08-04 07:49:58+00:00</w:t>
      </w:r>
      <w:r>
        <w:t xml:space="preserve">    </w:t>
      </w:r>
      <w:r>
        <w:rPr>
          <w:b/>
        </w:rPr>
        <w:t xml:space="preserve">DOI: </w:t>
      </w:r>
      <w:hyperlink r:id="rId111">
        <w:r>
          <w:rPr>
            <w:color w:val="1155CC"/>
            <w:u w:val="single"/>
          </w:rPr>
          <w:t>10.1002/aenm.71375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石榴石型固态电解质Li</w:t>
      </w:r>
      <w:r>
        <w:t xml:space="preserve"> </w:t>
      </w:r>
      <w:r>
        <w:t>6.5</w:t>
      </w:r>
      <w:r>
        <w:t xml:space="preserve"> </w:t>
      </w:r>
      <w:r>
        <w:t>拉</w:t>
      </w:r>
      <w:r>
        <w:rPr>
          <w:vertAlign w:val="subscript"/>
        </w:rPr>
        <w:t>3</w:t>
      </w:r>
      <w:r>
        <w:t>锆</w:t>
      </w:r>
      <w:r>
        <w:t xml:space="preserve"> </w:t>
      </w:r>
      <w:r>
        <w:t>1.5</w:t>
      </w:r>
      <w:r>
        <w:t xml:space="preserve"> </w:t>
      </w:r>
      <w:r>
        <w:t>塔</w:t>
      </w:r>
      <w:r>
        <w:t xml:space="preserve"> </w:t>
      </w:r>
      <w:r>
        <w:t>0.5</w:t>
      </w:r>
      <w:r>
        <w:t xml:space="preserve"> </w:t>
      </w:r>
      <w:r>
        <w:t>氧</w:t>
      </w:r>
      <w:r>
        <w:rPr>
          <w:vertAlign w:val="subscript"/>
        </w:rPr>
        <w:t>12</w:t>
      </w:r>
      <w:r>
        <w:t>（LLZTO）由于其在室温（RT）下的高锂离子电导率和与锂金属良好的电化学稳定性而引起了广泛关注。然而，它在电解质/电极界面的高电阻以及石榴石内沿晶界生长的锂枝晶方面提出了挑战。这些挑战已被证明与厚的锂钝化层有关</w:t>
      </w:r>
      <w:r>
        <w:rPr>
          <w:vertAlign w:val="subscript"/>
        </w:rPr>
        <w:t>2</w:t>
      </w:r>
      <w:r>
        <w:t>一氧化碳</w:t>
      </w:r>
      <w:r>
        <w:rPr>
          <w:vertAlign w:val="subscript"/>
        </w:rPr>
        <w:t>3</w:t>
      </w:r>
      <w:r>
        <w:t>形成于LLZTO表面。在这里，我们提出了一种石榴石诱导的氟化物固体电解质（Li</w:t>
      </w:r>
      <w:r>
        <w:rPr>
          <w:vertAlign w:val="subscript"/>
        </w:rPr>
        <w:t>2</w:t>
      </w:r>
      <w:r>
        <w:t>氟化硅</w:t>
      </w:r>
      <w:r>
        <w:rPr>
          <w:vertAlign w:val="subscript"/>
        </w:rPr>
        <w:t>6</w:t>
      </w:r>
      <w:r>
        <w:t>) 离子电导率增强的中间层 (1.32 × 10</w:t>
      </w:r>
      <w:r>
        <w:t xml:space="preserve"> </w:t>
      </w:r>
      <w:r>
        <w:t>−6</w:t>
      </w:r>
      <w:r>
        <w:t xml:space="preserve"> </w:t>
      </w:r>
      <w:r>
        <w:t>S/cm at RT）和电子绝缘来应对这些挑战。锂金属对称电池表现出可忽略不计的界面电阻（约 1 Ω cm</w:t>
      </w:r>
      <w:r>
        <w:rPr>
          <w:vertAlign w:val="subscript"/>
        </w:rPr>
        <w:t>2</w:t>
      </w:r>
      <w:r>
        <w:t>）并达到 4.4 mA/cm 的创纪录高临界电流密度</w:t>
      </w:r>
      <w:r>
        <w:rPr>
          <w:vertAlign w:val="subscript"/>
        </w:rPr>
        <w:t>2</w:t>
      </w:r>
      <w:r>
        <w:t>在室温下。 Li出色的高压稳定性</w:t>
      </w:r>
      <w:r>
        <w:rPr>
          <w:vertAlign w:val="subscript"/>
        </w:rPr>
        <w:t>2</w:t>
      </w:r>
      <w:r>
        <w:t>氟化硅</w:t>
      </w:r>
      <w:r>
        <w:rPr>
          <w:vertAlign w:val="subscript"/>
        </w:rPr>
        <w:t>6</w:t>
      </w:r>
      <w:r>
        <w:t>有助于增强氧化</w:t>
      </w:r>
    </w:p>
    <w:p>
      <w:pPr>
        <w:spacing w:before="0" w:after="200" w:lineRule="auto" w:line="276"/>
      </w:pPr>
      <w:r>
        <w:rPr>
          <w:b/>
        </w:rPr>
        <w:t xml:space="preserve">Abstract (EN): </w:t>
      </w:r>
      <w:r>
        <w:t>Garnet‐type solid‐state electrolyte Li</w:t>
      </w:r>
      <w:r>
        <w:t xml:space="preserve"> </w:t>
      </w:r>
      <w:r>
        <w:t>6.5</w:t>
      </w:r>
      <w:r>
        <w:t xml:space="preserve"> </w:t>
      </w:r>
      <w:r>
        <w:t>La</w:t>
      </w:r>
      <w:r>
        <w:rPr>
          <w:vertAlign w:val="subscript"/>
        </w:rPr>
        <w:t>3</w:t>
      </w:r>
      <w:r>
        <w:t>Zr</w:t>
      </w:r>
      <w:r>
        <w:t xml:space="preserve"> </w:t>
      </w:r>
      <w:r>
        <w:t>1.5</w:t>
      </w:r>
      <w:r>
        <w:t xml:space="preserve"> </w:t>
      </w:r>
      <w:r>
        <w:t>Ta</w:t>
      </w:r>
      <w:r>
        <w:t xml:space="preserve"> </w:t>
      </w:r>
      <w:r>
        <w:t>0.5</w:t>
      </w:r>
      <w:r>
        <w:t xml:space="preserve"> </w:t>
      </w:r>
      <w:r>
        <w:t>O</w:t>
      </w:r>
      <w:r>
        <w:rPr>
          <w:vertAlign w:val="subscript"/>
        </w:rPr>
        <w:t>12</w:t>
      </w:r>
      <w:r>
        <w:t>(LLZTO) has garnered significant attention owing to its high Li‐ion conductivity at room temperature (RT) and good electrochemical stability with Li metal. However, it presents the challenges in terms of high resistance at electrolyte/electrode interfaces, coupled with the growth of lithium dendrites along grain boundaries within garnet. These challenges have been proven to be related to a thick passivation layer of Li</w:t>
      </w:r>
      <w:r>
        <w:rPr>
          <w:vertAlign w:val="subscript"/>
        </w:rPr>
        <w:t>2</w:t>
      </w:r>
      <w:r>
        <w:t>CO</w:t>
      </w:r>
      <w:r>
        <w:rPr>
          <w:vertAlign w:val="subscript"/>
        </w:rPr>
        <w:t>3</w:t>
      </w:r>
      <w:r>
        <w:t>formed on LLZTO surface. Here, we propose a garnet‐induced amorphization strategy of fluoride solid electrolyte (Li</w:t>
      </w:r>
      <w:r>
        <w:rPr>
          <w:vertAlign w:val="subscript"/>
        </w:rPr>
        <w:t>2</w:t>
      </w:r>
      <w:r>
        <w:t>SiF</w:t>
      </w:r>
      <w:r>
        <w:rPr>
          <w:vertAlign w:val="subscript"/>
        </w:rPr>
        <w:t>6</w:t>
      </w:r>
      <w:r>
        <w:t>) interlayer with enhanced ionic conductivity (1.32 × 10</w:t>
      </w:r>
      <w:r>
        <w:t xml:space="preserve"> </w:t>
      </w:r>
      <w:r>
        <w:t>−6</w:t>
      </w:r>
      <w:r>
        <w:t xml:space="preserve"> </w:t>
      </w:r>
      <w:r>
        <w:t>S/cm at RT) and electronic insulation to address these challenges. The Li metal symmetric cells exhibit negligible interfacial resistance (≈1 Ω cm</w:t>
      </w:r>
      <w:r>
        <w:rPr>
          <w:vertAlign w:val="subscript"/>
        </w:rPr>
        <w:t>2</w:t>
      </w:r>
      <w:r>
        <w:t>) and achieve a record‐high critical current density of 4.4 mA/cm</w:t>
      </w:r>
      <w:r>
        <w:rPr>
          <w:vertAlign w:val="subscript"/>
        </w:rPr>
        <w:t>2</w:t>
      </w:r>
      <w:r>
        <w:t>at RT. The outstanding high‐voltage stability of Li</w:t>
      </w:r>
      <w:r>
        <w:rPr>
          <w:vertAlign w:val="subscript"/>
        </w:rPr>
        <w:t>2</w:t>
      </w:r>
      <w:r>
        <w:t>SiF</w:t>
      </w:r>
      <w:r>
        <w:rPr>
          <w:vertAlign w:val="subscript"/>
        </w:rPr>
        <w:t>6</w:t>
      </w:r>
      <w:r>
        <w:t>contributes to enhance the oxidation capacity of the LLZTO system. The batteries coupled with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with a loading of 4.3 mg/cm</w:t>
      </w:r>
      <w:r>
        <w:rPr>
          <w:vertAlign w:val="subscript"/>
        </w:rPr>
        <w:t>2</w:t>
      </w:r>
      <w:r>
        <w:t>exhibit stable long‐term cycling up to 4.5 V. The all‐solid‐state conversion reaction batteries, with a high loading of FeF</w:t>
      </w:r>
      <w:r>
        <w:rPr>
          <w:vertAlign w:val="subscript"/>
        </w:rPr>
        <w:t>3</w:t>
      </w:r>
      <w:r>
        <w:t>cathode up to 5 mg/cm</w:t>
      </w:r>
      <w:r>
        <w:rPr>
          <w:vertAlign w:val="subscript"/>
        </w:rPr>
        <w:t>2</w:t>
      </w:r>
      <w:r>
        <w:t>, achieve a high reversible capacity close to 500 mAh/g. This study inspires the positive modulation of ceramic oxides on fluoride solid electrolytes and their multi‐functions on both anode and cathode.</w:t>
      </w:r>
    </w:p>
    <w:p>
      <w:pPr>
        <w:spacing w:before="120" w:after="120"/>
      </w:pPr>
      <w:r>
        <w:rPr>
          <w:sz w:val="18"/>
        </w:rPr>
        <w:t>——————————————————————————————————————————————————————————————————————</w:t>
      </w:r>
    </w:p>
    <w:p>
      <w:pPr>
        <w:spacing w:before="160" w:after="40" w:line="240" w:lineRule="auto"/>
      </w:pPr>
      <w:r>
        <w:rPr>
          <w:b/>
        </w:rPr>
        <w:t xml:space="preserve">[7] </w:t>
      </w:r>
      <w:hyperlink r:id="rId143">
        <w:r>
          <w:rPr>
            <w:color w:val="1155CC"/>
            <w:u w:val="single"/>
          </w:rPr>
          <w:t>相互连接的闭孔可以在硬碳中实现密集且轻松的钠存储</w:t>
        </w:r>
      </w:hyperlink>
    </w:p>
    <w:p>
      <w:pPr>
        <w:spacing w:before="0" w:after="80"/>
      </w:pPr>
      <w:r>
        <w:rPr>
          <w:i/>
          <w:sz w:val="20"/>
        </w:rPr>
        <w:t>EN: Interconnected Closed Pores Enable Dense and Facile Sodium Storage in Hard Carbon</w:t>
      </w:r>
    </w:p>
    <w:p>
      <w:pPr>
        <w:spacing w:before="0" w:after="120"/>
      </w:pPr>
      <w:r>
        <w:rPr>
          <w:b/>
        </w:rPr>
        <w:t xml:space="preserve">Source: </w:t>
      </w:r>
      <w:r>
        <w:t>Wiley: Advanced Materials: Table of Contents</w:t>
      </w:r>
      <w:r>
        <w:t xml:space="preserve">    </w:t>
      </w:r>
      <w:r>
        <w:rPr>
          <w:b/>
        </w:rPr>
        <w:t xml:space="preserve">Pub date: </w:t>
      </w:r>
      <w:r>
        <w:t>2026-08-04 13:17:09+00:00</w:t>
      </w:r>
      <w:r>
        <w:t xml:space="preserve">    </w:t>
      </w:r>
      <w:r>
        <w:rPr>
          <w:b/>
        </w:rPr>
        <w:t xml:space="preserve">DOI: </w:t>
      </w:r>
      <w:hyperlink r:id="rId144">
        <w:r>
          <w:rPr>
            <w:color w:val="1155CC"/>
            <w:u w:val="single"/>
          </w:rPr>
          <w:t>10.1002/adma.74503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硬碳（HC）阳极实现高平台容量是高能量密度钠离子电池（SIB）最关键的先决条件之一，但它从根本上受到传统高温退火过程中形成的难以接近的封闭孔隙的限制。在这里，我们提出了一种潜在可扩展的氧化重构策略来释放其潜在能力。通过将受控氧化蚀刻与随后的热重建相结合，构建了互连的闭孔网络。氧化预处理打开堵塞的通道并互连孤立的空隙，而重建则促进空隙融合，产生可用于准金属钠簇的成核和存储的内部储库。通过总中子散射、SAXS、原位技术和模拟阐明了这种结构演化和存储机制。因此，优化的 ICP-HC 阳极可提供 437 mAh g 的可逆容量</w:t>
      </w:r>
      <w:r>
        <w:t xml:space="preserve"> </w:t>
      </w:r>
      <w:r>
        <w:t>−1</w:t>
      </w:r>
      <w:r>
        <w:t xml:space="preserve"> </w:t>
      </w:r>
      <w:r>
        <w:t>初始库仑效率为91.5%。首次放电平台容量达到399 mAh g</w:t>
      </w:r>
      <w:r>
        <w:t xml:space="preserve"> </w:t>
      </w:r>
      <w:r>
        <w:t>−1</w:t>
      </w:r>
      <w:r>
        <w:t xml:space="preserve"> </w:t>
      </w:r>
      <w:r>
        <w:t>具有快速动力学（300 mAh g</w:t>
      </w:r>
      <w:r>
        <w:t xml:space="preserve"> </w:t>
      </w:r>
      <w:r>
        <w:t>−1</w:t>
      </w:r>
      <w:r>
        <w:t xml:space="preserve"> </w:t>
      </w:r>
      <w:r>
        <w:t>在2C），克服容量速率权衡。此外，NVP//ICP-HC全电池表现出优异的倍率性能（96 mAh g</w:t>
      </w:r>
      <w:r>
        <w:t xml:space="preserve"> </w:t>
      </w:r>
      <w:r>
        <w:t>−1</w:t>
      </w:r>
      <w:r>
        <w:t xml:space="preserve"> </w:t>
      </w:r>
      <w:r>
        <w:t>5C）和稳定循环（1C 下 200 次循环后保持率为 95%）。这项工作为高能量密度的先进碳阳极提供了一种可扩展的策略</w:t>
      </w:r>
    </w:p>
    <w:p>
      <w:pPr>
        <w:spacing w:before="0" w:after="200" w:lineRule="auto" w:line="276"/>
      </w:pPr>
      <w:r>
        <w:rPr>
          <w:b/>
        </w:rPr>
        <w:t xml:space="preserve">Abstract (EN): </w:t>
      </w:r>
      <w:r>
        <w:t>Achieving a high plateau capacity in hard carbon (HC) anodes is one of the most critical prerequisites for high‐energy‐density sodium–ion batteries (SIBs), yet it is fundamentally limited by inaccessible closed pores formed during conventional high‐temperature annealing. Here, we propose a potentially scalable oxidation‐reconfiguration strategy to unlock its latent capacity. By coupling controlled oxidative etching with subsequent thermal reconstruction, an interconnected closed‐pore network is constructed. Oxidative pretreatment opens blocked channels and interconnects isolated voids, while reconstruction promotes void fusion, generating accessible internal reservoirs for the nucleation and storage of quasi‐metallic sodium clusters. This structural evolution and storage mechanism are elucidated by total neutron scattering, SAXS, in situ techniques, and simulations. As a result, the optimized ICP‐HC anode delivers reversible capacity 437 mAh g</w:t>
      </w:r>
      <w:r>
        <w:t xml:space="preserve"> </w:t>
      </w:r>
      <w:r>
        <w:t>−1</w:t>
      </w:r>
      <w:r>
        <w:t xml:space="preserve"> </w:t>
      </w:r>
      <w:r>
        <w:t>with an initial Coulombic efficiency of 91.5%. It achieves an initial discharge plateau capacity of 399 mAh g</w:t>
      </w:r>
      <w:r>
        <w:t xml:space="preserve"> </w:t>
      </w:r>
      <w:r>
        <w:t>−1</w:t>
      </w:r>
      <w:r>
        <w:t xml:space="preserve"> </w:t>
      </w:r>
      <w:r>
        <w:t>with fast kinetics (300 mAh g</w:t>
      </w:r>
      <w:r>
        <w:t xml:space="preserve"> </w:t>
      </w:r>
      <w:r>
        <w:t>−1</w:t>
      </w:r>
      <w:r>
        <w:t xml:space="preserve"> </w:t>
      </w:r>
      <w:r>
        <w:t>at 2C), overcoming the capacity‐rate trade‐off. Furthermore, an NVP//ICP‐HC full cell shows excellent rate capability (96 mAh g</w:t>
      </w:r>
      <w:r>
        <w:t xml:space="preserve"> </w:t>
      </w:r>
      <w:r>
        <w:t>−1</w:t>
      </w:r>
      <w:r>
        <w:t xml:space="preserve"> </w:t>
      </w:r>
      <w:r>
        <w:t>at 5C) and stable cycling (95% retention over 200 cycles at 1C). This work provides a scalable strategy for advanced carbon anodes in high‐energy‐density SIBs.</w:t>
      </w:r>
    </w:p>
    <w:p>
      <w:pPr>
        <w:spacing w:before="120" w:after="120"/>
      </w:pPr>
      <w:r>
        <w:rPr>
          <w:sz w:val="18"/>
        </w:rPr>
        <w:t>——————————————————————————————————————————————————————————————————————</w:t>
      </w:r>
    </w:p>
    <w:p>
      <w:pPr>
        <w:spacing w:before="160" w:after="40" w:line="240" w:lineRule="auto"/>
      </w:pPr>
      <w:r>
        <w:rPr>
          <w:b/>
        </w:rPr>
        <w:t xml:space="preserve">[8] </w:t>
      </w:r>
      <w:hyperlink r:id="rId145">
        <w:r>
          <w:rPr>
            <w:color w:val="1155CC"/>
            <w:u w:val="single"/>
          </w:rPr>
          <w:t>从钠离子电池中的硬碳电化学中解耦钠金属伪影</w:t>
        </w:r>
      </w:hyperlink>
    </w:p>
    <w:p>
      <w:pPr>
        <w:spacing w:before="0" w:after="80"/>
      </w:pPr>
      <w:r>
        <w:rPr>
          <w:i/>
          <w:sz w:val="20"/>
        </w:rPr>
        <w:t>EN: Decoupling Sodium Metal Artifacts from Hard Carbon Electrochemistry in Sodium-Ion Batteries</w:t>
      </w:r>
    </w:p>
    <w:p>
      <w:pPr>
        <w:spacing w:before="0" w:after="120"/>
      </w:pPr>
      <w:r>
        <w:rPr>
          <w:b/>
        </w:rPr>
        <w:t xml:space="preserve">Source: </w:t>
      </w:r>
      <w:r>
        <w:t>ACS Energy Letters: Latest Articles (ACS Publications)</w:t>
      </w:r>
      <w:r>
        <w:t xml:space="preserve">    </w:t>
      </w:r>
      <w:r>
        <w:rPr>
          <w:b/>
        </w:rPr>
        <w:t xml:space="preserve">Pub date: </w:t>
      </w:r>
      <w:r>
        <w:t>2026-08-05 00:00:00+00:00</w:t>
      </w:r>
      <w:r>
        <w:t xml:space="preserve">    </w:t>
      </w:r>
      <w:r>
        <w:rPr>
          <w:b/>
        </w:rPr>
        <w:t xml:space="preserve">DOI: </w:t>
      </w:r>
      <w:hyperlink r:id="rId146">
        <w:r>
          <w:rPr>
            <w:color w:val="1155CC"/>
            <w:u w:val="single"/>
          </w:rPr>
          <w:t>10.1021/acsenergylett.6c01946</w:t>
        </w:r>
      </w:hyperlink>
    </w:p>
    <w:p>
      <w:pPr>
        <w:spacing w:before="0" w:after="120"/>
      </w:pPr>
      <w:r>
        <w:rPr>
          <w:b/>
        </w:rPr>
        <w:t xml:space="preserve">Notes: </w:t>
      </w:r>
      <w:r>
        <w:t>abstract_source=crossref</w:t>
      </w:r>
    </w:p>
    <w:p>
      <w:pPr>
        <w:spacing w:before="0" w:after="80" w:lineRule="auto" w:line="276"/>
      </w:pPr>
      <w:r>
        <w:rPr>
          <w:b/>
        </w:rPr>
        <w:t xml:space="preserve">摘要（ZH）: </w:t>
      </w:r>
      <w:r>
        <w:t>摘要 硬碳（HC）是商业钠离子电池的基准阳极，但对其电解质依赖性动力学的广泛误解继续阻碍其实际发展。目前，该领域支持基于醚的电解质而不是传统的碳酸盐，几乎完全基于传统的 Na||HC 半电池测试。在这里，我们证明，由于高反应性钠金属对电极产生的化学伪影，这些比较通常可能存在缺陷。我们建立了一种无伪影、对称硬碳 (HC||HC) 电池几何结构来隔离内在的 HC 行为。结合互补核磁共振波谱，我们研究了 HC 中钠离子存储的基本机制。恒电流循环和温度依赖性阻抗分析表明，虽然醚电解质最初形成低阻抗固体电解质中间相（SEI），但逐渐降解限制了长期循环。 Na+存储机制的变化会导致阻抗和活化能垒发生较大的溶剂依赖性变化。因此，虽然醚电解质有望用于高倍率应用，但它们的长期循环性能较差。最终，这些发现纠正了文献中的误解，促使人们重新评估钠存储机制，并指导实际钠离子电池的电解质选择。</w:t>
      </w:r>
    </w:p>
    <w:p>
      <w:pPr>
        <w:spacing w:before="0" w:after="200" w:lineRule="auto" w:line="276"/>
      </w:pPr>
      <w:r>
        <w:rPr>
          <w:b/>
        </w:rPr>
        <w:t xml:space="preserve">Abstract (EN): </w:t>
      </w:r>
      <w:r>
        <w:t>Hard carbon (HC) is the benchmark anode for commercial sodium-ion batteries, yet widespread misconceptions regarding its electrolyte-dependent kinetics continue to hinder its practical development. Currently, the field champions ether-based electrolytes over conventional carbonates, based almost entirely on conventional Na||HC half-cell testing. Here, we demonstrate that these comparisons may often be flawed due to chemical artifacts originating from the highly reactive Na-metal counter electrode. We establish an artifact-free, symmetric hard carbon (HC||HC) cell geometry to isolate intrinsic HC behavior. Combined with complementary NMR spectroscopy, we investigate the underlying mechanisms of Na-ion storage in HC. Galvanostatic cycling and temperature-dependent impedance analyses reveal that while ether electrolytes initially form a low-impedance solid electrolyte interphase (SEI), progressive degradation limits long-term cycling. Variations in the Na+ storage mechanism cause large solvent-dependent changes in the impedance and activation energy barriers. Thus, while ether electrolytes hold promise for high-rate applications, they suffer from poor long-term cycling. Ultimately, these findings correct misinterpretations in the literature, prompting a re-evaluation for Na storage mechanisms and guiding electrolyte selection for practical Na-ion batteries.</w:t>
      </w:r>
    </w:p>
    <w:p>
      <w:pPr>
        <w:spacing w:before="120" w:after="120"/>
      </w:pPr>
      <w:r>
        <w:rPr>
          <w:sz w:val="18"/>
        </w:rPr>
        <w:t>——————————————————————————————————————————————————————————————————————</w:t>
      </w:r>
    </w:p>
    <w:p>
      <w:pPr>
        <w:spacing w:before="160" w:after="40" w:line="240" w:lineRule="auto"/>
      </w:pPr>
      <w:r>
        <w:rPr>
          <w:b/>
        </w:rPr>
        <w:t xml:space="preserve">[9] </w:t>
      </w:r>
      <w:hyperlink r:id="rId147">
        <w:r>
          <w:rPr>
            <w:color w:val="1155CC"/>
            <w:u w:val="single"/>
          </w:rPr>
          <w:t>混合接口实现无枝晶水性锌金属电池</w:t>
        </w:r>
      </w:hyperlink>
    </w:p>
    <w:p>
      <w:pPr>
        <w:spacing w:before="0" w:after="80"/>
      </w:pPr>
      <w:r>
        <w:rPr>
          <w:i/>
          <w:sz w:val="20"/>
        </w:rPr>
        <w:t>EN: Hybrid Interface Enables Dendrite-Free Aqueous Zn-Metal Battery</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48">
        <w:r>
          <w:rPr>
            <w:color w:val="1155CC"/>
            <w:u w:val="single"/>
          </w:rPr>
          <w:t>10.1021/acsami.6c10211</w:t>
        </w:r>
      </w:hyperlink>
    </w:p>
    <w:p>
      <w:pPr>
        <w:spacing w:before="0" w:after="120"/>
      </w:pPr>
      <w:r>
        <w:rPr>
          <w:b/>
        </w:rPr>
        <w:t xml:space="preserve">Notes: </w:t>
      </w:r>
      <w:r>
        <w:t>abstract_source=crossref</w:t>
      </w:r>
    </w:p>
    <w:p>
      <w:pPr>
        <w:spacing w:before="0" w:after="80" w:lineRule="auto" w:line="276"/>
      </w:pPr>
      <w:r>
        <w:rPr>
          <w:b/>
        </w:rPr>
        <w:t xml:space="preserve">摘要（ZH）: </w:t>
      </w:r>
      <w:r>
        <w:t>摘要 水系锌（Zn）金属电池（AZMB）由于其高安全性、经济性以及在固定储能系统中的潜在应用而引起了人们的广泛关注。然而，由于锌/电解质界面的不稳定，AZMB 仍然存在锌阳极可逆性低和寿命短的问题。在此，通过简单的电解质调节策略将固体电解质中间相（SEI）和静电屏蔽层相结合的混合界面引入到AZMB中。这种混合界面同时在锌阳极上建立了基于磷酸锌 (Zn-P-O) 的 SEI 和以 NH4+ 为主的静电屏蔽层。对AZMBs中设计的SEI进行了全面的表征，它可以有效诱导均匀的Zn沉积并抑制副反应，实现卓越的电化学性能。因此，Zn||Zn 电池的寿命在 2 mA cm-2 下从 75 小时提高到 2200 小时，Zn||Cu 不对称电池稳定运行超过 1200 次循环（对比 455 次循环），平均库伦效率高达 99.58%。设计的SEI具有增强的稳定性和实用性，进一步应用于Zn||NaVO全电池，在5 A g-1下稳定运行3000次循环（相对于427次循环失效），具有出色的寿命，放电初始比容量为155.9 mAh g-1，运行1000次循环后保持103.9 mAh g-1。</w:t>
      </w:r>
    </w:p>
    <w:p>
      <w:pPr>
        <w:spacing w:before="0" w:after="200" w:lineRule="auto" w:line="276"/>
      </w:pPr>
      <w:r>
        <w:rPr>
          <w:b/>
        </w:rPr>
        <w:t xml:space="preserve">Abstract (EN): </w:t>
      </w:r>
      <w:r>
        <w:t>Aqueous zinc(Zn)-metal batteries (AZMBs) have attracted significant attention owing to their high safety, economy, and potential applications in stationary energy storage systems. However, AZMBs still suffer from low reversibility and short lifespan of the Zn anode, resulting from the instability of the Zn/electrolyte interface. Herein, a hybrid interface combining a solid electrolyte interphase (SEI) and an electrostatic shield layer was introduced into the AZMBs through a simple electrolyte-regulating strategy. This hybrid interface simultaneously establishes a Zn phosphate (Zn–P–O) based SEI and an NH4+-dominated electrostatic shield layer on the Zn anode. Comprehensive characterizations were performed to investigate the designed SEI in AZMBs, which can effectively induce uniform Zn deposition and suppress side reactions, achieving remarkable electrochemical performance. As a consequence, the Zn||Zn cell's lifespan is improved from 75 h to 2200 h at 2 mA cm–2, and the Zn||Cu asymmetrical cell presented stable operation for more than 1200 cycles (vs 455 cycles) with a high average coulombic efficiency of 99.58%. The designed SEI, accompanied by enhanced stability and practicability, was further applied to Zn||NaVO full cells, which presented remarkable lifespan for 3000-cycle (vs 427 cycles to failure) stable operation at 5 A g–1, discharging an initial specific capacity of 155.9 mAh g–1 and maintaining 103.9 mAh g–1 after operating for 1000 cycles.</w:t>
      </w:r>
    </w:p>
    <w:p>
      <w:pPr>
        <w:spacing w:before="120" w:after="120"/>
      </w:pPr>
      <w:r>
        <w:rPr>
          <w:sz w:val="18"/>
        </w:rPr>
        <w:t>——————————————————————————————————————————————————————————————————————</w:t>
      </w:r>
    </w:p>
    <w:p>
      <w:pPr>
        <w:spacing w:before="160" w:after="40" w:line="240" w:lineRule="auto"/>
      </w:pPr>
      <w:r>
        <w:rPr>
          <w:b/>
        </w:rPr>
        <w:t xml:space="preserve">[10] </w:t>
      </w:r>
      <w:hyperlink r:id="rId149">
        <w:r>
          <w:rPr>
            <w:color w:val="1155CC"/>
            <w:u w:val="single"/>
          </w:rPr>
          <w:t>3D 主体框架中的多组分梯度可实现堆叠式镀锌/剥离，从而实现高度耐用的水性锌离子电池</w:t>
        </w:r>
      </w:hyperlink>
    </w:p>
    <w:p>
      <w:pPr>
        <w:spacing w:before="0" w:after="80"/>
      </w:pPr>
      <w:r>
        <w:rPr>
          <w:i/>
          <w:sz w:val="20"/>
        </w:rPr>
        <w:t>EN: Multi-component gradients in 3D host frameworks enabled stack-type zinc plating/stripping for highly durable aqueous Zn-ion batteries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0">
        <w:r>
          <w:rPr>
            <w:color w:val="1155CC"/>
            <w:u w:val="single"/>
          </w:rPr>
          <w:t>10.1126/sciadv.aeh4699</w:t>
        </w:r>
      </w:hyperlink>
    </w:p>
    <w:p>
      <w:pPr>
        <w:spacing w:before="0" w:after="120"/>
      </w:pPr>
      <w:r>
        <w:rPr>
          <w:b/>
        </w:rPr>
        <w:t xml:space="preserve">Notes: </w:t>
      </w:r>
      <w:r>
        <w:t>abstract_source=crossref</w:t>
      </w:r>
    </w:p>
    <w:p>
      <w:pPr>
        <w:spacing w:before="0" w:after="80" w:lineRule="auto" w:line="276"/>
      </w:pPr>
      <w:r>
        <w:rPr>
          <w:b/>
        </w:rPr>
        <w:t xml:space="preserve">摘要（ZH）: </w:t>
      </w:r>
      <w:r>
        <w:t>开发具有高耐久性的无枝晶锌金属负极对水系锌离子电池提出了巨大的挑战。在此，我们提出了一种具有多组分梯度的原位构建的3D约束主体框架，可诱导可控且快速的堆叠式镀锌/剥离行为，从而实现独特的“先进/后出”模式。通常，疏水性氨基官能化聚硅烷钝化层和亲锌银纳米粒子依次在碳纸支架上自组装，形成相反的浓度梯度，即</w:t>
      </w:r>
      <w:r>
        <w:t xml:space="preserve"> </w:t>
      </w:r>
      <w:r>
        <w:t>克’</w:t>
      </w:r>
      <w:r>
        <w:t xml:space="preserve"> </w:t>
      </w:r>
      <w:r>
        <w:t>-银/</w:t>
      </w:r>
      <w:r>
        <w:t>克</w:t>
      </w:r>
      <w:r>
        <w:t xml:space="preserve"> </w:t>
      </w:r>
      <w:r>
        <w:t>-PSiO</w:t>
      </w:r>
      <w:r>
        <w:t xml:space="preserve"> </w:t>
      </w:r>
      <w:r>
        <w:t>x</w:t>
      </w:r>
      <w:r>
        <w:t xml:space="preserve"> </w:t>
      </w:r>
      <w:r>
        <w:t>-NH</w:t>
      </w:r>
      <w:r>
        <w:rPr>
          <w:vertAlign w:val="subscript"/>
        </w:rPr>
        <w:t>2</w:t>
      </w:r>
      <w:r>
        <w:t>/CP。的</w:t>
      </w:r>
      <w:r>
        <w:t xml:space="preserve"> </w:t>
      </w:r>
      <w:r>
        <w:t>克</w:t>
      </w:r>
      <w:r>
        <w:t xml:space="preserve"> </w:t>
      </w:r>
      <w:r>
        <w:t>-PSiO</w:t>
      </w:r>
      <w:r>
        <w:t xml:space="preserve"> </w:t>
      </w:r>
      <w:r>
        <w:t>x</w:t>
      </w:r>
      <w:r>
        <w:t xml:space="preserve"> </w:t>
      </w:r>
      <w:r>
        <w:t>-NH</w:t>
      </w:r>
      <w:r>
        <w:rPr>
          <w:vertAlign w:val="subscript"/>
        </w:rPr>
        <w:t>2</w:t>
      </w:r>
      <w:r>
        <w:t>抑制副反应并促进锌</w:t>
      </w:r>
      <w:r>
        <w:t xml:space="preserve"> </w:t>
      </w:r>
      <w:r>
        <w:t>2+</w:t>
      </w:r>
      <w:r>
        <w:t xml:space="preserve"> </w:t>
      </w:r>
      <w:r>
        <w:t>去溶剂化，同时</w:t>
      </w:r>
      <w:r>
        <w:t xml:space="preserve"> </w:t>
      </w:r>
      <w:r>
        <w:t>克’</w:t>
      </w:r>
      <w:r>
        <w:t xml:space="preserve"> </w:t>
      </w:r>
      <w:r>
        <w:t>-Ag优先引导Zn</w:t>
      </w:r>
      <w:r>
        <w:t xml:space="preserve"> </w:t>
      </w:r>
      <w:r>
        <w:t>2+</w:t>
      </w:r>
      <w:r>
        <w:t xml:space="preserve"> </w:t>
      </w:r>
      <w:r>
        <w:t>沉积。因此，沉积的锌</w:t>
      </w:r>
      <w:r>
        <w:t xml:space="preserve"> </w:t>
      </w:r>
      <w:r>
        <w:t>克’</w:t>
      </w:r>
      <w:r>
        <w:t xml:space="preserve"> </w:t>
      </w:r>
      <w:r>
        <w:t>-银/</w:t>
      </w:r>
      <w:r>
        <w:t>克</w:t>
      </w:r>
      <w:r>
        <w:t xml:space="preserve"> </w:t>
      </w:r>
      <w:r>
        <w:t>-PSiO</w:t>
      </w:r>
      <w:r>
        <w:t xml:space="preserve"> </w:t>
      </w:r>
      <w:r>
        <w:t>x</w:t>
      </w:r>
      <w:r>
        <w:t xml:space="preserve"> </w:t>
      </w:r>
      <w:r>
        <w:t>-NH</w:t>
      </w:r>
      <w:r>
        <w:rPr>
          <w:vertAlign w:val="subscript"/>
        </w:rPr>
        <w:t>2</w:t>
      </w:r>
      <w:r>
        <w:t>/CP 电极表现出高库仑效率和长循环能力，在 10 mA cm 电流下超过 5000 小时</w:t>
      </w:r>
      <w:r>
        <w:t xml:space="preserve"> </w:t>
      </w:r>
      <w:r>
        <w:t>−2</w:t>
      </w:r>
      <w:r>
        <w:t xml:space="preserve"> </w:t>
      </w:r>
      <w:r>
        <w:t>/10毫安厘米</w:t>
      </w:r>
      <w:r>
        <w:t xml:space="preserve"> </w:t>
      </w:r>
      <w:r>
        <w:t>−2</w:t>
      </w:r>
      <w:r>
        <w:t xml:space="preserve"> </w:t>
      </w:r>
      <w:r>
        <w:t>在对称细胞中。组装后的 Zn||MnO</w:t>
      </w:r>
    </w:p>
    <w:p>
      <w:pPr>
        <w:spacing w:before="0" w:after="200" w:lineRule="auto" w:line="276"/>
      </w:pPr>
      <w:r>
        <w:rPr>
          <w:b/>
        </w:rPr>
        <w:t xml:space="preserve">Abstract (EN): </w:t>
      </w:r>
      <w:r>
        <w:t>Developing dendrite-free zinc metal anodes with high durability poses a great challenge for aqueous zinc-ion batteries. Herein, we propose an in situ constructed 3D restrained host frameworks with multi-component gradients that induces a controllable and rapid stack-type zinc plating/stripping behavior, enabling a unique “first-in/last-out” mode. Typically, hydrophobic amino-functionalized polysilane passivation layer and zincophilic Ag nanoparticles are successively self-assembled on carbon paper scaffold to form opposite concentration gradients, namely</w:t>
      </w:r>
      <w:r>
        <w:t xml:space="preserve"> </w:t>
      </w:r>
      <w:r>
        <w:t>g’</w:t>
      </w:r>
      <w:r>
        <w:t xml:space="preserve"> </w:t>
      </w:r>
      <w:r>
        <w:t>-Ag/</w:t>
      </w:r>
      <w:r>
        <w:t>g</w:t>
      </w:r>
      <w:r>
        <w:t xml:space="preserve"> </w:t>
      </w:r>
      <w:r>
        <w:t>-PSiO</w:t>
      </w:r>
      <w:r>
        <w:t xml:space="preserve"> </w:t>
      </w:r>
      <w:r>
        <w:t>x</w:t>
      </w:r>
      <w:r>
        <w:t xml:space="preserve"> </w:t>
      </w:r>
      <w:r>
        <w:t>-NH</w:t>
      </w:r>
      <w:r>
        <w:rPr>
          <w:vertAlign w:val="subscript"/>
        </w:rPr>
        <w:t>2</w:t>
      </w:r>
      <w:r>
        <w:t>/CP. The</w:t>
      </w:r>
      <w:r>
        <w:t xml:space="preserve"> </w:t>
      </w:r>
      <w:r>
        <w:t>g</w:t>
      </w:r>
      <w:r>
        <w:t xml:space="preserve"> </w:t>
      </w:r>
      <w:r>
        <w:t>-PSiO</w:t>
      </w:r>
      <w:r>
        <w:t xml:space="preserve"> </w:t>
      </w:r>
      <w:r>
        <w:t>x</w:t>
      </w:r>
      <w:r>
        <w:t xml:space="preserve"> </w:t>
      </w:r>
      <w:r>
        <w:t>-NH</w:t>
      </w:r>
      <w:r>
        <w:rPr>
          <w:vertAlign w:val="subscript"/>
        </w:rPr>
        <w:t>2</w:t>
      </w:r>
      <w:r>
        <w:t>inhibits side-reactions and promotes Zn</w:t>
      </w:r>
      <w:r>
        <w:t xml:space="preserve"> </w:t>
      </w:r>
      <w:r>
        <w:t>2+</w:t>
      </w:r>
      <w:r>
        <w:t xml:space="preserve"> </w:t>
      </w:r>
      <w:r>
        <w:t>desolvation, meanwhile the</w:t>
      </w:r>
      <w:r>
        <w:t xml:space="preserve"> </w:t>
      </w:r>
      <w:r>
        <w:t>g’</w:t>
      </w:r>
      <w:r>
        <w:t xml:space="preserve"> </w:t>
      </w:r>
      <w:r>
        <w:t>-Ag guides preferential Zn</w:t>
      </w:r>
      <w:r>
        <w:t xml:space="preserve"> </w:t>
      </w:r>
      <w:r>
        <w:t>2+</w:t>
      </w:r>
      <w:r>
        <w:t xml:space="preserve"> </w:t>
      </w:r>
      <w:r>
        <w:t>deposition. Consequently, the zinc-deposited</w:t>
      </w:r>
      <w:r>
        <w:t xml:space="preserve"> </w:t>
      </w:r>
      <w:r>
        <w:t>g’</w:t>
      </w:r>
      <w:r>
        <w:t xml:space="preserve"> </w:t>
      </w:r>
      <w:r>
        <w:t>-Ag/</w:t>
      </w:r>
      <w:r>
        <w:t>g</w:t>
      </w:r>
      <w:r>
        <w:t xml:space="preserve"> </w:t>
      </w:r>
      <w:r>
        <w:t>-PSiO</w:t>
      </w:r>
      <w:r>
        <w:t xml:space="preserve"> </w:t>
      </w:r>
      <w:r>
        <w:t>x</w:t>
      </w:r>
      <w:r>
        <w:t xml:space="preserve"> </w:t>
      </w:r>
      <w:r>
        <w:t>-NH</w:t>
      </w:r>
      <w:r>
        <w:rPr>
          <w:vertAlign w:val="subscript"/>
        </w:rPr>
        <w:t>2</w:t>
      </w:r>
      <w:r>
        <w:t>/CP electrodes exhibit high Coulombic efficiency and long cyclability, surpassing 5000 hours at 10 mA cm</w:t>
      </w:r>
      <w:r>
        <w:t xml:space="preserve"> </w:t>
      </w:r>
      <w:r>
        <w:t>−2</w:t>
      </w:r>
      <w:r>
        <w:t xml:space="preserve"> </w:t>
      </w:r>
      <w:r>
        <w:t>/10 mAh cm</w:t>
      </w:r>
      <w:r>
        <w:t xml:space="preserve"> </w:t>
      </w:r>
      <w:r>
        <w:t>−2</w:t>
      </w:r>
      <w:r>
        <w:t xml:space="preserve"> </w:t>
      </w:r>
      <w:r>
        <w:t>in symmetric cells. The as-assembled Zn||MnO</w:t>
      </w:r>
      <w:r>
        <w:rPr>
          <w:vertAlign w:val="subscript"/>
        </w:rPr>
        <w:t>2</w:t>
      </w:r>
      <w:r>
        <w:t>full batteries deliver a specific capacity of 200.1 mAh g</w:t>
      </w:r>
      <w:r>
        <w:t xml:space="preserve"> </w:t>
      </w:r>
      <w:r>
        <w:t>−1</w:t>
      </w:r>
      <w:r>
        <w:t xml:space="preserve"> </w:t>
      </w:r>
      <w:r>
        <w:t>with 82.2% retention after 800 cycles. Large-size pouch-type battery with zinc-deposited</w:t>
      </w:r>
      <w:r>
        <w:t xml:space="preserve"> </w:t>
      </w:r>
      <w:r>
        <w:t>g’</w:t>
      </w:r>
      <w:r>
        <w:t xml:space="preserve"> </w:t>
      </w:r>
      <w:r>
        <w:t>-Ag/</w:t>
      </w:r>
      <w:r>
        <w:t>g</w:t>
      </w:r>
      <w:r>
        <w:t xml:space="preserve"> </w:t>
      </w:r>
      <w:r>
        <w:t>-PSiO</w:t>
      </w:r>
      <w:r>
        <w:t xml:space="preserve"> </w:t>
      </w:r>
      <w:r>
        <w:t>x</w:t>
      </w:r>
      <w:r>
        <w:t xml:space="preserve"> </w:t>
      </w:r>
      <w:r>
        <w:t>-NH</w:t>
      </w:r>
      <w:r>
        <w:rPr>
          <w:vertAlign w:val="subscript"/>
        </w:rPr>
        <w:t>2</w:t>
      </w:r>
      <w:r>
        <w:t>/CP anode and high-loading MnO</w:t>
      </w:r>
      <w:r>
        <w:rPr>
          <w:vertAlign w:val="subscript"/>
        </w:rPr>
        <w:t>2</w:t>
      </w:r>
      <w:r>
        <w:t>cathode (∼15 mg cm</w:t>
      </w:r>
      <w:r>
        <w:t xml:space="preserve"> </w:t>
      </w:r>
      <w:r>
        <w:t>−2</w:t>
      </w:r>
      <w:r>
        <w:t xml:space="preserve"> </w:t>
      </w:r>
      <w:r>
        <w:t>) also exhibit good rate capability and cyclability. This scalable strategy offers a feasible solution to develop high-durability rechargeable metal-based batteries.</w:t>
      </w:r>
    </w:p>
    <w:p>
      <w:pPr>
        <w:spacing w:before="120" w:after="120"/>
      </w:pPr>
      <w:r>
        <w:rPr>
          <w:sz w:val="18"/>
        </w:rPr>
        <w:t>——————————————————————————————————————————————————————————————————————</w:t>
      </w:r>
    </w:p>
    <w:p>
      <w:pPr>
        <w:spacing w:before="160" w:after="40" w:line="240" w:lineRule="auto"/>
      </w:pPr>
      <w:r>
        <w:rPr>
          <w:b/>
        </w:rPr>
        <w:t xml:space="preserve">[11] </w:t>
      </w:r>
      <w:hyperlink r:id="rId151">
        <w:r>
          <w:rPr>
            <w:color w:val="1155CC"/>
            <w:u w:val="single"/>
          </w:rPr>
          <w:t>高压锂金属电池的铁电偶极子驱动固体电解质相间钝化</w:t>
        </w:r>
      </w:hyperlink>
    </w:p>
    <w:p>
      <w:pPr>
        <w:spacing w:before="0" w:after="80"/>
      </w:pPr>
      <w:r>
        <w:rPr>
          <w:i/>
          <w:sz w:val="20"/>
        </w:rPr>
        <w:t>EN: Ferroelectric Dipole‐Driven Solid‐Electrolyte Interphase Passivation for High‐Voltage Lithium Metal Batteries</w:t>
      </w:r>
    </w:p>
    <w:p>
      <w:pPr>
        <w:spacing w:before="0" w:after="120"/>
      </w:pPr>
      <w:r>
        <w:rPr>
          <w:b/>
        </w:rPr>
        <w:t xml:space="preserve">Source: </w:t>
      </w:r>
      <w:r>
        <w:t>Wiley: Advanced Materials: Table of Contents</w:t>
      </w:r>
      <w:r>
        <w:t xml:space="preserve">    </w:t>
      </w:r>
      <w:r>
        <w:rPr>
          <w:b/>
        </w:rPr>
        <w:t xml:space="preserve">Pub date: </w:t>
      </w:r>
      <w:r>
        <w:t>2026-08-05 10:45:36+00:00</w:t>
      </w:r>
      <w:r>
        <w:t xml:space="preserve">    </w:t>
      </w:r>
      <w:r>
        <w:rPr>
          <w:b/>
        </w:rPr>
        <w:t xml:space="preserve">DOI: </w:t>
      </w:r>
      <w:hyperlink r:id="rId152">
        <w:r>
          <w:rPr>
            <w:color w:val="1155CC"/>
            <w:u w:val="single"/>
          </w:rPr>
          <w:t>10.1002/adma.74496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Li）金属电池（LMB）被认为是下一代高比能量存储设备的有力候选者。然而，界面副反应（ISR）（特别是经常被忽视的化学腐蚀）和锂枝晶导致活性锂严重耗尽，甚至造成安全隐患，严重阻碍了LMB的实际应用。在此，氧空位工程的 BaTiO</w:t>
      </w:r>
      <w:r>
        <w:rPr>
          <w:vertAlign w:val="subscript"/>
        </w:rPr>
        <w:t>3</w:t>
      </w:r>
      <w:r>
        <w:t>预吸附NO</w:t>
      </w:r>
      <w:r>
        <w:rPr>
          <w:vertAlign w:val="subscript"/>
        </w:rPr>
        <w:t>3</w:t>
      </w:r>
      <w:r>
        <w:t>-</w:t>
      </w:r>
      <w:r>
        <w:t>（BTOVN）层集成到聚丙烯隔膜上，通过铁电偶极子选择性降低目标阴离子的能量水平，从而钝化阳极/电解质界面并提高LMB的长期储存和循环稳定性。结合冷冻电子显微镜和多尺度光谱，我们揭示了铁电 BTOVN 层以 NO</w:t>
      </w:r>
      <w:r>
        <w:rPr>
          <w:vertAlign w:val="subscript"/>
        </w:rPr>
        <w:t>3</w:t>
      </w:r>
      <w:r>
        <w:t>-</w:t>
      </w:r>
      <w:r>
        <w:t>到达界面并促进 NO 的还原分解</w:t>
      </w:r>
      <w:r>
        <w:rPr>
          <w:vertAlign w:val="subscript"/>
        </w:rPr>
        <w:t>3</w:t>
      </w:r>
      <w:r>
        <w:t>-</w:t>
      </w:r>
      <w:r>
        <w:t>和PF</w:t>
      </w:r>
      <w:r>
        <w:rPr>
          <w:vertAlign w:val="subscript"/>
        </w:rPr>
        <w:t>6</w:t>
      </w:r>
      <w:r>
        <w:t>-</w:t>
      </w:r>
      <w:r>
        <w:t>形成更薄、更坚韧的富含无机锂的固体电解质界面（SEI）</w:t>
      </w:r>
      <w:r>
        <w:rPr>
          <w:vertAlign w:val="subscript"/>
        </w:rPr>
        <w:t>2</w:t>
      </w:r>
      <w:r>
        <w:t>欧莉</w:t>
      </w:r>
      <w:r>
        <w:rPr>
          <w:vertAlign w:val="subscript"/>
        </w:rPr>
        <w:t>3</w:t>
      </w:r>
      <w:r>
        <w:t>N和LiF，可有效抑制持续的ISR和锂枝晶增殖，同时增强Li</w:t>
      </w:r>
      <w:r>
        <w:t xml:space="preserve"> </w:t>
      </w:r>
      <w:r>
        <w:t>+</w:t>
      </w:r>
      <w:r>
        <w:t xml:space="preserve"> </w:t>
      </w:r>
      <w:r>
        <w:t>运输动力学和相互作用</w:t>
      </w:r>
    </w:p>
    <w:p>
      <w:pPr>
        <w:spacing w:before="0" w:after="200" w:lineRule="auto" w:line="276"/>
      </w:pPr>
      <w:r>
        <w:rPr>
          <w:b/>
        </w:rPr>
        <w:t xml:space="preserve">Abstract (EN): </w:t>
      </w:r>
      <w:r>
        <w:t>High‐voltage lithium (Li) metal batteries (LMBs) are regarded as strong candidates for next‐generation high‐specific‐energy storage devices. However, interfacial side reactions (ISRs) (particularly the often‐overlooked chemical corrosion) and Li dendrite lead to severe depletion of active Li and even pose safety hazards, significantly hindering the practical applications of LMBs. Herein, an oxygen‐vacancy‐engineered BaTiO</w:t>
      </w:r>
      <w:r>
        <w:rPr>
          <w:vertAlign w:val="subscript"/>
        </w:rPr>
        <w:t>3</w:t>
      </w:r>
      <w:r>
        <w:t>pre‐adsorbed with NO</w:t>
      </w:r>
      <w:r>
        <w:rPr>
          <w:vertAlign w:val="subscript"/>
        </w:rPr>
        <w:t>3</w:t>
      </w:r>
      <w:r>
        <w:t>−</w:t>
      </w:r>
      <w:r>
        <w:t>(BTOVN) layer is integrated onto a polypropylene separator to selectively lower the energy level of target anion via ferroelectric dipoles, thus passivating the anode/electrolyte interface and improving the long‐term storage and cycle stability of LMBs. Combining cryo‐electron microscopy with multi‐scale spectroscopies, we reveal that the ferroelectric BTOVN layer targets NO</w:t>
      </w:r>
      <w:r>
        <w:rPr>
          <w:vertAlign w:val="subscript"/>
        </w:rPr>
        <w:t>3</w:t>
      </w:r>
      <w:r>
        <w:t>−</w:t>
      </w:r>
      <w:r>
        <w:t>to the interface and promotes the reductive decomposition of both NO</w:t>
      </w:r>
      <w:r>
        <w:rPr>
          <w:vertAlign w:val="subscript"/>
        </w:rPr>
        <w:t>3</w:t>
      </w:r>
      <w:r>
        <w:t>−</w:t>
      </w:r>
      <w:r>
        <w:t>and PF</w:t>
      </w:r>
      <w:r>
        <w:rPr>
          <w:vertAlign w:val="subscript"/>
        </w:rPr>
        <w:t>6</w:t>
      </w:r>
      <w:r>
        <w:t>−</w:t>
      </w:r>
      <w:r>
        <w:t>to form a thinner and tougher solid‐electrolyte interphase (SEI) rich in inorganic Li</w:t>
      </w:r>
      <w:r>
        <w:rPr>
          <w:vertAlign w:val="subscript"/>
        </w:rPr>
        <w:t>2</w:t>
      </w:r>
      <w:r>
        <w:t>O, Li</w:t>
      </w:r>
      <w:r>
        <w:rPr>
          <w:vertAlign w:val="subscript"/>
        </w:rPr>
        <w:t>3</w:t>
      </w:r>
      <w:r>
        <w:t>N, and LiF, which effectively suppresses persistent ISRs and Li dendrite proliferation while enhancing Li</w:t>
      </w:r>
      <w:r>
        <w:t xml:space="preserve"> </w:t>
      </w:r>
      <w:r>
        <w:t>+</w:t>
      </w:r>
      <w:r>
        <w:t xml:space="preserve"> </w:t>
      </w:r>
      <w:r>
        <w:t>transport kinetics and interfacial stability. As a result, high‐voltage Li metal full cells delivery a substantially enhanced capacity retention of 89.1% after 500 cycles, and remarkably, even after long‐term resting, they maintain exceptionally stable operation. The work provides a novel perspective on precisely engineering SEI chemistry through targeting anionic species into the interphase layer.</w:t>
      </w:r>
    </w:p>
    <w:p>
      <w:pPr>
        <w:spacing w:before="120" w:after="120"/>
      </w:pPr>
      <w:r>
        <w:rPr>
          <w:sz w:val="18"/>
        </w:rPr>
        <w:t>——————————————————————————————————————————————————————————————————————</w:t>
      </w:r>
    </w:p>
    <w:p>
      <w:pPr>
        <w:spacing w:before="160" w:after="40" w:line="240" w:lineRule="auto"/>
      </w:pPr>
      <w:r>
        <w:rPr>
          <w:b/>
        </w:rPr>
        <w:t xml:space="preserve">[12] </w:t>
      </w:r>
      <w:hyperlink r:id="rId153">
        <w:r>
          <w:rPr>
            <w:color w:val="1155CC"/>
            <w:u w:val="single"/>
          </w:rPr>
          <w:t>用于高性能锂金属软包电池的复合金属阳极中锌反向扩散诱导均匀锂沉积</w:t>
        </w:r>
      </w:hyperlink>
    </w:p>
    <w:p>
      <w:pPr>
        <w:spacing w:before="0" w:after="80"/>
      </w:pPr>
      <w:r>
        <w:rPr>
          <w:i/>
          <w:sz w:val="20"/>
        </w:rPr>
        <w:t>EN: Zinc Reverse Diffusion‐Induced Uniform Lithium Deposition in Composite Metal Anodes for High‐Performance Lithium Metal Pouch Batteries</w:t>
      </w:r>
    </w:p>
    <w:p>
      <w:pPr>
        <w:spacing w:before="0" w:after="120"/>
      </w:pPr>
      <w:r>
        <w:rPr>
          <w:b/>
        </w:rPr>
        <w:t xml:space="preserve">Source: </w:t>
      </w:r>
      <w:r>
        <w:t>Wiley: Advanced Energy Materials: Table of Contents</w:t>
      </w:r>
      <w:r>
        <w:t xml:space="preserve">    </w:t>
      </w:r>
      <w:r>
        <w:rPr>
          <w:b/>
        </w:rPr>
        <w:t xml:space="preserve">Pub date: </w:t>
      </w:r>
      <w:r>
        <w:t>2026-08-05 11:05:21+00:00</w:t>
      </w:r>
      <w:r>
        <w:t xml:space="preserve">    </w:t>
      </w:r>
      <w:r>
        <w:rPr>
          <w:b/>
        </w:rPr>
        <w:t xml:space="preserve">DOI: </w:t>
      </w:r>
      <w:hyperlink r:id="rId154">
        <w:r>
          <w:rPr>
            <w:color w:val="1155CC"/>
            <w:u w:val="single"/>
          </w:rPr>
          <w:t>10.1002/aenm.71393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有望克服传统锂离子电池的能量密度限制，但枝晶生长和界面不稳定性阻碍了其实际应用。传统的静态控制策略难以在大面积容量电镀过程中保持前进的沉积前沿的亲硫性。在这里，我们构建了块体均质的 Li/LiZn-Li</w:t>
      </w:r>
      <w:r>
        <w:rPr>
          <w:vertAlign w:val="subscript"/>
        </w:rPr>
        <w:t>2</w:t>
      </w:r>
      <w:r>
        <w:t>O复合阳极采用可扩展的原位冶金策略，其中一维LiZn形成连续的传输/支撑网络，而纳米级Li</w:t>
      </w:r>
      <w:r>
        <w:rPr>
          <w:vertAlign w:val="subscript"/>
        </w:rPr>
        <w:t>2</w:t>
      </w:r>
      <w:r>
        <w:t>O提供分散的极性亲锂位点。理论计算表明，LiZn 表面将 Li 表面迁移势垒降低至 0.25 eV，而 Li</w:t>
      </w:r>
      <w:r>
        <w:rPr>
          <w:vertAlign w:val="subscript"/>
        </w:rPr>
        <w:t>2</w:t>
      </w:r>
      <w:r>
        <w:t>O 热力学锚定锂物种并促进均匀成核。此外，锌物质在沉积过程中向生长前沿迁移，不断补充亲锂位点并实现动态界面调节。 Li/LiZn-Li</w:t>
      </w:r>
      <w:r>
        <w:rPr>
          <w:vertAlign w:val="subscript"/>
        </w:rPr>
        <w:t>2</w:t>
      </w:r>
      <w:r>
        <w:t>O复合阳极能够实现接近理论的致密锂沉积，厚度膨胀率仅为5.09 µm (mAh cm</w:t>
      </w:r>
      <w:r>
        <w:t xml:space="preserve"> </w:t>
      </w:r>
      <w:r>
        <w:t>−2</w:t>
      </w:r>
      <w:r>
        <w:t xml:space="preserve"> </w:t>
      </w:r>
      <w:r>
        <w:t>）</w:t>
      </w:r>
      <w:r>
        <w:t xml:space="preserve"> </w:t>
      </w:r>
      <w:r>
        <w:t>−1</w:t>
      </w:r>
      <w:r>
        <w:t xml:space="preserve"> </w:t>
      </w:r>
      <w:r>
        <w:t>，并在 6 mA cm 下维持稳定循环超过 1210 小时</w:t>
      </w:r>
      <w:r>
        <w:t xml:space="preserve"> </w:t>
      </w:r>
      <w:r>
        <w:t>−2</w:t>
      </w:r>
      <w:r>
        <w:t xml:space="preserve"> </w:t>
      </w:r>
      <w:r>
        <w:t>和 6 毫安时厘米</w:t>
      </w:r>
      <w:r>
        <w:t xml:space="preserve"> </w:t>
      </w:r>
      <w:r>
        <w:t>−2</w:t>
      </w:r>
      <w:r>
        <w:t xml:space="preserve"> </w:t>
      </w:r>
      <w:r>
        <w:t>。可滚压加工成超薄2</w:t>
      </w:r>
    </w:p>
    <w:p>
      <w:pPr>
        <w:spacing w:before="0" w:after="200" w:lineRule="auto" w:line="276"/>
      </w:pPr>
      <w:r>
        <w:rPr>
          <w:b/>
        </w:rPr>
        <w:t xml:space="preserve">Abstract (EN): </w:t>
      </w:r>
      <w:r>
        <w:t>Lithium‐metal batteries are promising for overcoming the energy‐density limitations of conventional lithium‐ion batteries, but dendrite growth and interfacial instability hinder their practical application. Traditional static control strategies struggle to maintain lithiophilicity at the advancing deposition front during high‐areal‐capacity plating. Here, we construct a bulk‐homogeneous Li/LiZn–Li</w:t>
      </w:r>
      <w:r>
        <w:rPr>
          <w:vertAlign w:val="subscript"/>
        </w:rPr>
        <w:t>2</w:t>
      </w:r>
      <w:r>
        <w:t>O composite anode using a scalable in situ metallurgical strategy, in which one‐dimensional LiZn forms a continuous transport/support network, while nanoscale Li</w:t>
      </w:r>
      <w:r>
        <w:rPr>
          <w:vertAlign w:val="subscript"/>
        </w:rPr>
        <w:t>2</w:t>
      </w:r>
      <w:r>
        <w:t>O provides dispersed polar lithiophilic sites. Theoretical calculations show that the LiZn surface lowers the Li surface‐migration barrier to 0.25 eV, whereas Li</w:t>
      </w:r>
      <w:r>
        <w:rPr>
          <w:vertAlign w:val="subscript"/>
        </w:rPr>
        <w:t>2</w:t>
      </w:r>
      <w:r>
        <w:t>O thermodynamically anchors Li species and promotes uniform nucleation. Moreover, Zn species migrate toward the growth front during deposition, continuously replenishing lithiophilic sites and enabling dynamic interfacial regulation. The Li/LiZn–Li</w:t>
      </w:r>
      <w:r>
        <w:rPr>
          <w:vertAlign w:val="subscript"/>
        </w:rPr>
        <w:t>2</w:t>
      </w:r>
      <w:r>
        <w:t>O composite anode enables near‐theoretical dense Li deposition, with a thickness expansion rate of only 5.09 µm (mAh cm</w:t>
      </w:r>
      <w:r>
        <w:t xml:space="preserve"> </w:t>
      </w:r>
      <w:r>
        <w:t>−2</w:t>
      </w:r>
      <w:r>
        <w:t xml:space="preserve"> </w:t>
      </w:r>
      <w:r>
        <w:t>)</w:t>
      </w:r>
      <w:r>
        <w:t xml:space="preserve"> </w:t>
      </w:r>
      <w:r>
        <w:t>−1</w:t>
      </w:r>
      <w:r>
        <w:t xml:space="preserve"> </w:t>
      </w:r>
      <w:r>
        <w:t>, and sustains stable cycling for over 1210 h at 6 mA cm</w:t>
      </w:r>
      <w:r>
        <w:t xml:space="preserve"> </w:t>
      </w:r>
      <w:r>
        <w:t>−2</w:t>
      </w:r>
      <w:r>
        <w:t xml:space="preserve"> </w:t>
      </w:r>
      <w:r>
        <w:t>and 6 mAh cm</w:t>
      </w:r>
      <w:r>
        <w:t xml:space="preserve"> </w:t>
      </w:r>
      <w:r>
        <w:t>−2</w:t>
      </w:r>
      <w:r>
        <w:t xml:space="preserve"> </w:t>
      </w:r>
      <w:r>
        <w:t>. It can be roll‐processed into an ultrathin 20 µm foil and delivers 476.6 Wh kg</w:t>
      </w:r>
      <w:r>
        <w:t xml:space="preserve"> </w:t>
      </w:r>
      <w:r>
        <w:t>−1</w:t>
      </w:r>
      <w:r>
        <w:t xml:space="preserve"> </w:t>
      </w:r>
      <w:r>
        <w:t>in a 3 Ah‐level pouch cell with a high‐loading NCM811 cathode. This work offers a route to high‐performance Li‐metal anodes with dynamically adaptive interfaces.</w:t>
      </w:r>
    </w:p>
    <w:p>
      <w:pPr>
        <w:spacing w:before="120" w:after="120"/>
      </w:pPr>
      <w:r>
        <w:rPr>
          <w:sz w:val="18"/>
        </w:rPr>
        <w:t>——————————————————————————————————————————————————————————————————————</w:t>
      </w:r>
    </w:p>
    <w:p>
      <w:pPr>
        <w:spacing w:before="160" w:after="40" w:line="240" w:lineRule="auto"/>
      </w:pPr>
      <w:r>
        <w:rPr>
          <w:b/>
        </w:rPr>
        <w:t xml:space="preserve">[13] </w:t>
      </w:r>
      <w:hyperlink r:id="rId155">
        <w:r>
          <w:rPr>
            <w:color w:val="1155CC"/>
            <w:u w:val="single"/>
          </w:rPr>
          <w:t>通过界面富集促进聚合对 SiOx 阳极进行持久界面工程</w:t>
        </w:r>
      </w:hyperlink>
    </w:p>
    <w:p>
      <w:pPr>
        <w:spacing w:before="0" w:after="80"/>
      </w:pPr>
      <w:r>
        <w:rPr>
          <w:i/>
          <w:sz w:val="20"/>
        </w:rPr>
        <w:t>EN: Durable Interphase Engineering on SiOx Anodes Through Interfacial‐Enrichment‐Facilitated Polymerization</w:t>
      </w:r>
    </w:p>
    <w:p>
      <w:pPr>
        <w:spacing w:before="0" w:after="120"/>
      </w:pPr>
      <w:r>
        <w:rPr>
          <w:b/>
        </w:rPr>
        <w:t xml:space="preserve">Source: </w:t>
      </w:r>
      <w:r>
        <w:t>Wiley: Advanced Materials: Table of Contents</w:t>
      </w:r>
      <w:r>
        <w:t xml:space="preserve">    </w:t>
      </w:r>
      <w:r>
        <w:rPr>
          <w:b/>
        </w:rPr>
        <w:t xml:space="preserve">Pub date: </w:t>
      </w:r>
      <w:r>
        <w:t>2026-08-05 12:35:50+00:00</w:t>
      </w:r>
      <w:r>
        <w:t xml:space="preserve">    </w:t>
      </w:r>
      <w:r>
        <w:rPr>
          <w:b/>
        </w:rPr>
        <w:t xml:space="preserve">DOI: </w:t>
      </w:r>
      <w:hyperlink r:id="rId156">
        <w:r>
          <w:rPr>
            <w:color w:val="1155CC"/>
            <w:u w:val="single"/>
          </w:rPr>
          <w:t>10.1002/adma.74536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构建坚固的固体电解质界面（SEI）是一种经过验证的策略，可以通过适应剧烈的体积波动和抑制界面副反应来增强硅基阳极的性能。然而，现有的仅依赖化学涂层或电化学形成的策略很难协调 SEI 的均匀性和长期稳定性。在这里，我们提出了一种将界面改性与原位调节电解质分解相结合的协同策略。由 LiF 和 Li 组成的保形层</w:t>
      </w:r>
      <w:r>
        <w:rPr>
          <w:vertAlign w:val="subscript"/>
        </w:rPr>
        <w:t>3</w:t>
      </w:r>
      <w:r>
        <w:t>采购订单</w:t>
      </w:r>
      <w:r>
        <w:rPr>
          <w:vertAlign w:val="subscript"/>
        </w:rPr>
        <w:t>4</w:t>
      </w:r>
      <w:r>
        <w:t>在 SiO2 上预先形成</w:t>
      </w:r>
      <w:r>
        <w:t xml:space="preserve"> </w:t>
      </w:r>
      <w:r>
        <w:t>x</w:t>
      </w:r>
      <w:r>
        <w:t xml:space="preserve"> </w:t>
      </w:r>
      <w:r>
        <w:t>阳极，其中 LiF 作为富含无机 SEI 的稳定机械框架，而 Li</w:t>
      </w:r>
      <w:r>
        <w:rPr>
          <w:vertAlign w:val="subscript"/>
        </w:rPr>
        <w:t>3</w:t>
      </w:r>
      <w:r>
        <w:t>采购订单</w:t>
      </w:r>
      <w:r>
        <w:rPr>
          <w:vertAlign w:val="subscript"/>
        </w:rPr>
        <w:t>4</w:t>
      </w:r>
      <w:r>
        <w:t>选择性吸附氟代碳酸乙烯酯（FEC），有利于 FEC 衍生物质通过界面富集聚合形成高分子量有机物质。这些电化学产生的SEI组分有效地补偿了体积膨胀对初始涂层造成的损坏，使SEI同时具有结构完整性和弹性。因此，改性后的SiO</w:t>
      </w:r>
      <w:r>
        <w:t xml:space="preserve"> </w:t>
      </w:r>
      <w:r>
        <w:t>x</w:t>
      </w:r>
      <w:r>
        <w:t xml:space="preserve"> </w:t>
      </w:r>
      <w:r>
        <w:t>阳极表现出基准电化学性能，提供出色的循环稳定性（1086 mA h g</w:t>
      </w:r>
    </w:p>
    <w:p>
      <w:pPr>
        <w:spacing w:before="0" w:after="200" w:lineRule="auto" w:line="276"/>
      </w:pPr>
      <w:r>
        <w:rPr>
          <w:b/>
        </w:rPr>
        <w:t xml:space="preserve">Abstract (EN): </w:t>
      </w:r>
      <w:r>
        <w:t>Constructing a robust solid electrolyte interphase (SEI) is a proven strategy to enhance the performance of Si‐based anodes by accommodating severe volume swings and suppressing interfacial side reactions. However, existing strategies that rely solely on either chemical coating or electrochemical formation struggle to reconcile SEI uniformity and long‐term stability. Here, we propose a synergistic strategy that integrates the interfacial modification with in situ regulated electrolyte decomposition. A conformal layer composed of LiF and Li</w:t>
      </w:r>
      <w:r>
        <w:rPr>
          <w:vertAlign w:val="subscript"/>
        </w:rPr>
        <w:t>3</w:t>
      </w:r>
      <w:r>
        <w:t>PO</w:t>
      </w:r>
      <w:r>
        <w:rPr>
          <w:vertAlign w:val="subscript"/>
        </w:rPr>
        <w:t>4</w:t>
      </w:r>
      <w:r>
        <w:t>is pre‐formed on SiO</w:t>
      </w:r>
      <w:r>
        <w:t xml:space="preserve"> </w:t>
      </w:r>
      <w:r>
        <w:t>x</w:t>
      </w:r>
      <w:r>
        <w:t xml:space="preserve"> </w:t>
      </w:r>
      <w:r>
        <w:t>anodes, where LiF serves as a stable mechanical framework for the inorganic‐rich SEI, and Li</w:t>
      </w:r>
      <w:r>
        <w:rPr>
          <w:vertAlign w:val="subscript"/>
        </w:rPr>
        <w:t>3</w:t>
      </w:r>
      <w:r>
        <w:t>PO</w:t>
      </w:r>
      <w:r>
        <w:rPr>
          <w:vertAlign w:val="subscript"/>
        </w:rPr>
        <w:t>4</w:t>
      </w:r>
      <w:r>
        <w:t>selectively adsorbs fluoroethylene carbonate (FEC), favoring the polymerization of FEC‐derived species via interfacial enrichment to form the high‐molecular‐weight organic species. These electrochemically generated SEI components effectively compensate for the damage to the initial coating caused by volume expansion, enabling the SEI to possess both structural integrity and resilience. Consequently, the modified SiO</w:t>
      </w:r>
      <w:r>
        <w:t xml:space="preserve"> </w:t>
      </w:r>
      <w:r>
        <w:t>x</w:t>
      </w:r>
      <w:r>
        <w:t xml:space="preserve"> </w:t>
      </w:r>
      <w:r>
        <w:t>anode exhibits benchmark electrochemical performance, delivering excellent cycling stability (1086 mA h g</w:t>
      </w:r>
      <w:r>
        <w:t xml:space="preserve"> </w:t>
      </w:r>
      <w:r>
        <w:t>−1</w:t>
      </w:r>
      <w:r>
        <w:t xml:space="preserve"> </w:t>
      </w:r>
      <w:r>
        <w:t>, 81% capacity retention for 300 cycles at 0.8 A g</w:t>
      </w:r>
      <w:r>
        <w:t xml:space="preserve"> </w:t>
      </w:r>
      <w:r>
        <w:t>−1</w:t>
      </w:r>
      <w:r>
        <w:t xml:space="preserve"> </w:t>
      </w:r>
      <w:r>
        <w:t>) and high‐rate capability (1010 mAh g</w:t>
      </w:r>
      <w:r>
        <w:t xml:space="preserve"> </w:t>
      </w:r>
      <w:r>
        <w:t>−1</w:t>
      </w:r>
      <w:r>
        <w:t xml:space="preserve"> </w:t>
      </w:r>
      <w:r>
        <w:t>at 2.4 A g</w:t>
      </w:r>
      <w:r>
        <w:t xml:space="preserve"> </w:t>
      </w:r>
      <w:r>
        <w:t>−1</w:t>
      </w:r>
      <w:r>
        <w:t xml:space="preserve"> </w:t>
      </w:r>
      <w:r>
        <w:t>). This work establishes a precedent for the dynamic repair interphase design paradigm for high‐capacity anodes.</w:t>
      </w:r>
    </w:p>
    <w:p>
      <w:pPr>
        <w:spacing w:before="120" w:after="120"/>
      </w:pPr>
      <w:r>
        <w:rPr>
          <w:sz w:val="18"/>
        </w:rPr>
        <w:t>——————————————————————————————————————————————————————————————————————</w:t>
      </w:r>
    </w:p>
    <w:p>
      <w:pPr>
        <w:spacing w:before="160" w:after="40" w:line="240" w:lineRule="auto"/>
      </w:pPr>
      <w:r>
        <w:rPr>
          <w:b/>
        </w:rPr>
        <w:t xml:space="preserve">[14] </w:t>
      </w:r>
      <w:hyperlink r:id="rId121">
        <w:r>
          <w:rPr>
            <w:color w:val="1155CC"/>
            <w:u w:val="single"/>
          </w:rPr>
          <w:t>稳定水系铁金属电池的水反应性同位素工程</w:t>
        </w:r>
      </w:hyperlink>
    </w:p>
    <w:p>
      <w:pPr>
        <w:spacing w:before="0" w:after="80"/>
      </w:pPr>
      <w:r>
        <w:rPr>
          <w:i/>
          <w:sz w:val="20"/>
        </w:rPr>
        <w:t>EN: Isotopic Engineering of Water Reactivity for Stable Aqueous Iron‐Metal Batteries</w:t>
      </w:r>
    </w:p>
    <w:p>
      <w:pPr>
        <w:spacing w:before="0" w:after="120"/>
      </w:pPr>
      <w:r>
        <w:rPr>
          <w:b/>
        </w:rPr>
        <w:t xml:space="preserve">Source: </w:t>
      </w:r>
      <w:r>
        <w:t>Wiley: Angewandte Chemie International Edition: Table of Contents</w:t>
      </w:r>
      <w:r>
        <w:t xml:space="preserve">    </w:t>
      </w:r>
      <w:r>
        <w:rPr>
          <w:b/>
        </w:rPr>
        <w:t xml:space="preserve">Pub date: </w:t>
      </w:r>
      <w:r>
        <w:t>2026-08-05 13:33:44+00:00</w:t>
      </w:r>
      <w:r>
        <w:t xml:space="preserve">    </w:t>
      </w:r>
      <w:r>
        <w:rPr>
          <w:b/>
        </w:rPr>
        <w:t xml:space="preserve">DOI: </w:t>
      </w:r>
      <w:hyperlink r:id="rId122">
        <w:r>
          <w:rPr>
            <w:color w:val="1155CC"/>
            <w:u w:val="single"/>
          </w:rPr>
          <w:t>10.1002/anie.5007458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阳极严重的寄生析氢反应（HER）以及由此导致的阴极结构退化严重阻碍了水系铁金属电池（AIB）的发展。这项工作超越了传统的基于添加剂的方法，提出了一种动力学靶向策略，通过同位素工程氘化水（D</w:t>
      </w:r>
      <w:r>
        <w:rPr>
          <w:vertAlign w:val="subscript"/>
        </w:rPr>
        <w:t>2</w:t>
      </w:r>
      <w:r>
        <w:t>O)基电解质。利用氘和氢之间零点能量的内在差异，D</w:t>
      </w:r>
      <w:r>
        <w:rPr>
          <w:vertAlign w:val="subscript"/>
        </w:rPr>
        <w:t>2</w:t>
      </w:r>
      <w:r>
        <w:t>O具有明显更高的水离解活化能垒，有效地抑制了有问题的铁阳极的反应性。同时，无铁金属配置的控制实验表明，这种同位素效应将重要的二次稳定作用扩展到阴极主体，建立了协作的双边保护机制。因此，D</w:t>
      </w:r>
      <w:r>
        <w:rPr>
          <w:vertAlign w:val="subscript"/>
        </w:rPr>
        <w:t>2</w:t>
      </w:r>
      <w:r>
        <w:t>O基电解质可实现平均库仑效率为99.6%的高度可逆铁阳极，并赋予Fe||MoS</w:t>
      </w:r>
      <w:r>
        <w:rPr>
          <w:vertAlign w:val="subscript"/>
        </w:rPr>
        <w:t>2</w:t>
      </w:r>
      <w:r>
        <w:t>全电池的稳定寿命为 2000 次循环，在 0.5 A g 下容量保持率为 87.6%</w:t>
      </w:r>
      <w:r>
        <w:t xml:space="preserve"> </w:t>
      </w:r>
      <w:r>
        <w:t>−1</w:t>
      </w:r>
      <w:r>
        <w:t xml:space="preserve"> </w:t>
      </w:r>
      <w:r>
        <w:t>。这项工作强调了同位素调制作为稳定高性能水系电池的有针对性的高效策略的潜力。</w:t>
      </w:r>
    </w:p>
    <w:p>
      <w:pPr>
        <w:spacing w:before="0" w:after="200" w:lineRule="auto" w:line="276"/>
      </w:pPr>
      <w:r>
        <w:rPr>
          <w:b/>
        </w:rPr>
        <w:t xml:space="preserve">Abstract (EN): </w:t>
      </w:r>
      <w:r>
        <w:t>The development of aqueous iron‐metal batteries (AIBs) is critically hindered by the severe parasitic hydrogen evolution reaction (HER) at the anodes and the resulting structural degradation of the cathode. Moving beyond conventional additive‐based approaches, this work presents a kinetically targeted strategy to suppress HER and enhance overall cell stability through an isotope‐engineered deuterated water (D</w:t>
      </w:r>
      <w:r>
        <w:rPr>
          <w:vertAlign w:val="subscript"/>
        </w:rPr>
        <w:t>2</w:t>
      </w:r>
      <w:r>
        <w:t>O)‐based electrolyte. Leveraging the intrinsic differences in zero‐point energy between deuterium and hydrogen, D</w:t>
      </w:r>
      <w:r>
        <w:rPr>
          <w:vertAlign w:val="subscript"/>
        </w:rPr>
        <w:t>2</w:t>
      </w:r>
      <w:r>
        <w:t>O features a substantially higher activation energy barrier for water dissociation, effectively taming the reactivity of the problematic Fe anode. Concurrently, control experiments in Fe metal‐free configurations reveal that this isotope effect extends a vital secondary stabilization to the cathode host, establishing a cooperative, dual‐side protection mechanism. Consequently, the D</w:t>
      </w:r>
      <w:r>
        <w:rPr>
          <w:vertAlign w:val="subscript"/>
        </w:rPr>
        <w:t>2</w:t>
      </w:r>
      <w:r>
        <w:t>O‐based electrolyte enables a highly reversible iron anode with an average Coulombic efficiency of 99.6% and grants Fe||MoS</w:t>
      </w:r>
      <w:r>
        <w:rPr>
          <w:vertAlign w:val="subscript"/>
        </w:rPr>
        <w:t>2</w:t>
      </w:r>
      <w:r>
        <w:t>full cells a stable lifespan of 2000 cycles with an 87.6% capacity retention at 0.5 A g</w:t>
      </w:r>
      <w:r>
        <w:t xml:space="preserve"> </w:t>
      </w:r>
      <w:r>
        <w:t>−1</w:t>
      </w:r>
      <w:r>
        <w:t xml:space="preserve"> </w:t>
      </w:r>
      <w:r>
        <w:t>. This work highlights the potential of isotopic modulation as a targeted, high‐efficacy strategy for stabilizing high‐performance aqueous batteries.</w:t>
      </w:r>
    </w:p>
    <w:p>
      <w:pPr>
        <w:spacing w:before="120" w:after="120"/>
      </w:pPr>
      <w:r>
        <w:rPr>
          <w:sz w:val="18"/>
        </w:rPr>
        <w:t>——————————————————————————————————————————————————————————————————————</w:t>
      </w:r>
    </w:p>
    <w:p>
      <w:pPr>
        <w:spacing w:before="160" w:after="40" w:line="240" w:lineRule="auto"/>
      </w:pPr>
      <w:r>
        <w:rPr>
          <w:b/>
        </w:rPr>
        <w:t xml:space="preserve">[15] </w:t>
      </w:r>
      <w:hyperlink r:id="rId129">
        <w:r>
          <w:rPr>
            <w:color w:val="1155CC"/>
            <w:u w:val="single"/>
          </w:rPr>
          <w:t>破译用于极快充电锂离子电池的双阴离子电解质的动力学原理</w:t>
        </w:r>
      </w:hyperlink>
    </w:p>
    <w:p>
      <w:pPr>
        <w:spacing w:before="0" w:after="80"/>
      </w:pPr>
      <w:r>
        <w:rPr>
          <w:i/>
          <w:sz w:val="20"/>
        </w:rPr>
        <w:t>EN: Deciphering Kinetic Principles of Dual‐Anion Electrolytes for Extreme Fast‐Charging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2026-08-05 15:21:37+00:00</w:t>
      </w:r>
      <w:r>
        <w:t xml:space="preserve">    </w:t>
      </w:r>
      <w:r>
        <w:rPr>
          <w:b/>
        </w:rPr>
        <w:t xml:space="preserve">DOI: </w:t>
      </w:r>
      <w:hyperlink r:id="rId130">
        <w:r>
          <w:rPr>
            <w:color w:val="1155CC"/>
            <w:u w:val="single"/>
          </w:rPr>
          <w:t>10.1002/anie.5861510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李裁缝</w:t>
      </w:r>
      <w:r>
        <w:t xml:space="preserve"> </w:t>
      </w:r>
      <w:r>
        <w:t>+</w:t>
      </w:r>
      <w:r>
        <w:t xml:space="preserve"> </w:t>
      </w:r>
      <w:r>
        <w:t>溶剂化配位已被认为是在极快充电（XFC）条件下增强锂离子电池（LIB）电化学性能的一种策略。超越削弱李</w:t>
      </w:r>
      <w:r>
        <w:t xml:space="preserve"> </w:t>
      </w:r>
      <w:r>
        <w:t>+</w:t>
      </w:r>
      <w:r>
        <w:t xml:space="preserve"> </w:t>
      </w:r>
      <w:r>
        <w:t>溶剂化过程中，增加的锂-阴离子配对在阴离子衍生的、富含无机物的电极-电解质界面（EEI）的形成中起着至关重要的作用。在这项研究中，我们提出了一种利用本体电解质传输、去溶剂化能和界面动力学的阴离子筛选指南。我们研究了碳酸酯和酯基溶剂中双阴离子电解质的控制机制，旨在解决界面不稳定性、锂镀层和结构降解等关键挑战。综合计算和实验研究表明，优化的双阴离子系统在两个电极上产生部分离子对溶剂化结构和强大的阴离子衍生 EEI，从而在 XFC 条件下实现改进动力学的主要优点。在李妮</w:t>
      </w:r>
      <w:r>
        <w:t xml:space="preserve"> </w:t>
      </w:r>
      <w:r>
        <w:t>0.6</w:t>
      </w:r>
      <w:r>
        <w:t xml:space="preserve"> </w:t>
      </w:r>
      <w:r>
        <w:t>锰</w:t>
      </w:r>
      <w:r>
        <w:t xml:space="preserve"> </w:t>
      </w:r>
      <w:r>
        <w:t>0.2</w:t>
      </w:r>
      <w:r>
        <w:t xml:space="preserve"> </w:t>
      </w:r>
      <w:r>
        <w:t>钴</w:t>
      </w:r>
      <w:r>
        <w:t xml:space="preserve"> </w:t>
      </w:r>
      <w:r>
        <w:t>0.2</w:t>
      </w:r>
      <w:r>
        <w:t xml:space="preserve"> </w:t>
      </w:r>
      <w:r>
        <w:t>||石墨软包电池，优化的双阴离子配方，PF</w:t>
      </w:r>
      <w:r>
        <w:rPr>
          <w:vertAlign w:val="subscript"/>
        </w:rPr>
        <w:t>6</w:t>
      </w:r>
      <w:r>
        <w:t>-</w:t>
      </w:r>
      <w:r>
        <w:t>/TFSI</w:t>
      </w:r>
      <w:r>
        <w:t xml:space="preserve"> </w:t>
      </w:r>
      <w:r>
        <w:t>-</w:t>
      </w:r>
      <w:r>
        <w:t>，在基于碳酸二甲酯的电解质中，在 4C 下循环 500 次后，保留了超过 85% 的原始容量，而基于酯的变体在甲基</w:t>
      </w:r>
    </w:p>
    <w:p>
      <w:pPr>
        <w:spacing w:before="0" w:after="200" w:lineRule="auto" w:line="276"/>
      </w:pPr>
      <w:r>
        <w:rPr>
          <w:b/>
        </w:rPr>
        <w:t xml:space="preserve">Abstract (EN): </w:t>
      </w:r>
      <w:r>
        <w:t>Tailoring Li</w:t>
      </w:r>
      <w:r>
        <w:t xml:space="preserve"> </w:t>
      </w:r>
      <w:r>
        <w:t>+</w:t>
      </w:r>
      <w:r>
        <w:t xml:space="preserve"> </w:t>
      </w:r>
      <w:r>
        <w:t>solvation coordination has been recognized as a strategy to enhance the electrochemical performance of lithium‐ion batteries (LIBs) under extreme fast‐charging (XFC) conditions. Beyond weakening Li</w:t>
      </w:r>
      <w:r>
        <w:t xml:space="preserve"> </w:t>
      </w:r>
      <w:r>
        <w:t>+</w:t>
      </w:r>
      <w:r>
        <w:t xml:space="preserve"> </w:t>
      </w:r>
      <w:r>
        <w:t>solvation, increased Li–anion pairing plays a crucial role in the formation of anion‐derived, inorganic‐rich electrode–electrolyte interfaces (EEIs). In this study, we propose an anion‐screening guideline leveraging transport in bulk electrolyte, desolvation energy and interfacial kinetics. We investigated mechanisms governed by dual‐anion electrolytes in both carbonate‐ and ester‐based solvents, aiming to address key challenges such as interfacial instability, lithium plating, and structural degradation. Integrated computational and experimental studies reveal that optimized dual‐anion systems create partially ion‐paired solvation structures and robust anion‐derived EEI on both electrodes, enabling principal merits of improved kinetics under XFC conditions. In LiNi</w:t>
      </w:r>
      <w:r>
        <w:t xml:space="preserve"> </w:t>
      </w:r>
      <w:r>
        <w:t>0.6</w:t>
      </w:r>
      <w:r>
        <w:t xml:space="preserve"> </w:t>
      </w:r>
      <w:r>
        <w:t>Mn</w:t>
      </w:r>
      <w:r>
        <w:t xml:space="preserve"> </w:t>
      </w:r>
      <w:r>
        <w:t>0.2</w:t>
      </w:r>
      <w:r>
        <w:t xml:space="preserve"> </w:t>
      </w:r>
      <w:r>
        <w:t>Co</w:t>
      </w:r>
      <w:r>
        <w:t xml:space="preserve"> </w:t>
      </w:r>
      <w:r>
        <w:t>0.2</w:t>
      </w:r>
      <w:r>
        <w:t xml:space="preserve"> </w:t>
      </w:r>
      <w:r>
        <w:t>|| graphite pouch cells, the optimized dual‐anion formulation, PF</w:t>
      </w:r>
      <w:r>
        <w:rPr>
          <w:vertAlign w:val="subscript"/>
        </w:rPr>
        <w:t>6</w:t>
      </w:r>
      <w:r>
        <w:t>−</w:t>
      </w:r>
      <w:r>
        <w:t>/TFSI</w:t>
      </w:r>
      <w:r>
        <w:t xml:space="preserve"> </w:t>
      </w:r>
      <w:r>
        <w:t>−</w:t>
      </w:r>
      <w:r>
        <w:t>, in dimethyl carbonate‐based electrolyte retains over 85% of its original capacity and 94% retention after 500 cycles at 4C, while the ester‐based variant in methyl propionate achieves 94%/83% retention after 500/1000 cycles at 4C. These improvements are attributed to reduced charge‐transfer impedance with enriched inorganic fluorides and sulfates interface. Overall, this work provides a framework for anion regulations and offers a promising pathway to realizing fast‐charging, high‐energy‐density LIBs.</w:t>
      </w:r>
    </w:p>
    <w:p>
      <w:pPr>
        <w:spacing w:before="120" w:after="120"/>
      </w:pPr>
      <w:r>
        <w:rPr>
          <w:sz w:val="18"/>
        </w:rPr>
        <w:t>——————————————————————————————————————————————————————————————————————</w:t>
      </w:r>
    </w:p>
    <w:p>
      <w:pPr>
        <w:spacing w:before="160" w:after="40" w:line="240" w:lineRule="auto"/>
      </w:pPr>
      <w:r>
        <w:rPr>
          <w:b/>
        </w:rPr>
        <w:t xml:space="preserve">[16] </w:t>
      </w:r>
      <w:hyperlink r:id="rId157">
        <w:r>
          <w:rPr>
            <w:color w:val="1155CC"/>
            <w:u w:val="single"/>
          </w:rPr>
          <w:t>通过原位自聚合形成多两性离子“离子海绵”界面相，用于超耐用锌电池</w:t>
        </w:r>
      </w:hyperlink>
    </w:p>
    <w:p>
      <w:pPr>
        <w:spacing w:before="0" w:after="80"/>
      </w:pPr>
      <w:r>
        <w:rPr>
          <w:i/>
          <w:sz w:val="20"/>
        </w:rPr>
        <w:t>EN: A Polyzwitterionic “Ion‐Sponge” Interphase via In Situ Self‐Polymerization for Ultradurable Zinc Batteries</w:t>
      </w:r>
    </w:p>
    <w:p>
      <w:pPr>
        <w:spacing w:before="0" w:after="120"/>
      </w:pPr>
      <w:r>
        <w:rPr>
          <w:b/>
        </w:rPr>
        <w:t xml:space="preserve">Source: </w:t>
      </w:r>
      <w:r>
        <w:t>Wiley: Angewandte Chemie International Edition: Table of Contents</w:t>
      </w:r>
      <w:r>
        <w:t xml:space="preserve">    </w:t>
      </w:r>
      <w:r>
        <w:rPr>
          <w:b/>
        </w:rPr>
        <w:t xml:space="preserve">Pub date: </w:t>
      </w:r>
      <w:r>
        <w:t>2026-08-05 15:31:23+00:00</w:t>
      </w:r>
      <w:r>
        <w:t xml:space="preserve">    </w:t>
      </w:r>
      <w:r>
        <w:rPr>
          <w:b/>
        </w:rPr>
        <w:t xml:space="preserve">DOI: </w:t>
      </w:r>
      <w:hyperlink r:id="rId158">
        <w:r>
          <w:rPr>
            <w:color w:val="1155CC"/>
            <w:u w:val="single"/>
          </w:rPr>
          <w:t>10.1002/anie.5417029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电池在电网存储应用方面具有巨大潜力；然而，它们的实际部署受到寄生副反应和不可控枝晶形成的严重限制。在这里，我们通过原位自聚合策略设计了多两性离子“离子海绵”界面相。具体来说，在电场感应下，两性离子单体聚合成超薄多两性离子层，以静电方式富集阴离子（OTf</w:t>
      </w:r>
      <w:r>
        <w:t xml:space="preserve"> </w:t>
      </w:r>
      <w:r>
        <w:t>-</w:t>
      </w:r>
      <w:r>
        <w:t>,SO</w:t>
      </w:r>
      <w:r>
        <w:rPr>
          <w:vertAlign w:val="subscript"/>
        </w:rPr>
        <w:t>4</w:t>
      </w:r>
      <w:r>
        <w:rPr>
          <w:vertAlign w:val="subscript"/>
        </w:rPr>
        <w:t>2</w:t>
      </w:r>
      <w:r>
        <w:t>-</w:t>
      </w:r>
      <w:r>
        <w:t>）并排除界面处的水。这种独特的微环境能够将阴离子原位还原转化为 ZnF</w:t>
      </w:r>
      <w:r>
        <w:rPr>
          <w:vertAlign w:val="subscript"/>
        </w:rPr>
        <w:t>2</w:t>
      </w:r>
      <w:r>
        <w:t>和硫化锌。由此产生的多两性离子-ZnF</w:t>
      </w:r>
      <w:r>
        <w:rPr>
          <w:vertAlign w:val="subscript"/>
        </w:rPr>
        <w:t>2</w:t>
      </w:r>
      <w:r>
        <w:t>/ZnS 混合 SEI 增强了 Zn 的均匀性</w:t>
      </w:r>
      <w:r>
        <w:rPr>
          <w:vertAlign w:val="subscript"/>
        </w:rPr>
        <w:t>2</w:t>
      </w:r>
      <w:r>
        <w:t>+</w:t>
      </w:r>
      <w:r>
        <w:t xml:space="preserve"> </w:t>
      </w:r>
      <w:r>
        <w:t>沉积和 Zn</w:t>
      </w:r>
      <w:r>
        <w:rPr>
          <w:vertAlign w:val="subscript"/>
        </w:rPr>
        <w:t>2</w:t>
      </w:r>
      <w:r>
        <w:t>+</w:t>
      </w:r>
      <w:r>
        <w:t xml:space="preserve"> </w:t>
      </w:r>
      <w:r>
        <w:t>迁移率。界面锌</w:t>
      </w:r>
      <w:r>
        <w:rPr>
          <w:vertAlign w:val="subscript"/>
        </w:rPr>
        <w:t>2</w:t>
      </w:r>
      <w:r>
        <w:t>+</w:t>
      </w:r>
      <w:r>
        <w:t xml:space="preserve"> </w:t>
      </w:r>
      <w:r>
        <w:t>扩散系数达到1.9×10</w:t>
      </w:r>
      <w:r>
        <w:t xml:space="preserve"> </w:t>
      </w:r>
      <w:r>
        <w:t>-</w:t>
      </w:r>
      <w:r>
        <w:rPr>
          <w:vertAlign w:val="subscript"/>
        </w:rPr>
        <w:t>4</w:t>
      </w:r>
      <w:r>
        <w:t>厘米</w:t>
      </w:r>
      <w:r>
        <w:rPr>
          <w:vertAlign w:val="subscript"/>
        </w:rPr>
        <w:t>2</w:t>
      </w:r>
      <w:r>
        <w:t>s</w:t>
      </w:r>
      <w:r>
        <w:t xml:space="preserve"> </w:t>
      </w:r>
      <w:r>
        <w:t>-</w:t>
      </w:r>
      <w:r>
        <w:rPr>
          <w:vertAlign w:val="subscript"/>
        </w:rPr>
        <w:t>1</w:t>
      </w:r>
      <w:r>
        <w:t>（比散装高100倍）。因此，Zn||Zn 对称电池在 5 mA cm 下稳定循环超过 1000 小时</w:t>
      </w:r>
      <w:r>
        <w:t xml:space="preserve"> </w:t>
      </w:r>
      <w:r>
        <w:t>-</w:t>
      </w:r>
      <w:r>
        <w:rPr>
          <w:vertAlign w:val="subscript"/>
        </w:rPr>
        <w:t>2</w:t>
      </w:r>
      <w:r>
        <w:t>和 5 mAh 厘米</w:t>
      </w:r>
    </w:p>
    <w:p>
      <w:pPr>
        <w:spacing w:before="0" w:after="200" w:lineRule="auto" w:line="276"/>
      </w:pPr>
      <w:r>
        <w:rPr>
          <w:b/>
        </w:rPr>
        <w:t xml:space="preserve">Abstract (EN): </w:t>
      </w:r>
      <w:r>
        <w:t>Aqueous zinc batteries hold great potential for grid storage applications; however, their practical deployment is severely limited by parasitic side reactions and uncontrollable dendrite formation. Herein, we design a polyzwitterionic “ion‑sponge” interphase via an in‑situ self‑polymerization strategy. Specifically, under electric‑field induction, zwitterion monomers polymerize into an ultrathin polyzwitterion layer that electrostatically enriches anions (OTf</w:t>
      </w:r>
      <w:r>
        <w:t xml:space="preserve"> </w:t>
      </w:r>
      <w:r>
        <w:t>−</w:t>
      </w:r>
      <w:r>
        <w:t>, SO</w:t>
      </w:r>
      <w:r>
        <w:rPr>
          <w:vertAlign w:val="subscript"/>
        </w:rPr>
        <w:t>4</w:t>
      </w:r>
      <w:r>
        <w:rPr>
          <w:vertAlign w:val="subscript"/>
        </w:rPr>
        <w:t>2</w:t>
      </w:r>
      <w:r>
        <w:t>−</w:t>
      </w:r>
      <w:r>
        <w:t>) and excludes water at the interface. This unique microenvironment enables the in‑situ reductive conversion of anions into ZnF</w:t>
      </w:r>
      <w:r>
        <w:rPr>
          <w:vertAlign w:val="subscript"/>
        </w:rPr>
        <w:t>2</w:t>
      </w:r>
      <w:r>
        <w:t>and ZnS. The resulting polyzwitterion–ZnF</w:t>
      </w:r>
      <w:r>
        <w:rPr>
          <w:vertAlign w:val="subscript"/>
        </w:rPr>
        <w:t>2</w:t>
      </w:r>
      <w:r>
        <w:t>/ZnS hybrid SEI enhances both the uniformity of Zn</w:t>
      </w:r>
      <w:r>
        <w:rPr>
          <w:vertAlign w:val="subscript"/>
        </w:rPr>
        <w:t>2</w:t>
      </w:r>
      <w:r>
        <w:t>+</w:t>
      </w:r>
      <w:r>
        <w:t xml:space="preserve"> </w:t>
      </w:r>
      <w:r>
        <w:t>deposition and the Zn</w:t>
      </w:r>
      <w:r>
        <w:rPr>
          <w:vertAlign w:val="subscript"/>
        </w:rPr>
        <w:t>2</w:t>
      </w:r>
      <w:r>
        <w:t>+</w:t>
      </w:r>
      <w:r>
        <w:t xml:space="preserve"> </w:t>
      </w:r>
      <w:r>
        <w:t>migration rate. The interfacial Zn</w:t>
      </w:r>
      <w:r>
        <w:rPr>
          <w:vertAlign w:val="subscript"/>
        </w:rPr>
        <w:t>2</w:t>
      </w:r>
      <w:r>
        <w:t>+</w:t>
      </w:r>
      <w:r>
        <w:t xml:space="preserve"> </w:t>
      </w:r>
      <w:r>
        <w:t>diffusion coefficient reaches 1.9 × 10</w:t>
      </w:r>
      <w:r>
        <w:t xml:space="preserve"> </w:t>
      </w:r>
      <w:r>
        <w:t>−</w:t>
      </w:r>
      <w:r>
        <w:rPr>
          <w:vertAlign w:val="subscript"/>
        </w:rPr>
        <w:t>4</w:t>
      </w:r>
      <w:r>
        <w:t>cm</w:t>
      </w:r>
      <w:r>
        <w:rPr>
          <w:vertAlign w:val="subscript"/>
        </w:rPr>
        <w:t>2</w:t>
      </w:r>
      <w:r>
        <w:t>s</w:t>
      </w:r>
      <w:r>
        <w:t xml:space="preserve"> </w:t>
      </w:r>
      <w:r>
        <w:t>−</w:t>
      </w:r>
      <w:r>
        <w:rPr>
          <w:vertAlign w:val="subscript"/>
        </w:rPr>
        <w:t>1</w:t>
      </w:r>
      <w:r>
        <w:t>(100 times higher than the bulk). Consequently, Zn||Zn symmetric cells stably cycle for over 1000 h at 5 mA cm</w:t>
      </w:r>
      <w:r>
        <w:t xml:space="preserve"> </w:t>
      </w:r>
      <w:r>
        <w:t>−</w:t>
      </w:r>
      <w:r>
        <w:rPr>
          <w:vertAlign w:val="subscript"/>
        </w:rPr>
        <w:t>2</w:t>
      </w:r>
      <w:r>
        <w:t>and 5 mAh cm</w:t>
      </w:r>
      <w:r>
        <w:t xml:space="preserve"> </w:t>
      </w:r>
      <w:r>
        <w:t>−</w:t>
      </w:r>
      <w:r>
        <w:rPr>
          <w:vertAlign w:val="subscript"/>
        </w:rPr>
        <w:t>2</w:t>
      </w:r>
      <w:r>
        <w:t>, and also for over 5500 h at −20 °C. Full cells with V</w:t>
      </w:r>
      <w:r>
        <w:rPr>
          <w:vertAlign w:val="subscript"/>
        </w:rPr>
        <w:t>2</w:t>
      </w:r>
      <w:r>
        <w:t>O</w:t>
      </w:r>
      <w:r>
        <w:rPr>
          <w:vertAlign w:val="subscript"/>
        </w:rPr>
        <w:t>5</w:t>
      </w:r>
      <w:r>
        <w:t>cathode achieve a high average capacity of 339 mAh g</w:t>
      </w:r>
      <w:r>
        <w:t xml:space="preserve"> </w:t>
      </w:r>
      <w:r>
        <w:t>−</w:t>
      </w:r>
      <w:r>
        <w:rPr>
          <w:vertAlign w:val="subscript"/>
        </w:rPr>
        <w:t>1</w:t>
      </w:r>
      <w:r>
        <w:t>and 99.9% Coulombic efficiency over 1900 cycles, along with stable low‑temperature operation. This polyzwitterionic “ion‑sponge” interphase concept provides in‑depth insights into interfacial ion transport regulation for high‑performance aqueous zinc batteries.</w:t>
      </w:r>
    </w:p>
    <w:p>
      <w:pPr>
        <w:spacing w:before="120" w:after="120"/>
      </w:pPr>
      <w:r>
        <w:rPr>
          <w:sz w:val="18"/>
        </w:rPr>
        <w:t>——————————————————————————————————————————————————————————————————————</w:t>
      </w:r>
    </w:p>
    <w:p>
      <w:pPr>
        <w:spacing w:before="160" w:after="40" w:line="240" w:lineRule="auto"/>
      </w:pPr>
      <w:r>
        <w:rPr>
          <w:b/>
        </w:rPr>
        <w:t xml:space="preserve">[17] </w:t>
      </w:r>
      <w:hyperlink r:id="rId159">
        <w:r>
          <w:rPr>
            <w:color w:val="1155CC"/>
            <w:u w:val="single"/>
          </w:rPr>
          <w:t>MoO3− x 掺入共价有机框架纳米复合材料作为锂离子电池的先进阳极材料：阐明结构-活性关系</w:t>
        </w:r>
      </w:hyperlink>
    </w:p>
    <w:p>
      <w:pPr>
        <w:spacing w:before="0" w:after="80"/>
      </w:pPr>
      <w:r>
        <w:rPr>
          <w:i/>
          <w:sz w:val="20"/>
        </w:rPr>
        <w:t>EN: MoO3− x Incorporated Covalent Organic Framework Nanocomposite as an Advanced Anode Material for Li-Ion Batteries: Elucidating Structure−Activity Relationships</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60">
        <w:r>
          <w:rPr>
            <w:color w:val="1155CC"/>
            <w:u w:val="single"/>
          </w:rPr>
          <w:t>10.1021/acsami.6c12562</w:t>
        </w:r>
      </w:hyperlink>
    </w:p>
    <w:p>
      <w:pPr>
        <w:spacing w:before="0" w:after="120"/>
      </w:pPr>
      <w:r>
        <w:rPr>
          <w:b/>
        </w:rPr>
        <w:t xml:space="preserve">Notes: </w:t>
      </w:r>
      <w:r>
        <w:t>abstract_source=crossref</w:t>
      </w:r>
    </w:p>
    <w:p>
      <w:pPr>
        <w:spacing w:before="0" w:after="80" w:lineRule="auto" w:line="276"/>
      </w:pPr>
      <w:r>
        <w:rPr>
          <w:b/>
        </w:rPr>
        <w:t xml:space="preserve">摘要（ZH）: </w:t>
      </w:r>
      <w:r>
        <w:t>摘要 MoO3 因其 1117 mAh g−1 的高理论容量及其层状结构而成为一种有前途的锂离子电池（LIB）负极材料。然而，MoO3 本质上具有较低的电子电导率，并且在充放电循环过程中经历显着的体积膨胀，这限制了其在实际应用中实现大量容量和可循环性的能力。一般来说，MoO3中的氧空位被认为可以有效增强导电性和扩大晶格距离。另一方面，共价有机框架（COF）由于其丰富的活性位点、大的共轭结构、高表面积和易于使用的Li+传输通道，最近已被用作LIB的有机阳极材料。尽管基于COF的纳米材料具有多种优点，但结构稳定性差和氧化还原活性位点数量有限等关键问题阻碍了这些纳米材料在LIB中的广泛使用。在这项研究中，我们提出了一种新颖的纳米材料设计策略，该策略将缺氧的 MoO3−x 纳入 TA COF 架构中，并使用简单的机械化学合成程序制造。据我们所知，MoO3−x-TA COF 纳米复合材料（NC）作为负极材料首次被评估用于锂离子电池。组装的锂离子电池表现出卓越的性能，在 0.1 A g−1 的电流下实现了 517 mAh g−1 的比容量，并显示出 1100 次循环的循环稳定性和大约 100% 的保留率。进行了密度泛函理论（DFT）研究，结果表明</w:t>
      </w:r>
    </w:p>
    <w:p>
      <w:pPr>
        <w:spacing w:before="0" w:after="200" w:lineRule="auto" w:line="276"/>
      </w:pPr>
      <w:r>
        <w:rPr>
          <w:b/>
        </w:rPr>
        <w:t xml:space="preserve">Abstract (EN): </w:t>
      </w:r>
      <w:r>
        <w:t>MoO3 serves as a promising anode material for lithium-ion batteries (LIBs) because of its high theoretical capacity of 1117 mAh g−1 and its layered structure. However, MoO3 has inherently low electronic conductivity and experiences significant volume expansion during the charge−discharge cycles, which limits its ability to achieve substantial capacity and cyclability for practical applications. Generally, oxygen vacancies in MoO3 are considered effective in enhancing conductivity and expanding the lattice distance. On the other hand, covalent organic frameworks (COFs) have recently been used as organic anode materials for LIBs because of their abundance of active sites, large conjugated structures, high surface area, and accessible Li+ transport channels. Despite the several advantages of COF-based nanomaterials, critical issues like poor structural stability and a limited number of redox-active sites impede the extensive use of these nanomaterials in LIBs. In this study, we present a novel nanomaterial design strategy that incorporates oxygen-deficient MoO3−x in the TA COF architecture, fabricated using a simple mechanochemical synthesis procedure. To the best of our knowledge, MoO3−x-TA COF nanocomposites (NCs) as anode materials have been evaluated for LIBs for the first time. The assembled LIBs demonstrate exceptional performance, achieving a specific capacity of 517 mAh g−1 at a current of 0.1 A g−1 and showing cyclic stability of 1100 cycles with roughly 100% retention. A density functional theory (DFT) investigation was conducted, and the results indicate that molybdenum trioxide preferentially binds near the keto site while preserving the overall structure of TA-COF. Furthermore, this modification enhances Li adsorption, as the keto-modified TA-COF remains structurally less distorted and energetically more stable at higher Li loadings compared to the pristine TA-COF. Thus, this strategy of introducing transition metal oxides paves the way for regulating the valence, lattice structure, and even the composition of electrode materials through COF-based nanocomposite preparation. This approach equips these materials with desirable features and offers an alternative solution to meet the demands of energy storage systems.</w:t>
      </w:r>
    </w:p>
    <w:p>
      <w:pPr>
        <w:spacing w:before="120" w:after="120"/>
      </w:pPr>
      <w:r>
        <w:rPr>
          <w:sz w:val="18"/>
        </w:rPr>
        <w:t>——————————————————————————————————————————————————————————————————————</w:t>
      </w:r>
    </w:p>
    <w:p>
      <w:pPr>
        <w:spacing w:before="160" w:after="40" w:line="240" w:lineRule="auto"/>
      </w:pPr>
      <w:r>
        <w:rPr>
          <w:b/>
        </w:rPr>
        <w:t xml:space="preserve">[18] </w:t>
      </w:r>
      <w:hyperlink r:id="rId161">
        <w:r>
          <w:rPr>
            <w:color w:val="1155CC"/>
            <w:u w:val="single"/>
          </w:rPr>
          <w:t>用于高性能锂存储的中空二维导电金属有机框架@MXene异质结的动力学控制溶解-扩散-重结晶</w:t>
        </w:r>
      </w:hyperlink>
    </w:p>
    <w:p>
      <w:pPr>
        <w:spacing w:before="0" w:after="80"/>
      </w:pPr>
      <w:r>
        <w:rPr>
          <w:i/>
          <w:sz w:val="20"/>
        </w:rPr>
        <w:t>EN: Kinetic-Controlled Dissolution-Diffusion-Recrystallization of Hollow Two-Dimensional Conductive Metal-Organic Frameworks@MXene Heterojunctions for High-Performance Lithium Storage</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62">
        <w:r>
          <w:rPr>
            <w:color w:val="1155CC"/>
            <w:u w:val="single"/>
          </w:rPr>
          <w:t>10.1021/acsami.6c04962</w:t>
        </w:r>
      </w:hyperlink>
    </w:p>
    <w:p>
      <w:pPr>
        <w:spacing w:before="0" w:after="120"/>
      </w:pPr>
      <w:r>
        <w:rPr>
          <w:b/>
        </w:rPr>
        <w:t xml:space="preserve">Notes: </w:t>
      </w:r>
      <w:r>
        <w:t>abstract_source=crossref</w:t>
      </w:r>
    </w:p>
    <w:p>
      <w:pPr>
        <w:spacing w:before="0" w:after="80" w:lineRule="auto" w:line="276"/>
      </w:pPr>
      <w:r>
        <w:rPr>
          <w:b/>
        </w:rPr>
        <w:t xml:space="preserve">摘要（ZH）: </w:t>
      </w:r>
      <w:r>
        <w:t>摘要：二维导电金属有机框架（2D c-MOF）作为下一代高能量密度器件的阳极具有广阔的前景，但其实际应用受到层堆叠导致的活性位点暴露不足以及非氧化还原活性配体导致的有限比容量的阻碍。在此，首次使用 ZIF 前体通过原位配体交换合成了具有中空结构的 2D c-MOF@MXene (M-HHTP@MX) 异质结。通过揭示溶解-扩散-再结晶动力学机制，实现了对中空结构的形成和形貌的精确控制。与传统溶剂热方法的局限性不同，采用室温条件和Ti3C2TX的引入赋予异质结高结晶度、低缺陷和良好的机械性能。此外，M-HHTP@MX具有特征尺寸为1.87 nm和37.72 nm的分级孔结构，有利于电解质充分渗透和活性位点暴露。值得注意的是，Co-HHTP@MX 在 100 mA·g−1 下具有 972.19 mAh·g−1 的优异可逆容量，并且具有出色的长期循环稳定性，在 2000 mA·g−1 下经过 2000 次循环后容量保持率为 90.7%。这项工作通过配体交换构建空心2D c-MOF异质结，增强循环稳定性并促进锂迁移，为高性能阳极提供了一种新策略。</w:t>
      </w:r>
    </w:p>
    <w:p>
      <w:pPr>
        <w:spacing w:before="0" w:after="200" w:lineRule="auto" w:line="276"/>
      </w:pPr>
      <w:r>
        <w:rPr>
          <w:b/>
        </w:rPr>
        <w:t xml:space="preserve">Abstract (EN): </w:t>
      </w:r>
      <w:r>
        <w:t>Two-dimensional conductive metal-organic frameworks (2D c-MOFs) hold great promise as anodes for next-generation high-energy density devices, yet their practical application is hindered by insufficient exposure of the active site caused by layer stacking and limited specific capacity attributed to non-redox-active ligands. Herein, 2D c-MOF@MXene (M-HHTP@MX) heterojunction with hollow structures is synthesized for the first time via in situ ligand exchange using ZIF precursors. By unraveling the dissolution-diffusion-recrystallization kinetic mechanism, precise control over the formation and morphology of the hollow architectures is achieved. Unlike the limitations of conventional solvothermal methods, the adoption of room-temperature conditions and the Ti3C2Tx introduction endow the heterojunction with high crystallinity, low defects and good mechanical properties. Furthermore, M-HHTP@MX possesses a hierarchical pore structure with characteristic sizes of 1.87 nm and 37.72 nm, which are conducive to sufficient electrolyte penetration and the active site exposure. Notably, Co-HHTP@MX delivers a superior reversible capacity of 972.19 mAh·g−1 at 100 mA·g−1, along with excellent long-term cycling stability with a 90.7% capacity retention at 2000 mA·g−1 after 2000 cycles. This work provides a novel strategy for high-performance anodes through constructing hollow 2D c-MOF heterojunctions via ligand exchange that enhance cycling stability and promote lithium migration.</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163">
        <w:r>
          <w:rPr>
            <w:color w:val="1155CC"/>
            <w:u w:val="single"/>
          </w:rPr>
          <w:t>干燥室条件下湿气诱导银汞矿 Li6PS5Cl 表面降解机制</w:t>
        </w:r>
      </w:hyperlink>
    </w:p>
    <w:p>
      <w:pPr>
        <w:spacing w:before="0" w:after="80"/>
      </w:pPr>
      <w:r>
        <w:rPr>
          <w:i/>
          <w:sz w:val="20"/>
        </w:rPr>
        <w:t>EN: Moisture-induced surface degradation mechanism of argyrodite Li6PS5Cl under dry-room conditions</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银铜矿Li₆PS₅Cl（LPSC）兼具高锂离子电导率（室温下约10 mS cm⁻）和机械柔软性，使其成为下一代全固态电池（ASSB）的旗舰固体电解质。然而，即使工业干燥室（露点 –60 至 –70 °C）中的微量水分也会迅速降解其表面，减少离子传输并阻碍可扩展的工艺。在这里，我们通过将第一原理计算与深度剖析 X 射线光电子能谱分析相结合，阐明了干燥室条件下水分引发的 LPSC 表面降解机制。组合分析揭示了一个五步序列：（i）H2O在富S表面上的吸附，（ii）P-S键减弱，然后是热力学上有利的S-O取代，（iii）O取代的PS₄四面体的旋转，驱动O迁移到地下层，（iv）形成富O的Li₆PO₅Cl类表面，以及（v）体积收缩相分离成LiCl， Li₃PO₄、Li2SO₄、LiOH 和 Li2CO3。由此产生的多孔富氧层无法钝化电解质，导致离子电导率在三天内下降 36%。这些机制见解强调多面体刚性调节和防潮表面化学是在实际电池制造过程中稳定硫代磷酸盐电解质的补充策略。</w:t>
      </w:r>
    </w:p>
    <w:p>
      <w:pPr>
        <w:spacing w:before="0" w:after="200" w:lineRule="auto" w:line="276"/>
      </w:pPr>
      <w:r>
        <w:rPr>
          <w:b/>
        </w:rPr>
        <w:t xml:space="preserve">Abstract (EN): </w:t>
      </w:r>
      <w:r>
        <w:t>Argyrodite Li₆PS₅Cl (LPSC) possesses both high Li-ion conductivity ( ~ 10 mS cm⁻¹ at room temperature) and mechanical softness, positioning it as a flagship solid electrolyte for next-generation all-solid-state batteries (ASSBs). However, even trace amounts of moisture in industrial dry rooms (dew-point –60 to –70 °C) rapidly degrade its surface, diminishing ionic transport and impeding scalable processes. Here, we elucidate the moisture-triggered surface degradation mechanism of LPSC under dry-room conditions by combining first-principles calculations with depth-profiling X-ray photoelectron spectroscopy analysis. The combined analysis reveals a five-step sequence: (i) H2O adsorptions on S-rich surface, (ii) P–S bond weakening followed by thermodynamically favoured S-O substitutions, (iii) rotation of the O-substituted PS₄ tetrahedra that drives O migration into subsurface layers, (iv) formation of an O-rich Li₆PO₅Cl-like surface, and (v) volume-shrinking phase separation into LiCl, Li₃PO₄, Li₂SO₄, LiOH, and Li2CO3. The resulting porous, O-enriched layer fails to passivate the electrolyte, causing a 36% drop in ionic conductivity within three days. These mechanistic insights highlight polyhedral-rigidity tuning and moisture-blocking surface chemistries as complementary strategies for stabilizing thiophosphate electrolytes during practical cell fabrication.</w:t>
      </w:r>
    </w:p>
    <w:p>
      <w:pPr>
        <w:spacing w:before="120" w:after="120"/>
      </w:pPr>
      <w:r>
        <w:rPr>
          <w:sz w:val="18"/>
        </w:rPr>
        <w:t>——————————————————————————————————————————————————————————————————————</w:t>
      </w:r>
    </w:p>
    <w:p>
      <w:pPr>
        <w:spacing w:before="160" w:after="40" w:line="240" w:lineRule="auto"/>
      </w:pPr>
      <w:r>
        <w:rPr>
          <w:b/>
        </w:rPr>
        <w:t xml:space="preserve">[2] </w:t>
      </w:r>
      <w:hyperlink r:id="rId164">
        <w:r>
          <w:rPr>
            <w:color w:val="1155CC"/>
            <w:u w:val="single"/>
          </w:rPr>
          <w:t>作者更正：基于葫芦脲的超分子纳米孔阴离子传导膜</w:t>
        </w:r>
      </w:hyperlink>
    </w:p>
    <w:p>
      <w:pPr>
        <w:spacing w:before="0" w:after="80"/>
      </w:pPr>
      <w:r>
        <w:rPr>
          <w:i/>
          <w:sz w:val="20"/>
        </w:rPr>
        <w:t>EN: Author Correction: Cucurbituril-based anion-conducting membranes with supramolecular nanopores</w:t>
      </w:r>
    </w:p>
    <w:p>
      <w:pPr>
        <w:spacing w:before="0" w:after="120"/>
      </w:pPr>
      <w:r>
        <w:rPr>
          <w:b/>
        </w:rPr>
        <w:t xml:space="preserve">Source: </w:t>
      </w:r>
      <w:r>
        <w:t>Nature</w:t>
      </w:r>
      <w:r>
        <w:t xml:space="preserve">    </w:t>
      </w:r>
      <w:r>
        <w:rPr>
          <w:b/>
        </w:rPr>
        <w:t xml:space="preserve">Pub date: </w:t>
      </w:r>
      <w:r>
        <w:t>2026-07-31 00:00:00+00:00</w:t>
      </w:r>
      <w:r>
        <w:t xml:space="preserve">    </w:t>
      </w:r>
      <w:r>
        <w:rPr>
          <w:b/>
        </w:rPr>
        <w:t xml:space="preserve">DOI: </w:t>
      </w:r>
      <w:hyperlink r:id="rId165">
        <w:r>
          <w:rPr>
            <w:color w:val="1155CC"/>
            <w:u w:val="single"/>
          </w:rPr>
          <w:t>10.1038/s41586-026-10921-w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66">
        <w:r>
          <w:rPr>
            <w:color w:val="1155CC"/>
            <w:u w:val="single"/>
          </w:rPr>
          <w:t>物理增强人工智能驱动的电动飞机的高效电池电解质设计</w:t>
        </w:r>
      </w:hyperlink>
    </w:p>
    <w:p>
      <w:pPr>
        <w:spacing w:before="0" w:after="80"/>
      </w:pPr>
      <w:r>
        <w:rPr>
          <w:i/>
          <w:sz w:val="20"/>
        </w:rPr>
        <w:t>EN: Efficient battery electrolyte design for electric aircraft driven by physics-augmented AI</w:t>
      </w:r>
    </w:p>
    <w:p>
      <w:pPr>
        <w:spacing w:before="0" w:after="120"/>
      </w:pPr>
      <w:r>
        <w:rPr>
          <w:b/>
        </w:rPr>
        <w:t xml:space="preserve">Source: </w:t>
      </w:r>
      <w:r>
        <w:t>Joule</w:t>
      </w:r>
      <w:r>
        <w:t xml:space="preserve">    </w:t>
      </w:r>
      <w:r>
        <w:rPr>
          <w:b/>
        </w:rPr>
        <w:t xml:space="preserve">Pub date: </w:t>
      </w:r>
      <w:r>
        <w:t>2026-07-31 00:00:00+00:00</w:t>
      </w:r>
      <w:r>
        <w:t xml:space="preserve">    </w:t>
      </w:r>
      <w:r>
        <w:rPr>
          <w:b/>
        </w:rPr>
        <w:t xml:space="preserve">DOI: </w:t>
      </w:r>
      <w:hyperlink r:id="rId167">
        <w:r>
          <w:rPr>
            <w:color w:val="1155CC"/>
            <w:u w:val="single"/>
          </w:rPr>
          <w:t>10.1016/j.joule.2026.102601</w:t>
        </w:r>
      </w:hyperlink>
    </w:p>
    <w:p>
      <w:pPr>
        <w:spacing w:before="0" w:after="120"/>
      </w:pPr>
      <w:r>
        <w:rPr>
          <w:b/>
        </w:rPr>
        <w:t xml:space="preserve">Notes: </w:t>
      </w:r>
      <w:r>
        <w:t>abstract_source=rss_cell</w:t>
      </w:r>
    </w:p>
    <w:p>
      <w:pPr>
        <w:spacing w:before="0" w:after="80" w:lineRule="auto" w:line="276"/>
      </w:pPr>
      <w:r>
        <w:rPr>
          <w:b/>
        </w:rPr>
        <w:t xml:space="preserve">摘要（ZH）: </w:t>
      </w:r>
      <w:r>
        <w:t>传统的材料设计方法与电解质的巨大组成空间相矛盾，导致开发成本高昂并阻碍了电动飞机的实际部署。提出了具有精确电解质特性建模的物理增强人工智能设计框架，以同时提高高维电解质设计的效率、可靠性和可解释性，显着减少设计资源，并从统计数据中揭示关键的机械见解，从而为要求苛刻的 eVTOL 操作提出更严格的电解质设计原则。</w:t>
      </w:r>
    </w:p>
    <w:p>
      <w:pPr>
        <w:spacing w:before="0" w:after="200" w:lineRule="auto" w:line="276"/>
      </w:pPr>
      <w:r>
        <w:rPr>
          <w:b/>
        </w:rPr>
        <w:t xml:space="preserve">Abstract (EN): </w:t>
      </w:r>
      <w:r>
        <w:t>Traditional material design approaches struggle with the vast compositional space of electrolytes, leading to high development costs and hindering the practical deployment of electric aircraft. A physics-augmented AI design framework with accurate electrolyte property modeling is proposed to simultaneously improve the efficiency, reliability, and interpretability of high-dimensional electrolyte design, significantly reducing design resources and uncovering key mechanistic insights from statistical data to advance more rigorous electrolyte design principles for demanding eVTOL operations.</w:t>
      </w:r>
    </w:p>
    <w:p>
      <w:pPr>
        <w:spacing w:before="120" w:after="120"/>
      </w:pPr>
      <w:r>
        <w:rPr>
          <w:sz w:val="18"/>
        </w:rPr>
        <w:t>——————————————————————————————————————————————————————————————————————</w:t>
      </w:r>
    </w:p>
    <w:p>
      <w:pPr>
        <w:spacing w:before="160" w:after="40" w:line="240" w:lineRule="auto"/>
      </w:pPr>
      <w:r>
        <w:rPr>
          <w:b/>
        </w:rPr>
        <w:t xml:space="preserve">[4] </w:t>
      </w:r>
      <w:hyperlink r:id="rId168">
        <w:r>
          <w:rPr>
            <w:color w:val="1155CC"/>
            <w:u w:val="single"/>
          </w:rPr>
          <w:t>重新审视库仑效率范式：锂金属电池的电解质添加剂设计</w:t>
        </w:r>
      </w:hyperlink>
    </w:p>
    <w:p>
      <w:pPr>
        <w:spacing w:before="0" w:after="80"/>
      </w:pPr>
      <w:r>
        <w:rPr>
          <w:i/>
          <w:sz w:val="20"/>
        </w:rPr>
        <w:t>EN: Revisiting Coulombic Efficiency Paradigm: Electrolyte Additive Design for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2026-07-31 07:57:29+00:00</w:t>
      </w:r>
      <w:r>
        <w:t xml:space="preserve">    </w:t>
      </w:r>
      <w:r>
        <w:rPr>
          <w:b/>
        </w:rPr>
        <w:t xml:space="preserve">DOI: </w:t>
      </w:r>
      <w:hyperlink r:id="rId169">
        <w:r>
          <w:rPr>
            <w:color w:val="1155CC"/>
            <w:u w:val="single"/>
          </w:rPr>
          <w:t>10.1002/anie.9595705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小剂量电解质添加剂广泛用于增强电池性能，但合理选择添加剂以稳定锂金属（Li°）电极仍然具有挑战性。不对称 Li°||Cu° 电池中的库仑效率 (CE) 测量可作为关键的评估指标，但所得的 CE 值通常会偏离仅基于加性结构的预期。在此，我们通过将 Li°||Cu° 循环数据的统计分析与成分表征以及原子和化学模拟相结合，深入研究氟化电解质添加剂的设计。我们的结果表明，九氟丁磺酰氟作为电解质添加剂，在 Li°||Cu° 电池的短期循环测试中仅对 Aurbach CE 值产生边际影响。有趣的是，在延长循环过程中，统计分析表明，相同的添加剂在基于双（三氟甲磺酰）亚胺（TFSI）的电解质系列中表现出不同的影响</w:t>
      </w:r>
      <w:r>
        <w:t xml:space="preserve"> </w:t>
      </w:r>
      <w:r>
        <w:t>-</w:t>
      </w:r>
      <w:r>
        <w:t>）和双（氟磺酰基）亚胺（FSI</w:t>
      </w:r>
      <w:r>
        <w:t xml:space="preserve"> </w:t>
      </w:r>
      <w:r>
        <w:t>-</w:t>
      </w:r>
      <w:r>
        <w:t>）阴离子。这些差异源于氟化添加剂的成膜化学与 TFSI 的积极参与之间的相互作用</w:t>
      </w:r>
      <w:r>
        <w:t xml:space="preserve"> </w:t>
      </w:r>
      <w:r>
        <w:t>-</w:t>
      </w:r>
      <w:r>
        <w:t>和金融服务机构</w:t>
      </w:r>
      <w:r>
        <w:t xml:space="preserve"> </w:t>
      </w:r>
      <w:r>
        <w:t>-</w:t>
      </w:r>
      <w:r>
        <w:t>阴离子，它们共同调节 Li° 上产生的固体电解质界面（SEI）的化学和电化学特征。这项工作阐明了附加功能如何转化</w:t>
      </w:r>
    </w:p>
    <w:p>
      <w:pPr>
        <w:spacing w:before="0" w:after="200" w:lineRule="auto" w:line="276"/>
      </w:pPr>
      <w:r>
        <w:rPr>
          <w:b/>
        </w:rPr>
        <w:t xml:space="preserve">Abstract (EN): </w:t>
      </w:r>
      <w:r>
        <w:t>Small‐dose electrolyte additives are widely used to enhance battery performance, yet rational additive selection for the stabilization of lithium metal (Li°) electrodes remains challenging. Coulombic efficiency (CE) measurements in asymmetric Li°||Cu° cells serve as critical evaluative metrics, but the resulting CE values often deviate from expectations based on additive structure alone. Herein, we delve into the design of fluorinated electrolyte additives by combining statistical analysis of Li°||Cu° cycling data with compositional characterization as well as atomistic and chemical simulations. Our results demonstrate that nonafluorobutanesulfonyl fluoride, as an electrolyte additive, induces only a marginal effect on the Aurbach CE values during short‐term cycling tests of Li°||Cu° cells. Intriguingly, during extended‐cycling, statistical analysis reveals that the same additive exhibits divergent effects in electrolyte families based on bis(trifluoromethanesulfonyl)imide (TFSI</w:t>
      </w:r>
      <w:r>
        <w:t xml:space="preserve"> </w:t>
      </w:r>
      <w:r>
        <w:t>−</w:t>
      </w:r>
      <w:r>
        <w:t>) and bis(fluorosulfonyl)imide (FSI</w:t>
      </w:r>
      <w:r>
        <w:t xml:space="preserve"> </w:t>
      </w:r>
      <w:r>
        <w:t>−</w:t>
      </w:r>
      <w:r>
        <w:t>) anions. These differences arise from the interplay between the film‐forming chemistry of the fluorinated additive and the active involvement of TFSI</w:t>
      </w:r>
      <w:r>
        <w:t xml:space="preserve"> </w:t>
      </w:r>
      <w:r>
        <w:t>−</w:t>
      </w:r>
      <w:r>
        <w:t>and FSI</w:t>
      </w:r>
      <w:r>
        <w:t xml:space="preserve"> </w:t>
      </w:r>
      <w:r>
        <w:t>−</w:t>
      </w:r>
      <w:r>
        <w:t>anions, which collectively modulate the chemical and electrochemical features of the resulting solid‐electrolyte interphases (SEI) on Li°. This work elucidates how additive functionality translates into interphase chemistry and provides a statistically robust framework for screening electrolyte additives for practical lithium metal batteries.</w:t>
      </w:r>
    </w:p>
    <w:p>
      <w:pPr>
        <w:spacing w:before="120" w:after="120"/>
      </w:pPr>
      <w:r>
        <w:rPr>
          <w:sz w:val="18"/>
        </w:rPr>
        <w:t>——————————————————————————————————————————————————————————————————————</w:t>
      </w:r>
    </w:p>
    <w:p>
      <w:pPr>
        <w:spacing w:before="160" w:after="40" w:line="240" w:lineRule="auto"/>
      </w:pPr>
      <w:r>
        <w:rPr>
          <w:b/>
        </w:rPr>
        <w:t xml:space="preserve">[5] </w:t>
      </w:r>
      <w:hyperlink r:id="rId92">
        <w:r>
          <w:rPr>
            <w:color w:val="1155CC"/>
            <w:u w:val="single"/>
          </w:rPr>
          <w:t>固态锂硫电池界面化学的最新进展</w:t>
        </w:r>
      </w:hyperlink>
    </w:p>
    <w:p>
      <w:pPr>
        <w:spacing w:before="0" w:after="80"/>
      </w:pPr>
      <w:r>
        <w:rPr>
          <w:i/>
          <w:sz w:val="20"/>
        </w:rPr>
        <w:t>EN: Recent Advances in Interfacial Chemistry for Solid‐State Lithium–Sulfur Batteries</w:t>
      </w:r>
    </w:p>
    <w:p>
      <w:pPr>
        <w:spacing w:before="0" w:after="120"/>
      </w:pPr>
      <w:r>
        <w:rPr>
          <w:b/>
        </w:rPr>
        <w:t xml:space="preserve">Source: </w:t>
      </w:r>
      <w:r>
        <w:t>Wiley: Advanced Materials: Table of Contents</w:t>
      </w:r>
      <w:r>
        <w:t xml:space="preserve">    </w:t>
      </w:r>
      <w:r>
        <w:rPr>
          <w:b/>
        </w:rPr>
        <w:t xml:space="preserve">Pub date: </w:t>
      </w:r>
      <w:r>
        <w:t>2026-08-01 09:57:01+00:00</w:t>
      </w:r>
      <w:r>
        <w:t xml:space="preserve">    </w:t>
      </w:r>
      <w:r>
        <w:rPr>
          <w:b/>
        </w:rPr>
        <w:t xml:space="preserve">DOI: </w:t>
      </w:r>
      <w:hyperlink r:id="rId93">
        <w:r>
          <w:rPr>
            <w:color w:val="1155CC"/>
            <w:u w:val="single"/>
          </w:rPr>
          <w:t>10.1002/adma.74405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全固态锂硫电池（ASSLSB）已成为下一代储能系统的极有前途的候选者，其具有地球丰富的硫阴极、高容量锂金属阳极和不可燃固态电解质（SSE）的独特组合。这些组件共同规避了能量密度限制（&lt;300 Wh kg</w:t>
      </w:r>
      <w:r>
        <w:t xml:space="preserve"> </w:t>
      </w:r>
      <w:r>
        <w:t>−1</w:t>
      </w:r>
      <w:r>
        <w:t xml:space="preserve"> </w:t>
      </w:r>
      <w:r>
        <w:t>）和传统液体电解质锂离子电池的安全问题。然而，锂阳极和硫阴极的 SSE/电极界面处的高阻抗阻碍了有效的电荷转移和锂剥离/电镀动力学，这表明存在关键瓶颈。本综述重点关注控制这些固态界面的机械动力学。我们深入分析了 SSE/电极界面的起源和演变及其对电化学性能的影响。此外，我们系统地评估了破译固态硫转化反应和锂沉积/剥离过程以及增强界面稳定性和反应动力学的最先进策略。最后，我们研究了实验室当前的成就与实际 ASSSLB 的工业要求之间的差距，然后提出了可行的观点。本次综述预计将为固态电池社区提供有价值的见解，并促进高性能 ASSLSB 的实现。</w:t>
      </w:r>
    </w:p>
    <w:p>
      <w:pPr>
        <w:spacing w:before="0" w:after="200" w:lineRule="auto" w:line="276"/>
      </w:pPr>
      <w:r>
        <w:rPr>
          <w:b/>
        </w:rPr>
        <w:t xml:space="preserve">Abstract (EN): </w:t>
      </w:r>
      <w:r>
        <w:t>All‐solid‐state Lithium–sulfur batteries (ASSLSBs) have emerged as a highly promising candidate for next‐generation energy storage systems, featuring a unique combination of earth‐abundant sulfur cathodes, high‐capacity lithium metal anodes, and nonflammable solid‐state electrolytes (SSEs). These components collectively circumvent the energy density limitations (&amp;lt;300 Wh kg</w:t>
      </w:r>
      <w:r>
        <w:t xml:space="preserve"> </w:t>
      </w:r>
      <w:r>
        <w:t>−1</w:t>
      </w:r>
      <w:r>
        <w:t xml:space="preserve"> </w:t>
      </w:r>
      <w:r>
        <w:t>) and safety concerns for the conventional liquid electrolyte‐based lithium‐ion batteries. However, the high impedances at the SSEs/electrode interfaces, at both Li anodes and sulfur cathodes, impede efficient charge transfer and Li stripping/plating kinetics, indicating a critical bottleneck. This review focuses on the mechanistic dynamics governing these solid‐state interfaces. We provide an in‐depth analysis of the origin and evolution of SSEs/electrode interfaces and their impact on the electrochemical performance. Furthermore, we systematically evaluate state‐of‐the‐art strategies for deciphering solid‐state sulfur conversion reactions and Li plating/stripping processes, as well as for enhancing the interfacial stability and reaction kinetics. Finally, we examine the gap between current achievements in laboratories and the industrial requirements for practical ASSLSBs, followed by actionable perspectives. This review is expected to provide valuable insights for solid‐state battery community and facilitate the realization of high‐performance ASSLSBs.</w:t>
      </w:r>
    </w:p>
    <w:p>
      <w:pPr>
        <w:spacing w:before="120" w:after="120"/>
      </w:pPr>
      <w:r>
        <w:rPr>
          <w:sz w:val="18"/>
        </w:rPr>
        <w:t>——————————————————————————————————————————————————————————————————————</w:t>
      </w:r>
    </w:p>
    <w:p>
      <w:pPr>
        <w:spacing w:before="160" w:after="40" w:line="240" w:lineRule="auto"/>
      </w:pPr>
      <w:r>
        <w:rPr>
          <w:b/>
        </w:rPr>
        <w:t xml:space="preserve">[6] </w:t>
      </w:r>
      <w:hyperlink r:id="rId139">
        <w:r>
          <w:rPr>
            <w:color w:val="1155CC"/>
            <w:u w:val="single"/>
          </w:rPr>
          <w:t>破译由电子泄漏和双轴压力驱动的固态电解质中的块状锂枝晶演化</w:t>
        </w:r>
      </w:hyperlink>
    </w:p>
    <w:p>
      <w:pPr>
        <w:spacing w:before="0" w:after="80"/>
      </w:pPr>
      <w:r>
        <w:rPr>
          <w:i/>
          <w:sz w:val="20"/>
        </w:rPr>
        <w:t>EN: Deciphering Bulk Lithium Dendrite Evolution in Solid-State Electrolytes Driven by Electron Leakage and Biaxial Pressures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140">
        <w:r>
          <w:rPr>
            <w:color w:val="1155CC"/>
            <w:u w:val="single"/>
          </w:rPr>
          <w:t>10.1021/acsami.6c10487</w:t>
        </w:r>
      </w:hyperlink>
    </w:p>
    <w:p>
      <w:pPr>
        <w:spacing w:before="0" w:after="120"/>
      </w:pPr>
      <w:r>
        <w:rPr>
          <w:b/>
        </w:rPr>
        <w:t xml:space="preserve">Notes: </w:t>
      </w:r>
      <w:r>
        <w:t>abstract_source=crossref</w:t>
      </w:r>
    </w:p>
    <w:p>
      <w:pPr>
        <w:spacing w:before="0" w:after="80" w:lineRule="auto" w:line="276"/>
      </w:pPr>
      <w:r>
        <w:rPr>
          <w:b/>
        </w:rPr>
        <w:t xml:space="preserve">摘要（ZH）: </w:t>
      </w:r>
      <w:r>
        <w:t>摘要 固态锂金属电池（SSLMBS）是下一代储能的有希望的候选者。然而，固体电解质晶界（GB）处电子泄漏引起的大量锂枝晶成核和生长以及界面枝晶生长严重阻碍了实际应用。现有的研究主要单独处理电子泄漏和机械应力，未能系统地阐明它们对体枝晶演化的耦合调节机制。为了弥补这一差距，我们开发了锂枝晶成核和生长的电化学机械相场模型。该框架动态地捕获了枝晶成核和生长的完整演变。通过引入关键的定量指标，包括平均成核概率、成核分布均匀性、体枝晶分数和穿透风险，我们揭示了电子浓度、堆积压力和侧向压力如何控制体枝晶的演化。此外，通过多参数等值线图，我们明确地确定了电子浓度在驱动枝晶成核和整体生长中的绝对主导作用。至关重要的是，我们阐明了在调节枝晶演化和减轻渗透风险方面严格的方向选择性和堆积压力与侧向压力之间的竞争权衡。该研究为GB电子特性和操作双轴压力的协同优化提供了坚实的理论基础，为从根本上提高SSL的安全性提供了合理的策略</w:t>
      </w:r>
    </w:p>
    <w:p>
      <w:pPr>
        <w:spacing w:before="0" w:after="200" w:lineRule="auto" w:line="276"/>
      </w:pPr>
      <w:r>
        <w:rPr>
          <w:b/>
        </w:rPr>
        <w:t xml:space="preserve">Abstract (EN): </w:t>
      </w:r>
      <w:r>
        <w:t>Solid-state lithium metal batteries (SSLMBSs) are promising candidates for next-generation energy storage. However, practical application is severely hindered by bulk lithium dendrite nucleation and growth induced by electron leakage at the grain boundaries (GBs) of solid electrolytes, alongside interfacial dendrite growth. Existing studies predominantly treat electron leakage and mechanical stress in isolation, failing to systematically elucidate their coupled regulatory mechanisms on bulk dendrite evolution. To bridge this gap, we develop an electro–chemo–mechanical phase-field model of lithium dendrite nucleation and growth. This framework dynamically captures the complete evolution of dendrite nucleation and growth. By introducing key quantitative metrics, including average nucleation probability, nucleation distribution uniformity, bulk dendrite fraction, and penetrating risk, we reveal how electron concentration, stacking pressure, and lateral pressure govern bulk dendrite evolution. Furthermore, through multiparameter contour maps, we unambiguously established the absolute dominance of electron concentration in driving dendrite nucleation and global growth. Crucially, we elucidate the strict directional selectivity and competing trade-offs between stacking and lateral pressures in modulating dendrite evolution and mitigating penetration risk. This study provides a robust theoretical foundation for the synergistic optimization of GB electronic properties and operational biaxial pressures, offering rational strategies to fundamentally enhance the safety of SSLMBs.</w:t>
      </w:r>
    </w:p>
    <w:p>
      <w:pPr>
        <w:spacing w:before="120" w:after="120"/>
      </w:pPr>
      <w:r>
        <w:rPr>
          <w:sz w:val="18"/>
        </w:rPr>
        <w:t>——————————————————————————————————————————————————————————————————————</w:t>
      </w:r>
    </w:p>
    <w:p>
      <w:pPr>
        <w:spacing w:before="160" w:after="40" w:line="240" w:lineRule="auto"/>
      </w:pPr>
      <w:r>
        <w:rPr>
          <w:b/>
        </w:rPr>
        <w:t xml:space="preserve">[7] </w:t>
      </w:r>
      <w:hyperlink r:id="rId170">
        <w:r>
          <w:rPr>
            <w:color w:val="1155CC"/>
            <w:u w:val="single"/>
          </w:rPr>
          <w:t>碘化咪唑鎓和超支化聚酯超分子离子液晶中的离子传输</w:t>
        </w:r>
      </w:hyperlink>
    </w:p>
    <w:p>
      <w:pPr>
        <w:spacing w:before="0" w:after="80"/>
      </w:pPr>
      <w:r>
        <w:rPr>
          <w:i/>
          <w:sz w:val="20"/>
        </w:rPr>
        <w:t>EN: Ion Transport in Supramolecular Ionic Liquid Crystals from Imidazolium Iodides and Hyperbranched Polyesters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171">
        <w:r>
          <w:rPr>
            <w:color w:val="1155CC"/>
            <w:u w:val="single"/>
          </w:rPr>
          <w:t>10.1021/acsami.6c10476</w:t>
        </w:r>
      </w:hyperlink>
    </w:p>
    <w:p>
      <w:pPr>
        <w:spacing w:before="0" w:after="120"/>
      </w:pPr>
      <w:r>
        <w:rPr>
          <w:b/>
        </w:rPr>
        <w:t xml:space="preserve">Notes: </w:t>
      </w:r>
      <w:r>
        <w:t>abstract_source=crossref</w:t>
      </w:r>
    </w:p>
    <w:p>
      <w:pPr>
        <w:spacing w:before="0" w:after="80" w:lineRule="auto" w:line="276"/>
      </w:pPr>
      <w:r>
        <w:rPr>
          <w:b/>
        </w:rPr>
        <w:t xml:space="preserve">摘要（ZH）: </w:t>
      </w:r>
      <w:r>
        <w:t>摘要 聚合物液晶（LC）是电解质设计的有吸引力的平台，因为它们的自组装纳米结构可以产生有组织的离子传输路径，同时保留下一代电化学能量转换和存储设备所需的可加工性、热稳定性和结构完整性。在此，我们报告了一种合成简单且模块化的超分子策略，通过将市售的超支化双-MPA聚酯-64-OH（HBG4）与带有丁基、十二烷基或全氟化链的碘化咪唑鎓离子液体（IL）相结合，将其转化为纳米结构离子液晶电解质。树枝状外围的末端羟基与咪唑鎓阳离子之间的氢键相互作用产生超分子离子树枝状聚合物，其中不同的极性、树枝状和非极性域共存于单一均质聚合物材料内。在整体上，这些域的协同纳米偏析驱动自组装成在广泛的组成范围内的坚固的近晶 A LC 相，中间相稳定性很大程度上受 IL 的分子结构控制。离子电导率测量揭示了清晰的成分-纳米结构-输运关系，电导率受 IL 含量、温度、中间相稳定性和极性离子域的连续性调节。特别是，全氟化离子液体通过亲氟分离促进增强层状稳定性，而十二烷基取代的离子液体在高离子液体负载、液晶顺序和离子传输之间提供了最佳平衡。总体</w:t>
      </w:r>
    </w:p>
    <w:p>
      <w:pPr>
        <w:spacing w:before="0" w:after="200" w:lineRule="auto" w:line="276"/>
      </w:pPr>
      <w:r>
        <w:rPr>
          <w:b/>
        </w:rPr>
        <w:t xml:space="preserve">Abstract (EN): </w:t>
      </w:r>
      <w:r>
        <w:t>Polymeric liquid crystals (LCs) are attractive platforms for electrolyte design because their self-assembled nanostructures can generate organized ion-transport pathways while preserving the processability, thermal stability, and structural integrity required for next-generation electrochemical energy-conversion and storage devices. Herein, we report a synthetically simple and modular supramolecular strategy to transform commercially available hyperbranched bis-MPA polyester-64-OH (HBG4) into nanostructured ionic LC electrolytes by combining it with imidazolium iodide ionic liquids (ILs) bearing butyl, dodecyl, or perfluorinated chains. Hydrogen-bonding interactions between the terminal hydroxyl groups of the dendritic periphery and the imidazolium cations generate supramolecular ionic dendrimers in which distinct polar, dendritic, and apolar domains coexist within a single homogeneous polymeric material. In the bulk, cooperative nanosegregation of these domains drives self-assembly into robust smectic A LC phases over a broad compositional range, with mesophase stability strongly governed by the molecular architecture of the IL. Ionic conductivity measurements reveal clear composition–nanostructure–transport relationships, with conductivity modulated by IL content, temperature, mesophase stability, and the continuity of the polar ionic domains. In particular, perfluorinated ILs promote enhanced lamellar stability through fluorophilic segregation, whereas dodecyl-substituted ILs provide the best balance between high IL loading, LC order, and ionic transport. Overall, this work establishes hyperbranched polyesters as scalable supramolecular hosts for ILs and provides a practical route toward polymeric LC electrolytes with tunable nanostructure, ion-transport properties, and enhanced structural stability for electrochemical energy-conversion and storage applications.</w:t>
      </w:r>
    </w:p>
    <w:p>
      <w:pPr>
        <w:spacing w:before="120" w:after="120"/>
      </w:pPr>
      <w:r>
        <w:rPr>
          <w:sz w:val="18"/>
        </w:rPr>
        <w:t>——————————————————————————————————————————————————————————————————————</w:t>
      </w:r>
    </w:p>
    <w:p>
      <w:pPr>
        <w:spacing w:before="160" w:after="40" w:line="240" w:lineRule="auto"/>
      </w:pPr>
      <w:r>
        <w:rPr>
          <w:b/>
        </w:rPr>
        <w:t xml:space="preserve">[8] </w:t>
      </w:r>
      <w:hyperlink r:id="rId98">
        <w:r>
          <w:rPr>
            <w:color w:val="1155CC"/>
            <w:u w:val="single"/>
          </w:rPr>
          <w:t>富氟催化剂诱导的界面工程实现首款 Ah 级 FeF3 转换固态电池</w:t>
        </w:r>
      </w:hyperlink>
    </w:p>
    <w:p>
      <w:pPr>
        <w:spacing w:before="0" w:after="80"/>
      </w:pPr>
      <w:r>
        <w:rPr>
          <w:i/>
          <w:sz w:val="20"/>
        </w:rPr>
        <w:t>EN: Fluorine‐Rich Catalyst‐Induced Interphase Engineering to Enable the First Ah‐Level FeF3 Conversion Solid‐State Batteries</w:t>
      </w:r>
    </w:p>
    <w:p>
      <w:pPr>
        <w:spacing w:before="0" w:after="120"/>
      </w:pPr>
      <w:r>
        <w:rPr>
          <w:b/>
        </w:rPr>
        <w:t xml:space="preserve">Source: </w:t>
      </w:r>
      <w:r>
        <w:t>Wiley: Advanced Materials: Table of Contents</w:t>
      </w:r>
      <w:r>
        <w:t xml:space="preserve">    </w:t>
      </w:r>
      <w:r>
        <w:rPr>
          <w:b/>
        </w:rPr>
        <w:t xml:space="preserve">Pub date: </w:t>
      </w:r>
      <w:r>
        <w:t>2026-08-03 10:00:15+00:00</w:t>
      </w:r>
      <w:r>
        <w:t xml:space="preserve">    </w:t>
      </w:r>
      <w:r>
        <w:rPr>
          <w:b/>
        </w:rPr>
        <w:t xml:space="preserve">DOI: </w:t>
      </w:r>
      <w:hyperlink r:id="rId99">
        <w:r>
          <w:rPr>
            <w:color w:val="1155CC"/>
            <w:u w:val="single"/>
          </w:rPr>
          <w:t>10.1002/adma.74356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转化型FeF</w:t>
      </w:r>
      <w:r>
        <w:rPr>
          <w:vertAlign w:val="subscript"/>
        </w:rPr>
        <w:t>3</w:t>
      </w:r>
      <w:r>
        <w:t>阴极有望实现超高能量密度，但在固态电池系统中存在反应动力学缓慢和界面不稳定的问题。在这里，我们设计了一种富含氟的NaBiF</w:t>
      </w:r>
      <w:r>
        <w:rPr>
          <w:vertAlign w:val="subscript"/>
        </w:rPr>
        <w:t>4</w:t>
      </w:r>
      <w:r>
        <w:t>@毕</w:t>
      </w:r>
      <w:r>
        <w:rPr>
          <w:vertAlign w:val="subscript"/>
        </w:rPr>
        <w:t>2</w:t>
      </w:r>
      <w:r>
        <w:t>氧</w:t>
      </w:r>
      <w:r>
        <w:rPr>
          <w:vertAlign w:val="subscript"/>
        </w:rPr>
        <w:t>3</w:t>
      </w:r>
      <w:r>
        <w:t>通过 1,3-二氧戊环原位开环聚合制备催化剂引发的聚合物电解质。氟化钠</w:t>
      </w:r>
      <w:r>
        <w:rPr>
          <w:vertAlign w:val="subscript"/>
        </w:rPr>
        <w:t>4</w:t>
      </w:r>
      <w:r>
        <w:t>相引发聚合并充当氟储存库，而 Bi</w:t>
      </w:r>
      <w:r>
        <w:rPr>
          <w:vertAlign w:val="subscript"/>
        </w:rPr>
        <w:t>2</w:t>
      </w:r>
      <w:r>
        <w:t>氧</w:t>
      </w:r>
      <w:r>
        <w:rPr>
          <w:vertAlign w:val="subscript"/>
        </w:rPr>
        <w:t>3</w:t>
      </w:r>
      <w:r>
        <w:t>参与调节氟环境并有助于形成Li</w:t>
      </w:r>
      <w:r>
        <w:rPr>
          <w:vertAlign w:val="subscript"/>
        </w:rPr>
        <w:t>3</w:t>
      </w:r>
      <w:r>
        <w:t>循环过程中的Bi合金簇。这种电解质能够构建 LiF/NaF/Li</w:t>
      </w:r>
      <w:r>
        <w:rPr>
          <w:vertAlign w:val="subscript"/>
        </w:rPr>
        <w:t>2</w:t>
      </w:r>
      <w:r>
        <w:t>嵌入 Li 的 O 增强固体电解质界面</w:t>
      </w:r>
      <w:r>
        <w:rPr>
          <w:vertAlign w:val="subscript"/>
        </w:rPr>
        <w:t>3</w:t>
      </w:r>
      <w:r>
        <w:t>Bi域，提供同质Li</w:t>
      </w:r>
      <w:r>
        <w:t xml:space="preserve"> </w:t>
      </w:r>
      <w:r>
        <w:t>+</w:t>
      </w:r>
      <w:r>
        <w:t xml:space="preserve"> </w:t>
      </w:r>
      <w:r>
        <w:t>通量和无枝晶锂沉积，实现稳定的 Li‖Li 对称电池循环 9700 小时。该电解质与插层和转换正极具有广泛的兼容性，在 LiFePO 中实现了出色的循环稳定性（800 次循环）</w:t>
      </w:r>
      <w:r>
        <w:rPr>
          <w:vertAlign w:val="subscript"/>
        </w:rPr>
        <w:t>4</w:t>
      </w:r>
      <w:r>
        <w:t>和高面积容量（6 mAh cm</w:t>
      </w:r>
      <w:r>
        <w:t xml:space="preserve"> </w:t>
      </w:r>
      <w:r>
        <w:t>−2</w:t>
      </w:r>
      <w:r>
        <w:t xml:space="preserve"> </w:t>
      </w:r>
      <w:r>
        <w:t>）在李妮</w:t>
      </w:r>
      <w:r>
        <w:t xml:space="preserve"> </w:t>
      </w:r>
      <w:r>
        <w:t>0.8</w:t>
      </w:r>
    </w:p>
    <w:p>
      <w:pPr>
        <w:spacing w:before="0" w:after="200" w:lineRule="auto" w:line="276"/>
      </w:pPr>
      <w:r>
        <w:rPr>
          <w:b/>
        </w:rPr>
        <w:t xml:space="preserve">Abstract (EN): </w:t>
      </w:r>
      <w:r>
        <w:t>Conversion‐type FeF</w:t>
      </w:r>
      <w:r>
        <w:rPr>
          <w:vertAlign w:val="subscript"/>
        </w:rPr>
        <w:t>3</w:t>
      </w:r>
      <w:r>
        <w:t>cathodes promise ultrahigh energy density but suffer from sluggish reaction kinetics and interfacial instability in solid‐state battery systems. Here, we designed a fluorine‐rich NaBiF</w:t>
      </w:r>
      <w:r>
        <w:rPr>
          <w:vertAlign w:val="subscript"/>
        </w:rPr>
        <w:t>4</w:t>
      </w:r>
      <w:r>
        <w:t>@Bi</w:t>
      </w:r>
      <w:r>
        <w:rPr>
          <w:vertAlign w:val="subscript"/>
        </w:rPr>
        <w:t>2</w:t>
      </w:r>
      <w:r>
        <w:t>O</w:t>
      </w:r>
      <w:r>
        <w:rPr>
          <w:vertAlign w:val="subscript"/>
        </w:rPr>
        <w:t>3</w:t>
      </w:r>
      <w:r>
        <w:t>catalyst‐initiated polymer electrolyte via in situ ring‐opening polymerization of 1,3‐dioxolane. The NaBiF</w:t>
      </w:r>
      <w:r>
        <w:rPr>
          <w:vertAlign w:val="subscript"/>
        </w:rPr>
        <w:t>4</w:t>
      </w:r>
      <w:r>
        <w:t>phase initiates polymerization and serves as a fluorine reservoir, while Bi</w:t>
      </w:r>
      <w:r>
        <w:rPr>
          <w:vertAlign w:val="subscript"/>
        </w:rPr>
        <w:t>2</w:t>
      </w:r>
      <w:r>
        <w:t>O</w:t>
      </w:r>
      <w:r>
        <w:rPr>
          <w:vertAlign w:val="subscript"/>
        </w:rPr>
        <w:t>3</w:t>
      </w:r>
      <w:r>
        <w:t>participates in regulating the fluorine environment and contributes to the formation of a Li</w:t>
      </w:r>
      <w:r>
        <w:rPr>
          <w:vertAlign w:val="subscript"/>
        </w:rPr>
        <w:t>3</w:t>
      </w:r>
      <w:r>
        <w:t>Bi alloy clusters during cycling. This electrolyte enables the construction of LiF/NaF/Li</w:t>
      </w:r>
      <w:r>
        <w:rPr>
          <w:vertAlign w:val="subscript"/>
        </w:rPr>
        <w:t>2</w:t>
      </w:r>
      <w:r>
        <w:t>O‐reinforced solid electrolyte interface with embedded Li</w:t>
      </w:r>
      <w:r>
        <w:rPr>
          <w:vertAlign w:val="subscript"/>
        </w:rPr>
        <w:t>3</w:t>
      </w:r>
      <w:r>
        <w:t>Bi domains, delivering the homogeneous Li</w:t>
      </w:r>
      <w:r>
        <w:t xml:space="preserve"> </w:t>
      </w:r>
      <w:r>
        <w:t>+</w:t>
      </w:r>
      <w:r>
        <w:t xml:space="preserve"> </w:t>
      </w:r>
      <w:r>
        <w:t>flux and dendrite‐free Li deposition, enabling the stable Li‖Li symmetric cell cycling for 9700 h. The electrolyte demonstrates broad compatibility with both intercalation and conversion cathodes, achieving excellent cycling stability (800 cycles) in LiFePO</w:t>
      </w:r>
      <w:r>
        <w:rPr>
          <w:vertAlign w:val="subscript"/>
        </w:rPr>
        <w:t>4</w:t>
      </w:r>
      <w:r>
        <w:t>and high areal capacity (6 mAh cm</w:t>
      </w:r>
      <w:r>
        <w:t xml:space="preserve"> </w:t>
      </w:r>
      <w:r>
        <w:t>−2</w:t>
      </w:r>
      <w:r>
        <w:t xml:space="preserve"> </w:t>
      </w:r>
      <w:r>
        <w:t>) in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 The Bi</w:t>
      </w:r>
      <w:r>
        <w:rPr>
          <w:vertAlign w:val="subscript"/>
        </w:rPr>
        <w:t>2</w:t>
      </w:r>
      <w:r>
        <w:t>O</w:t>
      </w:r>
      <w:r>
        <w:rPr>
          <w:vertAlign w:val="subscript"/>
        </w:rPr>
        <w:t>3</w:t>
      </w:r>
      <w:r>
        <w:t>component further catalyzes the interfacial dissociation of LiF at FeF</w:t>
      </w:r>
      <w:r>
        <w:rPr>
          <w:vertAlign w:val="subscript"/>
        </w:rPr>
        <w:t>3</w:t>
      </w:r>
      <w:r>
        <w:t>cathode and promotes the dynamic evolution of fluorine‐rich cathode electrolyte interphase, enabling the remarkable reversibility in FeF</w:t>
      </w:r>
      <w:r>
        <w:rPr>
          <w:vertAlign w:val="subscript"/>
        </w:rPr>
        <w:t>3</w:t>
      </w:r>
      <w:r>
        <w:t>conversion chemistry (641 mAh g</w:t>
      </w:r>
      <w:r>
        <w:t xml:space="preserve"> </w:t>
      </w:r>
      <w:r>
        <w:t>−1</w:t>
      </w:r>
      <w:r>
        <w:t xml:space="preserve"> </w:t>
      </w:r>
      <w:r>
        <w:t>at 0.2 C and 300 cycles at 1 C). A 20‐layer FeF</w:t>
      </w:r>
      <w:r>
        <w:rPr>
          <w:vertAlign w:val="subscript"/>
        </w:rPr>
        <w:t>3</w:t>
      </w:r>
      <w:r>
        <w:t>‐based pouch cell is demonstrated with a discharge capacity exceeding 1 Ah for the first time, marking a critical milestone toward practical high‐energy FeF</w:t>
      </w:r>
      <w:r>
        <w:rPr>
          <w:vertAlign w:val="subscript"/>
        </w:rPr>
        <w:t>3</w:t>
      </w:r>
      <w:r>
        <w:t>batteries.</w:t>
      </w:r>
    </w:p>
    <w:p>
      <w:pPr>
        <w:spacing w:before="120" w:after="120"/>
      </w:pPr>
      <w:r>
        <w:rPr>
          <w:sz w:val="18"/>
        </w:rPr>
        <w:t>——————————————————————————————————————————————————————————————————————</w:t>
      </w:r>
    </w:p>
    <w:p>
      <w:pPr>
        <w:spacing w:before="160" w:after="40" w:line="240" w:lineRule="auto"/>
      </w:pPr>
      <w:r>
        <w:rPr>
          <w:b/>
        </w:rPr>
        <w:t xml:space="preserve">[9] </w:t>
      </w:r>
      <w:hyperlink r:id="rId172">
        <w:r>
          <w:rPr>
            <w:color w:val="1155CC"/>
            <w:u w:val="single"/>
          </w:rPr>
          <w:t>通过电解质工程调节碳酸盐溶剂化以实现稳健的低温锂金属电池</w:t>
        </w:r>
      </w:hyperlink>
    </w:p>
    <w:p>
      <w:pPr>
        <w:spacing w:before="0" w:after="80"/>
      </w:pPr>
      <w:r>
        <w:rPr>
          <w:i/>
          <w:sz w:val="20"/>
        </w:rPr>
        <w:t>EN: Tuning Carbonate Solvation via Electrolyte Engineering Toward Robust Low-Temperature Lithium Metal Batteries</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73">
        <w:r>
          <w:rPr>
            <w:color w:val="1155CC"/>
            <w:u w:val="single"/>
          </w:rPr>
          <w:t>10.1021/acsami.6c09266</w:t>
        </w:r>
      </w:hyperlink>
    </w:p>
    <w:p>
      <w:pPr>
        <w:spacing w:before="0" w:after="120"/>
      </w:pPr>
      <w:r>
        <w:rPr>
          <w:b/>
        </w:rPr>
        <w:t xml:space="preserve">Notes: </w:t>
      </w:r>
      <w:r>
        <w:t>abstract_source=crossref</w:t>
      </w:r>
    </w:p>
    <w:p>
      <w:pPr>
        <w:spacing w:before="0" w:after="80" w:lineRule="auto" w:line="276"/>
      </w:pPr>
      <w:r>
        <w:rPr>
          <w:b/>
        </w:rPr>
        <w:t xml:space="preserve">摘要（ZH）: </w:t>
      </w:r>
      <w:r>
        <w:t>摘要 传统的碳酸乙烯酯（EC）基电解质以强Li+-溶剂配位为主，导致低温下反应动力学缓慢，高电压运行下界面副反应严重。在此，开发了一种基于二氟草酸硼酸锂（LiDFOB）盐和协同碳酸丙烯酯（PC）/二氟乙酸甲酯（MDFA）/氟代碳酸乙烯酯（FEC）（4:4:2，v/v/v）溶剂体系的具有弱溶剂化特性的三元电解质。 MDFA 作为主要的弱配位成分，通过削弱 Li+−PC 配位来重建 Li+ 溶剂化环境，而 FEC 通过促进两个电极上坚固的富含无机界面的形成来补充这一过程。重构的溶剂化结构有利于Li+去溶剂化，而稳定的界面有效地抑制电解质分解和过渡金属溶解，从而形成薄且均匀的阴极电解质界面（~7 nm）和低电阻的富含LiF的固体电解质界面。受益于本体溶剂化和界面化学的协同调节，Li||Li对称电池在-30°C下实现了超过1000小时的稳定循环，比基于EC的电解质高约400小时。此外，Li||NCM811全电池在-30℃（3.0−4.3V）下循环110次后仍保留98.16%的容量。这项工作为高性能低温锂金属电池提供了一种可行的溶剂化调制策略。</w:t>
      </w:r>
    </w:p>
    <w:p>
      <w:pPr>
        <w:spacing w:before="0" w:after="200" w:lineRule="auto" w:line="276"/>
      </w:pPr>
      <w:r>
        <w:rPr>
          <w:b/>
        </w:rPr>
        <w:t xml:space="preserve">Abstract (EN): </w:t>
      </w:r>
      <w:r>
        <w:t>Conventional ethylene carbonate (EC)-based electrolytes are dominated by strong Li+-solvent coordination, which leads to sluggish reaction kinetics at low-temperature and severe interfacial side reactions under high-voltage operation. Herein, a ternary electrolyte with weak-solvation characteristics based on lithium difluoroxalate borate (LiDFOB) salt and synergistic propylene carbonate (PC)/ methyl difluoroacetate (MDFA)/ fluoroethylene carbonate (FEC) (4:4:2, v/v/v) solvent system is developed. MDFA serves as the primary weakly coordinating component to reconstruct the Li+ solvation environment by weakening Li+−PC coordination, while FEC complements this process by promoting the formation of robust inorganic-rich interphases on both electrodes. The reconstructed solvation structure facilitates Li+ desolvation, whereas the stabilized interphases effectively suppress electrolyte decomposition and transition-metal dissolution, leading to a thin and homogeneous cathode electrolyte interphase (∼7 nm) and a low-resistance LiF-rich solid electrolyte interphase. Benefiting from the synergistic regulation of bulk solvation and interfacial chemistry, Li||Li symmetric cells achieve stable cycling over 1000 h at −30 °C, outperforming EC-based electrolytes by ∼400 h. Moreover, Li||NCM811 full cells retain 98.16% capacity after 110 cycles at −30 °C (3.0−4.3 V). This work provides a feasible solvation modulation strategy for high-performance low-temperature lithium metal batteries.</w:t>
      </w:r>
    </w:p>
    <w:p>
      <w:pPr>
        <w:spacing w:before="120" w:after="120"/>
      </w:pPr>
      <w:r>
        <w:rPr>
          <w:sz w:val="18"/>
        </w:rPr>
        <w:t>——————————————————————————————————————————————————————————————————————</w:t>
      </w:r>
    </w:p>
    <w:p>
      <w:pPr>
        <w:spacing w:before="160" w:after="40" w:line="240" w:lineRule="auto"/>
      </w:pPr>
      <w:r>
        <w:rPr>
          <w:b/>
        </w:rPr>
        <w:t xml:space="preserve">[10] </w:t>
      </w:r>
      <w:hyperlink r:id="rId106">
        <w:r>
          <w:rPr>
            <w:color w:val="1155CC"/>
            <w:u w:val="single"/>
          </w:rPr>
          <w:t>推出具有四电子化学的耐用水性锌碘软包电池的双界面协调编排</w:t>
        </w:r>
      </w:hyperlink>
    </w:p>
    <w:p>
      <w:pPr>
        <w:spacing w:before="0" w:after="80"/>
      </w:pPr>
      <w:r>
        <w:rPr>
          <w:i/>
          <w:sz w:val="20"/>
        </w:rPr>
        <w:t>EN: Unveiling Dual-Interface Coordination Orchestration for Durable Aqueous Zinc–Iodine Pouch Cells with Four-Electron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07">
        <w:r>
          <w:rPr>
            <w:color w:val="1155CC"/>
            <w:u w:val="single"/>
          </w:rPr>
          <w:t>10.1021/jacs.6c11308</w:t>
        </w:r>
      </w:hyperlink>
    </w:p>
    <w:p>
      <w:pPr>
        <w:spacing w:before="0" w:after="120"/>
      </w:pPr>
      <w:r>
        <w:rPr>
          <w:b/>
        </w:rPr>
        <w:t xml:space="preserve">Notes: </w:t>
      </w:r>
      <w:r>
        <w:t>abstract_source=crossref</w:t>
      </w:r>
    </w:p>
    <w:p>
      <w:pPr>
        <w:spacing w:before="0" w:after="80" w:lineRule="auto" w:line="276"/>
      </w:pPr>
      <w:r>
        <w:rPr>
          <w:b/>
        </w:rPr>
        <w:t xml:space="preserve">摘要（ZH）: </w:t>
      </w:r>
      <w:r>
        <w:t>摘要 电解质添加剂工程被认为是四电子水性锌碘电池（AZIB）双界面优化的有效策略。然而，实现具有工业级参数（≥10 mg cm-2 I2 阴极质量负载，≥5 mAh cm-2 Zn 阳极面积容量）的耐用 Ah 级 AZIB 仍然是一个重大障碍。在这里，我们比较了各种含氮阳离子配体，以评估它们对碘固定和锌成核的协同调节作用。此次筛选成功确立了 N-甲基咪唑氯化物 (MImCl) 作为稳定双界面配位的首要电解质添加剂。放电时，MIm+ 吸附在 I2 阴极上，能够与聚碘化物和 ICl2– 静电结合。这种相互作用不仅抑制了聚碘化物穿梭，而且还保护 I+ 物质免遭水解，从而在 I2 质量负载升高时促进稳健且可逆的四电子 I-/I0/I+ 氧化还原化学反应。在Zn阳极上，充电时MIm+优先吸附在其表面，加速Zn2+沉积动力学，抑制枝晶，同时钝化寄生反应，实现均匀的大容量镀/退锌。因此，工程化的 1.4 Ah 四电子 Zn||I2 软包电池实现了 800 次循环的优异循环性能和 455 Wh kg-1 的超高阴极质量比能量密度，超越了 Ah 级体系中大多数水基锌基系统。</w:t>
      </w:r>
    </w:p>
    <w:p>
      <w:pPr>
        <w:spacing w:before="0" w:after="200" w:lineRule="auto" w:line="276"/>
      </w:pPr>
      <w:r>
        <w:rPr>
          <w:b/>
        </w:rPr>
        <w:t xml:space="preserve">Abstract (EN): </w:t>
      </w:r>
      <w:r>
        <w:t>Electrolyte additive engineering is regarded as an effective strategy for dual-interface optimization in four-electron aqueous zinc–iodine batteries (AZIBs). However, realizing durable Ah-level AZIBs with industrial-grade parameters (≥10 mg cm–2 I2 cathode mass loading, ≥5 mAh cm–2 Zn anode areal capacity) remains a significant hurdle. Here, we compare various nitrogen-containing cationic ligands to evaluate their synergistic regulation on iodine immobilization and Zn nucleation. This screening successfully establishes N-methylimidazolium chloride (MImCl) as a premier electrolyte additive for stabilizing dual-interface coordination. Upon discharging, the adsorption of MIm+ on the I2 cathode enables electrostatic binding with polyiodides and ICl2–. This interaction not only suppresses the polyiodide shuttle but also shields the I+ species from hydrolysis, promoting a robust and reversible four-electron I–/I0/I+ redox chemistry at elevated I2 mass loading. On the Zn anode, MIm+ preferentially adsorbs onto its surface during charging, accelerating Zn2+ deposition kinetics for dendrite suppression while passivating parasitic reactions, realizing uniform large-capacity Zn plating/stripping. As a result, the engineered 1.4 Ah four-electron Zn||I2 pouch cells achieve an excellent cyclability of 800 cycles and an ultrahigh cathode-mass-specific energy density of 455 Wh kg–1, surpassing most aqueous Zn-based systems in the Ah-class regime.</w:t>
      </w:r>
    </w:p>
    <w:p>
      <w:pPr>
        <w:spacing w:before="120" w:after="120"/>
      </w:pPr>
      <w:r>
        <w:rPr>
          <w:sz w:val="18"/>
        </w:rPr>
        <w:t>——————————————————————————————————————————————————————————————————————</w:t>
      </w:r>
    </w:p>
    <w:p>
      <w:pPr>
        <w:spacing w:before="160" w:after="40" w:line="240" w:lineRule="auto"/>
      </w:pPr>
      <w:r>
        <w:rPr>
          <w:b/>
        </w:rPr>
        <w:t xml:space="preserve">[11] </w:t>
      </w:r>
      <w:hyperlink r:id="rId174">
        <w:r>
          <w:rPr>
            <w:color w:val="1155CC"/>
            <w:u w:val="single"/>
          </w:rPr>
          <w:t>全氟化不对称镁盐可实现稳定且无枝晶的镁电池</w:t>
        </w:r>
      </w:hyperlink>
    </w:p>
    <w:p>
      <w:pPr>
        <w:spacing w:before="0" w:after="80"/>
      </w:pPr>
      <w:r>
        <w:rPr>
          <w:i/>
          <w:sz w:val="20"/>
        </w:rPr>
        <w:t>EN: Perfluorinated Asymmetric Magnesium Salts Enable Stable and Dendrite‐Free Magnesium Batteries</w:t>
      </w:r>
    </w:p>
    <w:p>
      <w:pPr>
        <w:spacing w:before="0" w:after="120"/>
      </w:pPr>
      <w:r>
        <w:rPr>
          <w:b/>
        </w:rPr>
        <w:t xml:space="preserve">Source: </w:t>
      </w:r>
      <w:r>
        <w:t>Wiley: Advanced Energy Materials: Table of Contents</w:t>
      </w:r>
      <w:r>
        <w:t xml:space="preserve">    </w:t>
      </w:r>
      <w:r>
        <w:rPr>
          <w:b/>
        </w:rPr>
        <w:t xml:space="preserve">Pub date: </w:t>
      </w:r>
      <w:r>
        <w:t>2026-08-04 07:26:18+00:00</w:t>
      </w:r>
      <w:r>
        <w:t xml:space="preserve">    </w:t>
      </w:r>
      <w:r>
        <w:rPr>
          <w:b/>
        </w:rPr>
        <w:t xml:space="preserve">DOI: </w:t>
      </w:r>
      <w:hyperlink r:id="rId175">
        <w:r>
          <w:rPr>
            <w:color w:val="1155CC"/>
            <w:u w:val="single"/>
          </w:rPr>
          <w:t>10.1002/aenm.71383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可充电镁电池面临不稳定和不规则沉积，导致枝晶生长、库仑效率低和循环寿命差。在这项研究中，我们提出了一种全氟化不对称镁盐（Mg(PFBS)</w:t>
      </w:r>
      <w:r>
        <w:rPr>
          <w:vertAlign w:val="subscript"/>
        </w:rPr>
        <w:t>2</w:t>
      </w:r>
      <w:r>
        <w:t>）调节镁离子沉积并提高界面稳定性。 PFBS</w:t>
      </w:r>
      <w:r>
        <w:t xml:space="preserve"> </w:t>
      </w:r>
      <w:r>
        <w:t>–</w:t>
      </w:r>
      <w:r>
        <w:t xml:space="preserve"> </w:t>
      </w:r>
      <w:r>
        <w:t>阴离子定制溶剂化结构并优化双电层 (EDL)，促进 Mg</w:t>
      </w:r>
      <w:r>
        <w:t xml:space="preserve"> </w:t>
      </w:r>
      <w:r>
        <w:t>2+</w:t>
      </w:r>
      <w:r>
        <w:t xml:space="preserve"> </w:t>
      </w:r>
      <w:r>
        <w:t>去溶剂化和抑制溶剂分解。基于扩散控制理论，我们引入了 Damköhler (Da) 和 Wagner (Wa) 数来阐明电化学反应动力学和控制镁沉积行为的原子/离子扩散之间的竞争。实验和理论分析表明 PFBS</w:t>
      </w:r>
      <w:r>
        <w:t xml:space="preserve"> </w:t>
      </w:r>
      <w:r>
        <w:t>-</w:t>
      </w:r>
      <w:r>
        <w:t>优先吸附在 Mg(002) 平面上，形成 Mg-PFBS</w:t>
      </w:r>
      <w:r>
        <w:t xml:space="preserve"> </w:t>
      </w:r>
      <w:r>
        <w:t>-</w:t>
      </w:r>
      <w:r>
        <w:t>界面层诱导以 Mg(002) 取向为主的外延生长，显着提高沉积均匀性。强吸电子全氟化结构进一步实现阴离子优先还原，形成富含无机物、致密且稳定的固体电解质界面（SEI）。电化学测量表明 Mg||Mg 对称电池在 0.1 mA cm 下保持稳定循环超过 1800 小时</w:t>
      </w:r>
      <w:r>
        <w:t xml:space="preserve"> </w:t>
      </w:r>
      <w:r>
        <w:t>−2</w:t>
      </w:r>
      <w:r>
        <w:t xml:space="preserve"> </w:t>
      </w:r>
      <w:r>
        <w:t>和 0.05mAh/cm</w:t>
      </w:r>
      <w:r>
        <w:t xml:space="preserve"> </w:t>
      </w:r>
      <w:r>
        <w:t>−2</w:t>
      </w:r>
    </w:p>
    <w:p>
      <w:pPr>
        <w:spacing w:before="0" w:after="200" w:lineRule="auto" w:line="276"/>
      </w:pPr>
      <w:r>
        <w:rPr>
          <w:b/>
        </w:rPr>
        <w:t xml:space="preserve">Abstract (EN): </w:t>
      </w:r>
      <w:r>
        <w:t>Rechargeable magnesium batteries face instability and irregular deposition, which lead to dendritic growth, low Coulombic efficiency, and poor cycle life. In this study, we propose a perfluorinated asymmetric magnesium salt (Mg(PFBS)</w:t>
      </w:r>
      <w:r>
        <w:rPr>
          <w:vertAlign w:val="subscript"/>
        </w:rPr>
        <w:t>2</w:t>
      </w:r>
      <w:r>
        <w:t>) to regulate magnesium‐ion deposition and improve interfacial stability. The PFBS</w:t>
      </w:r>
      <w:r>
        <w:t xml:space="preserve"> </w:t>
      </w:r>
      <w:r>
        <w:t>–</w:t>
      </w:r>
      <w:r>
        <w:t xml:space="preserve"> </w:t>
      </w:r>
      <w:r>
        <w:t>anion tailors the solvation structure and optimizes the electric double layer (EDL), promoting Mg</w:t>
      </w:r>
      <w:r>
        <w:t xml:space="preserve"> </w:t>
      </w:r>
      <w:r>
        <w:t>2+</w:t>
      </w:r>
      <w:r>
        <w:t xml:space="preserve"> </w:t>
      </w:r>
      <w:r>
        <w:t>desolvation and suppressing solvent decomposition. Based on diffusion‐controlled theory, we introduce Damköhler (Da) and Wagner (Wa) numbers to elucidate the competition between electrochemical reaction kinetics and atomic/ionic diffusion governing Mg deposition behavior. Experimental and theoretical analyses indicate that PFBS</w:t>
      </w:r>
      <w:r>
        <w:t xml:space="preserve"> </w:t>
      </w:r>
      <w:r>
        <w:t>−</w:t>
      </w:r>
      <w:r>
        <w:t>preferentially adsorbs on the Mg(002) plane, forming a Mg‐PFBS</w:t>
      </w:r>
      <w:r>
        <w:t xml:space="preserve"> </w:t>
      </w:r>
      <w:r>
        <w:t>−</w:t>
      </w:r>
      <w:r>
        <w:t>interfacial layer that induces epitaxial growth dominated by Mg(002) orientation, significantly improving deposition uniformity. The strong electron‐withdrawing perfluorinated structure further enables preferential anion reduction, forming an inorganic‐rich, dense, and stable solid electrolyte interphase (SEI). Electrochemical measurements demonstrate that Mg||Mg symmetric cells maintain stable cycling for over 1800 h at 0.1 mA cm</w:t>
      </w:r>
      <w:r>
        <w:t xml:space="preserve"> </w:t>
      </w:r>
      <w:r>
        <w:t>−2</w:t>
      </w:r>
      <w:r>
        <w:t xml:space="preserve"> </w:t>
      </w:r>
      <w:r>
        <w:t>and 0.05 mAh cm</w:t>
      </w:r>
      <w:r>
        <w:t xml:space="preserve"> </w:t>
      </w:r>
      <w:r>
        <w:t>−2</w:t>
      </w:r>
      <w:r>
        <w:t xml:space="preserve"> </w:t>
      </w:r>
      <w:r>
        <w:t>, with an average Coulombic efficiency of 99.47%. Furthermore, Mg||Mo</w:t>
      </w:r>
      <w:r>
        <w:rPr>
          <w:vertAlign w:val="subscript"/>
        </w:rPr>
        <w:t>6</w:t>
      </w:r>
      <w:r>
        <w:t>S</w:t>
      </w:r>
      <w:r>
        <w:rPr>
          <w:vertAlign w:val="subscript"/>
        </w:rPr>
        <w:t>8</w:t>
      </w:r>
      <w:r>
        <w:t>full cells exhibit superior rate capability and long‐term cycling stability, retaining 88.6% capacity after 380 cycles at 1 C. This study offers an effective electrolyte design strategy high‐energy‐density and safe magnesium batteries.</w:t>
      </w:r>
    </w:p>
    <w:p>
      <w:pPr>
        <w:spacing w:before="120" w:after="120"/>
      </w:pPr>
      <w:r>
        <w:rPr>
          <w:sz w:val="18"/>
        </w:rPr>
        <w:t>——————————————————————————————————————————————————————————————————————</w:t>
      </w:r>
    </w:p>
    <w:p>
      <w:pPr>
        <w:spacing w:before="160" w:after="40" w:line="240" w:lineRule="auto"/>
      </w:pPr>
      <w:r>
        <w:rPr>
          <w:b/>
        </w:rPr>
        <w:t xml:space="preserve">[12] </w:t>
      </w:r>
      <w:hyperlink r:id="rId110">
        <w:r>
          <w:rPr>
            <w:color w:val="1155CC"/>
            <w:u w:val="single"/>
          </w:rPr>
          <w:t>石榴石诱导氟化物固体电解质中间层的非晶化使高电压和大容量锂金属固态电池成为可能</w:t>
        </w:r>
      </w:hyperlink>
    </w:p>
    <w:p>
      <w:pPr>
        <w:spacing w:before="0" w:after="80"/>
      </w:pPr>
      <w:r>
        <w:rPr>
          <w:i/>
          <w:sz w:val="20"/>
        </w:rPr>
        <w:t>EN: Garnet‐Induced Amorphization of Fluoride Solid Electrolyte Interlayer Enables High‐Voltage and Large‐Capacity Lithium Metal Solid‐State Batteries</w:t>
      </w:r>
    </w:p>
    <w:p>
      <w:pPr>
        <w:spacing w:before="0" w:after="120"/>
      </w:pPr>
      <w:r>
        <w:rPr>
          <w:b/>
        </w:rPr>
        <w:t xml:space="preserve">Source: </w:t>
      </w:r>
      <w:r>
        <w:t>Wiley: Advanced Energy Materials: Table of Contents</w:t>
      </w:r>
      <w:r>
        <w:t xml:space="preserve">    </w:t>
      </w:r>
      <w:r>
        <w:rPr>
          <w:b/>
        </w:rPr>
        <w:t xml:space="preserve">Pub date: </w:t>
      </w:r>
      <w:r>
        <w:t>2026-08-04 07:49:58+00:00</w:t>
      </w:r>
      <w:r>
        <w:t xml:space="preserve">    </w:t>
      </w:r>
      <w:r>
        <w:rPr>
          <w:b/>
        </w:rPr>
        <w:t xml:space="preserve">DOI: </w:t>
      </w:r>
      <w:hyperlink r:id="rId111">
        <w:r>
          <w:rPr>
            <w:color w:val="1155CC"/>
            <w:u w:val="single"/>
          </w:rPr>
          <w:t>10.1002/aenm.71375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石榴石型固态电解质Li</w:t>
      </w:r>
      <w:r>
        <w:t xml:space="preserve"> </w:t>
      </w:r>
      <w:r>
        <w:t>6.5</w:t>
      </w:r>
      <w:r>
        <w:t xml:space="preserve"> </w:t>
      </w:r>
      <w:r>
        <w:t>拉</w:t>
      </w:r>
      <w:r>
        <w:rPr>
          <w:vertAlign w:val="subscript"/>
        </w:rPr>
        <w:t>3</w:t>
      </w:r>
      <w:r>
        <w:t>锆</w:t>
      </w:r>
      <w:r>
        <w:t xml:space="preserve"> </w:t>
      </w:r>
      <w:r>
        <w:t>1.5</w:t>
      </w:r>
      <w:r>
        <w:t xml:space="preserve"> </w:t>
      </w:r>
      <w:r>
        <w:t>塔</w:t>
      </w:r>
      <w:r>
        <w:t xml:space="preserve"> </w:t>
      </w:r>
      <w:r>
        <w:t>0.5</w:t>
      </w:r>
      <w:r>
        <w:t xml:space="preserve"> </w:t>
      </w:r>
      <w:r>
        <w:t>氧</w:t>
      </w:r>
      <w:r>
        <w:rPr>
          <w:vertAlign w:val="subscript"/>
        </w:rPr>
        <w:t>12</w:t>
      </w:r>
      <w:r>
        <w:t>（LLZTO）由于其在室温（RT）下的高锂离子电导率和与锂金属良好的电化学稳定性而引起了广泛关注。然而，它在电解质/电极界面的高电阻以及石榴石内沿晶界生长的锂枝晶方面提出了挑战。这些挑战已被证明与厚的锂钝化层有关</w:t>
      </w:r>
      <w:r>
        <w:rPr>
          <w:vertAlign w:val="subscript"/>
        </w:rPr>
        <w:t>2</w:t>
      </w:r>
      <w:r>
        <w:t>一氧化碳</w:t>
      </w:r>
      <w:r>
        <w:rPr>
          <w:vertAlign w:val="subscript"/>
        </w:rPr>
        <w:t>3</w:t>
      </w:r>
      <w:r>
        <w:t>形成于LLZTO表面。在这里，我们提出了一种石榴石诱导的氟化物固体电解质（Li</w:t>
      </w:r>
      <w:r>
        <w:rPr>
          <w:vertAlign w:val="subscript"/>
        </w:rPr>
        <w:t>2</w:t>
      </w:r>
      <w:r>
        <w:t>氟化硅</w:t>
      </w:r>
      <w:r>
        <w:rPr>
          <w:vertAlign w:val="subscript"/>
        </w:rPr>
        <w:t>6</w:t>
      </w:r>
      <w:r>
        <w:t>) 离子电导率增强的中间层 (1.32 × 10</w:t>
      </w:r>
      <w:r>
        <w:t xml:space="preserve"> </w:t>
      </w:r>
      <w:r>
        <w:t>−6</w:t>
      </w:r>
      <w:r>
        <w:t xml:space="preserve"> </w:t>
      </w:r>
      <w:r>
        <w:t>S/cm at RT）和电子绝缘来应对这些挑战。锂金属对称电池表现出可忽略不计的界面电阻（约 1 Ω cm</w:t>
      </w:r>
      <w:r>
        <w:rPr>
          <w:vertAlign w:val="subscript"/>
        </w:rPr>
        <w:t>2</w:t>
      </w:r>
      <w:r>
        <w:t>）并达到 4.4 mA/cm 的创纪录高临界电流密度</w:t>
      </w:r>
      <w:r>
        <w:rPr>
          <w:vertAlign w:val="subscript"/>
        </w:rPr>
        <w:t>2</w:t>
      </w:r>
      <w:r>
        <w:t>在室温下。 Li出色的高压稳定性</w:t>
      </w:r>
      <w:r>
        <w:rPr>
          <w:vertAlign w:val="subscript"/>
        </w:rPr>
        <w:t>2</w:t>
      </w:r>
      <w:r>
        <w:t>氟化硅</w:t>
      </w:r>
      <w:r>
        <w:rPr>
          <w:vertAlign w:val="subscript"/>
        </w:rPr>
        <w:t>6</w:t>
      </w:r>
      <w:r>
        <w:t>有助于增强氧化</w:t>
      </w:r>
    </w:p>
    <w:p>
      <w:pPr>
        <w:spacing w:before="0" w:after="200" w:lineRule="auto" w:line="276"/>
      </w:pPr>
      <w:r>
        <w:rPr>
          <w:b/>
        </w:rPr>
        <w:t xml:space="preserve">Abstract (EN): </w:t>
      </w:r>
      <w:r>
        <w:t>Garnet‐type solid‐state electrolyte Li</w:t>
      </w:r>
      <w:r>
        <w:t xml:space="preserve"> </w:t>
      </w:r>
      <w:r>
        <w:t>6.5</w:t>
      </w:r>
      <w:r>
        <w:t xml:space="preserve"> </w:t>
      </w:r>
      <w:r>
        <w:t>La</w:t>
      </w:r>
      <w:r>
        <w:rPr>
          <w:vertAlign w:val="subscript"/>
        </w:rPr>
        <w:t>3</w:t>
      </w:r>
      <w:r>
        <w:t>Zr</w:t>
      </w:r>
      <w:r>
        <w:t xml:space="preserve"> </w:t>
      </w:r>
      <w:r>
        <w:t>1.5</w:t>
      </w:r>
      <w:r>
        <w:t xml:space="preserve"> </w:t>
      </w:r>
      <w:r>
        <w:t>Ta</w:t>
      </w:r>
      <w:r>
        <w:t xml:space="preserve"> </w:t>
      </w:r>
      <w:r>
        <w:t>0.5</w:t>
      </w:r>
      <w:r>
        <w:t xml:space="preserve"> </w:t>
      </w:r>
      <w:r>
        <w:t>O</w:t>
      </w:r>
      <w:r>
        <w:rPr>
          <w:vertAlign w:val="subscript"/>
        </w:rPr>
        <w:t>12</w:t>
      </w:r>
      <w:r>
        <w:t>(LLZTO) has garnered significant attention owing to its high Li‐ion conductivity at room temperature (RT) and good electrochemical stability with Li metal. However, it presents the challenges in terms of high resistance at electrolyte/electrode interfaces, coupled with the growth of lithium dendrites along grain boundaries within garnet. These challenges have been proven to be related to a thick passivation layer of Li</w:t>
      </w:r>
      <w:r>
        <w:rPr>
          <w:vertAlign w:val="subscript"/>
        </w:rPr>
        <w:t>2</w:t>
      </w:r>
      <w:r>
        <w:t>CO</w:t>
      </w:r>
      <w:r>
        <w:rPr>
          <w:vertAlign w:val="subscript"/>
        </w:rPr>
        <w:t>3</w:t>
      </w:r>
      <w:r>
        <w:t>formed on LLZTO surface. Here, we propose a garnet‐induced amorphization strategy of fluoride solid electrolyte (Li</w:t>
      </w:r>
      <w:r>
        <w:rPr>
          <w:vertAlign w:val="subscript"/>
        </w:rPr>
        <w:t>2</w:t>
      </w:r>
      <w:r>
        <w:t>SiF</w:t>
      </w:r>
      <w:r>
        <w:rPr>
          <w:vertAlign w:val="subscript"/>
        </w:rPr>
        <w:t>6</w:t>
      </w:r>
      <w:r>
        <w:t>) interlayer with enhanced ionic conductivity (1.32 × 10</w:t>
      </w:r>
      <w:r>
        <w:t xml:space="preserve"> </w:t>
      </w:r>
      <w:r>
        <w:t>−6</w:t>
      </w:r>
      <w:r>
        <w:t xml:space="preserve"> </w:t>
      </w:r>
      <w:r>
        <w:t>S/cm at RT) and electronic insulation to address these challenges. The Li metal symmetric cells exhibit negligible interfacial resistance (≈1 Ω cm</w:t>
      </w:r>
      <w:r>
        <w:rPr>
          <w:vertAlign w:val="subscript"/>
        </w:rPr>
        <w:t>2</w:t>
      </w:r>
      <w:r>
        <w:t>) and achieve a record‐high critical current density of 4.4 mA/cm</w:t>
      </w:r>
      <w:r>
        <w:rPr>
          <w:vertAlign w:val="subscript"/>
        </w:rPr>
        <w:t>2</w:t>
      </w:r>
      <w:r>
        <w:t>at RT. The outstanding high‐voltage stability of Li</w:t>
      </w:r>
      <w:r>
        <w:rPr>
          <w:vertAlign w:val="subscript"/>
        </w:rPr>
        <w:t>2</w:t>
      </w:r>
      <w:r>
        <w:t>SiF</w:t>
      </w:r>
      <w:r>
        <w:rPr>
          <w:vertAlign w:val="subscript"/>
        </w:rPr>
        <w:t>6</w:t>
      </w:r>
      <w:r>
        <w:t>contributes to enhance the oxidation capacity of the LLZTO system. The batteries coupled with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with a loading of 4.3 mg/cm</w:t>
      </w:r>
      <w:r>
        <w:rPr>
          <w:vertAlign w:val="subscript"/>
        </w:rPr>
        <w:t>2</w:t>
      </w:r>
      <w:r>
        <w:t>exhibit stable long‐term cycling up to 4.5 V. The all‐solid‐state conversion reaction batteries, with a high loading of FeF</w:t>
      </w:r>
      <w:r>
        <w:rPr>
          <w:vertAlign w:val="subscript"/>
        </w:rPr>
        <w:t>3</w:t>
      </w:r>
      <w:r>
        <w:t>cathode up to 5 mg/cm</w:t>
      </w:r>
      <w:r>
        <w:rPr>
          <w:vertAlign w:val="subscript"/>
        </w:rPr>
        <w:t>2</w:t>
      </w:r>
      <w:r>
        <w:t>, achieve a high reversible capacity close to 500 mAh/g. This study inspires the positive modulation of ceramic oxides on fluoride solid electrolytes and their multi‐functions on both anode and cathode.</w:t>
      </w:r>
    </w:p>
    <w:p>
      <w:pPr>
        <w:spacing w:before="120" w:after="120"/>
      </w:pPr>
      <w:r>
        <w:rPr>
          <w:sz w:val="18"/>
        </w:rPr>
        <w:t>——————————————————————————————————————————————————————————————————————</w:t>
      </w:r>
    </w:p>
    <w:p>
      <w:pPr>
        <w:spacing w:before="160" w:after="40" w:line="240" w:lineRule="auto"/>
      </w:pPr>
      <w:r>
        <w:rPr>
          <w:b/>
        </w:rPr>
        <w:t xml:space="preserve">[13] </w:t>
      </w:r>
      <w:hyperlink r:id="rId112">
        <w:r>
          <w:rPr>
            <w:color w:val="1155CC"/>
            <w:u w:val="single"/>
          </w:rPr>
          <w:t>打破高压锂电池电解质设计中的极性-配位耦合</w:t>
        </w:r>
      </w:hyperlink>
    </w:p>
    <w:p>
      <w:pPr>
        <w:spacing w:before="0" w:after="80"/>
      </w:pPr>
      <w:r>
        <w:rPr>
          <w:i/>
          <w:sz w:val="20"/>
        </w:rPr>
        <w:t>EN: Breaking the Polarity–Coordination Coupling in Electrolyte Design for High‐Voltage Lithium Batteries</w:t>
      </w:r>
    </w:p>
    <w:p>
      <w:pPr>
        <w:spacing w:before="0" w:after="120"/>
      </w:pPr>
      <w:r>
        <w:rPr>
          <w:b/>
        </w:rPr>
        <w:t xml:space="preserve">Source: </w:t>
      </w:r>
      <w:r>
        <w:t>Wiley: Advanced Energy Materials: Table of Contents</w:t>
      </w:r>
      <w:r>
        <w:t xml:space="preserve">    </w:t>
      </w:r>
      <w:r>
        <w:rPr>
          <w:b/>
        </w:rPr>
        <w:t xml:space="preserve">Pub date: </w:t>
      </w:r>
      <w:r>
        <w:t>2026-08-04 07:59:23+00:00</w:t>
      </w:r>
      <w:r>
        <w:t xml:space="preserve">    </w:t>
      </w:r>
      <w:r>
        <w:rPr>
          <w:b/>
        </w:rPr>
        <w:t xml:space="preserve">DOI: </w:t>
      </w:r>
      <w:hyperlink r:id="rId113">
        <w:r>
          <w:rPr>
            <w:color w:val="1155CC"/>
            <w:u w:val="single"/>
          </w:rPr>
          <w:t>10.1002/aenm.71380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电解质设计从根本上受到高溶剂极性和弱锂之间的权衡限制</w:t>
      </w:r>
      <w:r>
        <w:t xml:space="preserve"> </w:t>
      </w:r>
      <w:r>
        <w:t>+</w:t>
      </w:r>
      <w:r>
        <w:t xml:space="preserve"> </w:t>
      </w:r>
      <w:r>
        <w:t>溶剂化，因为极性溶剂通常会结合锂</w:t>
      </w:r>
      <w:r>
        <w:t xml:space="preserve"> </w:t>
      </w:r>
      <w:r>
        <w:t>+</w:t>
      </w:r>
      <w:r>
        <w:t xml:space="preserve"> </w:t>
      </w:r>
      <w:r>
        <w:t>强烈。在这里，我们建立了一种空间电子调制策略，将溶剂极性与锂解耦</w:t>
      </w:r>
      <w:r>
        <w:t xml:space="preserve"> </w:t>
      </w:r>
      <w:r>
        <w:t>+</w:t>
      </w:r>
      <w:r>
        <w:t xml:space="preserve"> </w:t>
      </w:r>
      <w:r>
        <w:t>协调，实现了可推广的伪弱溶剂化电解质设计范式。基于这一原理，将2,2,2-三氟-N,N-二甲基乙基酰胺（DMTFA）和氟代碳酸亚乙酯（FEC）与双锂盐相结合，开发了一种空间位阻介导的电解质。尽管 DMTFA 具有强极性，但其表现出弱 Li</w:t>
      </w:r>
      <w:r>
        <w:t xml:space="preserve"> </w:t>
      </w:r>
      <w:r>
        <w:t>+</w:t>
      </w:r>
      <w:r>
        <w:t xml:space="preserve"> </w:t>
      </w:r>
      <w:r>
        <w:t>由于 ‐CF 的空间位阻和吸电子效应的综合作用而产生配位</w:t>
      </w:r>
      <w:r>
        <w:rPr>
          <w:vertAlign w:val="subscript"/>
        </w:rPr>
        <w:t>3</w:t>
      </w:r>
      <w:r>
        <w:t>基团，实现阴离子主导的溶剂化结构。这种配位化学降低了Li</w:t>
      </w:r>
      <w:r>
        <w:t xml:space="preserve"> </w:t>
      </w:r>
      <w:r>
        <w:t>+</w:t>
      </w:r>
      <w:r>
        <w:t xml:space="preserve"> </w:t>
      </w:r>
      <w:r>
        <w:t>去溶剂化障碍并驱动阴极表面富含 B 和 P 的界面层的优先吸附，从而保护阴极免受 HF 腐蚀。所得电解质具有高离子电导率、固有阻燃性和超过 5.0 V 的电化学稳定性窗口。采用 LiNi 的电池</w:t>
      </w:r>
      <w:r>
        <w:t xml:space="preserve"> </w:t>
      </w:r>
      <w:r>
        <w:t>0.91</w:t>
      </w:r>
      <w:r>
        <w:t xml:space="preserve"> </w:t>
      </w:r>
      <w:r>
        <w:t>钴</w:t>
      </w:r>
      <w:r>
        <w:t xml:space="preserve"> </w:t>
      </w:r>
      <w:r>
        <w:t>0.06</w:t>
      </w:r>
      <w:r>
        <w:t xml:space="preserve"> </w:t>
      </w:r>
      <w:r>
        <w:t>锰</w:t>
      </w:r>
      <w:r>
        <w:t xml:space="preserve"> </w:t>
      </w:r>
      <w:r>
        <w:t>0.03</w:t>
      </w:r>
      <w:r>
        <w:t xml:space="preserve"> </w:t>
      </w:r>
      <w:r>
        <w:t>氧</w:t>
      </w:r>
      <w:r>
        <w:rPr>
          <w:vertAlign w:val="subscript"/>
        </w:rPr>
        <w:t>2</w:t>
      </w:r>
    </w:p>
    <w:p>
      <w:pPr>
        <w:spacing w:before="0" w:after="200" w:lineRule="auto" w:line="276"/>
      </w:pPr>
      <w:r>
        <w:rPr>
          <w:b/>
        </w:rPr>
        <w:t xml:space="preserve">Abstract (EN): </w:t>
      </w:r>
      <w:r>
        <w:t>Electrolyte design is fundamentally constrained by the trade‐off between high solvent polarity and weak Li</w:t>
      </w:r>
      <w:r>
        <w:t xml:space="preserve"> </w:t>
      </w:r>
      <w:r>
        <w:t>+</w:t>
      </w:r>
      <w:r>
        <w:t xml:space="preserve"> </w:t>
      </w:r>
      <w:r>
        <w:t>solvation, as polar solvents typically bind Li</w:t>
      </w:r>
      <w:r>
        <w:t xml:space="preserve"> </w:t>
      </w:r>
      <w:r>
        <w:t>+</w:t>
      </w:r>
      <w:r>
        <w:t xml:space="preserve"> </w:t>
      </w:r>
      <w:r>
        <w:t>strongly. Here, we establish a steric–electronic modulation strategy that decouples solvent polarity from Li</w:t>
      </w:r>
      <w:r>
        <w:t xml:space="preserve"> </w:t>
      </w:r>
      <w:r>
        <w:t>+</w:t>
      </w:r>
      <w:r>
        <w:t xml:space="preserve"> </w:t>
      </w:r>
      <w:r>
        <w:t>coordination, enabling a generalizable pseudo‐weak solvation electrolyte design paradigm. Based on this principle, a steric hindrance–mediated electrolyte is developed combining 2,2,2‐trifluoro‐N, N‐dimethylethylamide (DMTFA) and fluoroethylene carbonate (FEC) with dual lithium salts. Despite its strong polarity, DMTFA exhibits weak Li</w:t>
      </w:r>
      <w:r>
        <w:t xml:space="preserve"> </w:t>
      </w:r>
      <w:r>
        <w:t>+</w:t>
      </w:r>
      <w:r>
        <w:t xml:space="preserve"> </w:t>
      </w:r>
      <w:r>
        <w:t>coordination due to the combined steric hindrance and electron‐withdrawing effects of the ‐CF</w:t>
      </w:r>
      <w:r>
        <w:rPr>
          <w:vertAlign w:val="subscript"/>
        </w:rPr>
        <w:t>3</w:t>
      </w:r>
      <w:r>
        <w:t>group, enabling anion‐ dominated solvation structures. This coordination chemistry lowers Li</w:t>
      </w:r>
      <w:r>
        <w:t xml:space="preserve"> </w:t>
      </w:r>
      <w:r>
        <w:t>+</w:t>
      </w:r>
      <w:r>
        <w:t xml:space="preserve"> </w:t>
      </w:r>
      <w:r>
        <w:t>desolvation barriers and drives the preferential adsorption of a B‐ and P‐rich interphase layer at the cathode surface, thereby protecting the cathode from HF corrosion. The resulting electrolyte achieves high ionic conductivity, intrinsic flame retardancy, and an electrochemical stability window exceeding 5.0 V. Cells employing LiNi</w:t>
      </w:r>
      <w:r>
        <w:t xml:space="preserve"> </w:t>
      </w:r>
      <w:r>
        <w:t>0.91</w:t>
      </w:r>
      <w:r>
        <w:t xml:space="preserve"> </w:t>
      </w:r>
      <w:r>
        <w:t>Co</w:t>
      </w:r>
      <w:r>
        <w:t xml:space="preserve"> </w:t>
      </w:r>
      <w:r>
        <w:t>0.06</w:t>
      </w:r>
      <w:r>
        <w:t xml:space="preserve"> </w:t>
      </w:r>
      <w:r>
        <w:t>Mn</w:t>
      </w:r>
      <w:r>
        <w:t xml:space="preserve"> </w:t>
      </w:r>
      <w:r>
        <w:t>0.03</w:t>
      </w:r>
      <w:r>
        <w:t xml:space="preserve"> </w:t>
      </w:r>
      <w:r>
        <w:t>O</w:t>
      </w:r>
      <w:r>
        <w:rPr>
          <w:vertAlign w:val="subscript"/>
        </w:rPr>
        <w:t>2</w:t>
      </w:r>
      <w:r>
        <w:t>cathodes demonstrate a capacity retention of over 90.0% after 100 cycles at 1 C rate and 4.8 V charge cut‐off. The electrolyte enables approximately 1.6 Ah pouch cells to retain 84.97% capacity after 1800 cycles at 4.6 V.</w:t>
      </w:r>
    </w:p>
    <w:p>
      <w:pPr>
        <w:spacing w:before="120" w:after="120"/>
      </w:pPr>
      <w:r>
        <w:rPr>
          <w:sz w:val="18"/>
        </w:rPr>
        <w:t>——————————————————————————————————————————————————————————————————————</w:t>
      </w:r>
    </w:p>
    <w:p>
      <w:pPr>
        <w:spacing w:before="160" w:after="40" w:line="240" w:lineRule="auto"/>
      </w:pPr>
      <w:r>
        <w:rPr>
          <w:b/>
        </w:rPr>
        <w:t xml:space="preserve">[14] </w:t>
      </w:r>
      <w:hyperlink r:id="rId176">
        <w:r>
          <w:rPr>
            <w:color w:val="1155CC"/>
            <w:u w:val="single"/>
          </w:rPr>
          <w:t>高压锂金属电池的级联溶剂化精炼</w:t>
        </w:r>
      </w:hyperlink>
    </w:p>
    <w:p>
      <w:pPr>
        <w:spacing w:before="0" w:after="80"/>
      </w:pPr>
      <w:r>
        <w:rPr>
          <w:i/>
          <w:sz w:val="20"/>
        </w:rPr>
        <w:t>EN: Cascade Solvation Refinement for High‐Voltage Lithium Metal Batteries</w:t>
      </w:r>
    </w:p>
    <w:p>
      <w:pPr>
        <w:spacing w:before="0" w:after="120"/>
      </w:pPr>
      <w:r>
        <w:rPr>
          <w:b/>
        </w:rPr>
        <w:t xml:space="preserve">Source: </w:t>
      </w:r>
      <w:r>
        <w:t>Wiley: Advanced Materials: Table of Contents</w:t>
      </w:r>
      <w:r>
        <w:t xml:space="preserve">    </w:t>
      </w:r>
      <w:r>
        <w:rPr>
          <w:b/>
        </w:rPr>
        <w:t xml:space="preserve">Pub date: </w:t>
      </w:r>
      <w:r>
        <w:t>2026-08-04 13:04:15+00:00</w:t>
      </w:r>
      <w:r>
        <w:t xml:space="preserve">    </w:t>
      </w:r>
      <w:r>
        <w:rPr>
          <w:b/>
        </w:rPr>
        <w:t xml:space="preserve">DOI: </w:t>
      </w:r>
      <w:hyperlink r:id="rId177">
        <w:r>
          <w:rPr>
            <w:color w:val="1155CC"/>
            <w:u w:val="single"/>
          </w:rPr>
          <w:t>10.1002/adma.74446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中不稳定的界面化学源于带电界面上阴离子的可及性有限，即使在采用阴离子配位溶剂化结构设计的电解质中也是如此。在这里，我们报告了一种级联溶剂化精炼（CSR）策略，该策略能够在分子水平上控制阴离子配位锂的尺寸和动力学</w:t>
      </w:r>
      <w:r>
        <w:t xml:space="preserve"> </w:t>
      </w:r>
      <w:r>
        <w:t>+</w:t>
      </w:r>
      <w:r>
        <w:t xml:space="preserve"> </w:t>
      </w:r>
      <w:r>
        <w:t>集群。这种设计原理受阴离子-阴离子排斥和平均极化率之间的协同作用控制，它们共同决定了簇的小型化和阴离子交换动力学。通过依次掺入，双(草酸)硼酸盐(BOB</w:t>
      </w:r>
      <w:r>
        <w:t xml:space="preserve"> </w:t>
      </w:r>
      <w:r>
        <w:t>-</w:t>
      </w:r>
      <w:r>
        <w:t>）和双（三氟甲磺酰基）亚胺（TFSI</w:t>
      </w:r>
      <w:r>
        <w:t xml:space="preserve"> </w:t>
      </w:r>
      <w:r>
        <w:t>-</w:t>
      </w:r>
      <w:r>
        <w:t>）转化为双（氟磺酰基）亚胺（FSI</w:t>
      </w:r>
      <w:r>
        <w:t xml:space="preserve"> </w:t>
      </w:r>
      <w:r>
        <w:t>-</w:t>
      </w:r>
      <w:r>
        <w:t>）饱和电解质，溶剂化环境向致密、高动态的Li发展</w:t>
      </w:r>
      <w:r>
        <w:t xml:space="preserve"> </w:t>
      </w:r>
      <w:r>
        <w:t>+</w:t>
      </w:r>
      <w:r>
        <w:t xml:space="preserve"> </w:t>
      </w:r>
      <w:r>
        <w:t>‐具有加速阴离子交换动力学的阴离子簇。鲍勃</w:t>
      </w:r>
      <w:r>
        <w:t xml:space="preserve"> </w:t>
      </w:r>
      <w:r>
        <w:t>-</w:t>
      </w:r>
      <w:r>
        <w:t>和 TFSI</w:t>
      </w:r>
      <w:r>
        <w:t xml:space="preserve"> </w:t>
      </w:r>
      <w:r>
        <w:t>-</w:t>
      </w:r>
      <w:r>
        <w:t>共精炼电解质可在电极界面维持连续的阴离子可用性，促进坚固的富含无机界面的形成，并抑制溶剂主导的副反应。值得注意的是，精细的溶剂化结构还压缩了双电层，使阴离子配位的溶剂化结构能够更接近电极表面并构建在</w:t>
      </w:r>
    </w:p>
    <w:p>
      <w:pPr>
        <w:spacing w:before="0" w:after="200" w:lineRule="auto" w:line="276"/>
      </w:pPr>
      <w:r>
        <w:rPr>
          <w:b/>
        </w:rPr>
        <w:t xml:space="preserve">Abstract (EN): </w:t>
      </w:r>
      <w:r>
        <w:t>Unstable interfacial chemistry in Li metal batteries originates from the limited accessibility of anions at electrified interfaces, even in the electrolytes designed with anion‐coordinated solvation structures. Here we report a cascade solvation refinement (CSR) strategy that enables molecular‐level control over the size and dynamics of anion‐coordinated Li</w:t>
      </w:r>
      <w:r>
        <w:t xml:space="preserve"> </w:t>
      </w:r>
      <w:r>
        <w:t>+</w:t>
      </w:r>
      <w:r>
        <w:t xml:space="preserve"> </w:t>
      </w:r>
      <w:r>
        <w:t>clusters. This design principle is governed by the synergy between anion‐anion repulsion and average polarizability, which together dictate cluster miniaturization and anion‐exchange dynamics. By sequentially incorporating, bis(oxalate)borate (BOB</w:t>
      </w:r>
      <w:r>
        <w:t xml:space="preserve"> </w:t>
      </w:r>
      <w:r>
        <w:t>−</w:t>
      </w:r>
      <w:r>
        <w:t>) and bis(trifluoromethanesulphonyl)imide (TFSI</w:t>
      </w:r>
      <w:r>
        <w:t xml:space="preserve"> </w:t>
      </w:r>
      <w:r>
        <w:t>−</w:t>
      </w:r>
      <w:r>
        <w:t>) into a bis(fluorosulfonyl)imide (FSI</w:t>
      </w:r>
      <w:r>
        <w:t xml:space="preserve"> </w:t>
      </w:r>
      <w:r>
        <w:t>−</w:t>
      </w:r>
      <w:r>
        <w:t>) saturated electrolyte, the solvation environment evolves toward compact, highly dynamic Li</w:t>
      </w:r>
      <w:r>
        <w:t xml:space="preserve"> </w:t>
      </w:r>
      <w:r>
        <w:t>+</w:t>
      </w:r>
      <w:r>
        <w:t xml:space="preserve"> </w:t>
      </w:r>
      <w:r>
        <w:t>‐anion clusters with accelerated anion‐exchange kinetics. The BOB</w:t>
      </w:r>
      <w:r>
        <w:t xml:space="preserve"> </w:t>
      </w:r>
      <w:r>
        <w:t>−</w:t>
      </w:r>
      <w:r>
        <w:t>and TFSI</w:t>
      </w:r>
      <w:r>
        <w:t xml:space="preserve"> </w:t>
      </w:r>
      <w:r>
        <w:t>−</w:t>
      </w:r>
      <w:r>
        <w:t>co‐refined electrolyte sustains continuous anion availability at electrode interfaces, facilitates the formation of robust inorganic‐rich interphases, and suppresses solvent‐dominated side reactions. Notably, the refined solvation structure also compresses the electric double layer, enabling anion‐coordinated solvation structures to approach the electrode surface more closely and construct inorganic interphases. Consequently, 4.4 V Li‐metal pouch cells with practical Ah‐level capacities (&amp;gt;4 Ah), as well as the large‐format 20 Ah cells, exhibit markedly extended cycling stability and high gravimetric energy density (&amp;gt;540 Wh kg</w:t>
      </w:r>
      <w:r>
        <w:t xml:space="preserve"> </w:t>
      </w:r>
      <w:r>
        <w:t>−1</w:t>
      </w:r>
      <w:r>
        <w:t xml:space="preserve"> </w:t>
      </w:r>
      <w:r>
        <w:t>). These results highlight the CSR approach as a powerful platform for advancing practical, high‐energy batteries.</w:t>
      </w:r>
    </w:p>
    <w:p>
      <w:pPr>
        <w:spacing w:before="120" w:after="120"/>
      </w:pPr>
      <w:r>
        <w:rPr>
          <w:sz w:val="18"/>
        </w:rPr>
        <w:t>——————————————————————————————————————————————————————————————————————</w:t>
      </w:r>
    </w:p>
    <w:p>
      <w:pPr>
        <w:spacing w:before="160" w:after="40" w:line="240" w:lineRule="auto"/>
      </w:pPr>
      <w:r>
        <w:rPr>
          <w:b/>
        </w:rPr>
        <w:t xml:space="preserve">[15] </w:t>
      </w:r>
      <w:hyperlink r:id="rId178">
        <w:r>
          <w:rPr>
            <w:color w:val="1155CC"/>
            <w:u w:val="single"/>
          </w:rPr>
          <w:t>摆脱高堆栈压力的轻质全固态软包电池</w:t>
        </w:r>
      </w:hyperlink>
    </w:p>
    <w:p>
      <w:pPr>
        <w:spacing w:before="0" w:after="80"/>
      </w:pPr>
      <w:r>
        <w:rPr>
          <w:i/>
          <w:sz w:val="20"/>
        </w:rPr>
        <w:t>EN: Lightweight All‐Solid‐State Pouch Cells Freed from High Stack Pressure</w:t>
      </w:r>
    </w:p>
    <w:p>
      <w:pPr>
        <w:spacing w:before="0" w:after="120"/>
      </w:pPr>
      <w:r>
        <w:rPr>
          <w:b/>
        </w:rPr>
        <w:t xml:space="preserve">Source: </w:t>
      </w:r>
      <w:r>
        <w:t>Wiley: Advanced Materials: Table of Contents</w:t>
      </w:r>
      <w:r>
        <w:t xml:space="preserve">    </w:t>
      </w:r>
      <w:r>
        <w:rPr>
          <w:b/>
        </w:rPr>
        <w:t xml:space="preserve">Pub date: </w:t>
      </w:r>
      <w:r>
        <w:t>2026-08-04 14:14:16+00:00</w:t>
      </w:r>
      <w:r>
        <w:t xml:space="preserve">    </w:t>
      </w:r>
      <w:r>
        <w:rPr>
          <w:b/>
        </w:rPr>
        <w:t xml:space="preserve">DOI: </w:t>
      </w:r>
      <w:hyperlink r:id="rId179">
        <w:r>
          <w:rPr>
            <w:color w:val="1155CC"/>
            <w:u w:val="single"/>
          </w:rPr>
          <w:t>10.1002/adma.74465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2011年以来，一些硫化物和卤化物基固态电解质（SSE）的离子电导率已经达到与液体电解质相当的水平。全球许多公司提出了多种技术途径来实现超长行驶里程的电动汽车的商业化。然而，全固态电池（ASSB）的实际车辆应用仍然充满挑战和不确定性。主要障碍之一是对高堆压的要求，这通常依赖于重金属板，从而降低了模块电池的整体能量密度。该视角将实用的全固态软包电池（ASSPC）与传统液体电池进行比较，以分析电堆压力要求的根源。该分析从材料、界面和结构的角度进行，揭示了这一限制背后的关键因素。随后，提出了将第一阶段烟囱压力从目前的 20 MPa 降低到 5 MPa 的策略，并最终目标降低到 2 MPa。还计算了电堆压力对电池到模块能量密度效率的影响并进行定量分析。这些见解提供了从 ASSPC 设计到模块级压力管理的实用建议。</w:t>
      </w:r>
    </w:p>
    <w:p>
      <w:pPr>
        <w:spacing w:before="0" w:after="200" w:lineRule="auto" w:line="276"/>
      </w:pPr>
      <w:r>
        <w:rPr>
          <w:b/>
        </w:rPr>
        <w:t xml:space="preserve">Abstract (EN): </w:t>
      </w:r>
      <w:r>
        <w:t>Since 2011, ionic conductivity of some sulfide‐ and halide‐based solid‐state electrolytes (SSEs) have already reached a level comparable to that of liquid electrolytes. Numerous companies worldwide have proposed diverse technical pathways for commercializing electric vehicles with ultra‐long driving ranges. However, the practical vehicular application of all‐solid‐state batteries (ASSBs) remains highly challenging and uncertain. One of the major obstacles is the requirement for high stack pressure, which typically relies on heavy metallic plates and thereby reduces the overall energy density of the module battery. This perspective compares practical all‐solid‐state pouch cells (ASSPCs) with conventional liquid batteries to analyze the origins of stack pressure requirements. The analysis is conducted from material, interfacial, and structural viewpoints, revealing the critical factors underlying this limitation. Subsequently, strategies are proposed to mitigate stack pressure from the current 20 MPa to 5 MPa for the first stage and to 2 MPa as the final target. The effect of stack pressure on cell‐to‐module energy density efficiency is also calculated to quantitative analysis. These insights provide practical suggestion from ASSPCs design to module‐level pressure management.</w:t>
      </w:r>
    </w:p>
    <w:p>
      <w:pPr>
        <w:spacing w:before="120" w:after="120"/>
      </w:pPr>
      <w:r>
        <w:rPr>
          <w:sz w:val="18"/>
        </w:rPr>
        <w:t>——————————————————————————————————————————————————————————————————————</w:t>
      </w:r>
    </w:p>
    <w:p>
      <w:pPr>
        <w:spacing w:before="160" w:after="40" w:line="240" w:lineRule="auto"/>
      </w:pPr>
      <w:r>
        <w:rPr>
          <w:b/>
        </w:rPr>
        <w:t xml:space="preserve">[16] </w:t>
      </w:r>
      <w:hyperlink r:id="rId145">
        <w:r>
          <w:rPr>
            <w:color w:val="1155CC"/>
            <w:u w:val="single"/>
          </w:rPr>
          <w:t>从钠离子电池中的硬碳电化学中解耦钠金属伪影</w:t>
        </w:r>
      </w:hyperlink>
    </w:p>
    <w:p>
      <w:pPr>
        <w:spacing w:before="0" w:after="80"/>
      </w:pPr>
      <w:r>
        <w:rPr>
          <w:i/>
          <w:sz w:val="20"/>
        </w:rPr>
        <w:t>EN: Decoupling Sodium Metal Artifacts from Hard Carbon Electrochemistry in Sodium-Ion Batteries</w:t>
      </w:r>
    </w:p>
    <w:p>
      <w:pPr>
        <w:spacing w:before="0" w:after="120"/>
      </w:pPr>
      <w:r>
        <w:rPr>
          <w:b/>
        </w:rPr>
        <w:t xml:space="preserve">Source: </w:t>
      </w:r>
      <w:r>
        <w:t>ACS Energy Letters: Latest Articles (ACS Publications)</w:t>
      </w:r>
      <w:r>
        <w:t xml:space="preserve">    </w:t>
      </w:r>
      <w:r>
        <w:rPr>
          <w:b/>
        </w:rPr>
        <w:t xml:space="preserve">Pub date: </w:t>
      </w:r>
      <w:r>
        <w:t>2026-08-05 00:00:00+00:00</w:t>
      </w:r>
      <w:r>
        <w:t xml:space="preserve">    </w:t>
      </w:r>
      <w:r>
        <w:rPr>
          <w:b/>
        </w:rPr>
        <w:t xml:space="preserve">DOI: </w:t>
      </w:r>
      <w:hyperlink r:id="rId146">
        <w:r>
          <w:rPr>
            <w:color w:val="1155CC"/>
            <w:u w:val="single"/>
          </w:rPr>
          <w:t>10.1021/acsenergylett.6c01946</w:t>
        </w:r>
      </w:hyperlink>
    </w:p>
    <w:p>
      <w:pPr>
        <w:spacing w:before="0" w:after="120"/>
      </w:pPr>
      <w:r>
        <w:rPr>
          <w:b/>
        </w:rPr>
        <w:t xml:space="preserve">Notes: </w:t>
      </w:r>
      <w:r>
        <w:t>abstract_source=crossref</w:t>
      </w:r>
    </w:p>
    <w:p>
      <w:pPr>
        <w:spacing w:before="0" w:after="80" w:lineRule="auto" w:line="276"/>
      </w:pPr>
      <w:r>
        <w:rPr>
          <w:b/>
        </w:rPr>
        <w:t xml:space="preserve">摘要（ZH）: </w:t>
      </w:r>
      <w:r>
        <w:t>摘要 硬碳（HC）是商业钠离子电池的基准阳极，但对其电解质依赖性动力学的广泛误解继续阻碍其实际发展。目前，该领域支持基于醚的电解质而不是传统的碳酸盐，几乎完全基于传统的 Na||HC 半电池测试。在这里，我们证明，由于高反应性钠金属对电极产生的化学伪影，这些比较通常可能存在缺陷。我们建立了一种无伪影、对称硬碳 (HC||HC) 电池几何结构来隔离内在的 HC 行为。结合互补核磁共振波谱，我们研究了 HC 中钠离子存储的基本机制。恒电流循环和温度依赖性阻抗分析表明，虽然醚电解质最初形成低阻抗固体电解质中间相（SEI），但逐渐降解限制了长期循环。 Na+存储机制的变化会导致阻抗和活化能垒发生较大的溶剂依赖性变化。因此，虽然醚电解质有望用于高倍率应用，但它们的长期循环性能较差。最终，这些发现纠正了文献中的误解，促使人们重新评估钠存储机制，并指导实际钠离子电池的电解质选择。</w:t>
      </w:r>
    </w:p>
    <w:p>
      <w:pPr>
        <w:spacing w:before="0" w:after="200" w:lineRule="auto" w:line="276"/>
      </w:pPr>
      <w:r>
        <w:rPr>
          <w:b/>
        </w:rPr>
        <w:t xml:space="preserve">Abstract (EN): </w:t>
      </w:r>
      <w:r>
        <w:t>Hard carbon (HC) is the benchmark anode for commercial sodium-ion batteries, yet widespread misconceptions regarding its electrolyte-dependent kinetics continue to hinder its practical development. Currently, the field champions ether-based electrolytes over conventional carbonates, based almost entirely on conventional Na||HC half-cell testing. Here, we demonstrate that these comparisons may often be flawed due to chemical artifacts originating from the highly reactive Na-metal counter electrode. We establish an artifact-free, symmetric hard carbon (HC||HC) cell geometry to isolate intrinsic HC behavior. Combined with complementary NMR spectroscopy, we investigate the underlying mechanisms of Na-ion storage in HC. Galvanostatic cycling and temperature-dependent impedance analyses reveal that while ether electrolytes initially form a low-impedance solid electrolyte interphase (SEI), progressive degradation limits long-term cycling. Variations in the Na+ storage mechanism cause large solvent-dependent changes in the impedance and activation energy barriers. Thus, while ether electrolytes hold promise for high-rate applications, they suffer from poor long-term cycling. Ultimately, these findings correct misinterpretations in the literature, prompting a re-evaluation for Na storage mechanisms and guiding electrolyte selection for practical Na-ion batteries.</w:t>
      </w:r>
    </w:p>
    <w:p>
      <w:pPr>
        <w:spacing w:before="120" w:after="120"/>
      </w:pPr>
      <w:r>
        <w:rPr>
          <w:sz w:val="18"/>
        </w:rPr>
        <w:t>——————————————————————————————————————————————————————————————————————</w:t>
      </w:r>
    </w:p>
    <w:p>
      <w:pPr>
        <w:spacing w:before="160" w:after="40" w:line="240" w:lineRule="auto"/>
      </w:pPr>
      <w:r>
        <w:rPr>
          <w:b/>
        </w:rPr>
        <w:t xml:space="preserve">[17] </w:t>
      </w:r>
      <w:hyperlink r:id="rId120">
        <w:r>
          <w:rPr>
            <w:color w:val="1155CC"/>
            <w:u w:val="single"/>
          </w:rPr>
          <w:t>用于四电子水性锌||Br电池的溶剂化工程准固体正极</w:t>
        </w:r>
      </w:hyperlink>
    </w:p>
    <w:p>
      <w:pPr>
        <w:spacing w:before="0" w:after="80"/>
      </w:pPr>
      <w:r>
        <w:rPr>
          <w:i/>
          <w:sz w:val="20"/>
        </w:rPr>
        <w:t>EN: Solvation-engineering-enabled quasi-solid positive electrode for four-electron aqueous Zn||Br batteries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溴物质在水性电解质中的扩散、交叉和水解阻碍了具有四电子2Br+/Br2/2Br−转换的Zn||Br电池的应用。在这里，我们研究了一种使用 ZnSO4·7H2O 和尿素的配体辅助的低溶剂化电解质。尿素的高溶解度抑制了水的活性，而其对溴的更强的亲和力使其能够比水分子优先配位。这种协同效应创造了一个准无溶剂的微环境，限制了溴的溶剂化和扩散，从而形成了坚固的准固体阴极。此外，紧凑的溶剂化结构通过加强亲核尿素配位和抑制水解，有利于 Br+ 物质的形成和稳定性。因此，所制造的 Zn||Br 电池表现出可逆的 4e 溴化学，在 1 A g−1 下容量为 417.5 mAh g−1 （基于 KBr）。构建了将 4e 碘正极和 4e 溴（来自电解质）耦合的锌电池，产生总 8e 转移，容量为 897.8 mAh g−1，2 A g−1 下的比能量为 1,344 Wh kg−1（基于 KI）。</w:t>
      </w:r>
    </w:p>
    <w:p>
      <w:pPr>
        <w:spacing w:before="0" w:after="200" w:lineRule="auto" w:line="276"/>
      </w:pPr>
      <w:r>
        <w:rPr>
          <w:b/>
        </w:rPr>
        <w:t xml:space="preserve">Abstract (EN): </w:t>
      </w:r>
      <w:r>
        <w:t>Diffusion, crossover, and hydrolysis of bromine species in aqueous electrolytes impede the application of Zn||Br batteries with four-electron 2Br+/Br2/2Br− conversion. Here, we study a ligand-assisted sparingly solvating electrolyte using ZnSO4·7H2O and urea. The high solubility of urea suppresses water activity, while its stronger affinity toward bromine enables preferential coordination over water molecules. This synergistic effect creates a quasi-solvent-free microenvironment that limits bromine solvation and diffusion, resulting in a robust quasi-solid cathode. Moreover, the compact solvation structure favors the formation and stability of Br+ species by strengthening nucleophilic urea coordination and inhibiting hydrolysis. Consequently, the fabricated Zn||Br battery exhibits reversible 4e bromine chemistry with a capacity of 417.5 mAh g−1 at 1 A g−1 (based on KBr). A zinc battery coupling the 4e iodine positive electrode and 4e bromine (from the electrolyte) is constructed, yielding a total 8e transfer with a capacity of 897.8 mAh g−1 and a specific energy of 1,344 Wh kg−1 at 2 A g−1 (based on KI).</w:t>
      </w:r>
    </w:p>
    <w:p>
      <w:pPr>
        <w:spacing w:before="120" w:after="120"/>
      </w:pPr>
      <w:r>
        <w:rPr>
          <w:sz w:val="18"/>
        </w:rPr>
        <w:t>——————————————————————————————————————————————————————————————————————</w:t>
      </w:r>
    </w:p>
    <w:p>
      <w:pPr>
        <w:spacing w:before="160" w:after="40" w:line="240" w:lineRule="auto"/>
      </w:pPr>
      <w:r>
        <w:rPr>
          <w:b/>
        </w:rPr>
        <w:t xml:space="preserve">[18] </w:t>
      </w:r>
      <w:hyperlink r:id="rId180">
        <w:r>
          <w:rPr>
            <w:color w:val="1155CC"/>
            <w:u w:val="single"/>
          </w:rPr>
          <w:t>钠电池原位聚合固态电解质的研究进展与展望</w:t>
        </w:r>
      </w:hyperlink>
    </w:p>
    <w:p>
      <w:pPr>
        <w:spacing w:before="0" w:after="80"/>
      </w:pPr>
      <w:r>
        <w:rPr>
          <w:i/>
          <w:sz w:val="20"/>
        </w:rPr>
        <w:t>EN: Progress and Perspectives of In Situ Polymerized Solid‐State Electrolytes for Sodium Batteries</w:t>
      </w:r>
    </w:p>
    <w:p>
      <w:pPr>
        <w:spacing w:before="0" w:after="120"/>
      </w:pPr>
      <w:r>
        <w:rPr>
          <w:b/>
        </w:rPr>
        <w:t xml:space="preserve">Source: </w:t>
      </w:r>
      <w:r>
        <w:t>Wiley: Advanced Energy Materials: Table of Contents</w:t>
      </w:r>
      <w:r>
        <w:t xml:space="preserve">    </w:t>
      </w:r>
      <w:r>
        <w:rPr>
          <w:b/>
        </w:rPr>
        <w:t xml:space="preserve">Pub date: </w:t>
      </w:r>
      <w:r>
        <w:t>2026-08-05 06:22:04+00:00</w:t>
      </w:r>
      <w:r>
        <w:t xml:space="preserve">    </w:t>
      </w:r>
      <w:r>
        <w:rPr>
          <w:b/>
        </w:rPr>
        <w:t xml:space="preserve">DOI: </w:t>
      </w:r>
      <w:hyperlink r:id="rId181">
        <w:r>
          <w:rPr>
            <w:color w:val="1155CC"/>
            <w:u w:val="single"/>
          </w:rPr>
          <w:t>10.1002/aenm.71378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钠资源丰富且成本低廉，钠电池在大规模储能方面引起了广泛关注。传统的液体电解质仍然面临重大的安全问题。相比之下，固体聚合物电解质可以减少对挥发性液体的依赖，但通常表现出室温离子传输有限且与多孔电极接触不良。原位聚合由于其与现有钠离子电池制造工艺的兼容性以及可扩展生产的潜力，提供了解决这些问题的途径。本文总结了钠电池原位聚合的优点和局限性、聚合引发条件和机制、制造策略以及钠基原位聚合固态电解质（SSE）的最新进展。进一步明确现阶段的关键科技挑战。最后，从材料到电池水平讨论了钠基原位聚合SSE的未来方向，以及固态钠离子电池结构设计的观点。</w:t>
      </w:r>
    </w:p>
    <w:p>
      <w:pPr>
        <w:spacing w:before="0" w:after="200" w:lineRule="auto" w:line="276"/>
      </w:pPr>
      <w:r>
        <w:rPr>
          <w:b/>
        </w:rPr>
        <w:t xml:space="preserve">Abstract (EN): </w:t>
      </w:r>
      <w:r>
        <w:t>Sodium batteries have attracted considerable attention for large‐scale energy storage because of the abundance and low cost of sodium resources. Conventional liquid electrolytes still face substantial safety concerns. In contrast, solid polymer electrolytes can reduce reliance on volatile liquids but often exhibit limited room temperature ion transport and poor contact with porous electrodes. In situ polymerization offers a route to address these issues due to its compatibility with existing sodium‐ion battery manufacturing processes and its potential for scalable production. This review summarizes the advantages and limitations of in situ polymerization for sodium batteries, polymerization initiation conditions and mechanisms, fabrication strategies, and recent advances in sodium‐based in situ polymerized solid‐state electrolytes (SSEs). The key scientific and technological challenges at the current stage are further identified. Finally, future directions for sodium‐based in situ polymerized SSEs are discussed from the materials to the cell level, along with perspectives on structural design for solid‐state sodium‐ion batteries.</w:t>
      </w:r>
    </w:p>
    <w:p>
      <w:pPr>
        <w:spacing w:before="120" w:after="120"/>
      </w:pPr>
      <w:r>
        <w:rPr>
          <w:sz w:val="18"/>
        </w:rPr>
        <w:t>——————————————————————————————————————————————————————————————————————</w:t>
      </w:r>
    </w:p>
    <w:p>
      <w:pPr>
        <w:spacing w:before="160" w:after="40" w:line="240" w:lineRule="auto"/>
      </w:pPr>
      <w:r>
        <w:rPr>
          <w:b/>
        </w:rPr>
        <w:t xml:space="preserve">[19] </w:t>
      </w:r>
      <w:hyperlink r:id="rId182">
        <w:r>
          <w:rPr>
            <w:color w:val="1155CC"/>
            <w:u w:val="single"/>
          </w:rPr>
          <w:t>弱配位凝胶聚合物电解质的动态Li+释放-牵引设计实现实用的宽温锂金属电池</w:t>
        </w:r>
      </w:hyperlink>
    </w:p>
    <w:p>
      <w:pPr>
        <w:spacing w:before="0" w:after="80"/>
      </w:pPr>
      <w:r>
        <w:rPr>
          <w:i/>
          <w:sz w:val="20"/>
        </w:rPr>
        <w:t>EN: Dynamic Li+ Releasing‐Pulling Design of Weakly Coordinated Gel Polymer Electrolytes Realizing Practical Wide‐Temperature Lithium Metal Batteries</w:t>
      </w:r>
    </w:p>
    <w:p>
      <w:pPr>
        <w:spacing w:before="0" w:after="120"/>
      </w:pPr>
      <w:r>
        <w:rPr>
          <w:b/>
        </w:rPr>
        <w:t xml:space="preserve">Source: </w:t>
      </w:r>
      <w:r>
        <w:t>Wiley: Advanced Energy Materials: Table of Contents</w:t>
      </w:r>
      <w:r>
        <w:t xml:space="preserve">    </w:t>
      </w:r>
      <w:r>
        <w:rPr>
          <w:b/>
        </w:rPr>
        <w:t xml:space="preserve">Pub date: </w:t>
      </w:r>
      <w:r>
        <w:t>2026-08-05 06:25:50+00:00</w:t>
      </w:r>
      <w:r>
        <w:t xml:space="preserve">    </w:t>
      </w:r>
      <w:r>
        <w:rPr>
          <w:b/>
        </w:rPr>
        <w:t xml:space="preserve">DOI: </w:t>
      </w:r>
      <w:hyperlink r:id="rId183">
        <w:r>
          <w:rPr>
            <w:color w:val="1155CC"/>
            <w:u w:val="single"/>
          </w:rPr>
          <w:t>10.1002/aenm.71386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锂金属电池在下一代高安全性和高能量密度应用中具有广阔的前景，但其宽温度运行仍然受到较差的离子传输和界面副反应的限制。在此，我们开发了一种动态“释放-拉动”设计，用于具有弱锂特性的宽温碳酸丙烯酯（PC）基凝胶聚合物电解质（NSP-GPE）</w:t>
      </w:r>
      <w:r>
        <w:t xml:space="preserve"> </w:t>
      </w:r>
      <w:r>
        <w:t>+</w:t>
      </w:r>
      <w:r>
        <w:t xml:space="preserve"> </w:t>
      </w:r>
      <w:r>
        <w:t>‐聚合物和锂</w:t>
      </w:r>
      <w:r>
        <w:t xml:space="preserve"> </w:t>
      </w:r>
      <w:r>
        <w:t>+</w:t>
      </w:r>
      <w:r>
        <w:t xml:space="preserve"> </w:t>
      </w:r>
      <w:r>
        <w:t>‐同时进行 PC 协调。弱李</w:t>
      </w:r>
      <w:r>
        <w:t xml:space="preserve"> </w:t>
      </w:r>
      <w:r>
        <w:t>+</w:t>
      </w:r>
      <w:r>
        <w:t xml:space="preserve"> </w:t>
      </w:r>
      <w:r>
        <w:t>‐通过酰胺基（─NH─CO─）和硫酰基（O=S=O）的协同离域π电子转移实现聚合物配位，赋予NSP-GPE动态Li</w:t>
      </w:r>
      <w:r>
        <w:t xml:space="preserve"> </w:t>
      </w:r>
      <w:r>
        <w:t>+</w:t>
      </w:r>
      <w:r>
        <w:t xml:space="preserve"> </w:t>
      </w:r>
      <w:r>
        <w:t>拉位点并减少Li</w:t>
      </w:r>
      <w:r>
        <w:t xml:space="preserve"> </w:t>
      </w:r>
      <w:r>
        <w:t>+</w:t>
      </w:r>
      <w:r>
        <w:t xml:space="preserve"> </w:t>
      </w:r>
      <w:r>
        <w:t>解耦能垒，最终实现快速离子传输；弱李</w:t>
      </w:r>
      <w:r>
        <w:t xml:space="preserve"> </w:t>
      </w:r>
      <w:r>
        <w:t>+</w:t>
      </w:r>
      <w:r>
        <w:t xml:space="preserve"> </w:t>
      </w:r>
      <w:r>
        <w:t>‐由 ─NH─CO─ 基团通过氢键建立 PC 配位作为固定 PC 锚，将 PC 与 Li 隔离</w:t>
      </w:r>
      <w:r>
        <w:t xml:space="preserve"> </w:t>
      </w:r>
      <w:r>
        <w:t>+</w:t>
      </w:r>
      <w:r>
        <w:t xml:space="preserve"> </w:t>
      </w:r>
      <w:r>
        <w:t>溶剂化鞘促进Li</w:t>
      </w:r>
      <w:r>
        <w:t xml:space="preserve"> </w:t>
      </w:r>
      <w:r>
        <w:t>+</w:t>
      </w:r>
      <w:r>
        <w:t xml:space="preserve"> </w:t>
      </w:r>
      <w:r>
        <w:t>释放，从而减少Li</w:t>
      </w:r>
      <w:r>
        <w:t xml:space="preserve"> </w:t>
      </w:r>
      <w:r>
        <w:t>+</w:t>
      </w:r>
      <w:r>
        <w:t xml:space="preserve"> </w:t>
      </w:r>
      <w:r>
        <w:t>去溶剂化能垒并减轻界面副反应。最终，组装的Li||NCM811电池表现出优异的宽温（‐20∼60°C）电化学性能。稳定的 Ah 级软包电池，比能量高达 403.26 Wh kg</w:t>
      </w:r>
    </w:p>
    <w:p>
      <w:pPr>
        <w:spacing w:before="0" w:after="200" w:lineRule="auto" w:line="276"/>
      </w:pPr>
      <w:r>
        <w:rPr>
          <w:b/>
        </w:rPr>
        <w:t xml:space="preserve">Abstract (EN): </w:t>
      </w:r>
      <w:r>
        <w:t>Polymer lithium metal batteries are promising for next‐generation high‐safety and high‐energy‐density applications, but their wide‐temperature operation is still limited by poor ion transport and interfacial side reactions. Herein, we develop a dynamic “releasing‐pulling” design for wide‐temperature propylene carbonate (PC)‐based gel polymer electrolytes (NSP‐GPE) featuring with weak Li</w:t>
      </w:r>
      <w:r>
        <w:t xml:space="preserve"> </w:t>
      </w:r>
      <w:r>
        <w:t>+</w:t>
      </w:r>
      <w:r>
        <w:t xml:space="preserve"> </w:t>
      </w:r>
      <w:r>
        <w:t>‐polymer and Li</w:t>
      </w:r>
      <w:r>
        <w:t xml:space="preserve"> </w:t>
      </w:r>
      <w:r>
        <w:t>+</w:t>
      </w:r>
      <w:r>
        <w:t xml:space="preserve"> </w:t>
      </w:r>
      <w:r>
        <w:t>‐PC coordination, simultaneously. Weak Li</w:t>
      </w:r>
      <w:r>
        <w:t xml:space="preserve"> </w:t>
      </w:r>
      <w:r>
        <w:t>+</w:t>
      </w:r>
      <w:r>
        <w:t xml:space="preserve"> </w:t>
      </w:r>
      <w:r>
        <w:t>‐polymer coordination enabled by synergistic delocalized π‐electron transfer from the amide (─NH─CO─) and sulfuryl (O═S═O) groups, endows the NSP‐GPE with dynamic Li</w:t>
      </w:r>
      <w:r>
        <w:t xml:space="preserve"> </w:t>
      </w:r>
      <w:r>
        <w:t>+</w:t>
      </w:r>
      <w:r>
        <w:t xml:space="preserve"> </w:t>
      </w:r>
      <w:r>
        <w:t>pulling sites and reduced Li</w:t>
      </w:r>
      <w:r>
        <w:t xml:space="preserve"> </w:t>
      </w:r>
      <w:r>
        <w:t>+</w:t>
      </w:r>
      <w:r>
        <w:t xml:space="preserve"> </w:t>
      </w:r>
      <w:r>
        <w:t>decoupling energy barrier, ultimately delivering fast ion transport; Weak Li</w:t>
      </w:r>
      <w:r>
        <w:t xml:space="preserve"> </w:t>
      </w:r>
      <w:r>
        <w:t>+</w:t>
      </w:r>
      <w:r>
        <w:t xml:space="preserve"> </w:t>
      </w:r>
      <w:r>
        <w:t>‐PC coordination established by the ─NH─CO─ group as stationary PC anchors via hydrogen bonding, sequesters PC from the Li</w:t>
      </w:r>
      <w:r>
        <w:t xml:space="preserve"> </w:t>
      </w:r>
      <w:r>
        <w:t>+</w:t>
      </w:r>
      <w:r>
        <w:t xml:space="preserve"> </w:t>
      </w:r>
      <w:r>
        <w:t>solvation sheath to facilitate Li</w:t>
      </w:r>
      <w:r>
        <w:t xml:space="preserve"> </w:t>
      </w:r>
      <w:r>
        <w:t>+</w:t>
      </w:r>
      <w:r>
        <w:t xml:space="preserve"> </w:t>
      </w:r>
      <w:r>
        <w:t>release, thereby reducing the Li</w:t>
      </w:r>
      <w:r>
        <w:t xml:space="preserve"> </w:t>
      </w:r>
      <w:r>
        <w:t>+</w:t>
      </w:r>
      <w:r>
        <w:t xml:space="preserve"> </w:t>
      </w:r>
      <w:r>
        <w:t>desolvation energy barrier and alleviating interfacial side reactions. Ultimately, the assembled Li||NCM811 cells show superior wide‐temperature (‐20∼60°C) electrochemical performances. A stable Ah‐level pouch cell with a high specific energy of 403.26 Wh kg</w:t>
      </w:r>
      <w:r>
        <w:t xml:space="preserve"> </w:t>
      </w:r>
      <w:r>
        <w:t>−1</w:t>
      </w:r>
      <w:r>
        <w:t xml:space="preserve"> </w:t>
      </w:r>
      <w:r>
        <w:t>and a high power density of 2866.8 W kg</w:t>
      </w:r>
      <w:r>
        <w:t xml:space="preserve"> </w:t>
      </w:r>
      <w:r>
        <w:t>−1</w:t>
      </w:r>
      <w:r>
        <w:t xml:space="preserve"> </w:t>
      </w:r>
      <w:r>
        <w:t>is also demonstrated, concurrently showing excellent safety under thermal and mechanical abuse. This work demonstrates that rational polymer structure engineering enables precise regulation of the coordination environment in GPEs, overcoming the inherent contradiction between ionic conductivity and interfacial stability.</w:t>
      </w:r>
    </w:p>
    <w:p>
      <w:pPr>
        <w:spacing w:before="120" w:after="120"/>
      </w:pPr>
      <w:r>
        <w:rPr>
          <w:sz w:val="18"/>
        </w:rPr>
        <w:t>——————————————————————————————————————————————————————————————————————</w:t>
      </w:r>
    </w:p>
    <w:p>
      <w:pPr>
        <w:spacing w:before="160" w:after="40" w:line="240" w:lineRule="auto"/>
      </w:pPr>
      <w:r>
        <w:rPr>
          <w:b/>
        </w:rPr>
        <w:t xml:space="preserve">[20] </w:t>
      </w:r>
      <w:hyperlink r:id="rId184">
        <w:r>
          <w:rPr>
            <w:color w:val="1155CC"/>
            <w:u w:val="single"/>
          </w:rPr>
          <w:t>原位可视化稳定锌电池中梯度碳点水凝胶电解质的电场驱动组装</w:t>
        </w:r>
      </w:hyperlink>
    </w:p>
    <w:p>
      <w:pPr>
        <w:spacing w:before="0" w:after="80"/>
      </w:pPr>
      <w:r>
        <w:rPr>
          <w:i/>
          <w:sz w:val="20"/>
        </w:rPr>
        <w:t>EN: In Situ Visualizing the Electric‐Field‐Driven Assembly of Gradient Carbon Dot Hydrogel Electrolytes for Stable Zinc Battery</w:t>
      </w:r>
    </w:p>
    <w:p>
      <w:pPr>
        <w:spacing w:before="0" w:after="120"/>
      </w:pPr>
      <w:r>
        <w:rPr>
          <w:b/>
        </w:rPr>
        <w:t xml:space="preserve">Source: </w:t>
      </w:r>
      <w:r>
        <w:t>Wiley: Advanced Materials: Table of Contents</w:t>
      </w:r>
      <w:r>
        <w:t xml:space="preserve">    </w:t>
      </w:r>
      <w:r>
        <w:rPr>
          <w:b/>
        </w:rPr>
        <w:t xml:space="preserve">Pub date: </w:t>
      </w:r>
      <w:r>
        <w:t>2026-08-05 06:58:22+00:00</w:t>
      </w:r>
      <w:r>
        <w:t xml:space="preserve">    </w:t>
      </w:r>
      <w:r>
        <w:rPr>
          <w:b/>
        </w:rPr>
        <w:t xml:space="preserve">DOI: </w:t>
      </w:r>
      <w:hyperlink r:id="rId185">
        <w:r>
          <w:rPr>
            <w:color w:val="1155CC"/>
            <w:u w:val="single"/>
          </w:rPr>
          <w:t>10.1002/adma.74436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AZIB）越来越多地使用碳点（CD）作为功能添加剂；然而，由于在现实条件下缺乏直接的原位可视化，它们的界面调节机制仍不清楚。在这项研究中，我们开发了一个操作电化学共焦耦合平台，可以在施加的电场下实时跟踪荧光CD。使用该系统，我们直接可视化 CD 的电泳迁移和界面富集，为它们在电场调制和 Zn 中的作用提供了明确的证据。</w:t>
      </w:r>
      <w:r>
        <w:t xml:space="preserve"> </w:t>
      </w:r>
      <w:r>
        <w:t>2+</w:t>
      </w:r>
      <w:r>
        <w:t xml:space="preserve"> </w:t>
      </w:r>
      <w:r>
        <w:t>通量调节。在这一见解的指导下，通过电场驱动组装原位构建了梯度结构的聚乙烯醇（PVA）水凝胶电解质（2PVA@CDs）。具有 2PVA@CD 的 Zn||Zn 对称电池在 1 mA cm 电流下表现出超过 6500 小时的超长循环稳定性</w:t>
      </w:r>
      <w:r>
        <w:t xml:space="preserve"> </w:t>
      </w:r>
      <w:r>
        <w:t>−2</w:t>
      </w:r>
      <w:r>
        <w:t xml:space="preserve"> </w:t>
      </w:r>
      <w:r>
        <w:t>和 1 毫安时厘米</w:t>
      </w:r>
      <w:r>
        <w:t xml:space="preserve"> </w:t>
      </w:r>
      <w:r>
        <w:t>−2</w:t>
      </w:r>
      <w:r>
        <w:t xml:space="preserve"> </w:t>
      </w:r>
      <w:r>
        <w:t>，并在 85% 放电深度下稳定运行 900 小时。结合实验、有限元模拟和密度泛函理论计算表明，CD 可以均匀化界面电场，调节 Zn</w:t>
      </w:r>
      <w:r>
        <w:t xml:space="preserve"> </w:t>
      </w:r>
      <w:r>
        <w:t>2+</w:t>
      </w:r>
      <w:r>
        <w:t xml:space="preserve"> </w:t>
      </w:r>
      <w:r>
        <w:t>通量，降低成核能垒，并抑制析氢，从而提高界面稳定性和整体电化学性能。这项工作阐明了 CD 的机制作用，并建立了函数的通用操作可视化策略</w:t>
      </w:r>
    </w:p>
    <w:p>
      <w:pPr>
        <w:spacing w:before="0" w:after="200" w:lineRule="auto" w:line="276"/>
      </w:pPr>
      <w:r>
        <w:rPr>
          <w:b/>
        </w:rPr>
        <w:t xml:space="preserve">Abstract (EN): </w:t>
      </w:r>
      <w:r>
        <w:t>Aqueous zinc‐ion batteries (AZIBs) have seen increasing use of carbon dots (CDs) as functional additives; however, their interfacial regulation mechanisms remain unclear due to the lack of direct in situ visualization under realistic conditions. In this study, we develop an operando electrochemical–confocal coupled platform that enables real‐time tracking of fluorescent CDs under an applied electric field. Using this system, we directly visualize the electrophoretic migration and interfacial enrichment of CDs, providing clear evidence of their roles in electric‐field modulation and Zn</w:t>
      </w:r>
      <w:r>
        <w:t xml:space="preserve"> </w:t>
      </w:r>
      <w:r>
        <w:t>2+</w:t>
      </w:r>
      <w:r>
        <w:t xml:space="preserve"> </w:t>
      </w:r>
      <w:r>
        <w:t>flux regulation. Guided by this insight, a gradient‐structured poly(vinyl alcohol) (PVA) hydrogel electrolyte (2PVA@CDs) is in situ constructed via electric‐field‐driven assembly. Zn||Zn symmetric cells with 2PVA@CDs exhibit ultralong cycling stability over 6500 h at 1 mA cm</w:t>
      </w:r>
      <w:r>
        <w:t xml:space="preserve"> </w:t>
      </w:r>
      <w:r>
        <w:t>−2</w:t>
      </w:r>
      <w:r>
        <w:t xml:space="preserve"> </w:t>
      </w:r>
      <w:r>
        <w:t>and 1 mAh cm</w:t>
      </w:r>
      <w:r>
        <w:t xml:space="preserve"> </w:t>
      </w:r>
      <w:r>
        <w:t>−2</w:t>
      </w:r>
      <w:r>
        <w:t xml:space="preserve"> </w:t>
      </w:r>
      <w:r>
        <w:t>, and stable operation for 900 h at 85% depth of discharge. Combined experiments, finite element simulations, and density functional theory calculations reveal that CDs homogenize the interfacial electric field, regulate Zn</w:t>
      </w:r>
      <w:r>
        <w:t xml:space="preserve"> </w:t>
      </w:r>
      <w:r>
        <w:t>2+</w:t>
      </w:r>
      <w:r>
        <w:t xml:space="preserve"> </w:t>
      </w:r>
      <w:r>
        <w:t>flux, reduce the nucleation energy barrier, and suppress hydrogen evolution, thereby enhancing interfacial stability and overall electrochemical performance. This work clarifies the mechanistic role of CDs and establishes a general operando visualization strategy for functional additives in metal batteries.</w:t>
      </w:r>
    </w:p>
    <w:p>
      <w:pPr>
        <w:spacing w:before="120" w:after="120"/>
      </w:pPr>
      <w:r>
        <w:rPr>
          <w:sz w:val="18"/>
        </w:rPr>
        <w:t>——————————————————————————————————————————————————————————————————————</w:t>
      </w:r>
    </w:p>
    <w:p>
      <w:pPr>
        <w:spacing w:before="160" w:after="40" w:line="240" w:lineRule="auto"/>
      </w:pPr>
      <w:r>
        <w:rPr>
          <w:b/>
        </w:rPr>
        <w:t xml:space="preserve">[21] </w:t>
      </w:r>
      <w:hyperlink r:id="rId151">
        <w:r>
          <w:rPr>
            <w:color w:val="1155CC"/>
            <w:u w:val="single"/>
          </w:rPr>
          <w:t>高压锂金属电池的铁电偶极子驱动固体电解质相间钝化</w:t>
        </w:r>
      </w:hyperlink>
    </w:p>
    <w:p>
      <w:pPr>
        <w:spacing w:before="0" w:after="80"/>
      </w:pPr>
      <w:r>
        <w:rPr>
          <w:i/>
          <w:sz w:val="20"/>
        </w:rPr>
        <w:t>EN: Ferroelectric Dipole‐Driven Solid‐Electrolyte Interphase Passivation for High‐Voltage Lithium Metal Batteries</w:t>
      </w:r>
    </w:p>
    <w:p>
      <w:pPr>
        <w:spacing w:before="0" w:after="120"/>
      </w:pPr>
      <w:r>
        <w:rPr>
          <w:b/>
        </w:rPr>
        <w:t xml:space="preserve">Source: </w:t>
      </w:r>
      <w:r>
        <w:t>Wiley: Advanced Materials: Table of Contents</w:t>
      </w:r>
      <w:r>
        <w:t xml:space="preserve">    </w:t>
      </w:r>
      <w:r>
        <w:rPr>
          <w:b/>
        </w:rPr>
        <w:t xml:space="preserve">Pub date: </w:t>
      </w:r>
      <w:r>
        <w:t>2026-08-05 10:45:36+00:00</w:t>
      </w:r>
      <w:r>
        <w:t xml:space="preserve">    </w:t>
      </w:r>
      <w:r>
        <w:rPr>
          <w:b/>
        </w:rPr>
        <w:t xml:space="preserve">DOI: </w:t>
      </w:r>
      <w:hyperlink r:id="rId152">
        <w:r>
          <w:rPr>
            <w:color w:val="1155CC"/>
            <w:u w:val="single"/>
          </w:rPr>
          <w:t>10.1002/adma.74496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Li）金属电池（LMB）被认为是下一代高比能量存储设备的有力候选者。然而，界面副反应（ISR）（特别是经常被忽视的化学腐蚀）和锂枝晶导致活性锂严重耗尽，甚至造成安全隐患，严重阻碍了LMB的实际应用。在此，氧空位工程的 BaTiO</w:t>
      </w:r>
      <w:r>
        <w:rPr>
          <w:vertAlign w:val="subscript"/>
        </w:rPr>
        <w:t>3</w:t>
      </w:r>
      <w:r>
        <w:t>预吸附NO</w:t>
      </w:r>
      <w:r>
        <w:rPr>
          <w:vertAlign w:val="subscript"/>
        </w:rPr>
        <w:t>3</w:t>
      </w:r>
      <w:r>
        <w:t>-</w:t>
      </w:r>
      <w:r>
        <w:t>（BTOVN）层集成到聚丙烯隔膜上，通过铁电偶极子选择性降低目标阴离子的能量水平，从而钝化阳极/电解质界面并提高LMB的长期储存和循环稳定性。结合冷冻电子显微镜和多尺度光谱，我们揭示了铁电 BTOVN 层以 NO</w:t>
      </w:r>
      <w:r>
        <w:rPr>
          <w:vertAlign w:val="subscript"/>
        </w:rPr>
        <w:t>3</w:t>
      </w:r>
      <w:r>
        <w:t>-</w:t>
      </w:r>
      <w:r>
        <w:t>到达界面并促进 NO 的还原分解</w:t>
      </w:r>
      <w:r>
        <w:rPr>
          <w:vertAlign w:val="subscript"/>
        </w:rPr>
        <w:t>3</w:t>
      </w:r>
      <w:r>
        <w:t>-</w:t>
      </w:r>
      <w:r>
        <w:t>和PF</w:t>
      </w:r>
      <w:r>
        <w:rPr>
          <w:vertAlign w:val="subscript"/>
        </w:rPr>
        <w:t>6</w:t>
      </w:r>
      <w:r>
        <w:t>-</w:t>
      </w:r>
      <w:r>
        <w:t>形成更薄、更坚韧的富含无机锂的固体电解质界面（SEI）</w:t>
      </w:r>
      <w:r>
        <w:rPr>
          <w:vertAlign w:val="subscript"/>
        </w:rPr>
        <w:t>2</w:t>
      </w:r>
      <w:r>
        <w:t>欧莉</w:t>
      </w:r>
      <w:r>
        <w:rPr>
          <w:vertAlign w:val="subscript"/>
        </w:rPr>
        <w:t>3</w:t>
      </w:r>
      <w:r>
        <w:t>N和LiF，可有效抑制持续的ISR和锂枝晶增殖，同时增强Li</w:t>
      </w:r>
      <w:r>
        <w:t xml:space="preserve"> </w:t>
      </w:r>
      <w:r>
        <w:t>+</w:t>
      </w:r>
      <w:r>
        <w:t xml:space="preserve"> </w:t>
      </w:r>
      <w:r>
        <w:t>运输动力学和相互作用</w:t>
      </w:r>
    </w:p>
    <w:p>
      <w:pPr>
        <w:spacing w:before="0" w:after="200" w:lineRule="auto" w:line="276"/>
      </w:pPr>
      <w:r>
        <w:rPr>
          <w:b/>
        </w:rPr>
        <w:t xml:space="preserve">Abstract (EN): </w:t>
      </w:r>
      <w:r>
        <w:t>High‐voltage lithium (Li) metal batteries (LMBs) are regarded as strong candidates for next‐generation high‐specific‐energy storage devices. However, interfacial side reactions (ISRs) (particularly the often‐overlooked chemical corrosion) and Li dendrite lead to severe depletion of active Li and even pose safety hazards, significantly hindering the practical applications of LMBs. Herein, an oxygen‐vacancy‐engineered BaTiO</w:t>
      </w:r>
      <w:r>
        <w:rPr>
          <w:vertAlign w:val="subscript"/>
        </w:rPr>
        <w:t>3</w:t>
      </w:r>
      <w:r>
        <w:t>pre‐adsorbed with NO</w:t>
      </w:r>
      <w:r>
        <w:rPr>
          <w:vertAlign w:val="subscript"/>
        </w:rPr>
        <w:t>3</w:t>
      </w:r>
      <w:r>
        <w:t>−</w:t>
      </w:r>
      <w:r>
        <w:t>(BTOVN) layer is integrated onto a polypropylene separator to selectively lower the energy level of target anion via ferroelectric dipoles, thus passivating the anode/electrolyte interface and improving the long‐term storage and cycle stability of LMBs. Combining cryo‐electron microscopy with multi‐scale spectroscopies, we reveal that the ferroelectric BTOVN layer targets NO</w:t>
      </w:r>
      <w:r>
        <w:rPr>
          <w:vertAlign w:val="subscript"/>
        </w:rPr>
        <w:t>3</w:t>
      </w:r>
      <w:r>
        <w:t>−</w:t>
      </w:r>
      <w:r>
        <w:t>to the interface and promotes the reductive decomposition of both NO</w:t>
      </w:r>
      <w:r>
        <w:rPr>
          <w:vertAlign w:val="subscript"/>
        </w:rPr>
        <w:t>3</w:t>
      </w:r>
      <w:r>
        <w:t>−</w:t>
      </w:r>
      <w:r>
        <w:t>and PF</w:t>
      </w:r>
      <w:r>
        <w:rPr>
          <w:vertAlign w:val="subscript"/>
        </w:rPr>
        <w:t>6</w:t>
      </w:r>
      <w:r>
        <w:t>−</w:t>
      </w:r>
      <w:r>
        <w:t>to form a thinner and tougher solid‐electrolyte interphase (SEI) rich in inorganic Li</w:t>
      </w:r>
      <w:r>
        <w:rPr>
          <w:vertAlign w:val="subscript"/>
        </w:rPr>
        <w:t>2</w:t>
      </w:r>
      <w:r>
        <w:t>O, Li</w:t>
      </w:r>
      <w:r>
        <w:rPr>
          <w:vertAlign w:val="subscript"/>
        </w:rPr>
        <w:t>3</w:t>
      </w:r>
      <w:r>
        <w:t>N, and LiF, which effectively suppresses persistent ISRs and Li dendrite proliferation while enhancing Li</w:t>
      </w:r>
      <w:r>
        <w:t xml:space="preserve"> </w:t>
      </w:r>
      <w:r>
        <w:t>+</w:t>
      </w:r>
      <w:r>
        <w:t xml:space="preserve"> </w:t>
      </w:r>
      <w:r>
        <w:t>transport kinetics and interfacial stability. As a result, high‐voltage Li metal full cells delivery a substantially enhanced capacity retention of 89.1% after 500 cycles, and remarkably, even after long‐term resting, they maintain exceptionally stable operation. The work provides a novel perspective on precisely engineering SEI chemistry through targeting anionic species into the interphase layer.</w:t>
      </w:r>
    </w:p>
    <w:p>
      <w:pPr>
        <w:spacing w:before="120" w:after="120"/>
      </w:pPr>
      <w:r>
        <w:rPr>
          <w:sz w:val="18"/>
        </w:rPr>
        <w:t>——————————————————————————————————————————————————————————————————————</w:t>
      </w:r>
    </w:p>
    <w:p>
      <w:pPr>
        <w:spacing w:before="160" w:after="40" w:line="240" w:lineRule="auto"/>
      </w:pPr>
      <w:r>
        <w:rPr>
          <w:b/>
        </w:rPr>
        <w:t xml:space="preserve">[22] </w:t>
      </w:r>
      <w:hyperlink r:id="rId186">
        <w:r>
          <w:rPr>
            <w:color w:val="1155CC"/>
            <w:u w:val="single"/>
          </w:rPr>
          <w:t>一种水-有机双相凝胶电解质，用于锌金属电池中解耦界面稳定性和快速离子传输</w:t>
        </w:r>
      </w:hyperlink>
    </w:p>
    <w:p>
      <w:pPr>
        <w:spacing w:before="0" w:after="80"/>
      </w:pPr>
      <w:r>
        <w:rPr>
          <w:i/>
          <w:sz w:val="20"/>
        </w:rPr>
        <w:t>EN: A Hydro–Organo Biphasic Gel Electrolyte for Decoupled Interfacial Stability and Fast Ion Transport in Zinc Metal Batteries</w:t>
      </w:r>
    </w:p>
    <w:p>
      <w:pPr>
        <w:spacing w:before="0" w:after="120"/>
      </w:pPr>
      <w:r>
        <w:rPr>
          <w:b/>
        </w:rPr>
        <w:t xml:space="preserve">Source: </w:t>
      </w:r>
      <w:r>
        <w:t>Wiley: Advanced Materials: Table of Contents</w:t>
      </w:r>
      <w:r>
        <w:t xml:space="preserve">    </w:t>
      </w:r>
      <w:r>
        <w:rPr>
          <w:b/>
        </w:rPr>
        <w:t xml:space="preserve">Pub date: </w:t>
      </w:r>
      <w:r>
        <w:t>2026-08-05 12:09:11+00:00</w:t>
      </w:r>
      <w:r>
        <w:t xml:space="preserve">    </w:t>
      </w:r>
      <w:r>
        <w:rPr>
          <w:b/>
        </w:rPr>
        <w:t xml:space="preserve">DOI: </w:t>
      </w:r>
      <w:hyperlink r:id="rId187">
        <w:r>
          <w:rPr>
            <w:color w:val="1155CC"/>
            <w:u w:val="single"/>
          </w:rPr>
          <w:t>10.1002/adma.74466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和水性电解质在电化学稳定性和离子传输方面具有互补优势，但将两者集成在单一电解质中仍然具有挑战性。在这项研究中，发现通过两亲单体、霍夫迈斯特效应和相分配的协同作用，可以在水相和有机相之间自发形成独特的界面。这种水-有机混合溶剂区域通过平滑相间的溶剂化变化来促进离子转移，从而导致整体电导率比没有这种界面的双相对应物增加一个数量级。同时，分隔的有机域和水凝胶域使阳极和阴极界面化学解耦。这种双相凝胶电解质在锌金属电池中得到了证明，它可以热力学稳定锌金属阳极并抑制寄生离子交叉，同时还可以实现与水系统相当的高速率运行。因此，Zn||Zn 对称电池在 5 mA cm 下表现出 &gt;3,600 小时的稳定循环</w:t>
      </w:r>
      <w:r>
        <w:t xml:space="preserve"> </w:t>
      </w:r>
      <w:r>
        <w:t>−2</w:t>
      </w:r>
      <w:r>
        <w:t xml:space="preserve"> </w:t>
      </w:r>
      <w:r>
        <w:t>和 5 mAh 厘米</w:t>
      </w:r>
      <w:r>
        <w:t xml:space="preserve"> </w:t>
      </w:r>
      <w:r>
        <w:t>−2</w:t>
      </w:r>
      <w:r>
        <w:t xml:space="preserve"> </w:t>
      </w:r>
      <w:r>
        <w:t>和二氧化锰</w:t>
      </w:r>
      <w:r>
        <w:rPr>
          <w:vertAlign w:val="subscript"/>
        </w:rPr>
        <w:t>2</w:t>
      </w:r>
      <w:r>
        <w:t>||锌全电池在 10 A g 下循环超过 3,000 次后显示出高容量保持率</w:t>
      </w:r>
      <w:r>
        <w:t xml:space="preserve"> </w:t>
      </w:r>
      <w:r>
        <w:t>−1</w:t>
      </w:r>
      <w:r>
        <w:t xml:space="preserve"> </w:t>
      </w:r>
      <w:r>
        <w:t>。总体而言，研究结果将组织相和溶剂化化学确立为用于高功率、长时间电化学储能的先进电解质系统的通用材料设计原则。</w:t>
      </w:r>
    </w:p>
    <w:p>
      <w:pPr>
        <w:spacing w:before="0" w:after="200" w:lineRule="auto" w:line="276"/>
      </w:pPr>
      <w:r>
        <w:rPr>
          <w:b/>
        </w:rPr>
        <w:t xml:space="preserve">Abstract (EN): </w:t>
      </w:r>
      <w:r>
        <w:t>Organic and aqueous electrolytes offer complementary advantages in electrochemical stability and ion transport, but integrating both within a single electrolyte remains challenging. In this study, it is discovered that a distinct interphase can be spontaneously formed between the aqueous and organic phases through the synergy of amphiphilic monomers, Hofmeister effects, and phase partitioning. This aqueous–organic, mixed‐solvent region boosts ion transfer by smoothing solvation change across phases, resulting in an order‐of‐magnitude increase in overall conductivity over biphasic counterparts without such an interphase. Meanwhile, compartmentalized organo‐ and hydrogel domains decouple anodic and cathodic interfacial chemistries. Demonstrated in zinc metal batteries, this biphasic gel electrolyte thermodynamically stabilizes zinc metal anodes and inhibits parasitic ion crossover, while also enabling high‐rate operation comparable to aqueous systems. Accordingly, Zn||Zn symmetric cells demonstrate &amp;gt;3,600 h stable cycling at 5 mA cm</w:t>
      </w:r>
      <w:r>
        <w:t xml:space="preserve"> </w:t>
      </w:r>
      <w:r>
        <w:t>−2</w:t>
      </w:r>
      <w:r>
        <w:t xml:space="preserve"> </w:t>
      </w:r>
      <w:r>
        <w:t>and 5 mAh cm</w:t>
      </w:r>
      <w:r>
        <w:t xml:space="preserve"> </w:t>
      </w:r>
      <w:r>
        <w:t>−2</w:t>
      </w:r>
      <w:r>
        <w:t xml:space="preserve"> </w:t>
      </w:r>
      <w:r>
        <w:t>, and MnO</w:t>
      </w:r>
      <w:r>
        <w:rPr>
          <w:vertAlign w:val="subscript"/>
        </w:rPr>
        <w:t>2</w:t>
      </w:r>
      <w:r>
        <w:t>||Zn full cells show high capacity retention after &amp;gt;3,000 cycles at 10 A g</w:t>
      </w:r>
      <w:r>
        <w:t xml:space="preserve"> </w:t>
      </w:r>
      <w:r>
        <w:t>−1</w:t>
      </w:r>
      <w:r>
        <w:t xml:space="preserve"> </w:t>
      </w:r>
      <w:r>
        <w:t>. Overall, the findings establish organizing phase and solvation chemistry as a general materials design principle toward advanced electrolyte systems for high‐power, long‐duration electrochemical energy storage.</w:t>
      </w:r>
    </w:p>
    <w:p>
      <w:pPr>
        <w:spacing w:before="120" w:after="120"/>
      </w:pPr>
      <w:r>
        <w:rPr>
          <w:sz w:val="18"/>
        </w:rPr>
        <w:t>——————————————————————————————————————————————————————————————————————</w:t>
      </w:r>
    </w:p>
    <w:p>
      <w:pPr>
        <w:spacing w:before="160" w:after="40" w:line="240" w:lineRule="auto"/>
      </w:pPr>
      <w:r>
        <w:rPr>
          <w:b/>
        </w:rPr>
        <w:t xml:space="preserve">[23] </w:t>
      </w:r>
      <w:hyperlink r:id="rId188">
        <w:r>
          <w:rPr>
            <w:color w:val="1155CC"/>
            <w:u w:val="single"/>
          </w:rPr>
          <w:t>用于电刺激伤口愈合的皮肤上可视监控凝胶基质锌离子电池</w:t>
        </w:r>
      </w:hyperlink>
    </w:p>
    <w:p>
      <w:pPr>
        <w:spacing w:before="0" w:after="80"/>
      </w:pPr>
      <w:r>
        <w:rPr>
          <w:i/>
          <w:sz w:val="20"/>
        </w:rPr>
        <w:t>EN: An On‐Skin Visually Monitorable Gel‐Matrix Zinc–Ion Battery for Electrically Stimulated Wound Healing</w:t>
      </w:r>
    </w:p>
    <w:p>
      <w:pPr>
        <w:spacing w:before="0" w:after="120"/>
      </w:pPr>
      <w:r>
        <w:rPr>
          <w:b/>
        </w:rPr>
        <w:t xml:space="preserve">Source: </w:t>
      </w:r>
      <w:r>
        <w:t>Wiley: Advanced Materials: Table of Contents</w:t>
      </w:r>
      <w:r>
        <w:t xml:space="preserve">    </w:t>
      </w:r>
      <w:r>
        <w:rPr>
          <w:b/>
        </w:rPr>
        <w:t xml:space="preserve">Pub date: </w:t>
      </w:r>
      <w:r>
        <w:t>2026-08-05 12:38:52+00:00</w:t>
      </w:r>
      <w:r>
        <w:t xml:space="preserve">    </w:t>
      </w:r>
      <w:r>
        <w:rPr>
          <w:b/>
        </w:rPr>
        <w:t xml:space="preserve">DOI: </w:t>
      </w:r>
      <w:hyperlink r:id="rId189">
        <w:r>
          <w:rPr>
            <w:color w:val="1155CC"/>
            <w:u w:val="single"/>
          </w:rPr>
          <w:t>10.1002/adma.74480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ZIB）具有本质安全性、低成本和环境兼容性，使其对生物医学等尚未开发的尖端应用具有吸引力。特别是，可穿戴医疗电源需要稳定的电力输出、机械灵活性和高生物相容性。在此，设计了一种稳定且灵活的凝胶基质水性ZIB作为皮肤上的电源，用于电刺激伤口愈合。精心设计的梯度多孔框架水凝胶电解质（GPF-HGE）获得了高离子电导率（17.19 mS cm</w:t>
      </w:r>
      <w:r>
        <w:t xml:space="preserve"> </w:t>
      </w:r>
      <w:r>
        <w:t>−1</w:t>
      </w:r>
      <w:r>
        <w:t xml:space="preserve"> </w:t>
      </w:r>
      <w:r>
        <w:t>）和改进的机械变形容限（46 kPa 和 205 J m</w:t>
      </w:r>
      <w:r>
        <w:t xml:space="preserve"> </w:t>
      </w:r>
      <w:r>
        <w:t>−2</w:t>
      </w:r>
      <w:r>
        <w:t xml:space="preserve"> </w:t>
      </w:r>
      <w:r>
        <w:t>）由于溶剂交换过程中形成的多孔框架。其透明特性与环形电极相结合，产生与内源伤口电场一致的电场，可以直接应用于伤口部位并进行实时视觉监测。组装后的 Zn|GPF-HGE|I</w:t>
      </w:r>
      <w:r>
        <w:rPr>
          <w:vertAlign w:val="subscript"/>
        </w:rPr>
        <w:t>2</w:t>
      </w:r>
      <w:r>
        <w:t>@AC全电池表现出优异的长期循环稳定性，伴随着轻微的容量衰减，确保了电刺激（ES）的稳定能量供应。得益于其强大的电化学稳定性和优异的生物相容性，所获得的ES装置可以提供可靠的电信号，并通过协同抗菌和抗炎作用促进伤口愈合。这项工作凸显了 aq 的潜力</w:t>
      </w:r>
    </w:p>
    <w:p>
      <w:pPr>
        <w:spacing w:before="0" w:after="200" w:lineRule="auto" w:line="276"/>
      </w:pPr>
      <w:r>
        <w:rPr>
          <w:b/>
        </w:rPr>
        <w:t xml:space="preserve">Abstract (EN): </w:t>
      </w:r>
      <w:r>
        <w:t>Aqueous zinc‐ion batteries (ZIBs) feature intrinsic safety, low cost, and environmental compatibility, making them attractive for untapped cutting‐edge applications, such as the biomedicine area. Particularly, wearable medical power sources require stable electrical output, mechanical flexibility, and high biocompatibility. Herein, a stable and flexible gel‐matrix aqueous ZIB was designed as an on‐skin power source for electrically stimulated wound healing. The elaborately designed graded porous framework hydrogel electrolyte (GPF‐HGE) obtains high ionic conductivity (17.19 mS cm</w:t>
      </w:r>
      <w:r>
        <w:t xml:space="preserve"> </w:t>
      </w:r>
      <w:r>
        <w:t>−1</w:t>
      </w:r>
      <w:r>
        <w:t xml:space="preserve"> </w:t>
      </w:r>
      <w:r>
        <w:t>) and improved mechanical deformation tolerance (46 kPa and 205 J m</w:t>
      </w:r>
      <w:r>
        <w:t xml:space="preserve"> </w:t>
      </w:r>
      <w:r>
        <w:t>−2</w:t>
      </w:r>
      <w:r>
        <w:t xml:space="preserve"> </w:t>
      </w:r>
      <w:r>
        <w:t>) due to the porous framework formed in the solvent exchange process. Its transparency property, combined with an annular ring‐shaped electrode that generates an electric field aligned with the endogenous wound electric field, enables direct application to wound sites and real‐time visual monitoring. The assembled Zn|GPF‐HGE|I</w:t>
      </w:r>
      <w:r>
        <w:rPr>
          <w:vertAlign w:val="subscript"/>
        </w:rPr>
        <w:t>2</w:t>
      </w:r>
      <w:r>
        <w:t>@AC full cells show superior long‐term cycling stability accompanied by slight capacity fading, ensuring a steady energy supply for electrical stimulation (ES). Benefiting from its robust electrochemical stability and excellent biocompatibility, the obtained ES device can provide reliable electrical signals and promote wound healing through synergistic antibacterial and anti‐inflammatory effects. This work highlights the potential of aqueous ZIBs as advanced biomedical power sources beyond conventional energy storage applications.</w:t>
      </w:r>
    </w:p>
    <w:p>
      <w:pPr>
        <w:spacing w:before="120" w:after="120"/>
      </w:pPr>
      <w:r>
        <w:rPr>
          <w:sz w:val="18"/>
        </w:rPr>
        <w:t>——————————————————————————————————————————————————————————————————————</w:t>
      </w:r>
    </w:p>
    <w:p>
      <w:pPr>
        <w:spacing w:before="160" w:after="40" w:line="240" w:lineRule="auto"/>
      </w:pPr>
      <w:r>
        <w:rPr>
          <w:b/>
        </w:rPr>
        <w:t xml:space="preserve">[24] </w:t>
      </w:r>
      <w:hyperlink r:id="rId121">
        <w:r>
          <w:rPr>
            <w:color w:val="1155CC"/>
            <w:u w:val="single"/>
          </w:rPr>
          <w:t>稳定水系铁金属电池的水反应性同位素工程</w:t>
        </w:r>
      </w:hyperlink>
    </w:p>
    <w:p>
      <w:pPr>
        <w:spacing w:before="0" w:after="80"/>
      </w:pPr>
      <w:r>
        <w:rPr>
          <w:i/>
          <w:sz w:val="20"/>
        </w:rPr>
        <w:t>EN: Isotopic Engineering of Water Reactivity for Stable Aqueous Iron‐Metal Batteries</w:t>
      </w:r>
    </w:p>
    <w:p>
      <w:pPr>
        <w:spacing w:before="0" w:after="120"/>
      </w:pPr>
      <w:r>
        <w:rPr>
          <w:b/>
        </w:rPr>
        <w:t xml:space="preserve">Source: </w:t>
      </w:r>
      <w:r>
        <w:t>Wiley: Angewandte Chemie International Edition: Table of Contents</w:t>
      </w:r>
      <w:r>
        <w:t xml:space="preserve">    </w:t>
      </w:r>
      <w:r>
        <w:rPr>
          <w:b/>
        </w:rPr>
        <w:t xml:space="preserve">Pub date: </w:t>
      </w:r>
      <w:r>
        <w:t>2026-08-05 13:33:44+00:00</w:t>
      </w:r>
      <w:r>
        <w:t xml:space="preserve">    </w:t>
      </w:r>
      <w:r>
        <w:rPr>
          <w:b/>
        </w:rPr>
        <w:t xml:space="preserve">DOI: </w:t>
      </w:r>
      <w:hyperlink r:id="rId122">
        <w:r>
          <w:rPr>
            <w:color w:val="1155CC"/>
            <w:u w:val="single"/>
          </w:rPr>
          <w:t>10.1002/anie.5007458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阳极严重的寄生析氢反应（HER）以及由此导致的阴极结构退化严重阻碍了水系铁金属电池（AIB）的发展。这项工作超越了传统的基于添加剂的方法，提出了一种动力学靶向策略，通过同位素工程氘化水（D</w:t>
      </w:r>
      <w:r>
        <w:rPr>
          <w:vertAlign w:val="subscript"/>
        </w:rPr>
        <w:t>2</w:t>
      </w:r>
      <w:r>
        <w:t>O)基电解质。利用氘和氢之间零点能量的内在差异，D</w:t>
      </w:r>
      <w:r>
        <w:rPr>
          <w:vertAlign w:val="subscript"/>
        </w:rPr>
        <w:t>2</w:t>
      </w:r>
      <w:r>
        <w:t>O具有明显更高的水离解活化能垒，有效地抑制了有问题的铁阳极的反应性。同时，无铁金属配置的控制实验表明，这种同位素效应将重要的二次稳定作用扩展到阴极主体，建立了协作的双边保护机制。因此，D</w:t>
      </w:r>
      <w:r>
        <w:rPr>
          <w:vertAlign w:val="subscript"/>
        </w:rPr>
        <w:t>2</w:t>
      </w:r>
      <w:r>
        <w:t>O基电解质可实现平均库仑效率为99.6%的高度可逆铁阳极，并赋予Fe||MoS</w:t>
      </w:r>
      <w:r>
        <w:rPr>
          <w:vertAlign w:val="subscript"/>
        </w:rPr>
        <w:t>2</w:t>
      </w:r>
      <w:r>
        <w:t>全电池的稳定寿命为 2000 次循环，在 0.5 A g 下容量保持率为 87.6%</w:t>
      </w:r>
      <w:r>
        <w:t xml:space="preserve"> </w:t>
      </w:r>
      <w:r>
        <w:t>−1</w:t>
      </w:r>
      <w:r>
        <w:t xml:space="preserve"> </w:t>
      </w:r>
      <w:r>
        <w:t>。这项工作强调了同位素调制作为稳定高性能水系电池的有针对性的高效策略的潜力。</w:t>
      </w:r>
    </w:p>
    <w:p>
      <w:pPr>
        <w:spacing w:before="0" w:after="200" w:lineRule="auto" w:line="276"/>
      </w:pPr>
      <w:r>
        <w:rPr>
          <w:b/>
        </w:rPr>
        <w:t xml:space="preserve">Abstract (EN): </w:t>
      </w:r>
      <w:r>
        <w:t>The development of aqueous iron‐metal batteries (AIBs) is critically hindered by the severe parasitic hydrogen evolution reaction (HER) at the anodes and the resulting structural degradation of the cathode. Moving beyond conventional additive‐based approaches, this work presents a kinetically targeted strategy to suppress HER and enhance overall cell stability through an isotope‐engineered deuterated water (D</w:t>
      </w:r>
      <w:r>
        <w:rPr>
          <w:vertAlign w:val="subscript"/>
        </w:rPr>
        <w:t>2</w:t>
      </w:r>
      <w:r>
        <w:t>O)‐based electrolyte. Leveraging the intrinsic differences in zero‐point energy between deuterium and hydrogen, D</w:t>
      </w:r>
      <w:r>
        <w:rPr>
          <w:vertAlign w:val="subscript"/>
        </w:rPr>
        <w:t>2</w:t>
      </w:r>
      <w:r>
        <w:t>O features a substantially higher activation energy barrier for water dissociation, effectively taming the reactivity of the problematic Fe anode. Concurrently, control experiments in Fe metal‐free configurations reveal that this isotope effect extends a vital secondary stabilization to the cathode host, establishing a cooperative, dual‐side protection mechanism. Consequently, the D</w:t>
      </w:r>
      <w:r>
        <w:rPr>
          <w:vertAlign w:val="subscript"/>
        </w:rPr>
        <w:t>2</w:t>
      </w:r>
      <w:r>
        <w:t>O‐based electrolyte enables a highly reversible iron anode with an average Coulombic efficiency of 99.6% and grants Fe||MoS</w:t>
      </w:r>
      <w:r>
        <w:rPr>
          <w:vertAlign w:val="subscript"/>
        </w:rPr>
        <w:t>2</w:t>
      </w:r>
      <w:r>
        <w:t>full cells a stable lifespan of 2000 cycles with an 87.6% capacity retention at 0.5 A g</w:t>
      </w:r>
      <w:r>
        <w:t xml:space="preserve"> </w:t>
      </w:r>
      <w:r>
        <w:t>−1</w:t>
      </w:r>
      <w:r>
        <w:t xml:space="preserve"> </w:t>
      </w:r>
      <w:r>
        <w:t>. This work highlights the potential of isotopic modulation as a targeted, high‐efficacy strategy for stabilizing high‐performance aqueous batteries.</w:t>
      </w:r>
    </w:p>
    <w:p>
      <w:pPr>
        <w:spacing w:before="120" w:after="120"/>
      </w:pPr>
      <w:r>
        <w:rPr>
          <w:sz w:val="18"/>
        </w:rPr>
        <w:t>——————————————————————————————————————————————————————————————————————</w:t>
      </w:r>
    </w:p>
    <w:p>
      <w:pPr>
        <w:spacing w:before="160" w:after="40" w:line="240" w:lineRule="auto"/>
      </w:pPr>
      <w:r>
        <w:rPr>
          <w:b/>
        </w:rPr>
        <w:t xml:space="preserve">[25] </w:t>
      </w:r>
      <w:hyperlink r:id="rId123">
        <w:r>
          <w:rPr>
            <w:color w:val="1155CC"/>
            <w:u w:val="single"/>
          </w:rPr>
          <w:t>竞争性吸附和结构增强协同作用稳定高压准固态电池</w:t>
        </w:r>
      </w:hyperlink>
    </w:p>
    <w:p>
      <w:pPr>
        <w:spacing w:before="0" w:after="80"/>
      </w:pPr>
      <w:r>
        <w:rPr>
          <w:i/>
          <w:sz w:val="20"/>
        </w:rPr>
        <w:t>EN: Competitive Adsorption and Structural Reinforcement Synergy Stabilizes High‐Voltage Quasi‐Solid‐State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2026-08-05 14:11:33+00:00</w:t>
      </w:r>
      <w:r>
        <w:t xml:space="preserve">    </w:t>
      </w:r>
      <w:r>
        <w:rPr>
          <w:b/>
        </w:rPr>
        <w:t xml:space="preserve">DOI: </w:t>
      </w:r>
      <w:hyperlink r:id="rId124">
        <w:r>
          <w:rPr>
            <w:color w:val="1155CC"/>
            <w:u w:val="single"/>
          </w:rPr>
          <w:t>10.1002/anie.4447296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高压阴极的准固态电池（QSSB）具有高能量密度和安全性，但存在阴极/电解质界面不稳定和阴极退化的问题。在这里，我们提出了竞争性吸附和结构增强协同（CASR）策略来应对这些挑战。具体来说，以Cu为中心的自吸附分子被引入到聚合物电解质中，通过与溶剂分子的竞争吸附，优先吸附在阴极/电解质界面，从而减少阴极表面的溶剂含量，同时促进阴离子富集。该过程诱导形成均匀的富氟正极/电解质界面，其外层富含LiF，内层含有Cu─F键，从而有效抑制正极退化。通过在循环过程中动态将 Cu 掺杂到 TM 缺陷晶格位点，进一步增强了阴极结构稳定性。在低负载纽扣电池条件下（2.0 mg cm</w:t>
      </w:r>
      <w:r>
        <w:t xml:space="preserve"> </w:t>
      </w:r>
      <w:r>
        <w:t>−2</w:t>
      </w:r>
      <w:r>
        <w:t xml:space="preserve"> </w:t>
      </w:r>
      <w:r>
        <w:t>），得到的Li||LiNi</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QSSB 在 4.6 V 下进行 400 次循环后保留了 80% 的初始容量，并在 10C 和 4.5 V 下经过 1000 次循环后实现了 80% 的容量保留。在 4.3 V 和 1C 充电/0.5C 放电条件下测试的 1 Ah 级软包电池支持 CASR 策略的潜力。这项工作提供</w:t>
      </w:r>
    </w:p>
    <w:p>
      <w:pPr>
        <w:spacing w:before="0" w:after="200" w:lineRule="auto" w:line="276"/>
      </w:pPr>
      <w:r>
        <w:rPr>
          <w:b/>
        </w:rPr>
        <w:t xml:space="preserve">Abstract (EN): </w:t>
      </w:r>
      <w:r>
        <w:t>Quasi‐solid‐state batteries (QSSBs) employing high‐voltage cathodes promise high energy density and safety, yet suffer from unstable cathode/electrolyte interfaces and cathode degradation. Here, we propose a competitive adsorption and structural reinforcement synergy (CASR) strategy to address these challenges. Specifically, a Cu‐centered self‐adsorption molecule is incorporate into the polymer electrolyte, which preferentially adsorbs at the cathode/electrolyte interface through competitive adsorption against solvent molecules, thereby reducing the solvent content on the cathode surface while promoting anion enrichment. This process induces the formation of a uniform F‐rich cathode/electrolyte interphase with a LiF‐rich outer layer and an inner layer containing Cu─F bonds, thereby effectively suppressing cathode degradation. Cathode structural stability is further reinforced through dynamic Cu doping into TM‐deficient lattice sites during cycling. Under low‐loading coin‐cell conditions (2.0 mg cm</w:t>
      </w:r>
      <w:r>
        <w:t xml:space="preserve"> </w:t>
      </w:r>
      <w:r>
        <w:t>−2</w:t>
      </w:r>
      <w:r>
        <w:t xml:space="preserve"> </w:t>
      </w:r>
      <w:r>
        <w:t>), the resulting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QSSBs retain 80% of their initial capacity after 400 cycles at 4.6 V, and achieve 80% capacity retention over 1000 cycles under 10C and 4.5 V. A 1 Ah‐level pouch‐cell tested under 4.3 V and 1C charge/0.5C discharge conditions supports the potential of the CASR strategy. This work provides a promising pathway for synchronously stabilizing cathode/electrolyte interface and cathode structure in high‐voltage QSSBs.</w:t>
      </w:r>
    </w:p>
    <w:p>
      <w:pPr>
        <w:spacing w:before="120" w:after="120"/>
      </w:pPr>
      <w:r>
        <w:rPr>
          <w:sz w:val="18"/>
        </w:rPr>
        <w:t>——————————————————————————————————————————————————————————————————————</w:t>
      </w:r>
    </w:p>
    <w:p>
      <w:pPr>
        <w:spacing w:before="160" w:after="40" w:line="240" w:lineRule="auto"/>
      </w:pPr>
      <w:r>
        <w:rPr>
          <w:b/>
        </w:rPr>
        <w:t xml:space="preserve">[26] </w:t>
      </w:r>
      <w:hyperlink r:id="rId125">
        <w:r>
          <w:rPr>
            <w:color w:val="1155CC"/>
            <w:u w:val="single"/>
          </w:rPr>
          <w:t>双域耦合驱动的界面重塑为高压、宽温电池提供超稀阻燃电解质</w:t>
        </w:r>
      </w:hyperlink>
    </w:p>
    <w:p>
      <w:pPr>
        <w:spacing w:before="0" w:after="80"/>
      </w:pPr>
      <w:r>
        <w:rPr>
          <w:i/>
          <w:sz w:val="20"/>
        </w:rPr>
        <w:t>EN: Dual‐Domain Coupling‐Driven Interface Remodeling Enables Ultra‐Dilute Flame‐Retardant Electrolytes for High‐Voltage, Wide‐Temperature Batteries</w:t>
      </w:r>
    </w:p>
    <w:p>
      <w:pPr>
        <w:spacing w:before="0" w:after="120"/>
      </w:pPr>
      <w:r>
        <w:rPr>
          <w:b/>
        </w:rPr>
        <w:t xml:space="preserve">Source: </w:t>
      </w:r>
      <w:r>
        <w:t>Wiley: Angewandte Chemie International Edition: Table of Contents</w:t>
      </w:r>
      <w:r>
        <w:t xml:space="preserve">    </w:t>
      </w:r>
      <w:r>
        <w:rPr>
          <w:b/>
        </w:rPr>
        <w:t xml:space="preserve">Pub date: </w:t>
      </w:r>
      <w:r>
        <w:t>2026-08-05 15:02:25+00:00</w:t>
      </w:r>
      <w:r>
        <w:t xml:space="preserve">    </w:t>
      </w:r>
      <w:r>
        <w:rPr>
          <w:b/>
        </w:rPr>
        <w:t xml:space="preserve">DOI: </w:t>
      </w:r>
      <w:hyperlink r:id="rId126">
        <w:r>
          <w:rPr>
            <w:color w:val="1155CC"/>
            <w:u w:val="single"/>
          </w:rPr>
          <w:t>10.1002/anie.8321379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质研究的范式转变是极端条件下可持续电池性能突破的关键驱动力。超稀电解质（UDE）因其显着的成本优势和广阔的应用前景而受到广泛关注，但过量的游离溶剂导致高电压稳定性、宽温适应性、寿命和安全性之间的权衡。在这项工作中，我们提出了一种双域耦合驱动的界面重塑策略，通过整合分层溶剂化的碳酸酯、醚和氟化环磷腈来定制本体溶剂化和界面微环境。设计的 UDE (0.05 M) 具有更灵活的溶剂化配置，离子传输限制更少；同时，在电场感应下，通过分子竞争吸附和分解来调节两个电极表面的双电层。因此，实现了跨尺度微环境重塑，从根本上克服了现有的性能限制。 UDE不仅表现出固有的阻燃性，而且通过双向界面稳定机制显着提高了电极兼容性（磷酸盐和氧化物阴极、金属阳极）。值得注意的是，纳</w:t>
      </w:r>
      <w:r>
        <w:t xml:space="preserve"> </w:t>
      </w:r>
      <w:r>
        <w:t>0.67</w:t>
      </w:r>
      <w:r>
        <w:t xml:space="preserve"> </w:t>
      </w:r>
      <w:r>
        <w:t>镍</w:t>
      </w:r>
      <w:r>
        <w:t xml:space="preserve"> </w:t>
      </w:r>
      <w:r>
        <w:t>0.33</w:t>
      </w:r>
      <w:r>
        <w:t xml:space="preserve"> </w:t>
      </w:r>
      <w:r>
        <w:t>锰</w:t>
      </w:r>
      <w:r>
        <w:t xml:space="preserve"> </w:t>
      </w:r>
      <w:r>
        <w:t>0.67</w:t>
      </w:r>
      <w:r>
        <w:t xml:space="preserve"> </w:t>
      </w:r>
      <w:r>
        <w:t>氧</w:t>
      </w:r>
      <w:r>
        <w:rPr>
          <w:vertAlign w:val="subscript"/>
        </w:rPr>
        <w:t>2</w:t>
      </w:r>
      <w:r>
        <w:t>阴极在较宽的温度范围内（−40∼70°C）实现了理想的耐久性</w:t>
      </w:r>
    </w:p>
    <w:p>
      <w:pPr>
        <w:spacing w:before="0" w:after="200" w:lineRule="auto" w:line="276"/>
      </w:pPr>
      <w:r>
        <w:rPr>
          <w:b/>
        </w:rPr>
        <w:t xml:space="preserve">Abstract (EN): </w:t>
      </w:r>
      <w:r>
        <w:t>The paradigm shift in electrolyte research is a critical driver for performance breakthroughs in sustainable batteries under extreme conditions. Ultra‐dilute electrolytes (UDEs) have attracted extensive attention due to their remarkable cost advantages and broad application prospects, yet excess free solvents cause trade‐offs among high‐voltage stability, wide‐temperature adaptability, longevity, and safety. In this work, we propose a dual‐domain coupling‐driven interface remodeling strategy to tailor bulk solvation and interfacial microenvironments via integrating hierarchically‐solvated carbonate ester, ether, and fluorinated cyclophosphazene. The designed UDE (0.05 M) features a more flexible solvation configuration with less restricted ion transport; concurrently, electric double layers on both electrode surfaces are regulated through molecular competitive adsorption and decomposition under electric field induction. Consequently, cross‐scale microenvironment remodeling is realized to essentially overcome the existing performance limitations. The UDE not only exhibits intrinsic flame retardancy but also significantly improves electrode compatibility (phosphate and oxide cathodes, metal anode) through a bidirectional interface stabilization mechanism. Remarkably, Na</w:t>
      </w:r>
      <w:r>
        <w:t xml:space="preserve"> </w:t>
      </w:r>
      <w:r>
        <w:t>0.67</w:t>
      </w:r>
      <w:r>
        <w:t xml:space="preserve"> </w:t>
      </w:r>
      <w:r>
        <w:t>Ni</w:t>
      </w:r>
      <w:r>
        <w:t xml:space="preserve"> </w:t>
      </w:r>
      <w:r>
        <w:t>0.33</w:t>
      </w:r>
      <w:r>
        <w:t xml:space="preserve"> </w:t>
      </w:r>
      <w:r>
        <w:t>Mn</w:t>
      </w:r>
      <w:r>
        <w:t xml:space="preserve"> </w:t>
      </w:r>
      <w:r>
        <w:t>0.67</w:t>
      </w:r>
      <w:r>
        <w:t xml:space="preserve"> </w:t>
      </w:r>
      <w:r>
        <w:t>O</w:t>
      </w:r>
      <w:r>
        <w:rPr>
          <w:vertAlign w:val="subscript"/>
        </w:rPr>
        <w:t>2</w:t>
      </w:r>
      <w:r>
        <w:t>cathode achieves desirable durability over a wide temperature range (−40∼70°C). Furthermore, this strategy is extended to potassium‐ion batteries, enabling stable operation of KVPO</w:t>
      </w:r>
      <w:r>
        <w:rPr>
          <w:vertAlign w:val="subscript"/>
        </w:rPr>
        <w:t>4</w:t>
      </w:r>
      <w:r>
        <w:t>F cathode at 4.95 V. This work establishes a universal framework for multi‐scale interfacial molecular engineering, offering a promising advancement in extreme energy storage technologies.</w:t>
      </w:r>
    </w:p>
    <w:p>
      <w:pPr>
        <w:spacing w:before="120" w:after="120"/>
      </w:pPr>
      <w:r>
        <w:rPr>
          <w:sz w:val="18"/>
        </w:rPr>
        <w:t>——————————————————————————————————————————————————————————————————————</w:t>
      </w:r>
    </w:p>
    <w:p>
      <w:pPr>
        <w:spacing w:before="160" w:after="40" w:line="240" w:lineRule="auto"/>
      </w:pPr>
      <w:r>
        <w:rPr>
          <w:b/>
        </w:rPr>
        <w:t xml:space="preserve">[27] </w:t>
      </w:r>
      <w:hyperlink r:id="rId129">
        <w:r>
          <w:rPr>
            <w:color w:val="1155CC"/>
            <w:u w:val="single"/>
          </w:rPr>
          <w:t>破译用于极快充电锂离子电池的双阴离子电解质的动力学原理</w:t>
        </w:r>
      </w:hyperlink>
    </w:p>
    <w:p>
      <w:pPr>
        <w:spacing w:before="0" w:after="80"/>
      </w:pPr>
      <w:r>
        <w:rPr>
          <w:i/>
          <w:sz w:val="20"/>
        </w:rPr>
        <w:t>EN: Deciphering Kinetic Principles of Dual‐Anion Electrolytes for Extreme Fast‐Charging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2026-08-05 15:21:37+00:00</w:t>
      </w:r>
      <w:r>
        <w:t xml:space="preserve">    </w:t>
      </w:r>
      <w:r>
        <w:rPr>
          <w:b/>
        </w:rPr>
        <w:t xml:space="preserve">DOI: </w:t>
      </w:r>
      <w:hyperlink r:id="rId130">
        <w:r>
          <w:rPr>
            <w:color w:val="1155CC"/>
            <w:u w:val="single"/>
          </w:rPr>
          <w:t>10.1002/anie.5861510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李裁缝</w:t>
      </w:r>
      <w:r>
        <w:t xml:space="preserve"> </w:t>
      </w:r>
      <w:r>
        <w:t>+</w:t>
      </w:r>
      <w:r>
        <w:t xml:space="preserve"> </w:t>
      </w:r>
      <w:r>
        <w:t>溶剂化配位已被认为是在极快充电（XFC）条件下增强锂离子电池（LIB）电化学性能的一种策略。超越削弱李</w:t>
      </w:r>
      <w:r>
        <w:t xml:space="preserve"> </w:t>
      </w:r>
      <w:r>
        <w:t>+</w:t>
      </w:r>
      <w:r>
        <w:t xml:space="preserve"> </w:t>
      </w:r>
      <w:r>
        <w:t>溶剂化过程中，增加的锂-阴离子配对在阴离子衍生的、富含无机物的电极-电解质界面（EEI）的形成中起着至关重要的作用。在这项研究中，我们提出了一种利用本体电解质传输、去溶剂化能和界面动力学的阴离子筛选指南。我们研究了碳酸酯和酯基溶剂中双阴离子电解质的控制机制，旨在解决界面不稳定性、锂镀层和结构降解等关键挑战。综合计算和实验研究表明，优化的双阴离子系统在两个电极上产生部分离子对溶剂化结构和强大的阴离子衍生 EEI，从而在 XFC 条件下实现改进动力学的主要优点。在李妮</w:t>
      </w:r>
      <w:r>
        <w:t xml:space="preserve"> </w:t>
      </w:r>
      <w:r>
        <w:t>0.6</w:t>
      </w:r>
      <w:r>
        <w:t xml:space="preserve"> </w:t>
      </w:r>
      <w:r>
        <w:t>锰</w:t>
      </w:r>
      <w:r>
        <w:t xml:space="preserve"> </w:t>
      </w:r>
      <w:r>
        <w:t>0.2</w:t>
      </w:r>
      <w:r>
        <w:t xml:space="preserve"> </w:t>
      </w:r>
      <w:r>
        <w:t>钴</w:t>
      </w:r>
      <w:r>
        <w:t xml:space="preserve"> </w:t>
      </w:r>
      <w:r>
        <w:t>0.2</w:t>
      </w:r>
      <w:r>
        <w:t xml:space="preserve"> </w:t>
      </w:r>
      <w:r>
        <w:t>||石墨软包电池，优化的双阴离子配方，PF</w:t>
      </w:r>
      <w:r>
        <w:rPr>
          <w:vertAlign w:val="subscript"/>
        </w:rPr>
        <w:t>6</w:t>
      </w:r>
      <w:r>
        <w:t>-</w:t>
      </w:r>
      <w:r>
        <w:t>/TFSI</w:t>
      </w:r>
      <w:r>
        <w:t xml:space="preserve"> </w:t>
      </w:r>
      <w:r>
        <w:t>-</w:t>
      </w:r>
      <w:r>
        <w:t>，在基于碳酸二甲酯的电解质中，在 4C 下循环 500 次后，保留了超过 85% 的原始容量，而基于酯的变体在甲基</w:t>
      </w:r>
    </w:p>
    <w:p>
      <w:pPr>
        <w:spacing w:before="0" w:after="200" w:lineRule="auto" w:line="276"/>
      </w:pPr>
      <w:r>
        <w:rPr>
          <w:b/>
        </w:rPr>
        <w:t xml:space="preserve">Abstract (EN): </w:t>
      </w:r>
      <w:r>
        <w:t>Tailoring Li</w:t>
      </w:r>
      <w:r>
        <w:t xml:space="preserve"> </w:t>
      </w:r>
      <w:r>
        <w:t>+</w:t>
      </w:r>
      <w:r>
        <w:t xml:space="preserve"> </w:t>
      </w:r>
      <w:r>
        <w:t>solvation coordination has been recognized as a strategy to enhance the electrochemical performance of lithium‐ion batteries (LIBs) under extreme fast‐charging (XFC) conditions. Beyond weakening Li</w:t>
      </w:r>
      <w:r>
        <w:t xml:space="preserve"> </w:t>
      </w:r>
      <w:r>
        <w:t>+</w:t>
      </w:r>
      <w:r>
        <w:t xml:space="preserve"> </w:t>
      </w:r>
      <w:r>
        <w:t>solvation, increased Li–anion pairing plays a crucial role in the formation of anion‐derived, inorganic‐rich electrode–electrolyte interfaces (EEIs). In this study, we propose an anion‐screening guideline leveraging transport in bulk electrolyte, desolvation energy and interfacial kinetics. We investigated mechanisms governed by dual‐anion electrolytes in both carbonate‐ and ester‐based solvents, aiming to address key challenges such as interfacial instability, lithium plating, and structural degradation. Integrated computational and experimental studies reveal that optimized dual‐anion systems create partially ion‐paired solvation structures and robust anion‐derived EEI on both electrodes, enabling principal merits of improved kinetics under XFC conditions. In LiNi</w:t>
      </w:r>
      <w:r>
        <w:t xml:space="preserve"> </w:t>
      </w:r>
      <w:r>
        <w:t>0.6</w:t>
      </w:r>
      <w:r>
        <w:t xml:space="preserve"> </w:t>
      </w:r>
      <w:r>
        <w:t>Mn</w:t>
      </w:r>
      <w:r>
        <w:t xml:space="preserve"> </w:t>
      </w:r>
      <w:r>
        <w:t>0.2</w:t>
      </w:r>
      <w:r>
        <w:t xml:space="preserve"> </w:t>
      </w:r>
      <w:r>
        <w:t>Co</w:t>
      </w:r>
      <w:r>
        <w:t xml:space="preserve"> </w:t>
      </w:r>
      <w:r>
        <w:t>0.2</w:t>
      </w:r>
      <w:r>
        <w:t xml:space="preserve"> </w:t>
      </w:r>
      <w:r>
        <w:t>|| graphite pouch cells, the optimized dual‐anion formulation, PF</w:t>
      </w:r>
      <w:r>
        <w:rPr>
          <w:vertAlign w:val="subscript"/>
        </w:rPr>
        <w:t>6</w:t>
      </w:r>
      <w:r>
        <w:t>−</w:t>
      </w:r>
      <w:r>
        <w:t>/TFSI</w:t>
      </w:r>
      <w:r>
        <w:t xml:space="preserve"> </w:t>
      </w:r>
      <w:r>
        <w:t>−</w:t>
      </w:r>
      <w:r>
        <w:t>, in dimethyl carbonate‐based electrolyte retains over 85% of its original capacity and 94% retention after 500 cycles at 4C, while the ester‐based variant in methyl propionate achieves 94%/83% retention after 500/1000 cycles at 4C. These improvements are attributed to reduced charge‐transfer impedance with enriched inorganic fluorides and sulfates interface. Overall, this work provides a framework for anion regulations and offers a promising pathway to realizing fast‐charging, high‐energy‐density LIBs.</w:t>
      </w:r>
    </w:p>
    <w:p>
      <w:pPr>
        <w:spacing w:before="120" w:after="120"/>
      </w:pPr>
      <w:r>
        <w:rPr>
          <w:sz w:val="18"/>
        </w:rPr>
        <w:t>——————————————————————————————————————————————————————————————————————</w:t>
      </w:r>
    </w:p>
    <w:p>
      <w:pPr>
        <w:spacing w:before="160" w:after="40" w:line="240" w:lineRule="auto"/>
      </w:pPr>
      <w:r>
        <w:rPr>
          <w:b/>
        </w:rPr>
        <w:t xml:space="preserve">[28] </w:t>
      </w:r>
      <w:hyperlink r:id="rId190">
        <w:r>
          <w:rPr>
            <w:color w:val="1155CC"/>
            <w:u w:val="single"/>
          </w:rPr>
          <w:t>调节共价有机框架的路易斯酸度以促进 Li+ 传输</w:t>
        </w:r>
      </w:hyperlink>
    </w:p>
    <w:p>
      <w:pPr>
        <w:spacing w:before="0" w:after="80"/>
      </w:pPr>
      <w:r>
        <w:rPr>
          <w:i/>
          <w:sz w:val="20"/>
        </w:rPr>
        <w:t>EN: Modulating Lewis Acidity of Covalent Organic Frameworks to Boost Li+ Transport</w:t>
      </w:r>
    </w:p>
    <w:p>
      <w:pPr>
        <w:spacing w:before="0" w:after="120"/>
      </w:pPr>
      <w:r>
        <w:rPr>
          <w:b/>
        </w:rPr>
        <w:t xml:space="preserve">Source: </w:t>
      </w:r>
      <w:r>
        <w:t>Wiley: Angewandte Chemie International Edition: Table of Contents</w:t>
      </w:r>
      <w:r>
        <w:t xml:space="preserve">    </w:t>
      </w:r>
      <w:r>
        <w:rPr>
          <w:b/>
        </w:rPr>
        <w:t xml:space="preserve">Pub date: </w:t>
      </w:r>
      <w:r>
        <w:t>2026-08-05 16:54:21+00:00</w:t>
      </w:r>
      <w:r>
        <w:t xml:space="preserve">    </w:t>
      </w:r>
      <w:r>
        <w:rPr>
          <w:b/>
        </w:rPr>
        <w:t xml:space="preserve">DOI: </w:t>
      </w:r>
      <w:hyperlink r:id="rId191">
        <w:r>
          <w:rPr>
            <w:color w:val="1155CC"/>
            <w:u w:val="single"/>
          </w:rPr>
          <w:t>10.1002/anie.6421920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固体聚合物电解质为更安全的锂金属电池提供了一条有前途的途径，但强锂</w:t>
      </w:r>
      <w:r>
        <w:t xml:space="preserve"> </w:t>
      </w:r>
      <w:r>
        <w:t>+</w:t>
      </w:r>
      <w:r>
        <w:t xml:space="preserve"> </w:t>
      </w:r>
      <w:r>
        <w:t>–TFSI</w:t>
      </w:r>
      <w:r>
        <w:t xml:space="preserve"> </w:t>
      </w:r>
      <w:r>
        <w:t>–</w:t>
      </w:r>
      <w:r>
        <w:t xml:space="preserve"> </w:t>
      </w:r>
      <w:r>
        <w:t>耦合和不充分的盐解离限制了它们的室温电导率。引入路易斯酸性位点以竞争性结合 TFSI</w:t>
      </w:r>
      <w:r>
        <w:t xml:space="preserve"> </w:t>
      </w:r>
      <w:r>
        <w:t>–</w:t>
      </w:r>
      <w:r>
        <w:t xml:space="preserve"> </w:t>
      </w:r>
      <w:r>
        <w:t>可以释放李</w:t>
      </w:r>
      <w:r>
        <w:t xml:space="preserve"> </w:t>
      </w:r>
      <w:r>
        <w:t>+</w:t>
      </w:r>
      <w:r>
        <w:t xml:space="preserve"> </w:t>
      </w:r>
      <w:r>
        <w:t>，然而局部路易斯酸碱调节与离子传输之间的关系仍不清楚。在这里，我们通过交换 Br 的抗衡阴离子来调节烯烃连接的吡啶鎓离子共价有机框架的局部路易斯酸碱环境</w:t>
      </w:r>
      <w:r>
        <w:t xml:space="preserve"> </w:t>
      </w:r>
      <w:r>
        <w:t>–</w:t>
      </w:r>
      <w:r>
        <w:t xml:space="preserve"> </w:t>
      </w:r>
      <w:r>
        <w:t>给BF</w:t>
      </w:r>
      <w:r>
        <w:rPr>
          <w:vertAlign w:val="subscript"/>
        </w:rPr>
        <w:t>4</w:t>
      </w:r>
      <w:r>
        <w:t>–</w:t>
      </w:r>
      <w:r>
        <w:t xml:space="preserve"> </w:t>
      </w:r>
      <w:r>
        <w:t>, PF</w:t>
      </w:r>
      <w:r>
        <w:rPr>
          <w:vertAlign w:val="subscript"/>
        </w:rPr>
        <w:t>6</w:t>
      </w:r>
      <w:r>
        <w:t>–</w:t>
      </w:r>
      <w:r>
        <w:t xml:space="preserve"> </w:t>
      </w:r>
      <w:r>
        <w:t>和 TFSI</w:t>
      </w:r>
      <w:r>
        <w:t xml:space="preserve"> </w:t>
      </w:r>
      <w:r>
        <w:t>–</w:t>
      </w:r>
      <w:r>
        <w:t xml:space="preserve"> </w:t>
      </w:r>
      <w:r>
        <w:t>。综合结果表明，电荷离域、弱配位的抗衡阴离子减少了吡啶鎓阳离子的筛选，增强了有效的路易斯酸度并削弱了Li</w:t>
      </w:r>
      <w:r>
        <w:t xml:space="preserve"> </w:t>
      </w:r>
      <w:r>
        <w:t>+</w:t>
      </w:r>
      <w:r>
        <w:t xml:space="preserve"> </w:t>
      </w:r>
      <w:r>
        <w:t>–TFSI</w:t>
      </w:r>
      <w:r>
        <w:t xml:space="preserve"> </w:t>
      </w:r>
      <w:r>
        <w:t>–</w:t>
      </w:r>
      <w:r>
        <w:t xml:space="preserve"> </w:t>
      </w:r>
      <w:r>
        <w:t>耦合。因此，ICOF-TFSI@PVDF-HFP 的离子电导率达到 9.1 × 10</w:t>
      </w:r>
      <w:r>
        <w:t xml:space="preserve"> </w:t>
      </w:r>
      <w:r>
        <w:t>–</w:t>
      </w:r>
      <w:r>
        <w:rPr>
          <w:vertAlign w:val="subscript"/>
        </w:rPr>
        <w:t>4</w:t>
      </w:r>
      <w:r>
        <w:t>秒·厘米</w:t>
      </w:r>
      <w:r>
        <w:t xml:space="preserve"> </w:t>
      </w:r>
      <w:r>
        <w:t>–</w:t>
      </w:r>
      <w:r>
        <w:rPr>
          <w:vertAlign w:val="subscript"/>
        </w:rPr>
        <w:t>1</w:t>
      </w:r>
      <w:r>
        <w:t>和一个李在一起</w:t>
      </w:r>
      <w:r>
        <w:t xml:space="preserve"> </w:t>
      </w:r>
      <w:r>
        <w:t>+</w:t>
      </w:r>
      <w:r>
        <w:t xml:space="preserve"> </w:t>
      </w:r>
      <w:r>
        <w:t>转移数为0.81。该电解质可实现稳定的 Li||Li 循环超过 6500 小时，</w:t>
      </w:r>
    </w:p>
    <w:p>
      <w:pPr>
        <w:spacing w:before="0" w:after="200" w:lineRule="auto" w:line="276"/>
      </w:pPr>
      <w:r>
        <w:rPr>
          <w:b/>
        </w:rPr>
        <w:t xml:space="preserve">Abstract (EN): </w:t>
      </w:r>
      <w:r>
        <w:t>Solid polymer electrolytes offer a promising route to safer lithium metal batteries, but strong Li</w:t>
      </w:r>
      <w:r>
        <w:t xml:space="preserve"> </w:t>
      </w:r>
      <w:r>
        <w:t>+</w:t>
      </w:r>
      <w:r>
        <w:t xml:space="preserve"> </w:t>
      </w:r>
      <w:r>
        <w:t>–TFSI</w:t>
      </w:r>
      <w:r>
        <w:t xml:space="preserve"> </w:t>
      </w:r>
      <w:r>
        <w:t>–</w:t>
      </w:r>
      <w:r>
        <w:t xml:space="preserve"> </w:t>
      </w:r>
      <w:r>
        <w:t>coupling and insufficient salt dissociation limit their room‐temperature conductivity. Introducing Lewis acidic sites to competitively bind TFSI</w:t>
      </w:r>
      <w:r>
        <w:t xml:space="preserve"> </w:t>
      </w:r>
      <w:r>
        <w:t>–</w:t>
      </w:r>
      <w:r>
        <w:t xml:space="preserve"> </w:t>
      </w:r>
      <w:r>
        <w:t>can release Li</w:t>
      </w:r>
      <w:r>
        <w:t xml:space="preserve"> </w:t>
      </w:r>
      <w:r>
        <w:t>+</w:t>
      </w:r>
      <w:r>
        <w:t xml:space="preserve"> </w:t>
      </w:r>
      <w:r>
        <w:t>, yet the relationship between local Lewis acid–base regulation and ion transport remains unclear. Here, we tune the local Lewis acid–base environment of olefin‐linked pyridinium ionic covalent organic frameworks by exchanging counteranions from Br</w:t>
      </w:r>
      <w:r>
        <w:t xml:space="preserve"> </w:t>
      </w:r>
      <w:r>
        <w:t>–</w:t>
      </w:r>
      <w:r>
        <w:t xml:space="preserve"> </w:t>
      </w:r>
      <w:r>
        <w:t>to BF</w:t>
      </w:r>
      <w:r>
        <w:rPr>
          <w:vertAlign w:val="subscript"/>
        </w:rPr>
        <w:t>4</w:t>
      </w:r>
      <w:r>
        <w:t>–</w:t>
      </w:r>
      <w:r>
        <w:t xml:space="preserve"> </w:t>
      </w:r>
      <w:r>
        <w:t>, PF</w:t>
      </w:r>
      <w:r>
        <w:rPr>
          <w:vertAlign w:val="subscript"/>
        </w:rPr>
        <w:t>6</w:t>
      </w:r>
      <w:r>
        <w:t>–</w:t>
      </w:r>
      <w:r>
        <w:t xml:space="preserve"> </w:t>
      </w:r>
      <w:r>
        <w:t>, and TFSI</w:t>
      </w:r>
      <w:r>
        <w:t xml:space="preserve"> </w:t>
      </w:r>
      <w:r>
        <w:t>–</w:t>
      </w:r>
      <w:r>
        <w:t xml:space="preserve"> </w:t>
      </w:r>
      <w:r>
        <w:t>. Comprehensive results show that charge‐delocalized, weakly coordinating counteranions reduce screening of pyridinium cations, enhancing effective Lewis acidity and weakening Li</w:t>
      </w:r>
      <w:r>
        <w:t xml:space="preserve"> </w:t>
      </w:r>
      <w:r>
        <w:t>+</w:t>
      </w:r>
      <w:r>
        <w:t xml:space="preserve"> </w:t>
      </w:r>
      <w:r>
        <w:t>–TFSI</w:t>
      </w:r>
      <w:r>
        <w:t xml:space="preserve"> </w:t>
      </w:r>
      <w:r>
        <w:t>–</w:t>
      </w:r>
      <w:r>
        <w:t xml:space="preserve"> </w:t>
      </w:r>
      <w:r>
        <w:t>coupling. Consequently, ICOF‐TFSI@PVDF‐HFP achieves an ionic conductivity of 9.1 × 10</w:t>
      </w:r>
      <w:r>
        <w:t xml:space="preserve"> </w:t>
      </w:r>
      <w:r>
        <w:t>–</w:t>
      </w:r>
      <w:r>
        <w:rPr>
          <w:vertAlign w:val="subscript"/>
        </w:rPr>
        <w:t>4</w:t>
      </w:r>
      <w:r>
        <w:t>S·cm</w:t>
      </w:r>
      <w:r>
        <w:t xml:space="preserve"> </w:t>
      </w:r>
      <w:r>
        <w:t>–</w:t>
      </w:r>
      <w:r>
        <w:rPr>
          <w:vertAlign w:val="subscript"/>
        </w:rPr>
        <w:t>1</w:t>
      </w:r>
      <w:r>
        <w:t>together with a Li</w:t>
      </w:r>
      <w:r>
        <w:t xml:space="preserve"> </w:t>
      </w:r>
      <w:r>
        <w:t>+</w:t>
      </w:r>
      <w:r>
        <w:t xml:space="preserve"> </w:t>
      </w:r>
      <w:r>
        <w:t>transference number of 0.81. The electrolyte enables stable Li||Li cycling over 6500 h, retaining 84.3% capacity after 650 cycles at 1 C in Li||LFP cells and 81.7% after 400 cycles at 1 C in Li||NCM90. Molecular dynamics, Raman spectroscopy, and operando characterizations confirm enhanced salt dissociation, regulated interfacial chemistry, dendrite suppression, and mitigated microcracking in high‐Ni cathodes. This study defines local Lewis acid–base regulation as a molecular design strategy for SPEs featuring fast Li</w:t>
      </w:r>
      <w:r>
        <w:t xml:space="preserve"> </w:t>
      </w:r>
      <w:r>
        <w:t>+</w:t>
      </w:r>
      <w:r>
        <w:t xml:space="preserve"> </w:t>
      </w:r>
      <w:r>
        <w:t>transport and robust interfacial stability.</w:t>
      </w:r>
    </w:p>
    <w:p>
      <w:pPr>
        <w:spacing w:before="120" w:after="120"/>
      </w:pPr>
      <w:r>
        <w:rPr>
          <w:sz w:val="18"/>
        </w:rPr>
        <w:t>——————————————————————————————————————————————————————————————————————</w:t>
      </w:r>
    </w:p>
    <w:p>
      <w:pPr>
        <w:spacing w:before="160" w:after="40" w:line="240" w:lineRule="auto"/>
      </w:pPr>
      <w:r>
        <w:rPr>
          <w:b/>
        </w:rPr>
        <w:t xml:space="preserve">[29] </w:t>
      </w:r>
      <w:hyperlink r:id="rId131">
        <w:r>
          <w:rPr>
            <w:color w:val="1155CC"/>
            <w:u w:val="single"/>
          </w:rPr>
          <w:t>电子推拉效应驱动水性锌双卤素电池中的可逆六电子氧化还原反应</w:t>
        </w:r>
      </w:hyperlink>
    </w:p>
    <w:p>
      <w:pPr>
        <w:spacing w:before="0" w:after="80"/>
      </w:pPr>
      <w:r>
        <w:rPr>
          <w:i/>
          <w:sz w:val="20"/>
        </w:rPr>
        <w:t>EN: Electron Push–Pull Effect Drives Reversible Six-Electron Redox Reaction in Aqueous Zinc–Dual Halogen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32">
        <w:r>
          <w:rPr>
            <w:color w:val="1155CC"/>
            <w:u w:val="single"/>
          </w:rPr>
          <w:t>10.1021/jacs.6c08547</w:t>
        </w:r>
      </w:hyperlink>
    </w:p>
    <w:p>
      <w:pPr>
        <w:spacing w:before="0" w:after="120"/>
      </w:pPr>
      <w:r>
        <w:rPr>
          <w:b/>
        </w:rPr>
        <w:t xml:space="preserve">Notes: </w:t>
      </w:r>
      <w:r>
        <w:t>abstract_source=crossref</w:t>
      </w:r>
    </w:p>
    <w:p>
      <w:pPr>
        <w:spacing w:before="0" w:after="80" w:lineRule="auto" w:line="276"/>
      </w:pPr>
      <w:r>
        <w:rPr>
          <w:b/>
        </w:rPr>
        <w:t xml:space="preserve">摘要（ZH）: </w:t>
      </w:r>
      <w:r>
        <w:t>摘要具有I-/I0/I+转换的四电子水性锌碘（Zn-I2）电池可以实现高能量密度，但其发展在很大程度上受到I+水解和缓慢的氧化还原动力学的阻碍。在这里，通过引入1-乙基吡啶氢溴酸盐（EB）作为电解质添加剂，我们设计了水性锌-双卤素（碘-溴）电池来解决这些问题，该电池能够实现具有高容量和长期循环稳定性的可逆六电子转换。原位X射线吸收光谱、拉曼光谱和理论计算表明，I-Br卤间化合物中的供体-受体相互作用会诱导电子推拉效应，从而实现动力学增强的四电子途径(I–/I2Br–/IBr2–)，然后在充电时激活溴的二电子途径(IBr2–/IBr3–)，而部分IBr3–经历I+/Br0共还原反应，增强了溴的利用率在放电过程中，导致不对称但整体可逆的六电子转换。此外，EB 的阳离子基团重建了大量水的氢键网络并静电锚定了 IBr2- 和 IBr3- 物质，从而降低了水活度并稳定了卤间化合物。这些协同效应使锌-双卤素电池能够在 0.5 A g-1 电流下实现 656 mAh g-1 的卓越容量，并在 10 A g-1 电流下 2200 次循环后保持循环稳定性，初始容量高达 436.8 mAh g-1。这项工作扩展了卤间化学在构建多电高能量密度水电池中的应用</w:t>
      </w:r>
    </w:p>
    <w:p>
      <w:pPr>
        <w:spacing w:before="0" w:after="200" w:lineRule="auto" w:line="276"/>
      </w:pPr>
      <w:r>
        <w:rPr>
          <w:b/>
        </w:rPr>
        <w:t xml:space="preserve">Abstract (EN): </w:t>
      </w:r>
      <w:r>
        <w:t>Four-electron aqueous zinc–iodine (Zn–I2) batteries with I–/I0/I+ conversion could achieve high energy density, but the development is largely impeded by I+ hydrolysis and sluggish redox kinetics. Here, by introducing 1-ethylpyridine hydrobromide (EB) as an electrolyte additive, we designed aqueous zinc–dual halogen (iodine–bromine) batteries to address these issues, which enable reversible six-electron conversion with high capacity and long-term cycling stability. In situ X-ray absorption spectroscopy, Raman spectroscopy, and theoretical calculations reveal that the donor–acceptor interactions within I–Br interhalogen compounds induce an electron push–pull effect, enabling a kinetically enhanced four-electron pathway (I–/I2Br–/IBr2–) followed by an activated two-electron pathway of bromine (IBr2–/IBr3–) upon charging, while partial IBr3– undergoes an I+/Br0 co-reduction reaction with enhanced bromine utilization during discharge, leading to asymmetric yet overall reversible six-electron conversion. In addition, the cation groups of EB reconstruct the H-bond network of bulk water and electrostatically anchor IBr2– and IBr3– species, thereby reducing the water activity and stabilizing the interhalogen compounds. These synergistic effects enable zinc–dual halogen batteries to achieve a remarkable capacity of 656 mAh g–1 at 0.5 A g–1 and sustained cycling stability with a high initial capacity of 436.8 mAh g–1 over 2200 cycles at 10 A g–1. This work extends the application of interhalogen chemistry for constructing high-energy-density aqueous batteries with multielectron redox reactions.</w:t>
      </w:r>
    </w:p>
    <w:p>
      <w:pPr>
        <w:spacing w:before="120" w:after="120"/>
      </w:pPr>
      <w:r>
        <w:rPr>
          <w:sz w:val="18"/>
        </w:rPr>
        <w:t>——————————————————————————————————————————————————————————————————————</w:t>
      </w:r>
    </w:p>
    <w:p>
      <w:pPr>
        <w:spacing w:before="160" w:after="40" w:line="240" w:lineRule="auto"/>
      </w:pPr>
      <w:r>
        <w:rPr>
          <w:b/>
        </w:rPr>
        <w:t xml:space="preserve">[30] </w:t>
      </w:r>
      <w:hyperlink r:id="rId192">
        <w:r>
          <w:rPr>
            <w:color w:val="1155CC"/>
            <w:u w:val="single"/>
          </w:rPr>
          <w:t>使用水合共晶电解质的高输出电压水系可充电镁电池</w:t>
        </w:r>
      </w:hyperlink>
    </w:p>
    <w:p>
      <w:pPr>
        <w:spacing w:before="0" w:after="80"/>
      </w:pPr>
      <w:r>
        <w:rPr>
          <w:i/>
          <w:sz w:val="20"/>
        </w:rPr>
        <w:t>EN: Aqueous Rechargeable Magnesium Battery with a High Output Voltage Using a Hydrated Eutectic Electrolyte</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93">
        <w:r>
          <w:rPr>
            <w:color w:val="1155CC"/>
            <w:u w:val="single"/>
          </w:rPr>
          <w:t>10.1021/acsami.6c09896</w:t>
        </w:r>
      </w:hyperlink>
    </w:p>
    <w:p>
      <w:pPr>
        <w:spacing w:before="0" w:after="120"/>
      </w:pPr>
      <w:r>
        <w:rPr>
          <w:b/>
        </w:rPr>
        <w:t xml:space="preserve">Notes: </w:t>
      </w:r>
      <w:r>
        <w:t>abstract_source=crossref</w:t>
      </w:r>
    </w:p>
    <w:p>
      <w:pPr>
        <w:spacing w:before="0" w:after="80" w:lineRule="auto" w:line="276"/>
      </w:pPr>
      <w:r>
        <w:rPr>
          <w:b/>
        </w:rPr>
        <w:t xml:space="preserve">摘要（ZH）: </w:t>
      </w:r>
      <w:r>
        <w:t>摘要 可充电镁电池提供安全且经济高效的能量存储，但受到电化学稳定性窗口狭窄、界面不稳定和 Mg2+ 传输缓慢的限制。为了解决这些问题，设计了一种多组分水合共晶电解质，由 Mg(ClO4)2、乙酰胺、己内酰胺和 H2O (DM11) 组成。该电解质重建氢键网络并降低 H2O 活性；由此，电化学稳定性窗口拓宽至4 V。此外，乙酰胺和己内酰胺吸附在Mg表面并发生界面反应。该过程形成有机-无机杂化层，将镁与水隔离并减少腐蚀。受益于这些协同效应，采用 DM11 电解质的对称 Mg//Mg 电池表现出超过 500 小时的稳定循环，而 Mg//Mg-MnO2 全电池在 0.1 A g-1 下可提供 300 mA h g-1 的可逆容量，输出电压为 1.8 V，在 0.5 A g-1 下稳定循环超过 500 次循环。这项研究强调了设计水合共晶电解质以提高镁电池的稳定性和电化学性能的可行策略。</w:t>
      </w:r>
    </w:p>
    <w:p>
      <w:pPr>
        <w:spacing w:before="0" w:after="200" w:lineRule="auto" w:line="276"/>
      </w:pPr>
      <w:r>
        <w:rPr>
          <w:b/>
        </w:rPr>
        <w:t xml:space="preserve">Abstract (EN): </w:t>
      </w:r>
      <w:r>
        <w:t>Rechargeable magnesium batteries offer safe and cost-effective energy storage but are constrained by narrow electrochemical stability windows, interfacial instability, and sluggish Mg2+ transport. To address these issues, a multi-component hydrated eutectic electrolyte was designed, composed of Mg(ClO4)2, acetamide, caprolactam, and H2O (DM11). This electrolyte reconstructs the hydrogen-bonding network and lowers H2O activity; thereby, the electrochemical stability window is broadened to 4 V. Moreover, acetamide and caprolactam adsorb on the Mg surface and undergo interfacial reactions. This process forms an organic–inorganic hybrid layer that isolates Mg from H2O and reduces corrosion. Benefiting from these synergistic effects, a symmetric Mg//Mg cell with the DM11 electrolyte demonstrated stable cycling for over 500 h, while a Mg//Mg-MnO2 full battery delivered a reversible capacity of 300 mA h g–1 at 0.1 A g–1 with an output voltage of 1.8 V and stable cycling for more than 500 cycles at 0.5 A g–1. This study highlights a viable strategy for engineering hydrated eutectic electrolytes to enhance the stability and electrochemical performance of magnesium batteries.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88">
        <w:r>
          <w:rPr>
            <w:color w:val="1155CC"/>
            <w:u w:val="single"/>
          </w:rPr>
          <w:t>电池颗粒中非扩散机制的类扩散过电势</w:t>
        </w:r>
      </w:hyperlink>
    </w:p>
    <w:p>
      <w:pPr>
        <w:spacing w:before="0" w:after="80"/>
      </w:pPr>
      <w:r>
        <w:rPr>
          <w:i/>
          <w:sz w:val="20"/>
        </w:rPr>
        <w:t>EN: Diffusion-like overpotentials from non-diffusion mechanisms in battery particles</w:t>
      </w:r>
    </w:p>
    <w:p>
      <w:pPr>
        <w:spacing w:before="0" w:after="120"/>
      </w:pPr>
      <w:r>
        <w:rPr>
          <w:b/>
        </w:rPr>
        <w:t xml:space="preserve">Source: </w:t>
      </w:r>
      <w:r>
        <w:t>Nature Energy</w:t>
      </w:r>
      <w:r>
        <w:t xml:space="preserve">    </w:t>
      </w:r>
      <w:r>
        <w:rPr>
          <w:b/>
        </w:rPr>
        <w:t xml:space="preserve">Pub date: </w:t>
      </w:r>
      <w:r>
        <w:t>2026-07-31 00:00:00+00:00</w:t>
      </w:r>
      <w:r>
        <w:t xml:space="preserve">    </w:t>
      </w:r>
      <w:r>
        <w:rPr>
          <w:b/>
        </w:rPr>
        <w:t xml:space="preserve">DOI: </w:t>
      </w:r>
      <w:hyperlink r:id="rId89">
        <w:r>
          <w:rPr>
            <w:color w:val="1155CC"/>
            <w:u w:val="single"/>
          </w:rPr>
          <w:t>10.1038/s41560-026-02118-2</w:t>
        </w:r>
      </w:hyperlink>
    </w:p>
    <w:p>
      <w:pPr>
        <w:spacing w:before="0" w:after="120"/>
      </w:pPr>
      <w:r>
        <w:rPr>
          <w:b/>
        </w:rPr>
        <w:t xml:space="preserve">Notes: </w:t>
      </w:r>
      <w:r>
        <w:t>abstract_source=rss_nature</w:t>
      </w:r>
    </w:p>
    <w:p>
      <w:pPr>
        <w:spacing w:before="0" w:after="80" w:lineRule="auto" w:line="276"/>
      </w:pPr>
      <w:r>
        <w:rPr>
          <w:b/>
        </w:rPr>
        <w:t xml:space="preserve">摘要（ZH）: </w:t>
      </w:r>
      <w:r>
        <w:t>锂离子电池电极的低频电化学响应被广泛解释为固态锂扩散的特征。在这里，作者表明，电解质渗透到多孔阴极颗粒中可以产生类似的扩散行为，而与体扩散无关。</w:t>
      </w:r>
    </w:p>
    <w:p>
      <w:pPr>
        <w:spacing w:before="0" w:after="200" w:lineRule="auto" w:line="276"/>
      </w:pPr>
      <w:r>
        <w:rPr>
          <w:b/>
        </w:rPr>
        <w:t xml:space="preserve">Abstract (EN): </w:t>
      </w:r>
      <w:r>
        <w:t>Low-frequency electrochemical responses in lithium-ion battery electrodes are widely interpreted as signatures of solid-state lithium diffusion. Here the authors show that electrolyte penetration in porous cathode particles can generate similar diffusion-like behaviour independent of bulk diffusion.</w:t>
      </w:r>
    </w:p>
    <w:p>
      <w:pPr>
        <w:spacing w:before="120" w:after="120"/>
      </w:pPr>
      <w:r>
        <w:rPr>
          <w:sz w:val="18"/>
        </w:rPr>
        <w:t>——————————————————————————————————————————————————————————————————————</w:t>
      </w:r>
    </w:p>
    <w:p>
      <w:pPr>
        <w:spacing w:before="160" w:after="40" w:line="240" w:lineRule="auto"/>
      </w:pPr>
      <w:r>
        <w:rPr>
          <w:b/>
        </w:rPr>
        <w:t xml:space="preserve">[2] </w:t>
      </w:r>
      <w:hyperlink r:id="rId194">
        <w:r>
          <w:rPr>
            <w:color w:val="1155CC"/>
            <w:u w:val="single"/>
          </w:rPr>
          <w:t>阀门应变启用对 LiFePO4 储能电池过热引起的热失控进行阶段性预警</w:t>
        </w:r>
      </w:hyperlink>
    </w:p>
    <w:p>
      <w:pPr>
        <w:spacing w:before="0" w:after="80"/>
      </w:pPr>
      <w:r>
        <w:rPr>
          <w:i/>
          <w:sz w:val="20"/>
        </w:rPr>
        <w:t>EN: Valve-strain-enabled staged early warning of overheating-induced thermal runaway in LiFePO4 energy storage cells</w:t>
      </w:r>
    </w:p>
    <w:p>
      <w:pPr>
        <w:spacing w:before="0" w:after="120"/>
      </w:pPr>
      <w:r>
        <w:rPr>
          <w:b/>
        </w:rPr>
        <w:t xml:space="preserve">Source: </w:t>
      </w:r>
      <w:r>
        <w:t>ScienceDirect Publication: Applied Energy</w:t>
      </w:r>
      <w:r>
        <w:t xml:space="preserve">    </w:t>
      </w:r>
      <w:r>
        <w:rPr>
          <w:b/>
        </w:rPr>
        <w:t xml:space="preserve">Pub date: </w:t>
      </w:r>
      <w:r>
        <w:t>2026-07-31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95">
        <w:r>
          <w:rPr>
            <w:color w:val="1155CC"/>
            <w:u w:val="single"/>
          </w:rPr>
          <w:t>面向应用的锂离子电池单向二元多频电化学阻抗谱</w:t>
        </w:r>
      </w:hyperlink>
    </w:p>
    <w:p>
      <w:pPr>
        <w:spacing w:before="0" w:after="80"/>
      </w:pPr>
      <w:r>
        <w:rPr>
          <w:i/>
          <w:sz w:val="20"/>
        </w:rPr>
        <w:t>EN: Application-oriented unidirectional binary multi-frequency electrochemical impedance spectroscopy for lithium-ion batteries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196">
        <w:r>
          <w:rPr>
            <w:color w:val="1155CC"/>
            <w:u w:val="single"/>
          </w:rPr>
          <w:t>10.1016/j.apenergy.2026.128518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97">
        <w:r>
          <w:rPr>
            <w:color w:val="1155CC"/>
            <w:u w:val="single"/>
          </w:rPr>
          <w:t>从荒地到仙境：释放中国电动汽车电池和电机城市矿产补给潜力</w:t>
        </w:r>
      </w:hyperlink>
    </w:p>
    <w:p>
      <w:pPr>
        <w:spacing w:before="0" w:after="80"/>
      </w:pPr>
      <w:r>
        <w:rPr>
          <w:i/>
          <w:sz w:val="20"/>
        </w:rPr>
        <w:t>EN: From wasteland to wonderland: Releasing resupply potential from urban minerals of electric vehicle batteries and motors in China</w:t>
      </w:r>
    </w:p>
    <w:p>
      <w:pPr>
        <w:spacing w:before="0" w:after="120"/>
      </w:pPr>
      <w:r>
        <w:rPr>
          <w:b/>
        </w:rPr>
        <w:t xml:space="preserve">Source: </w:t>
      </w:r>
      <w:r>
        <w:t>Joule</w:t>
      </w:r>
      <w:r>
        <w:t xml:space="preserve">    </w:t>
      </w:r>
      <w:r>
        <w:rPr>
          <w:b/>
        </w:rPr>
        <w:t xml:space="preserve">Pub date: </w:t>
      </w:r>
      <w:r>
        <w:t>2026-07-31 00:00:00+00:00</w:t>
      </w:r>
      <w:r>
        <w:t xml:space="preserve">    </w:t>
      </w:r>
      <w:r>
        <w:rPr>
          <w:b/>
        </w:rPr>
        <w:t xml:space="preserve">DOI: </w:t>
      </w:r>
      <w:hyperlink r:id="rId198">
        <w:r>
          <w:rPr>
            <w:color w:val="1155CC"/>
            <w:u w:val="single"/>
          </w:rPr>
          <w:t>10.1016/j.joule.2026.102602</w:t>
        </w:r>
      </w:hyperlink>
    </w:p>
    <w:p>
      <w:pPr>
        <w:spacing w:before="0" w:after="120"/>
      </w:pPr>
      <w:r>
        <w:rPr>
          <w:b/>
        </w:rPr>
        <w:t xml:space="preserve">Notes: </w:t>
      </w:r>
      <w:r>
        <w:t>abstract_source=rss_cell</w:t>
      </w:r>
    </w:p>
    <w:p>
      <w:pPr>
        <w:spacing w:before="0" w:after="80" w:lineRule="auto" w:line="276"/>
      </w:pPr>
      <w:r>
        <w:rPr>
          <w:b/>
        </w:rPr>
        <w:t xml:space="preserve">摘要（ZH）: </w:t>
      </w:r>
      <w:r>
        <w:t>熊等人。表明中国的报废电动汽车可以成为依赖技术的电池和电机城市矿山。他们的模型揭示了锂、钴、钕和镝的高再供应潜力，但镍和锰的持续缺口，凸显了收集、闭环回收和稀土元素回收政策的必要性。</w:t>
      </w:r>
    </w:p>
    <w:p>
      <w:pPr>
        <w:spacing w:before="0" w:after="200" w:lineRule="auto" w:line="276"/>
      </w:pPr>
      <w:r>
        <w:rPr>
          <w:b/>
        </w:rPr>
        <w:t xml:space="preserve">Abstract (EN): </w:t>
      </w:r>
      <w:r>
        <w:t>Xiong et al. show that China’s end-of-life electric vehicles can become a technology-dependent urban mine for batteries and motors. Their model reveals high resupply potential for lithium, cobalt, neodymium, and dysprosium but persistent gaps for nickel and manganese, highlighting the need for collection, closed-loop recycling, and rare earth element recovery policies.</w:t>
      </w:r>
    </w:p>
    <w:p>
      <w:pPr>
        <w:spacing w:before="120" w:after="120"/>
      </w:pPr>
      <w:r>
        <w:rPr>
          <w:sz w:val="18"/>
        </w:rPr>
        <w:t>——————————————————————————————————————————————————————————————————————</w:t>
      </w:r>
    </w:p>
    <w:p>
      <w:pPr>
        <w:spacing w:before="160" w:after="40" w:line="240" w:lineRule="auto"/>
      </w:pPr>
      <w:r>
        <w:rPr>
          <w:b/>
        </w:rPr>
        <w:t xml:space="preserve">[5] </w:t>
      </w:r>
      <w:hyperlink r:id="rId199">
        <w:r>
          <w:rPr>
            <w:color w:val="1155CC"/>
            <w:u w:val="single"/>
          </w:rPr>
          <w:t>基于贝叶斯优化双向时间卷积神经网络以及基于 ECM 的特征提取和双向滤波的锂离子电池能量状态估计</w:t>
        </w:r>
      </w:hyperlink>
    </w:p>
    <w:p>
      <w:pPr>
        <w:spacing w:before="0" w:after="80"/>
      </w:pPr>
      <w:r>
        <w:rPr>
          <w:i/>
          <w:sz w:val="20"/>
        </w:rPr>
        <w:t>EN: State of energy estimation of lithium-ion batteries based on Bayesian-optimized bidirectional temporal convolutional neural network with ECM-based feature extraction and bidirectional filtering</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200">
        <w:r>
          <w:rPr>
            <w:color w:val="1155CC"/>
            <w:u w:val="single"/>
          </w:rPr>
          <w:t>10.1016/j.apenergy.2026.128551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01">
        <w:r>
          <w:rPr>
            <w:color w:val="1155CC"/>
            <w:u w:val="single"/>
          </w:rPr>
          <w:t>用于快速充电电池退化预测的物理引导语义无源自适应</w:t>
        </w:r>
      </w:hyperlink>
    </w:p>
    <w:p>
      <w:pPr>
        <w:spacing w:before="0" w:after="80"/>
      </w:pPr>
      <w:r>
        <w:rPr>
          <w:i/>
          <w:sz w:val="20"/>
        </w:rPr>
        <w:t>EN: Physics-guided semantic source free adaptation for fast-charging batteries degradation prognosis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202">
        <w:r>
          <w:rPr>
            <w:color w:val="1155CC"/>
            <w:u w:val="single"/>
          </w:rPr>
          <w:t>10.1016/j.apenergy.2026.128504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03">
        <w:r>
          <w:rPr>
            <w:color w:val="1155CC"/>
            <w:u w:val="single"/>
          </w:rPr>
          <w:t>刚性分子三角形作为超快、高选择性跨膜 Li+ 通道</w:t>
        </w:r>
      </w:hyperlink>
    </w:p>
    <w:p>
      <w:pPr>
        <w:spacing w:before="0" w:after="80"/>
      </w:pPr>
      <w:r>
        <w:rPr>
          <w:i/>
          <w:sz w:val="20"/>
        </w:rPr>
        <w:t>EN: A Rigid Molecular Triangle as an Ultrafast and Highly Selective Transmembrane Li+ Channel</w:t>
      </w:r>
    </w:p>
    <w:p>
      <w:pPr>
        <w:spacing w:before="0" w:after="120"/>
      </w:pPr>
      <w:r>
        <w:rPr>
          <w:b/>
        </w:rPr>
        <w:t xml:space="preserve">Source: </w:t>
      </w:r>
      <w:r>
        <w:t>Wiley: Angewandte Chemie International Edition: Table of Contents</w:t>
      </w:r>
      <w:r>
        <w:t xml:space="preserve">    </w:t>
      </w:r>
      <w:r>
        <w:rPr>
          <w:b/>
        </w:rPr>
        <w:t xml:space="preserve">Pub date: </w:t>
      </w:r>
      <w:r>
        <w:t>2026-07-31 08:11:48+00:00</w:t>
      </w:r>
      <w:r>
        <w:t xml:space="preserve">    </w:t>
      </w:r>
      <w:r>
        <w:rPr>
          <w:b/>
        </w:rPr>
        <w:t xml:space="preserve">DOI: </w:t>
      </w:r>
      <w:hyperlink r:id="rId204">
        <w:r>
          <w:rPr>
            <w:color w:val="1155CC"/>
            <w:u w:val="single"/>
          </w:rPr>
          <w:t>10.1002/anie.8622158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工程人工离子通道的一个核心挑战是同时实现高离子传输效率和高选择性。在这项研究中，我们报道了单分子Li</w:t>
      </w:r>
      <w:r>
        <w:t xml:space="preserve"> </w:t>
      </w:r>
      <w:r>
        <w:t>+</w:t>
      </w:r>
      <w:r>
        <w:t xml:space="preserve"> </w:t>
      </w:r>
      <w:r>
        <w:t>基于刚性的通道，C</w:t>
      </w:r>
      <w:r>
        <w:rPr>
          <w:vertAlign w:val="subscript"/>
        </w:rPr>
        <w:t>3</w:t>
      </w:r>
      <w:r>
        <w:t>‐对称均苯四甲酸二酰亚胺分子三角形。该结构的特点是壁高为 2.2 nm，狭窄的 4.1 Å 孔内排列着富电子的羰基氧。单通道测量揭示超快锂</w:t>
      </w:r>
      <w:r>
        <w:t xml:space="preserve"> </w:t>
      </w:r>
      <w:r>
        <w:t>+</w:t>
      </w:r>
      <w:r>
        <w:t xml:space="preserve"> </w:t>
      </w:r>
      <w:r>
        <w:t>传输电导为 57.4 pS，是短杆菌肽 A 介导的 K 的 2.5 倍</w:t>
      </w:r>
      <w:r>
        <w:t xml:space="preserve"> </w:t>
      </w:r>
      <w:r>
        <w:t>+</w:t>
      </w:r>
      <w:r>
        <w:t xml:space="preserve"> </w:t>
      </w:r>
      <w:r>
        <w:t>电导率——以及 Li 的创纪录高选择性比 50.1</w:t>
      </w:r>
      <w:r>
        <w:t xml:space="preserve"> </w:t>
      </w:r>
      <w:r>
        <w:t>+</w:t>
      </w:r>
      <w:r>
        <w:t xml:space="preserve"> </w:t>
      </w:r>
      <w:r>
        <w:t>/钠</w:t>
      </w:r>
      <w:r>
        <w:t xml:space="preserve"> </w:t>
      </w:r>
      <w:r>
        <w:t>+</w:t>
      </w:r>
      <w:r>
        <w:t xml:space="preserve"> </w:t>
      </w:r>
      <w:r>
        <w:t>李 171.4</w:t>
      </w:r>
      <w:r>
        <w:t xml:space="preserve"> </w:t>
      </w:r>
      <w:r>
        <w:t>+</w:t>
      </w:r>
      <w:r>
        <w:t xml:space="preserve"> </w:t>
      </w:r>
      <w:r>
        <w:t>/K</w:t>
      </w:r>
      <w:r>
        <w:t xml:space="preserve"> </w:t>
      </w:r>
      <w:r>
        <w:t>+</w:t>
      </w:r>
      <w:r>
        <w:t xml:space="preserve"> </w:t>
      </w:r>
      <w:r>
        <w:t>。这些性能指标使该系统跻身最高效和选择性最高的人工锂系统之列。</w:t>
      </w:r>
      <w:r>
        <w:t xml:space="preserve"> </w:t>
      </w:r>
      <w:r>
        <w:t>+</w:t>
      </w:r>
      <w:r>
        <w:t xml:space="preserve"> </w:t>
      </w:r>
      <w:r>
        <w:t>迄今为止报道的渠道，同时为李建立多功能分子平台</w:t>
      </w:r>
      <w:r>
        <w:t xml:space="preserve"> </w:t>
      </w:r>
      <w:r>
        <w:t>+</w:t>
      </w:r>
      <w:r>
        <w:t xml:space="preserve"> </w:t>
      </w:r>
      <w:r>
        <w:t>‐选择性膜和靶向治疗。</w:t>
      </w:r>
    </w:p>
    <w:p>
      <w:pPr>
        <w:spacing w:before="0" w:after="200" w:lineRule="auto" w:line="276"/>
      </w:pPr>
      <w:r>
        <w:rPr>
          <w:b/>
        </w:rPr>
        <w:t xml:space="preserve">Abstract (EN): </w:t>
      </w:r>
      <w:r>
        <w:t>A central challenge in engineering artificial ion channels is the simultaneous achievement of high ion transport efficiency and high selectivity. In this study, we report a unimolecular Li</w:t>
      </w:r>
      <w:r>
        <w:t xml:space="preserve"> </w:t>
      </w:r>
      <w:r>
        <w:t>+</w:t>
      </w:r>
      <w:r>
        <w:t xml:space="preserve"> </w:t>
      </w:r>
      <w:r>
        <w:t>channel based on a rigid, C</w:t>
      </w:r>
      <w:r>
        <w:rPr>
          <w:vertAlign w:val="subscript"/>
        </w:rPr>
        <w:t>3</w:t>
      </w:r>
      <w:r>
        <w:t>‐symmetric pyromellitic diimide molecular triangle. The structure features a defined wall height of 2.2 nm and a narrow 4.1 Å pore lined with electron‐rich carbonyl oxygens. Single‐channel measurements reveal ultrafast Li</w:t>
      </w:r>
      <w:r>
        <w:t xml:space="preserve"> </w:t>
      </w:r>
      <w:r>
        <w:t>+</w:t>
      </w:r>
      <w:r>
        <w:t xml:space="preserve"> </w:t>
      </w:r>
      <w:r>
        <w:t>transport with a conductance of 57.4 pS—2.5 times that of gramicidin A‐mediated K</w:t>
      </w:r>
      <w:r>
        <w:t xml:space="preserve"> </w:t>
      </w:r>
      <w:r>
        <w:t>+</w:t>
      </w:r>
      <w:r>
        <w:t xml:space="preserve"> </w:t>
      </w:r>
      <w:r>
        <w:t>conductance—alongside the record‐high selectivity ratios of 50.1 for Li</w:t>
      </w:r>
      <w:r>
        <w:t xml:space="preserve"> </w:t>
      </w:r>
      <w:r>
        <w:t>+</w:t>
      </w:r>
      <w:r>
        <w:t xml:space="preserve"> </w:t>
      </w:r>
      <w:r>
        <w:t>/Na</w:t>
      </w:r>
      <w:r>
        <w:t xml:space="preserve"> </w:t>
      </w:r>
      <w:r>
        <w:t>+</w:t>
      </w:r>
      <w:r>
        <w:t xml:space="preserve"> </w:t>
      </w:r>
      <w:r>
        <w:t>and 171.4 for Li</w:t>
      </w:r>
      <w:r>
        <w:t xml:space="preserve"> </w:t>
      </w:r>
      <w:r>
        <w:t>+</w:t>
      </w:r>
      <w:r>
        <w:t xml:space="preserve"> </w:t>
      </w:r>
      <w:r>
        <w:t>/K</w:t>
      </w:r>
      <w:r>
        <w:t xml:space="preserve"> </w:t>
      </w:r>
      <w:r>
        <w:t>+</w:t>
      </w:r>
      <w:r>
        <w:t xml:space="preserve"> </w:t>
      </w:r>
      <w:r>
        <w:t>. These performance metrics place this system among the most efficient and selective artificial Li</w:t>
      </w:r>
      <w:r>
        <w:t xml:space="preserve"> </w:t>
      </w:r>
      <w:r>
        <w:t>+</w:t>
      </w:r>
      <w:r>
        <w:t xml:space="preserve"> </w:t>
      </w:r>
      <w:r>
        <w:t>channels reported to date, while establishing a versatile molecular platform for Li</w:t>
      </w:r>
      <w:r>
        <w:t xml:space="preserve"> </w:t>
      </w:r>
      <w:r>
        <w:t>+</w:t>
      </w:r>
      <w:r>
        <w:t xml:space="preserve"> </w:t>
      </w:r>
      <w:r>
        <w:t>‐selective membranes and targeted therapeutics.</w:t>
      </w:r>
    </w:p>
    <w:p>
      <w:pPr>
        <w:spacing w:before="120" w:after="120"/>
      </w:pPr>
      <w:r>
        <w:rPr>
          <w:sz w:val="18"/>
        </w:rPr>
        <w:t>——————————————————————————————————————————————————————————————————————</w:t>
      </w:r>
    </w:p>
    <w:p>
      <w:pPr>
        <w:spacing w:before="160" w:after="40" w:line="240" w:lineRule="auto"/>
      </w:pPr>
      <w:r>
        <w:rPr>
          <w:b/>
        </w:rPr>
        <w:t xml:space="preserve">[8] </w:t>
      </w:r>
      <w:hyperlink r:id="rId205">
        <w:r>
          <w:rPr>
            <w:color w:val="1155CC"/>
            <w:u w:val="single"/>
          </w:rPr>
          <w:t>可靠性引导的监督和轨迹学习框架，用于根据现场数据对电动汽车电池组进行健康监测和长期预测</w:t>
        </w:r>
      </w:hyperlink>
    </w:p>
    <w:p>
      <w:pPr>
        <w:spacing w:before="0" w:after="80"/>
      </w:pPr>
      <w:r>
        <w:rPr>
          <w:i/>
          <w:sz w:val="20"/>
        </w:rPr>
        <w:t>EN: A reliability-guided supervision and trajectory learning framework for health monitoring and Long-term prognostics of electric vehicle battery packs from field data</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206">
        <w:r>
          <w:rPr>
            <w:color w:val="1155CC"/>
            <w:u w:val="single"/>
          </w:rPr>
          <w:t>10.1016/j.apenergy.2026.128522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07">
        <w:r>
          <w:rPr>
            <w:color w:val="1155CC"/>
            <w:u w:val="single"/>
          </w:rPr>
          <w:t>嵌入 CuOx/TiO2 的氮掺杂碳纳米纤维用于室温下 ppb 级 H2 传感，用于锂离子电池热失控的潜在应用</w:t>
        </w:r>
      </w:hyperlink>
    </w:p>
    <w:p>
      <w:pPr>
        <w:spacing w:before="0" w:after="80"/>
      </w:pPr>
      <w:r>
        <w:rPr>
          <w:i/>
          <w:sz w:val="20"/>
        </w:rPr>
        <w:t>EN: Nitrogen-Doped Carbon Nanofibers Embedded with CuOx/TiO2 for ppb-Level H2 Sensing at Room Temperature for Potential Application of Lithium-ion Battery Thermal Runaway</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08">
        <w:r>
          <w:rPr>
            <w:color w:val="1155CC"/>
            <w:u w:val="single"/>
          </w:rPr>
          <w:t>10.1021/acsami.6c11411</w:t>
        </w:r>
      </w:hyperlink>
    </w:p>
    <w:p>
      <w:pPr>
        <w:spacing w:before="0" w:after="120"/>
      </w:pPr>
      <w:r>
        <w:rPr>
          <w:b/>
        </w:rPr>
        <w:t xml:space="preserve">Notes: </w:t>
      </w:r>
      <w:r>
        <w:t>abstract_source=crossref</w:t>
      </w:r>
    </w:p>
    <w:p>
      <w:pPr>
        <w:spacing w:before="0" w:after="80" w:lineRule="auto" w:line="276"/>
      </w:pPr>
      <w:r>
        <w:rPr>
          <w:b/>
        </w:rPr>
        <w:t xml:space="preserve">摘要（ZH）: </w:t>
      </w:r>
      <w:r>
        <w:t>摘要 检测电池组的氢气（H2）释放对于电池热失控的早期预警至关重要。本文采用高效的MOF模板策略制备了空心八面体CuOx/TiO2，并通过静电纺丝设计了嵌入CuOx/TiO2的氮（N）掺杂碳（C）纳米纤维，即CuOx/TiO2@NCFs。基于MOF模板形成的空心异质结（CuOx/TiO2）可以降低TiO2中载流子的复合率，DFT计算表明异质结处发生电荷转移，电子大量从TiO2迁移到CuO，显着增强了TiO2表面吸附H2的能力。同时，由 CuOx/TiO2 和 PAN 组成的纳米纤维含有大量的氮和碳。引入的N原子可以激活相邻的C原子，由N掺杂的C纳米纤维构建的3D框架表现出极强的电子传输能力。在 4.0:1 的最佳 TiO2:PAN 比例下，该传感器对 10 ppm H2 的响应率为 48%，并且可以在室温下检测低至 20 ppb 的 H2，这是监测 LIB 热失控的潜在竞争候选者。</w:t>
      </w:r>
    </w:p>
    <w:p>
      <w:pPr>
        <w:spacing w:before="0" w:after="200" w:lineRule="auto" w:line="276"/>
      </w:pPr>
      <w:r>
        <w:rPr>
          <w:b/>
        </w:rPr>
        <w:t xml:space="preserve">Abstract (EN): </w:t>
      </w:r>
      <w:r>
        <w:t>It is crucial to detect hydrogen (H2) release from battery packs to provide early warning of battery thermal runaway. In this article, the hollow octahedral CuOx/TiO2 were prepared using an efficient MOF template strategy, and nitrogen (N) -doped carbon (C) nanofibers embedded with CuOx/TiO2 were designed by electrospinning, which were CuOx/TiO2@NCFs. The hollow heterojunctions (CuOx/TiO2) formed based on MOF templates can reduce the recombination rate of carriers in TiO2, and DFT calculations reveal charge transfer occurring at the heterojunction, with a substantial migration of electrons from TiO2 to CuO, significantly enhancing the ability of TiO2 surface to adsorb H2. Simultaneously, the nanofibers composed of CuOx/TiO2 and PAN contain substantial amounts of nitrogen and carbon. The introduced N atoms can activate the adjacent C atoms, the 3D framework constructed from N-doped C nanofibers exhibits extremely strong electron transport capability. At the optimal TiO2:PAN ratio of 4.0:1, the sensor achieves the response of 48% toward 10 ppm H2, and can detect as low as 20 ppb H2 at room temperature, which is a potential competitive candidate for monitoring LIBs thermal runaway.</w:t>
      </w:r>
    </w:p>
    <w:p>
      <w:pPr>
        <w:spacing w:before="120" w:after="120"/>
      </w:pPr>
      <w:r>
        <w:rPr>
          <w:sz w:val="18"/>
        </w:rPr>
        <w:t>——————————————————————————————————————————————————————————————————————</w:t>
      </w:r>
    </w:p>
    <w:p>
      <w:pPr>
        <w:spacing w:before="160" w:after="40" w:line="240" w:lineRule="auto"/>
      </w:pPr>
      <w:r>
        <w:rPr>
          <w:b/>
        </w:rPr>
        <w:t xml:space="preserve">[10] </w:t>
      </w:r>
      <w:hyperlink r:id="rId209">
        <w:r>
          <w:rPr>
            <w:color w:val="1155CC"/>
            <w:u w:val="single"/>
          </w:rPr>
          <w:t>磷酸盐柱高熵 MXene 分离器可实现离子筛分、阻燃和能量/功率密集的锂金属软包电池</w:t>
        </w:r>
      </w:hyperlink>
    </w:p>
    <w:p>
      <w:pPr>
        <w:spacing w:before="0" w:after="80"/>
      </w:pPr>
      <w:r>
        <w:rPr>
          <w:i/>
          <w:sz w:val="20"/>
        </w:rPr>
        <w:t>EN: Phosphonate‐Pillared High‐Entropy MXene Separator Enabling Ion‐Sieving, Flame‐Retardant, and Energy/Power‐Dense Lithium Metal Pouch Cells</w:t>
      </w:r>
    </w:p>
    <w:p>
      <w:pPr>
        <w:spacing w:before="0" w:after="120"/>
      </w:pPr>
      <w:r>
        <w:rPr>
          <w:b/>
        </w:rPr>
        <w:t xml:space="preserve">Source: </w:t>
      </w:r>
      <w:r>
        <w:t>Wiley: Advanced Materials: Table of Contents</w:t>
      </w:r>
      <w:r>
        <w:t xml:space="preserve">    </w:t>
      </w:r>
      <w:r>
        <w:rPr>
          <w:b/>
        </w:rPr>
        <w:t xml:space="preserve">Pub date: </w:t>
      </w:r>
      <w:r>
        <w:t>2026-08-04 13:13:56+00:00</w:t>
      </w:r>
      <w:r>
        <w:t xml:space="preserve">    </w:t>
      </w:r>
      <w:r>
        <w:rPr>
          <w:b/>
        </w:rPr>
        <w:t xml:space="preserve">DOI: </w:t>
      </w:r>
      <w:hyperlink r:id="rId210">
        <w:r>
          <w:rPr>
            <w:color w:val="1155CC"/>
            <w:u w:val="single"/>
          </w:rPr>
          <w:t>10.1002/adma.74494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富镍阴极与锂金属阳极耦合为高能量密度电池提供了一条引人注目的途径，但阴极溶解产生的阳离子串扰会破坏阳极界面的稳定性，加速枝晶突出，并可能引发热失控。在此，我们报告了一种基于膦酸柱高熵（HE）MXene（TiVNbMoC）的离子筛分阻燃分离器</w:t>
      </w:r>
      <w:r>
        <w:rPr>
          <w:vertAlign w:val="subscript"/>
        </w:rPr>
        <w:t>3</w:t>
      </w:r>
      <w:r>
        <w:t>/Tppm）解决这些耦合故障模式的功能层。通过拓扑剥落，四磷酸盐（TppmH</w:t>
      </w:r>
      <w:r>
        <w:rPr>
          <w:vertAlign w:val="subscript"/>
        </w:rPr>
        <w:t>8</w:t>
      </w:r>
      <w:r>
        <w:t>) 配体作为分子支柱来扩展 TiVNbMoC</w:t>
      </w:r>
      <w:r>
        <w:rPr>
          <w:vertAlign w:val="subscript"/>
        </w:rPr>
        <w:t>3</w:t>
      </w:r>
      <w:r>
        <w:t>层间距达到 18.5 Å，使得少层（&lt; 5 层）纳米片的产率达到 95%。 HE架构构建快速且同构的Li</w:t>
      </w:r>
      <w:r>
        <w:t xml:space="preserve"> </w:t>
      </w:r>
      <w:r>
        <w:t>+</w:t>
      </w:r>
      <w:r>
        <w:t xml:space="preserve"> </w:t>
      </w:r>
      <w:r>
        <w:t>扩散势垒为 0.179 eV 的传导路径，同时隔离 82% 溶解的过渡金属。复合隔膜提供了Li</w:t>
      </w:r>
      <w:r>
        <w:t xml:space="preserve"> </w:t>
      </w:r>
      <w:r>
        <w:t>+</w:t>
      </w:r>
      <w:r>
        <w:t xml:space="preserve"> </w:t>
      </w:r>
      <w:r>
        <w:t>迁移数为 0.77，拉伸强度为 95.17 MPa，热稳定性为 180°C。受调节的纳米通道还促进锂金属阳极稳定的界面化学。在贫电解质条件下的 1.0 Ah NCM811||Li 软包电池中，200 次循环后容量保持率为 87.1%，重量/体积能量密度为 411.8 Wh kg</w:t>
      </w:r>
      <w:r>
        <w:t xml:space="preserve"> </w:t>
      </w:r>
      <w:r>
        <w:t>−1</w:t>
      </w:r>
      <w:r>
        <w:t xml:space="preserve"> </w:t>
      </w:r>
      <w:r>
        <w:t>/838.2 瓦时长</w:t>
      </w:r>
      <w:r>
        <w:t xml:space="preserve"> </w:t>
      </w:r>
      <w:r>
        <w:t>−1</w:t>
      </w:r>
      <w:r>
        <w:t xml:space="preserve"> </w:t>
      </w:r>
      <w:r>
        <w:t>，和一个p</w:t>
      </w:r>
    </w:p>
    <w:p>
      <w:pPr>
        <w:spacing w:before="0" w:after="200" w:lineRule="auto" w:line="276"/>
      </w:pPr>
      <w:r>
        <w:rPr>
          <w:b/>
        </w:rPr>
        <w:t xml:space="preserve">Abstract (EN): </w:t>
      </w:r>
      <w:r>
        <w:t>Coupling Ni‐rich cathodes with lithium metal anodes offers a compelling route to high‐energy‐density batteries, yet cation crosstalk from cathode dissolution destabilizes the anode interface, accelerates dendritic protrusion, and can trigger thermal runaway. Herein, we report an ion‐sieving, flame‐retardant separator based on a phosphonate‐pillared high‐entropy (HE) MXene (TiVNbMoC</w:t>
      </w:r>
      <w:r>
        <w:rPr>
          <w:vertAlign w:val="subscript"/>
        </w:rPr>
        <w:t>3</w:t>
      </w:r>
      <w:r>
        <w:t>/Tppm) functional layer that addresses these coupled failure modes. Through topological exfoliation, tetraphosphonate (TppmH</w:t>
      </w:r>
      <w:r>
        <w:rPr>
          <w:vertAlign w:val="subscript"/>
        </w:rPr>
        <w:t>8</w:t>
      </w:r>
      <w:r>
        <w:t>) ligands act as molecular pillars to expand the TiVNbMoC</w:t>
      </w:r>
      <w:r>
        <w:rPr>
          <w:vertAlign w:val="subscript"/>
        </w:rPr>
        <w:t>3</w:t>
      </w:r>
      <w:r>
        <w:t>interlamellar spacing to 18.5 Å, enabling a 95% yield of few‐layer (&amp;lt; 5 layers) nanosheets. The HE architecture constructs rapid and homogeneous Li</w:t>
      </w:r>
      <w:r>
        <w:t xml:space="preserve"> </w:t>
      </w:r>
      <w:r>
        <w:t>+</w:t>
      </w:r>
      <w:r>
        <w:t xml:space="preserve"> </w:t>
      </w:r>
      <w:r>
        <w:t>conduction pathways with a diffusion barrier of 0.179 eV while sequestering 82% of dissolved transition metals. The composite separator delivers an Li</w:t>
      </w:r>
      <w:r>
        <w:t xml:space="preserve"> </w:t>
      </w:r>
      <w:r>
        <w:t>+</w:t>
      </w:r>
      <w:r>
        <w:t xml:space="preserve"> </w:t>
      </w:r>
      <w:r>
        <w:t>transference number of 0.77, tensile strength of 95.17 MPa, and thermal stability at 180°C. The regulated nanochannels also facilitate stable interfacial chemistry at the Li‐metal anode. In 1.0 Ah NCM811||Li pouch cells under lean‐electrolyte conditions, it achieves 87.1% capacity retention after 200 cycles, gravimetric/volumetric energy densities of 411.8 Wh kg</w:t>
      </w:r>
      <w:r>
        <w:t xml:space="preserve"> </w:t>
      </w:r>
      <w:r>
        <w:t>−1</w:t>
      </w:r>
      <w:r>
        <w:t xml:space="preserve"> </w:t>
      </w:r>
      <w:r>
        <w:t>/838.2 Wh L</w:t>
      </w:r>
      <w:r>
        <w:t xml:space="preserve"> </w:t>
      </w:r>
      <w:r>
        <w:t>−1</w:t>
      </w:r>
      <w:r>
        <w:t xml:space="preserve"> </w:t>
      </w:r>
      <w:r>
        <w:t>, and a power density of 1127.0 W kg</w:t>
      </w:r>
      <w:r>
        <w:t xml:space="preserve"> </w:t>
      </w:r>
      <w:r>
        <w:t>−1</w:t>
      </w:r>
      <w:r>
        <w:t xml:space="preserve"> </w:t>
      </w:r>
      <w:r>
        <w:t>. Phosphonate‐derived PO· radicals and MXene‐derived ceramic char synergistically suppress thermal propagation, enabling stable operation during thermal chamber testing.</w:t>
      </w:r>
    </w:p>
    <w:p>
      <w:pPr>
        <w:spacing w:before="120" w:after="120"/>
      </w:pPr>
      <w:r>
        <w:rPr>
          <w:sz w:val="18"/>
        </w:rPr>
        <w:t>——————————————————————————————————————————————————————————————————————</w:t>
      </w:r>
    </w:p>
    <w:p>
      <w:pPr>
        <w:spacing w:before="160" w:after="40" w:line="240" w:lineRule="auto"/>
      </w:pPr>
      <w:r>
        <w:rPr>
          <w:b/>
        </w:rPr>
        <w:t xml:space="preserve">[11] </w:t>
      </w:r>
      <w:hyperlink r:id="rId211">
        <w:r>
          <w:rPr>
            <w:color w:val="1155CC"/>
            <w:u w:val="single"/>
          </w:rPr>
          <w:t>通过动态沉积化学实现体积能量密度为 600 Wh/L 的无电极纤维电池</w:t>
        </w:r>
      </w:hyperlink>
    </w:p>
    <w:p>
      <w:pPr>
        <w:spacing w:before="0" w:after="80"/>
      </w:pPr>
      <w:r>
        <w:rPr>
          <w:i/>
          <w:sz w:val="20"/>
        </w:rPr>
        <w:t>EN: An Electrode‐Less Fiber Battery With 600 Wh/L‐Level Volumetric Energy Density Enabled by Dynamic Deposition Chemistry</w:t>
      </w:r>
    </w:p>
    <w:p>
      <w:pPr>
        <w:spacing w:before="0" w:after="120"/>
      </w:pPr>
      <w:r>
        <w:rPr>
          <w:b/>
        </w:rPr>
        <w:t xml:space="preserve">Source: </w:t>
      </w:r>
      <w:r>
        <w:t>Wiley: Advanced Materials: Table of Contents</w:t>
      </w:r>
      <w:r>
        <w:t xml:space="preserve">    </w:t>
      </w:r>
      <w:r>
        <w:rPr>
          <w:b/>
        </w:rPr>
        <w:t xml:space="preserve">Pub date: </w:t>
      </w:r>
      <w:r>
        <w:t>2026-08-04 13:26:15+00:00</w:t>
      </w:r>
      <w:r>
        <w:t xml:space="preserve">    </w:t>
      </w:r>
      <w:r>
        <w:rPr>
          <w:b/>
        </w:rPr>
        <w:t xml:space="preserve">DOI: </w:t>
      </w:r>
      <w:hyperlink r:id="rId212">
        <w:r>
          <w:rPr>
            <w:color w:val="1155CC"/>
            <w:u w:val="single"/>
          </w:rPr>
          <w:t>10.1002/adma.74443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水性纤维电池由于其固有的安全性、低成本和环境友好性，对于下一代可穿戴电子产品至关重要。然而，由于预涂层纤维电极固有的空间利用率不足和灵活性有限的矛盾，其体积能量密度较低（&lt;100 Wh/L），严重阻碍了其实际应用。在这里，我们引入了一种基于动态沉积化学的超薄无电极纤维电池，以将体积能量密度与机械鲁棒性分离。该电池通过动态沉积化学将氧化还原活性材料直接溶解到电解质中，解决了预涂层纤维电池的核心低效率问题，从而消除了对预涂层电极的需要。这种内在设计最大限度地减少了非活性材料的体积，并有利于操作过程中的按需电化学沉积。因此，所得纤维电池实现了 612 Wh/L 的高体积能量密度和 130 µm 的超薄直径。此外，与预涂层同类产品相比，其动态刚度降低了三个数量级。这项研究揭示了一种具有高体积能量密度的纤维电池的新技术途径。同时，它建立了一种新颖、材料高效的架构范例，可以无缝集成到高性能纺织品中，从而实现未来的可穿戴设备。</w:t>
      </w:r>
    </w:p>
    <w:p>
      <w:pPr>
        <w:spacing w:before="0" w:after="200" w:lineRule="auto" w:line="276"/>
      </w:pPr>
      <w:r>
        <w:rPr>
          <w:b/>
        </w:rPr>
        <w:t xml:space="preserve">Abstract (EN): </w:t>
      </w:r>
      <w:r>
        <w:t>Aqueous fiber batteries are essential for next‐generation wearable electronics due to their inherent safety, low cost, and environmental friendliness. However, the low volumetric energy density (&amp;lt;100 Wh/L), stemming from the contradiction of insufficient spatial utilization and limited flexibility inherent to the pre‐coated fiber electrodes, significantly hinders their practical applications. Here, we introduce an ultrathin, electrode‐less fiber battery based on the dynamic deposition chemistry to decouple volumetric energy density from mechanical robustness. This battery addresses the core inefficiency of pre‐coated fiber batteries through dynamic deposition chemistry that dissolves redox‐active materials directly into the electrolyte, thereby eliminating the need for pre‐coated electrodes. This intrinsic design minimizes inactive material volume and facilitates on‐demand electrochemical deposition during operation. Thus, the resulting fiber battery achieves a high volumetric energy density of 612 Wh/L and an ultrathin diameter of 130 µm. Furthermore, its dynamic stiffness is reduced by three orders of magnitude compared to pre‐coated counterparts. This study unveils a new technological pathway for fiber batteries with high volumetric energy density. Simultaneously, it establishes a novel, material‐efficient architectural paradigm that seamlessly integrates into high‐performance textiles, enabling future wearable devices.</w:t>
      </w:r>
    </w:p>
    <w:p>
      <w:pPr>
        <w:spacing w:before="120" w:after="120"/>
      </w:pPr>
      <w:r>
        <w:rPr>
          <w:sz w:val="18"/>
        </w:rPr>
        <w:t>——————————————————————————————————————————————————————————————————————</w:t>
      </w:r>
    </w:p>
    <w:p>
      <w:pPr>
        <w:spacing w:before="160" w:after="40" w:line="240" w:lineRule="auto"/>
      </w:pPr>
      <w:r>
        <w:rPr>
          <w:b/>
        </w:rPr>
        <w:t xml:space="preserve">[12] </w:t>
      </w:r>
      <w:hyperlink r:id="rId178">
        <w:r>
          <w:rPr>
            <w:color w:val="1155CC"/>
            <w:u w:val="single"/>
          </w:rPr>
          <w:t>摆脱高堆栈压力的轻质全固态软包电池</w:t>
        </w:r>
      </w:hyperlink>
    </w:p>
    <w:p>
      <w:pPr>
        <w:spacing w:before="0" w:after="80"/>
      </w:pPr>
      <w:r>
        <w:rPr>
          <w:i/>
          <w:sz w:val="20"/>
        </w:rPr>
        <w:t>EN: Lightweight All‐Solid‐State Pouch Cells Freed from High Stack Pressure</w:t>
      </w:r>
    </w:p>
    <w:p>
      <w:pPr>
        <w:spacing w:before="0" w:after="120"/>
      </w:pPr>
      <w:r>
        <w:rPr>
          <w:b/>
        </w:rPr>
        <w:t xml:space="preserve">Source: </w:t>
      </w:r>
      <w:r>
        <w:t>Wiley: Advanced Materials: Table of Contents</w:t>
      </w:r>
      <w:r>
        <w:t xml:space="preserve">    </w:t>
      </w:r>
      <w:r>
        <w:rPr>
          <w:b/>
        </w:rPr>
        <w:t xml:space="preserve">Pub date: </w:t>
      </w:r>
      <w:r>
        <w:t>2026-08-04 14:14:16+00:00</w:t>
      </w:r>
      <w:r>
        <w:t xml:space="preserve">    </w:t>
      </w:r>
      <w:r>
        <w:rPr>
          <w:b/>
        </w:rPr>
        <w:t xml:space="preserve">DOI: </w:t>
      </w:r>
      <w:hyperlink r:id="rId179">
        <w:r>
          <w:rPr>
            <w:color w:val="1155CC"/>
            <w:u w:val="single"/>
          </w:rPr>
          <w:t>10.1002/adma.74465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2011年以来，一些硫化物和卤化物基固态电解质（SSE）的离子电导率已经达到与液体电解质相当的水平。全球许多公司提出了多种技术途径来实现超长行驶里程的电动汽车的商业化。然而，全固态电池（ASSB）的实际车辆应用仍然充满挑战和不确定性。主要障碍之一是对高堆压的要求，这通常依赖于重金属板，从而降低了模块电池的整体能量密度。该视角将实用的全固态软包电池（ASSPC）与传统液体电池进行比较，以分析电堆压力要求的根源。该分析从材料、界面和结构的角度进行，揭示了这一限制背后的关键因素。随后，提出了将第一阶段烟囱压力从目前的 20 MPa 降低到 5 MPa 的策略，并最终目标降低到 2 MPa。还计算了电堆压力对电池到模块能量密度效率的影响并进行定量分析。这些见解提供了从 ASSPC 设计到模块级压力管理的实用建议。</w:t>
      </w:r>
    </w:p>
    <w:p>
      <w:pPr>
        <w:spacing w:before="0" w:after="200" w:lineRule="auto" w:line="276"/>
      </w:pPr>
      <w:r>
        <w:rPr>
          <w:b/>
        </w:rPr>
        <w:t xml:space="preserve">Abstract (EN): </w:t>
      </w:r>
      <w:r>
        <w:t>Since 2011, ionic conductivity of some sulfide‐ and halide‐based solid‐state electrolytes (SSEs) have already reached a level comparable to that of liquid electrolytes. Numerous companies worldwide have proposed diverse technical pathways for commercializing electric vehicles with ultra‐long driving ranges. However, the practical vehicular application of all‐solid‐state batteries (ASSBs) remains highly challenging and uncertain. One of the major obstacles is the requirement for high stack pressure, which typically relies on heavy metallic plates and thereby reduces the overall energy density of the module battery. This perspective compares practical all‐solid‐state pouch cells (ASSPCs) with conventional liquid batteries to analyze the origins of stack pressure requirements. The analysis is conducted from material, interfacial, and structural viewpoints, revealing the critical factors underlying this limitation. Subsequently, strategies are proposed to mitigate stack pressure from the current 20 MPa to 5 MPa for the first stage and to 2 MPa as the final target. The effect of stack pressure on cell‐to‐module energy density efficiency is also calculated to quantitative analysis. These insights provide practical suggestion from ASSPCs design to module‐level pressure management.</w:t>
      </w:r>
    </w:p>
    <w:p>
      <w:pPr>
        <w:spacing w:before="120" w:after="120"/>
      </w:pPr>
      <w:r>
        <w:rPr>
          <w:sz w:val="18"/>
        </w:rPr>
        <w:t>——————————————————————————————————————————————————————————————————————</w:t>
      </w:r>
    </w:p>
    <w:p>
      <w:pPr>
        <w:spacing w:before="160" w:after="40" w:line="240" w:lineRule="auto"/>
      </w:pPr>
      <w:r>
        <w:rPr>
          <w:b/>
        </w:rPr>
        <w:t xml:space="preserve">[13] </w:t>
      </w:r>
      <w:hyperlink r:id="rId213">
        <w:r>
          <w:rPr>
            <w:color w:val="1155CC"/>
            <w:u w:val="single"/>
          </w:rPr>
          <w:t>通过半监督对比表示学习进行不平衡稳健的退役电池分类</w:t>
        </w:r>
      </w:hyperlink>
    </w:p>
    <w:p>
      <w:pPr>
        <w:spacing w:before="0" w:after="80"/>
      </w:pPr>
      <w:r>
        <w:rPr>
          <w:i/>
          <w:sz w:val="20"/>
        </w:rPr>
        <w:t>EN: Imbalance-robust retired battery sorting via semi-supervised contrastive representation learning</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14">
        <w:r>
          <w:rPr>
            <w:color w:val="1155CC"/>
            <w:u w:val="single"/>
          </w:rPr>
          <w:t>10.1016/j.apenergy.2026.128594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15">
        <w:r>
          <w:rPr>
            <w:color w:val="1155CC"/>
            <w:u w:val="single"/>
          </w:rPr>
          <w:t>考虑可再生微电网相互作用的电动公交车运行和电池充电联合优化</w:t>
        </w:r>
      </w:hyperlink>
    </w:p>
    <w:p>
      <w:pPr>
        <w:spacing w:before="0" w:after="80"/>
      </w:pPr>
      <w:r>
        <w:rPr>
          <w:i/>
          <w:sz w:val="20"/>
        </w:rPr>
        <w:t>EN: Joint optimization of electric bus operation and battery charging considering renewable microgrid interactions</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16">
        <w:r>
          <w:rPr>
            <w:color w:val="1155CC"/>
            <w:u w:val="single"/>
          </w:rPr>
          <w:t>10.1016/j.apenergy.2026.128588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17">
        <w:r>
          <w:rPr>
            <w:color w:val="1155CC"/>
            <w:u w:val="single"/>
          </w:rPr>
          <w:t>原位界面重构为无阳极钠金属电池提供亲钠和离子导电集电器</w:t>
        </w:r>
      </w:hyperlink>
    </w:p>
    <w:p>
      <w:pPr>
        <w:spacing w:before="0" w:after="80"/>
      </w:pPr>
      <w:r>
        <w:rPr>
          <w:i/>
          <w:sz w:val="20"/>
        </w:rPr>
        <w:t>EN: In Situ Interfacial Reconstruction Enables Sodiophilic and Ion‐Conductive Current Collectors for Anode‐Free Sodium Metal Batteries</w:t>
      </w:r>
    </w:p>
    <w:p>
      <w:pPr>
        <w:spacing w:before="0" w:after="120"/>
      </w:pPr>
      <w:r>
        <w:rPr>
          <w:b/>
        </w:rPr>
        <w:t xml:space="preserve">Source: </w:t>
      </w:r>
      <w:r>
        <w:t>Wiley: Advanced Energy Materials: Table of Contents</w:t>
      </w:r>
      <w:r>
        <w:t xml:space="preserve">    </w:t>
      </w:r>
      <w:r>
        <w:rPr>
          <w:b/>
        </w:rPr>
        <w:t xml:space="preserve">Pub date: </w:t>
      </w:r>
      <w:r>
        <w:t>2026-08-05 06:21:28+00:00</w:t>
      </w:r>
      <w:r>
        <w:t xml:space="preserve">    </w:t>
      </w:r>
      <w:r>
        <w:rPr>
          <w:b/>
        </w:rPr>
        <w:t xml:space="preserve">DOI: </w:t>
      </w:r>
      <w:hyperlink r:id="rId218">
        <w:r>
          <w:rPr>
            <w:color w:val="1155CC"/>
            <w:u w:val="single"/>
          </w:rPr>
          <w:t>10.1002/aenm.71390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无阳极钠金属电池（AFSMB）有望用于高能量密度存储，但受到传统集流体上钠沉积/剥离可逆性较差的限制，其中亲钠性不足和不稳定的界面化学会导致钠沉积不均匀和钠库存快速损失。在这里，通过引入 SnF 在 Al 集流体上开发了原位界面重建策略</w:t>
      </w:r>
      <w:r>
        <w:rPr>
          <w:vertAlign w:val="subscript"/>
        </w:rPr>
        <w:t>2</w:t>
      </w:r>
      <w:r>
        <w:t>成PVDF-HFP层。热压诱导的氧化还原反应形成含有金属 Sn 和 AlF 的预制界面层</w:t>
      </w:r>
      <w:r>
        <w:rPr>
          <w:vertAlign w:val="subscript"/>
        </w:rPr>
        <w:t>3</w:t>
      </w:r>
      <w:r>
        <w:t>，在初始钠化过程中进一步演变为富含 NaF 的有机/无机复合界面。均匀分布的金属Sn位点显着降低了Na成核势垒并促进高密度成核，而富氟界面降低了Na成核势垒。</w:t>
      </w:r>
      <w:r>
        <w:t xml:space="preserve"> </w:t>
      </w:r>
      <w:r>
        <w:t>+</w:t>
      </w:r>
      <w:r>
        <w:t xml:space="preserve"> </w:t>
      </w:r>
      <w:r>
        <w:t>传输势垒并稳定阳极界面。通过成核行为、离子传输和界面稳定性的耦合调节，重构的集电器能够实现致密且高度可逆的钠沉积。结果，非对称电池在 5 mAh cm 下实现了 450 次循环</w:t>
      </w:r>
      <w:r>
        <w:t xml:space="preserve"> </w:t>
      </w:r>
      <w:r>
        <w:t>−2</w:t>
      </w:r>
      <w:r>
        <w:t xml:space="preserve"> </w:t>
      </w:r>
      <w:r>
        <w:t>对称电池的平均 CE 为 99.91%，在 90% 放电深度下可维持稳定循环超过 1300 小时，AFSMB 提供 84% 的容量保持率和 330 Wh kg</w:t>
      </w:r>
      <w:r>
        <w:t xml:space="preserve"> </w:t>
      </w:r>
      <w:r>
        <w:t>−1</w:t>
      </w:r>
      <w:r>
        <w:t xml:space="preserve"> </w:t>
      </w:r>
      <w:r>
        <w:t>在 35.17 m 的阴极负载下</w:t>
      </w:r>
    </w:p>
    <w:p>
      <w:pPr>
        <w:spacing w:before="0" w:after="200" w:lineRule="auto" w:line="276"/>
      </w:pPr>
      <w:r>
        <w:rPr>
          <w:b/>
        </w:rPr>
        <w:t xml:space="preserve">Abstract (EN): </w:t>
      </w:r>
      <w:r>
        <w:t>Anode‐free sodium metal batteries (AFSMBs) are promising for high‐energy‐density storage but are limited by poor Na plating/stripping reversibility on conventional current collectors, where insufficient sodiophilicity and unstable interfacial chemistry induce uneven sodium deposition and rapid sodium inventory loss. Here, an in situ interfacial reconstruction strategy is developed on an Al current collector by introducing SnF</w:t>
      </w:r>
      <w:r>
        <w:rPr>
          <w:vertAlign w:val="subscript"/>
        </w:rPr>
        <w:t>2</w:t>
      </w:r>
      <w:r>
        <w:t>into a PVDF‐HFP layer. A hot‐pressing‐induced redox reaction forms a prefabricated interfacial layer containing metallic Sn and AlF</w:t>
      </w:r>
      <w:r>
        <w:rPr>
          <w:vertAlign w:val="subscript"/>
        </w:rPr>
        <w:t>3</w:t>
      </w:r>
      <w:r>
        <w:t>, which further evolves during initial sodiation into a NaF‐rich organic/inorganic composite interphase. The uniformly distributed metallic Sn sites markedly reduce the Na nucleation barrier and promote high‐density nucleation, while the fluorine‐rich interphase lowers the Na</w:t>
      </w:r>
      <w:r>
        <w:t xml:space="preserve"> </w:t>
      </w:r>
      <w:r>
        <w:t>+</w:t>
      </w:r>
      <w:r>
        <w:t xml:space="preserve"> </w:t>
      </w:r>
      <w:r>
        <w:t>transport barrier and stabilizes the anode interface. Through the coupled regulation of nucleation behavior, ion transport, and interfacial stability, the reconstructed current collector enables dense and highly reversible Na deposition. As a result, asymmetric cells achieve 450 cycles at 5 mAh cm</w:t>
      </w:r>
      <w:r>
        <w:t xml:space="preserve"> </w:t>
      </w:r>
      <w:r>
        <w:t>−2</w:t>
      </w:r>
      <w:r>
        <w:t xml:space="preserve"> </w:t>
      </w:r>
      <w:r>
        <w:t>with an average CE of 99.91%, symmetric cells sustain stable cycling for over 1300 h at 90% depth of discharge, and AFSMBs deliver 84% capacity retention and 330 Wh kg</w:t>
      </w:r>
      <w:r>
        <w:t xml:space="preserve"> </w:t>
      </w:r>
      <w:r>
        <w:t>−1</w:t>
      </w:r>
      <w:r>
        <w:t xml:space="preserve"> </w:t>
      </w:r>
      <w:r>
        <w:t>under a cathode loading of 35.17 mg cm</w:t>
      </w:r>
      <w:r>
        <w:t xml:space="preserve"> </w:t>
      </w:r>
      <w:r>
        <w:t>−2</w:t>
      </w:r>
      <w:r>
        <w:t xml:space="preserve"> </w:t>
      </w:r>
      <w:r>
        <w:t>. This work offers an effective interfacial engineering strategy for practical AFSMBs.</w:t>
      </w:r>
    </w:p>
    <w:p>
      <w:pPr>
        <w:spacing w:before="120" w:after="120"/>
      </w:pPr>
      <w:r>
        <w:rPr>
          <w:sz w:val="18"/>
        </w:rPr>
        <w:t>——————————————————————————————————————————————————————————————————————</w:t>
      </w:r>
    </w:p>
    <w:p>
      <w:pPr>
        <w:spacing w:before="160" w:after="40" w:line="240" w:lineRule="auto"/>
      </w:pPr>
      <w:r>
        <w:rPr>
          <w:b/>
        </w:rPr>
        <w:t xml:space="preserve">[16] </w:t>
      </w:r>
      <w:hyperlink r:id="rId151">
        <w:r>
          <w:rPr>
            <w:color w:val="1155CC"/>
            <w:u w:val="single"/>
          </w:rPr>
          <w:t>高压锂金属电池的铁电偶极子驱动固体电解质相间钝化</w:t>
        </w:r>
      </w:hyperlink>
    </w:p>
    <w:p>
      <w:pPr>
        <w:spacing w:before="0" w:after="80"/>
      </w:pPr>
      <w:r>
        <w:rPr>
          <w:i/>
          <w:sz w:val="20"/>
        </w:rPr>
        <w:t>EN: Ferroelectric Dipole‐Driven Solid‐Electrolyte Interphase Passivation for High‐Voltage Lithium Metal Batteries</w:t>
      </w:r>
    </w:p>
    <w:p>
      <w:pPr>
        <w:spacing w:before="0" w:after="120"/>
      </w:pPr>
      <w:r>
        <w:rPr>
          <w:b/>
        </w:rPr>
        <w:t xml:space="preserve">Source: </w:t>
      </w:r>
      <w:r>
        <w:t>Wiley: Advanced Materials: Table of Contents</w:t>
      </w:r>
      <w:r>
        <w:t xml:space="preserve">    </w:t>
      </w:r>
      <w:r>
        <w:rPr>
          <w:b/>
        </w:rPr>
        <w:t xml:space="preserve">Pub date: </w:t>
      </w:r>
      <w:r>
        <w:t>2026-08-05 10:45:36+00:00</w:t>
      </w:r>
      <w:r>
        <w:t xml:space="preserve">    </w:t>
      </w:r>
      <w:r>
        <w:rPr>
          <w:b/>
        </w:rPr>
        <w:t xml:space="preserve">DOI: </w:t>
      </w:r>
      <w:hyperlink r:id="rId152">
        <w:r>
          <w:rPr>
            <w:color w:val="1155CC"/>
            <w:u w:val="single"/>
          </w:rPr>
          <w:t>10.1002/adma.74496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Li）金属电池（LMB）被认为是下一代高比能量存储设备的有力候选者。然而，界面副反应（ISR）（特别是经常被忽视的化学腐蚀）和锂枝晶导致活性锂严重耗尽，甚至造成安全隐患，严重阻碍了LMB的实际应用。在此，氧空位工程的 BaTiO</w:t>
      </w:r>
      <w:r>
        <w:rPr>
          <w:vertAlign w:val="subscript"/>
        </w:rPr>
        <w:t>3</w:t>
      </w:r>
      <w:r>
        <w:t>预吸附NO</w:t>
      </w:r>
      <w:r>
        <w:rPr>
          <w:vertAlign w:val="subscript"/>
        </w:rPr>
        <w:t>3</w:t>
      </w:r>
      <w:r>
        <w:t>-</w:t>
      </w:r>
      <w:r>
        <w:t>（BTOVN）层集成到聚丙烯隔膜上，通过铁电偶极子选择性降低目标阴离子的能量水平，从而钝化阳极/电解质界面并提高LMB的长期储存和循环稳定性。结合冷冻电子显微镜和多尺度光谱，我们揭示了铁电 BTOVN 层以 NO</w:t>
      </w:r>
      <w:r>
        <w:rPr>
          <w:vertAlign w:val="subscript"/>
        </w:rPr>
        <w:t>3</w:t>
      </w:r>
      <w:r>
        <w:t>-</w:t>
      </w:r>
      <w:r>
        <w:t>到达界面并促进 NO 的还原分解</w:t>
      </w:r>
      <w:r>
        <w:rPr>
          <w:vertAlign w:val="subscript"/>
        </w:rPr>
        <w:t>3</w:t>
      </w:r>
      <w:r>
        <w:t>-</w:t>
      </w:r>
      <w:r>
        <w:t>和PF</w:t>
      </w:r>
      <w:r>
        <w:rPr>
          <w:vertAlign w:val="subscript"/>
        </w:rPr>
        <w:t>6</w:t>
      </w:r>
      <w:r>
        <w:t>-</w:t>
      </w:r>
      <w:r>
        <w:t>形成更薄、更坚韧的富含无机锂的固体电解质界面（SEI）</w:t>
      </w:r>
      <w:r>
        <w:rPr>
          <w:vertAlign w:val="subscript"/>
        </w:rPr>
        <w:t>2</w:t>
      </w:r>
      <w:r>
        <w:t>欧莉</w:t>
      </w:r>
      <w:r>
        <w:rPr>
          <w:vertAlign w:val="subscript"/>
        </w:rPr>
        <w:t>3</w:t>
      </w:r>
      <w:r>
        <w:t>N和LiF，可有效抑制持续的ISR和锂枝晶增殖，同时增强Li</w:t>
      </w:r>
      <w:r>
        <w:t xml:space="preserve"> </w:t>
      </w:r>
      <w:r>
        <w:t>+</w:t>
      </w:r>
      <w:r>
        <w:t xml:space="preserve"> </w:t>
      </w:r>
      <w:r>
        <w:t>运输动力学和相互作用</w:t>
      </w:r>
    </w:p>
    <w:p>
      <w:pPr>
        <w:spacing w:before="0" w:after="200" w:lineRule="auto" w:line="276"/>
      </w:pPr>
      <w:r>
        <w:rPr>
          <w:b/>
        </w:rPr>
        <w:t xml:space="preserve">Abstract (EN): </w:t>
      </w:r>
      <w:r>
        <w:t>High‐voltage lithium (Li) metal batteries (LMBs) are regarded as strong candidates for next‐generation high‐specific‐energy storage devices. However, interfacial side reactions (ISRs) (particularly the often‐overlooked chemical corrosion) and Li dendrite lead to severe depletion of active Li and even pose safety hazards, significantly hindering the practical applications of LMBs. Herein, an oxygen‐vacancy‐engineered BaTiO</w:t>
      </w:r>
      <w:r>
        <w:rPr>
          <w:vertAlign w:val="subscript"/>
        </w:rPr>
        <w:t>3</w:t>
      </w:r>
      <w:r>
        <w:t>pre‐adsorbed with NO</w:t>
      </w:r>
      <w:r>
        <w:rPr>
          <w:vertAlign w:val="subscript"/>
        </w:rPr>
        <w:t>3</w:t>
      </w:r>
      <w:r>
        <w:t>−</w:t>
      </w:r>
      <w:r>
        <w:t>(BTOVN) layer is integrated onto a polypropylene separator to selectively lower the energy level of target anion via ferroelectric dipoles, thus passivating the anode/electrolyte interface and improving the long‐term storage and cycle stability of LMBs. Combining cryo‐electron microscopy with multi‐scale spectroscopies, we reveal that the ferroelectric BTOVN layer targets NO</w:t>
      </w:r>
      <w:r>
        <w:rPr>
          <w:vertAlign w:val="subscript"/>
        </w:rPr>
        <w:t>3</w:t>
      </w:r>
      <w:r>
        <w:t>−</w:t>
      </w:r>
      <w:r>
        <w:t>to the interface and promotes the reductive decomposition of both NO</w:t>
      </w:r>
      <w:r>
        <w:rPr>
          <w:vertAlign w:val="subscript"/>
        </w:rPr>
        <w:t>3</w:t>
      </w:r>
      <w:r>
        <w:t>−</w:t>
      </w:r>
      <w:r>
        <w:t>and PF</w:t>
      </w:r>
      <w:r>
        <w:rPr>
          <w:vertAlign w:val="subscript"/>
        </w:rPr>
        <w:t>6</w:t>
      </w:r>
      <w:r>
        <w:t>−</w:t>
      </w:r>
      <w:r>
        <w:t>to form a thinner and tougher solid‐electrolyte interphase (SEI) rich in inorganic Li</w:t>
      </w:r>
      <w:r>
        <w:rPr>
          <w:vertAlign w:val="subscript"/>
        </w:rPr>
        <w:t>2</w:t>
      </w:r>
      <w:r>
        <w:t>O, Li</w:t>
      </w:r>
      <w:r>
        <w:rPr>
          <w:vertAlign w:val="subscript"/>
        </w:rPr>
        <w:t>3</w:t>
      </w:r>
      <w:r>
        <w:t>N, and LiF, which effectively suppresses persistent ISRs and Li dendrite proliferation while enhancing Li</w:t>
      </w:r>
      <w:r>
        <w:t xml:space="preserve"> </w:t>
      </w:r>
      <w:r>
        <w:t>+</w:t>
      </w:r>
      <w:r>
        <w:t xml:space="preserve"> </w:t>
      </w:r>
      <w:r>
        <w:t>transport kinetics and interfacial stability. As a result, high‐voltage Li metal full cells delivery a substantially enhanced capacity retention of 89.1% after 500 cycles, and remarkably, even after long‐term resting, they maintain exceptionally stable operation. The work provides a novel perspective on precisely engineering SEI chemistry through targeting anionic species into the interphase layer.</w:t>
      </w:r>
    </w:p>
    <w:p>
      <w:pPr>
        <w:spacing w:before="120" w:after="120"/>
      </w:pPr>
      <w:r>
        <w:rPr>
          <w:sz w:val="18"/>
        </w:rPr>
        <w:t>——————————————————————————————————————————————————————————————————————</w:t>
      </w:r>
    </w:p>
    <w:p>
      <w:pPr>
        <w:spacing w:before="160" w:after="40" w:line="240" w:lineRule="auto"/>
      </w:pPr>
      <w:r>
        <w:rPr>
          <w:b/>
        </w:rPr>
        <w:t xml:space="preserve">[17] </w:t>
      </w:r>
      <w:hyperlink r:id="rId125">
        <w:r>
          <w:rPr>
            <w:color w:val="1155CC"/>
            <w:u w:val="single"/>
          </w:rPr>
          <w:t>双域耦合驱动的界面重塑为高压、宽温电池提供超稀阻燃电解质</w:t>
        </w:r>
      </w:hyperlink>
    </w:p>
    <w:p>
      <w:pPr>
        <w:spacing w:before="0" w:after="80"/>
      </w:pPr>
      <w:r>
        <w:rPr>
          <w:i/>
          <w:sz w:val="20"/>
        </w:rPr>
        <w:t>EN: Dual‐Domain Coupling‐Driven Interface Remodeling Enables Ultra‐Dilute Flame‐Retardant Electrolytes for High‐Voltage, Wide‐Temperature Batteries</w:t>
      </w:r>
    </w:p>
    <w:p>
      <w:pPr>
        <w:spacing w:before="0" w:after="120"/>
      </w:pPr>
      <w:r>
        <w:rPr>
          <w:b/>
        </w:rPr>
        <w:t xml:space="preserve">Source: </w:t>
      </w:r>
      <w:r>
        <w:t>Wiley: Angewandte Chemie International Edition: Table of Contents</w:t>
      </w:r>
      <w:r>
        <w:t xml:space="preserve">    </w:t>
      </w:r>
      <w:r>
        <w:rPr>
          <w:b/>
        </w:rPr>
        <w:t xml:space="preserve">Pub date: </w:t>
      </w:r>
      <w:r>
        <w:t>2026-08-05 15:02:25+00:00</w:t>
      </w:r>
      <w:r>
        <w:t xml:space="preserve">    </w:t>
      </w:r>
      <w:r>
        <w:rPr>
          <w:b/>
        </w:rPr>
        <w:t xml:space="preserve">DOI: </w:t>
      </w:r>
      <w:hyperlink r:id="rId126">
        <w:r>
          <w:rPr>
            <w:color w:val="1155CC"/>
            <w:u w:val="single"/>
          </w:rPr>
          <w:t>10.1002/anie.8321379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质研究的范式转变是极端条件下可持续电池性能突破的关键驱动力。超稀电解质（UDE）因其显着的成本优势和广阔的应用前景而受到广泛关注，但过量的游离溶剂导致高电压稳定性、宽温适应性、寿命和安全性之间的权衡。在这项工作中，我们提出了一种双域耦合驱动的界面重塑策略，通过整合分层溶剂化的碳酸酯、醚和氟化环磷腈来定制本体溶剂化和界面微环境。设计的 UDE (0.05 M) 具有更灵活的溶剂化配置，离子传输限制更少；同时，在电场感应下，通过分子竞争吸附和分解来调节两个电极表面的双电层。因此，实现了跨尺度微环境重塑，从根本上克服了现有的性能限制。 UDE不仅表现出固有的阻燃性，而且通过双向界面稳定机制显着提高了电极兼容性（磷酸盐和氧化物阴极、金属阳极）。值得注意的是，纳</w:t>
      </w:r>
      <w:r>
        <w:t xml:space="preserve"> </w:t>
      </w:r>
      <w:r>
        <w:t>0.67</w:t>
      </w:r>
      <w:r>
        <w:t xml:space="preserve"> </w:t>
      </w:r>
      <w:r>
        <w:t>镍</w:t>
      </w:r>
      <w:r>
        <w:t xml:space="preserve"> </w:t>
      </w:r>
      <w:r>
        <w:t>0.33</w:t>
      </w:r>
      <w:r>
        <w:t xml:space="preserve"> </w:t>
      </w:r>
      <w:r>
        <w:t>锰</w:t>
      </w:r>
      <w:r>
        <w:t xml:space="preserve"> </w:t>
      </w:r>
      <w:r>
        <w:t>0.67</w:t>
      </w:r>
      <w:r>
        <w:t xml:space="preserve"> </w:t>
      </w:r>
      <w:r>
        <w:t>氧</w:t>
      </w:r>
      <w:r>
        <w:rPr>
          <w:vertAlign w:val="subscript"/>
        </w:rPr>
        <w:t>2</w:t>
      </w:r>
      <w:r>
        <w:t>阴极在较宽的温度范围内（−40∼70°C）实现了理想的耐久性</w:t>
      </w:r>
    </w:p>
    <w:p>
      <w:pPr>
        <w:spacing w:before="0" w:after="200" w:lineRule="auto" w:line="276"/>
      </w:pPr>
      <w:r>
        <w:rPr>
          <w:b/>
        </w:rPr>
        <w:t xml:space="preserve">Abstract (EN): </w:t>
      </w:r>
      <w:r>
        <w:t>The paradigm shift in electrolyte research is a critical driver for performance breakthroughs in sustainable batteries under extreme conditions. Ultra‐dilute electrolytes (UDEs) have attracted extensive attention due to their remarkable cost advantages and broad application prospects, yet excess free solvents cause trade‐offs among high‐voltage stability, wide‐temperature adaptability, longevity, and safety. In this work, we propose a dual‐domain coupling‐driven interface remodeling strategy to tailor bulk solvation and interfacial microenvironments via integrating hierarchically‐solvated carbonate ester, ether, and fluorinated cyclophosphazene. The designed UDE (0.05 M) features a more flexible solvation configuration with less restricted ion transport; concurrently, electric double layers on both electrode surfaces are regulated through molecular competitive adsorption and decomposition under electric field induction. Consequently, cross‐scale microenvironment remodeling is realized to essentially overcome the existing performance limitations. The UDE not only exhibits intrinsic flame retardancy but also significantly improves electrode compatibility (phosphate and oxide cathodes, metal anode) through a bidirectional interface stabilization mechanism. Remarkably, Na</w:t>
      </w:r>
      <w:r>
        <w:t xml:space="preserve"> </w:t>
      </w:r>
      <w:r>
        <w:t>0.67</w:t>
      </w:r>
      <w:r>
        <w:t xml:space="preserve"> </w:t>
      </w:r>
      <w:r>
        <w:t>Ni</w:t>
      </w:r>
      <w:r>
        <w:t xml:space="preserve"> </w:t>
      </w:r>
      <w:r>
        <w:t>0.33</w:t>
      </w:r>
      <w:r>
        <w:t xml:space="preserve"> </w:t>
      </w:r>
      <w:r>
        <w:t>Mn</w:t>
      </w:r>
      <w:r>
        <w:t xml:space="preserve"> </w:t>
      </w:r>
      <w:r>
        <w:t>0.67</w:t>
      </w:r>
      <w:r>
        <w:t xml:space="preserve"> </w:t>
      </w:r>
      <w:r>
        <w:t>O</w:t>
      </w:r>
      <w:r>
        <w:rPr>
          <w:vertAlign w:val="subscript"/>
        </w:rPr>
        <w:t>2</w:t>
      </w:r>
      <w:r>
        <w:t>cathode achieves desirable durability over a wide temperature range (−40∼70°C). Furthermore, this strategy is extended to potassium‐ion batteries, enabling stable operation of KVPO</w:t>
      </w:r>
      <w:r>
        <w:rPr>
          <w:vertAlign w:val="subscript"/>
        </w:rPr>
        <w:t>4</w:t>
      </w:r>
      <w:r>
        <w:t>F cathode at 4.95 V. This work establishes a universal framework for multi‐scale interfacial molecular engineering, offering a promising advancement in extreme energy storage technologies.</w:t>
      </w:r>
    </w:p>
    <w:p>
      <w:pPr>
        <w:spacing w:before="120" w:after="120"/>
      </w:pPr>
      <w:r>
        <w:rPr>
          <w:sz w:val="18"/>
        </w:rPr>
        <w:t>——————————————————————————————————————————————————————————————————————</w:t>
      </w:r>
    </w:p>
    <w:p>
      <w:pPr>
        <w:spacing w:before="160" w:after="40" w:line="240" w:lineRule="auto"/>
      </w:pPr>
      <w:r>
        <w:rPr>
          <w:b/>
        </w:rPr>
        <w:t xml:space="preserve">[18] </w:t>
      </w:r>
      <w:hyperlink r:id="rId219">
        <w:r>
          <w:rPr>
            <w:color w:val="1155CC"/>
            <w:u w:val="single"/>
          </w:rPr>
          <w:t>一种基于物理的高效计算等效电路模型，用于实时模拟锂离子电池的电化学热行为</w:t>
        </w:r>
      </w:hyperlink>
    </w:p>
    <w:p>
      <w:pPr>
        <w:spacing w:before="0" w:after="80"/>
      </w:pPr>
      <w:r>
        <w:rPr>
          <w:i/>
          <w:sz w:val="20"/>
        </w:rPr>
        <w:t>EN: A computationally efficient physics-based equivalent circuit model for real-time simulation of electrochemical-thermal behavior in lithium-ion batteries</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220">
        <w:r>
          <w:rPr>
            <w:color w:val="1155CC"/>
            <w:u w:val="single"/>
          </w:rPr>
          <w:t>10.1016/j.apenergy.2026.128608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221">
        <w:r>
          <w:rPr>
            <w:color w:val="1155CC"/>
            <w:u w:val="single"/>
          </w:rPr>
          <w:t>大面积钒氧化还原液流电池电流密度分布的操作研究</w:t>
        </w:r>
      </w:hyperlink>
    </w:p>
    <w:p>
      <w:pPr>
        <w:spacing w:before="0" w:after="80"/>
      </w:pPr>
      <w:r>
        <w:rPr>
          <w:i/>
          <w:sz w:val="20"/>
        </w:rPr>
        <w:t>EN: Operando investigation of current density distribution in a large-area vanadium redox flow battery</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222">
        <w:r>
          <w:rPr>
            <w:color w:val="1155CC"/>
            <w:u w:val="single"/>
          </w:rPr>
          <w:t>10.1016/j.apenergy.2026.128557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23">
        <w:r>
          <w:rPr>
            <w:color w:val="1155CC"/>
            <w:u w:val="single"/>
          </w:rPr>
          <w:t>迈向高性能钒氧燃料电池：数值建模、极化分析和铋催化阳极优化</w:t>
        </w:r>
      </w:hyperlink>
    </w:p>
    <w:p>
      <w:pPr>
        <w:spacing w:before="0" w:after="80"/>
      </w:pPr>
      <w:r>
        <w:rPr>
          <w:i/>
          <w:sz w:val="20"/>
        </w:rPr>
        <w:t>EN: Toward high-performance vanadium-oxygen fuel cell: numerical modeling, polarization analysis, and bismuth-catalyzed anode optimization</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224">
        <w:r>
          <w:rPr>
            <w:color w:val="1155CC"/>
            <w:u w:val="single"/>
          </w:rPr>
          <w:t>10.1016/j.apenergy.2026.128528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25">
        <w:r>
          <w:rPr>
            <w:color w:val="1155CC"/>
            <w:u w:val="single"/>
          </w:rPr>
          <w:t>信号中断交通下电动汽车混合储能系统主动超级电容充电策略：预演规划与在线控制协调</w:t>
        </w:r>
      </w:hyperlink>
    </w:p>
    <w:p>
      <w:pPr>
        <w:spacing w:before="0" w:after="80"/>
      </w:pPr>
      <w:r>
        <w:rPr>
          <w:i/>
          <w:sz w:val="20"/>
        </w:rPr>
        <w:t>EN: Active supercapacitor recharging strategy for electric vehicle hybrid energy storage systems under signalized interrupted traffic: preview planning and online control coordination</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226">
        <w:r>
          <w:rPr>
            <w:color w:val="1155CC"/>
            <w:u w:val="single"/>
          </w:rPr>
          <w:t>10.1016/j.apenergy.2026.128558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27">
        <w:r>
          <w:rPr>
            <w:color w:val="1155CC"/>
            <w:u w:val="single"/>
          </w:rPr>
          <w:t>水基多硫化物液流电池中 Ni-Mn D-电子互补性实现的轨道调节逐步多硫化物催化</w:t>
        </w:r>
      </w:hyperlink>
    </w:p>
    <w:p>
      <w:pPr>
        <w:spacing w:before="0" w:after="80"/>
      </w:pPr>
      <w:r>
        <w:rPr>
          <w:i/>
          <w:sz w:val="20"/>
        </w:rPr>
        <w:t>EN: Orbital‐Regulated Stepwise Polysulfide Catalysis Enabled by Ni–Mn D‐Electron Complementarity in Aqueous Polysulfide‐Based Flow Batteries</w:t>
      </w:r>
    </w:p>
    <w:p>
      <w:pPr>
        <w:spacing w:before="0" w:after="120"/>
      </w:pPr>
      <w:r>
        <w:rPr>
          <w:b/>
        </w:rPr>
        <w:t xml:space="preserve">Source: </w:t>
      </w:r>
      <w:r>
        <w:t>Wiley: Advanced Energy Materials: Table of Contents</w:t>
      </w:r>
      <w:r>
        <w:t xml:space="preserve">    </w:t>
      </w:r>
      <w:r>
        <w:rPr>
          <w:b/>
        </w:rPr>
        <w:t xml:space="preserve">Pub date: </w:t>
      </w:r>
      <w:r>
        <w:t>2026-07-31 06:15:11+00:00</w:t>
      </w:r>
      <w:r>
        <w:t xml:space="preserve">    </w:t>
      </w:r>
      <w:r>
        <w:rPr>
          <w:b/>
        </w:rPr>
        <w:t xml:space="preserve">DOI: </w:t>
      </w:r>
      <w:hyperlink r:id="rId228">
        <w:r>
          <w:rPr>
            <w:color w:val="1155CC"/>
            <w:u w:val="single"/>
          </w:rPr>
          <w:t>10.1002/aenm.71374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基多硫化物氧化还原液流电池在大规模储能方面具有广阔的前景，但其实际应用却因多硫化物转化动力学缓慢和中间物质的积累而受到严重阻碍。在此，我们提出了一种基于d电子互补性的轨道调节逐步催化策略，并构建了NiS/MnS异质结构以实现高效的多硫化物转化。受益于 Ni (3d</w:t>
      </w:r>
      <w:r>
        <w:rPr>
          <w:vertAlign w:val="subscript"/>
        </w:rPr>
        <w:t>8</w:t>
      </w:r>
      <w:r>
        <w:t>）和锰（3d</w:t>
      </w:r>
      <w:r>
        <w:rPr>
          <w:vertAlign w:val="subscript"/>
        </w:rPr>
        <w:t>5</w:t>
      </w:r>
      <w:r>
        <w:t>），Ni位点提供了强大的给电子能力，加速了短链多硫化物的还原，而Mn位点提供了有利于长链多硫化物吸附和活化的空间分布电子态。更重要的是，Ni─S─Mn构型的形成建立了硫介导的界面耦合途径，实现了定向电荷重新分布和催化功能的空间分离。理论计算表明，轨道杂化增强，费米能级附近电子密度增加，有利于快速电荷转移和强多硫化物吸附。当应用于多硫化物液流电池时，NiS/MnS电极表现出更高的能量效率、更高的功率密度和优异的循环稳定性。这项工作建立了通过d电子互补性进行轨道调节协同催化的一般策略，为adv的合理设计提供了新的见解。</w:t>
      </w:r>
    </w:p>
    <w:p>
      <w:pPr>
        <w:spacing w:before="0" w:after="200" w:lineRule="auto" w:line="276"/>
      </w:pPr>
      <w:r>
        <w:rPr>
          <w:b/>
        </w:rPr>
        <w:t xml:space="preserve">Abstract (EN): </w:t>
      </w:r>
      <w:r>
        <w:t>Aqueous polysulfide‐based redox flow batteries are promising for large‐scale energy storage, yet their practical application is severely hindered by sluggish polysulfide conversion kinetics and the accumulation of intermediate species. Herein, we propose an orbital‐regulated stepwise catalytic strategy based on d‐electron complementarity and construct a NiS/MnS heterostructure to enable efficient polysulfide conversion. Benefiting from the distinct electronic configurations of Ni (3d</w:t>
      </w:r>
      <w:r>
        <w:rPr>
          <w:vertAlign w:val="subscript"/>
        </w:rPr>
        <w:t>8</w:t>
      </w:r>
      <w:r>
        <w:t>) and Mn (3d</w:t>
      </w:r>
      <w:r>
        <w:rPr>
          <w:vertAlign w:val="subscript"/>
        </w:rPr>
        <w:t>5</w:t>
      </w:r>
      <w:r>
        <w:t>), Ni sites provide strong electron‐donation capability to accelerate short‐chain polysulfide reduction, while Mn sites offer spatially distributed electronic states favorable for long‐chain polysulfide adsorption and activation. More importantly, the formation of a Ni─S─Mn configuration establishes a sulfur‐mediated interfacial coupling pathway, enabling directional charge redistribution and spatial separation of catalytic functions. Theoretical calculations reveal enhanced orbital hybridization and increased electronic density near the Fermi level, facilitating rapid charge transfer and strong polysulfide adsorption. When applied in a polysulfide‐based flow battery, the NiS/MnS electrode demonstrates higher energy efficiency, enhanced power density, and excellent cycling stability. This work establishes a general strategy for orbital‐regulated synergistic catalysis via d‐electron complementarity, providing new insights into the rational design of advanced electrocatalysts for high‐performance redox flow batteries.</w:t>
      </w:r>
    </w:p>
    <w:p>
      <w:pPr>
        <w:spacing w:before="120" w:after="120"/>
      </w:pPr>
      <w:r>
        <w:rPr>
          <w:sz w:val="18"/>
        </w:rPr>
        <w:t>——————————————————————————————————————————————————————————————————————</w:t>
      </w:r>
    </w:p>
    <w:p>
      <w:pPr>
        <w:spacing w:before="160" w:after="40" w:line="240" w:lineRule="auto"/>
      </w:pPr>
      <w:r>
        <w:rPr>
          <w:b/>
        </w:rPr>
        <w:t xml:space="preserve">[5] </w:t>
      </w:r>
      <w:hyperlink r:id="rId229">
        <w:r>
          <w:rPr>
            <w:color w:val="1155CC"/>
            <w:u w:val="single"/>
          </w:rPr>
          <w:t>双功能 Ru2P 纳米颗粒修饰的 Ru/N,P 掺杂碳纳米纤维用于高效肼氧化辅助制氢和锌-空气-肼电池</w:t>
        </w:r>
      </w:hyperlink>
    </w:p>
    <w:p>
      <w:pPr>
        <w:spacing w:before="0" w:after="80"/>
      </w:pPr>
      <w:r>
        <w:rPr>
          <w:i/>
          <w:sz w:val="20"/>
        </w:rPr>
        <w:t>EN: Dual‐Functional Ru2P Nanoparticle‐Decorated Ru/N,P‐Doped Carbon Nanofibers for Efficient Hydrazine Oxidation‐Assisted Hydrogen Production and Zinc‐Air‐Hydrazine Battery</w:t>
      </w:r>
    </w:p>
    <w:p>
      <w:pPr>
        <w:spacing w:before="0" w:after="120"/>
      </w:pPr>
      <w:r>
        <w:rPr>
          <w:b/>
        </w:rPr>
        <w:t xml:space="preserve">Source: </w:t>
      </w:r>
      <w:r>
        <w:t>Wiley: Advanced Energy Materials: Table of Contents</w:t>
      </w:r>
      <w:r>
        <w:t xml:space="preserve">    </w:t>
      </w:r>
      <w:r>
        <w:rPr>
          <w:b/>
        </w:rPr>
        <w:t xml:space="preserve">Pub date: </w:t>
      </w:r>
      <w:r>
        <w:t>2026-07-31 07:17:20+00:00</w:t>
      </w:r>
      <w:r>
        <w:t xml:space="preserve">    </w:t>
      </w:r>
      <w:r>
        <w:rPr>
          <w:b/>
        </w:rPr>
        <w:t xml:space="preserve">DOI: </w:t>
      </w:r>
      <w:hyperlink r:id="rId230">
        <w:r>
          <w:rPr>
            <w:color w:val="1155CC"/>
            <w:u w:val="single"/>
          </w:rPr>
          <w:t>10.1002/aenm.71366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高效耐用的电催化剂对于可持续氢（H</w:t>
      </w:r>
      <w:r>
        <w:rPr>
          <w:vertAlign w:val="subscript"/>
        </w:rPr>
        <w:t>2</w:t>
      </w:r>
      <w:r>
        <w:t>）发电和先进的能源存储。在此，茹</w:t>
      </w:r>
      <w:r>
        <w:rPr>
          <w:vertAlign w:val="subscript"/>
        </w:rPr>
        <w:t>2</w:t>
      </w:r>
      <w:r>
        <w:t>P纳米颗粒修饰的Ru/N,P掺杂碳纳米纤维（Ru</w:t>
      </w:r>
      <w:r>
        <w:rPr>
          <w:vertAlign w:val="subscript"/>
        </w:rPr>
        <w:t>2</w:t>
      </w:r>
      <w:r>
        <w:t>P@Ru/NPCNFs）是通过静电纺丝-碳化-热磷化策略制备的。由此产生的材料成为首屈一指的双功能电催化剂。对于肼氧化反应（HzOR），仅需-0.013 V的电位即可达到100 mA cm</w:t>
      </w:r>
      <w:r>
        <w:t xml:space="preserve"> </w:t>
      </w:r>
      <w:r>
        <w:t>−2</w:t>
      </w:r>
      <w:r>
        <w:t xml:space="preserve"> </w:t>
      </w:r>
      <w:r>
        <w:t>，比 Ru/N 掺杂 CNF (NCNF) 样品有显着改进。同时，该催化剂以 1000 mA cm 的工业级电流密度驱动析氢反应 (HER)</w:t>
      </w:r>
      <w:r>
        <w:t xml:space="preserve"> </w:t>
      </w:r>
      <w:r>
        <w:t>−2</w:t>
      </w:r>
      <w:r>
        <w:t xml:space="preserve"> </w:t>
      </w:r>
      <w:r>
        <w:t>在 1 M KOH 中的过电势仅为 155 mV，超过了商业 Pt/C 和最先进的报道催化剂设定的基准。利用这些优势，协同效应可以实现由肼氧化辅助的集成水分解系统，从而驱动 H</w:t>
      </w:r>
      <w:r>
        <w:rPr>
          <w:vertAlign w:val="subscript"/>
        </w:rPr>
        <w:t>2</w:t>
      </w:r>
      <w:r>
        <w:t>产率比传统水电解提高12倍。此外，还构建了可充电锌空气肼电池，表现出优异的活性和耐用性。这项工作提供了一种多功能电催化剂，并为超越传统电的混合能源转换和存储开辟了新途径</w:t>
      </w:r>
    </w:p>
    <w:p>
      <w:pPr>
        <w:spacing w:before="0" w:after="200" w:lineRule="auto" w:line="276"/>
      </w:pPr>
      <w:r>
        <w:rPr>
          <w:b/>
        </w:rPr>
        <w:t xml:space="preserve">Abstract (EN): </w:t>
      </w:r>
      <w:r>
        <w:t>Efficient and durable electrocatalysts are essential to sustainable hydrogen (H</w:t>
      </w:r>
      <w:r>
        <w:rPr>
          <w:vertAlign w:val="subscript"/>
        </w:rPr>
        <w:t>2</w:t>
      </w:r>
      <w:r>
        <w:t>) generation and advanced energy storage. Herein, Ru</w:t>
      </w:r>
      <w:r>
        <w:rPr>
          <w:vertAlign w:val="subscript"/>
        </w:rPr>
        <w:t>2</w:t>
      </w:r>
      <w:r>
        <w:t>P nanoparticles‐decorated Ru/N,P‐doped carbon nanofibers (Ru</w:t>
      </w:r>
      <w:r>
        <w:rPr>
          <w:vertAlign w:val="subscript"/>
        </w:rPr>
        <w:t>2</w:t>
      </w:r>
      <w:r>
        <w:t>P@Ru/NPCNFs) have been fabricated through an electrospinning‐carbonization‐thermal phosphorization strategy. The resulting material establishes itself as a premier dual‐functional electrocatalyst. For the hydrazine oxidation reaction (HzOR), it requires a potential of only −0.013 V to reach 100 mA cm</w:t>
      </w:r>
      <w:r>
        <w:t xml:space="preserve"> </w:t>
      </w:r>
      <w:r>
        <w:t>−2</w:t>
      </w:r>
      <w:r>
        <w:t xml:space="preserve"> </w:t>
      </w:r>
      <w:r>
        <w:t>, a significant improvement over the Ru/N‐doped CNFs (NCNFs) sample. Concurrently, this catalyst drives the hydrogen evolution reaction (HER) at an industrial‐grade current density of 1000 mA cm</w:t>
      </w:r>
      <w:r>
        <w:t xml:space="preserve"> </w:t>
      </w:r>
      <w:r>
        <w:t>−2</w:t>
      </w:r>
      <w:r>
        <w:t xml:space="preserve"> </w:t>
      </w:r>
      <w:r>
        <w:t>with an overpotential of just 155 mV in 1 M KOH, exceeding the benchmark set by commercial Pt/C and most advanced reported catalysts. Leveraging these advantages, the synergistic effects enable an integrated water‐splitting system assisted by hydrazine oxidation, driving a H</w:t>
      </w:r>
      <w:r>
        <w:rPr>
          <w:vertAlign w:val="subscript"/>
        </w:rPr>
        <w:t>2</w:t>
      </w:r>
      <w:r>
        <w:t>production rate 12 times higher than that of conventional water electrolysis. Furthermore, a rechargeable Zn‐air‐hydrazine battery is constructed, demonstrating excellent activity and durability. This work provides a versatile electrocatalyst and opens a new avenue for hybrid energy conversion and storage beyond conventional electrolysis.</w:t>
      </w:r>
    </w:p>
    <w:p>
      <w:pPr>
        <w:spacing w:before="120" w:after="120"/>
      </w:pPr>
      <w:r>
        <w:rPr>
          <w:sz w:val="18"/>
        </w:rPr>
        <w:t>——————————————————————————————————————————————————————————————————————</w:t>
      </w:r>
    </w:p>
    <w:p>
      <w:pPr>
        <w:spacing w:before="160" w:after="40" w:line="240" w:lineRule="auto"/>
      </w:pPr>
      <w:r>
        <w:rPr>
          <w:b/>
        </w:rPr>
        <w:t xml:space="preserve">[6] </w:t>
      </w:r>
      <w:hyperlink r:id="rId231">
        <w:r>
          <w:rPr>
            <w:color w:val="1155CC"/>
            <w:u w:val="single"/>
          </w:rPr>
          <w:t>弯曲 Ni 单原子位点的空间耦合 Cl2 限制和激活，用于高度可逆的 Li-Cl2 电池</w:t>
        </w:r>
      </w:hyperlink>
    </w:p>
    <w:p>
      <w:pPr>
        <w:spacing w:before="0" w:after="80"/>
      </w:pPr>
      <w:r>
        <w:rPr>
          <w:i/>
          <w:sz w:val="20"/>
        </w:rPr>
        <w:t>EN: Spatially Coupled Cl2 Confinement and Activation at Curved Ni Single‐Atom Sites for Highly Reversible Li–Cl2 Batteries</w:t>
      </w:r>
    </w:p>
    <w:p>
      <w:pPr>
        <w:spacing w:before="0" w:after="120"/>
      </w:pPr>
      <w:r>
        <w:rPr>
          <w:b/>
        </w:rPr>
        <w:t xml:space="preserve">Source: </w:t>
      </w:r>
      <w:r>
        <w:t>Wiley: Angewandte Chemie International Edition: Table of Contents</w:t>
      </w:r>
      <w:r>
        <w:t xml:space="preserve">    </w:t>
      </w:r>
      <w:r>
        <w:rPr>
          <w:b/>
        </w:rPr>
        <w:t xml:space="preserve">Pub date: </w:t>
      </w:r>
      <w:r>
        <w:t>2026-07-31 07:54:19+00:00</w:t>
      </w:r>
      <w:r>
        <w:t xml:space="preserve">    </w:t>
      </w:r>
      <w:r>
        <w:rPr>
          <w:b/>
        </w:rPr>
        <w:t xml:space="preserve">DOI: </w:t>
      </w:r>
      <w:hyperlink r:id="rId232">
        <w:r>
          <w:rPr>
            <w:color w:val="1155CC"/>
            <w:u w:val="single"/>
          </w:rPr>
          <w:t>10.1002/anie.6857946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利用高电位 Cl</w:t>
      </w:r>
      <w:r>
        <w:rPr>
          <w:vertAlign w:val="subscript"/>
        </w:rPr>
        <w:t>2</w:t>
      </w:r>
      <w:r>
        <w:t>/LiCl 氧化还原对 (∼3.6 V)，可充电 Li-Cl</w:t>
      </w:r>
      <w:r>
        <w:rPr>
          <w:vertAlign w:val="subscript"/>
        </w:rPr>
        <w:t>2</w:t>
      </w:r>
      <w:r>
        <w:t>电池对于下一代储能有着令人信服的前景。然而，它们的实际可行性受到较差的 Cl 的严重阻碍。</w:t>
      </w:r>
      <w:r>
        <w:rPr>
          <w:vertAlign w:val="subscript"/>
        </w:rPr>
        <w:t>2</w:t>
      </w:r>
      <w:r>
        <w:t>保留和缓慢的转化动力学，特别是在深循环和高速率状态下。在这里，我们提出了一个空间耦合的 Cl</w:t>
      </w:r>
      <w:r>
        <w:rPr>
          <w:vertAlign w:val="subscript"/>
        </w:rPr>
        <w:t>2</w:t>
      </w:r>
      <w:r>
        <w:t>‐集成Cl的管理阴极</w:t>
      </w:r>
      <w:r>
        <w:rPr>
          <w:vertAlign w:val="subscript"/>
        </w:rPr>
        <w:t>2</w:t>
      </w:r>
      <w:r>
        <w:t>在富含微孔的基质内进行限制和短程传输，并在致密孔壁锚定的弯曲镍单原子位点处自发激活。通过 Cl 的闭环途径</w:t>
      </w:r>
      <w:r>
        <w:rPr>
          <w:vertAlign w:val="subscript"/>
        </w:rPr>
        <w:t>2</w:t>
      </w:r>
      <w:r>
        <w:t>存储到 LiCl 沉积，Li-Cl</w:t>
      </w:r>
      <w:r>
        <w:rPr>
          <w:vertAlign w:val="subscript"/>
        </w:rPr>
        <w:t>2</w:t>
      </w:r>
      <w:r>
        <w:t>电池在 1500 mAh g 时实现了 1.21 V 的显着极化降低</w:t>
      </w:r>
      <w:r>
        <w:t xml:space="preserve"> </w:t>
      </w:r>
      <w:r>
        <w:t>−1</w:t>
      </w:r>
      <w:r>
        <w:t xml:space="preserve"> </w:t>
      </w:r>
      <w:r>
        <w:t>2000 mA g 时的截止容量</w:t>
      </w:r>
      <w:r>
        <w:t xml:space="preserve"> </w:t>
      </w:r>
      <w:r>
        <w:t>−1</w:t>
      </w:r>
      <w:r>
        <w:t xml:space="preserve"> </w:t>
      </w:r>
      <w:r>
        <w:t>。因此，超高累积容量超过100万mAh g</w:t>
      </w:r>
      <w:r>
        <w:t xml:space="preserve"> </w:t>
      </w:r>
      <w:r>
        <w:t>−1</w:t>
      </w:r>
      <w:r>
        <w:t xml:space="preserve"> </w:t>
      </w:r>
      <w:r>
        <w:t>，使最先进的 Li-Cl 的寿命延长了一倍</w:t>
      </w:r>
      <w:r>
        <w:rPr>
          <w:vertAlign w:val="subscript"/>
        </w:rPr>
        <w:t>2</w:t>
      </w:r>
      <w:r>
        <w:t>系统，是通过整合该途径、强大的部分石墨化支撑和优化的放电截止协议的集成方法来实现的。此外，卓越的全气候鲁棒性（–40°C</w:t>
      </w:r>
    </w:p>
    <w:p>
      <w:pPr>
        <w:spacing w:before="0" w:after="200" w:lineRule="auto" w:line="276"/>
      </w:pPr>
      <w:r>
        <w:rPr>
          <w:b/>
        </w:rPr>
        <w:t xml:space="preserve">Abstract (EN): </w:t>
      </w:r>
      <w:r>
        <w:t>Leveraging the high‐potential Cl</w:t>
      </w:r>
      <w:r>
        <w:rPr>
          <w:vertAlign w:val="subscript"/>
        </w:rPr>
        <w:t>2</w:t>
      </w:r>
      <w:r>
        <w:t>/LiCl redox couple (∼3.6 V), rechargeable Li‐Cl</w:t>
      </w:r>
      <w:r>
        <w:rPr>
          <w:vertAlign w:val="subscript"/>
        </w:rPr>
        <w:t>2</w:t>
      </w:r>
      <w:r>
        <w:t>batteries hold compelling promise for next‐generation energy storage. However, their practical viability is severely impeded by poor Cl</w:t>
      </w:r>
      <w:r>
        <w:rPr>
          <w:vertAlign w:val="subscript"/>
        </w:rPr>
        <w:t>2</w:t>
      </w:r>
      <w:r>
        <w:t>retention and sluggish conversion kinetics, particularly under deep‐cycling and high‐rate regimes. Here, we present a spatially coupled Cl</w:t>
      </w:r>
      <w:r>
        <w:rPr>
          <w:vertAlign w:val="subscript"/>
        </w:rPr>
        <w:t>2</w:t>
      </w:r>
      <w:r>
        <w:t>‐management cathode that integrates Cl</w:t>
      </w:r>
      <w:r>
        <w:rPr>
          <w:vertAlign w:val="subscript"/>
        </w:rPr>
        <w:t>2</w:t>
      </w:r>
      <w:r>
        <w:t>confinement and short‐range transport within a micropore‐rich matrix with spontaneous activation at dense pore wall‐anchored, curved Ni single‐atom sites. Via this closed‐loop pathway from Cl</w:t>
      </w:r>
      <w:r>
        <w:rPr>
          <w:vertAlign w:val="subscript"/>
        </w:rPr>
        <w:t>2</w:t>
      </w:r>
      <w:r>
        <w:t>storage to LiCl deposition, the Li‐Cl</w:t>
      </w:r>
      <w:r>
        <w:rPr>
          <w:vertAlign w:val="subscript"/>
        </w:rPr>
        <w:t>2</w:t>
      </w:r>
      <w:r>
        <w:t>battery achieves a remarkable 1.21 V polarization reduction at 1500 mAh g</w:t>
      </w:r>
      <w:r>
        <w:t xml:space="preserve"> </w:t>
      </w:r>
      <w:r>
        <w:t>−1</w:t>
      </w:r>
      <w:r>
        <w:t xml:space="preserve"> </w:t>
      </w:r>
      <w:r>
        <w:t>cut‐off capacity at 2000 mA g</w:t>
      </w:r>
      <w:r>
        <w:t xml:space="preserve"> </w:t>
      </w:r>
      <w:r>
        <w:t>−1</w:t>
      </w:r>
      <w:r>
        <w:t xml:space="preserve"> </w:t>
      </w:r>
      <w:r>
        <w:t>. Consequently, an ultrahigh cumulative capacity exceeding 1.0 million mAh g</w:t>
      </w:r>
      <w:r>
        <w:t xml:space="preserve"> </w:t>
      </w:r>
      <w:r>
        <w:t>−1</w:t>
      </w:r>
      <w:r>
        <w:t xml:space="preserve"> </w:t>
      </w:r>
      <w:r>
        <w:t>, which doubles the lifespan of state‐of‐the‐art Li‐Cl</w:t>
      </w:r>
      <w:r>
        <w:rPr>
          <w:vertAlign w:val="subscript"/>
        </w:rPr>
        <w:t>2</w:t>
      </w:r>
      <w:r>
        <w:t>systems, is achieved through the integrated approach incorporating this pathway, the robust, partially graphitized support, and an optimized discharge‐cutoff protocol. Furthermore, the exceptional all‐climate robustness (–40°C to +70°C), coupled with a high reversible areal capacity of 7.65 mAh cm</w:t>
      </w:r>
      <w:r>
        <w:t xml:space="preserve"> </w:t>
      </w:r>
      <w:r>
        <w:t>−2</w:t>
      </w:r>
      <w:r>
        <w:t xml:space="preserve"> </w:t>
      </w:r>
      <w:r>
        <w:t>in pouch cells, establishes a new paradigm for practical, high‐energy storage systems.</w:t>
      </w:r>
    </w:p>
    <w:p>
      <w:pPr>
        <w:spacing w:before="120" w:after="120"/>
      </w:pPr>
      <w:r>
        <w:rPr>
          <w:sz w:val="18"/>
        </w:rPr>
        <w:t>——————————————————————————————————————————————————————————————————————</w:t>
      </w:r>
    </w:p>
    <w:p>
      <w:pPr>
        <w:spacing w:before="160" w:after="40" w:line="240" w:lineRule="auto"/>
      </w:pPr>
      <w:r>
        <w:rPr>
          <w:b/>
        </w:rPr>
        <w:t xml:space="preserve">[7] </w:t>
      </w:r>
      <w:hyperlink r:id="rId233">
        <w:r>
          <w:rPr>
            <w:color w:val="1155CC"/>
            <w:u w:val="single"/>
          </w:rPr>
          <w:t>自愈和可回收摩擦层构造的棉织物直流摩擦伏纳米发电机实现持久和可持续的机械能收集</w:t>
        </w:r>
      </w:hyperlink>
    </w:p>
    <w:p>
      <w:pPr>
        <w:spacing w:before="0" w:after="80"/>
      </w:pPr>
      <w:r>
        <w:rPr>
          <w:i/>
          <w:sz w:val="20"/>
        </w:rPr>
        <w:t>EN: Self-Healing and Recyclable Tribolayer Constructed Cotton-Fabric-Based Direct-Current Tribovoltaic Nanogenerator toward Durable and Sustainable Mechanical Energy Harvesting</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34">
        <w:r>
          <w:rPr>
            <w:color w:val="1155CC"/>
            <w:u w:val="single"/>
          </w:rPr>
          <w:t>10.1021/acsami.6c09247</w:t>
        </w:r>
      </w:hyperlink>
    </w:p>
    <w:p>
      <w:pPr>
        <w:spacing w:before="0" w:after="120"/>
      </w:pPr>
      <w:r>
        <w:rPr>
          <w:b/>
        </w:rPr>
        <w:t xml:space="preserve">Notes: </w:t>
      </w:r>
      <w:r>
        <w:t>abstract_source=crossref</w:t>
      </w:r>
    </w:p>
    <w:p>
      <w:pPr>
        <w:spacing w:before="0" w:after="80" w:lineRule="auto" w:line="276"/>
      </w:pPr>
      <w:r>
        <w:rPr>
          <w:b/>
        </w:rPr>
        <w:t xml:space="preserve">摘要（ZH）: </w:t>
      </w:r>
      <w:r>
        <w:t>摘要：将可再生棉花和可回收摩擦层相结合来构建耐用的直流摩擦伏纳米发电机（TVNG），在解决电子废物问题方面展现出巨大的潜力。然而，为 TVNG 开发同时具有长期耐用性和可回收功能以延长使用寿命的可持续摩擦层仍然是一项重大挑战。在此，我们展示了一种简便的方法来制造基于棉织物的可持续TVNG，该TVNG具有自修复和可回收的摩擦层，该摩擦层由生物相容性聚乙烯醇骨架与半导体填料和铝滑动层相结合制成。由此产生的 TVNG 的最大开路电压为 1.08 V，峰值电流为 0.72 mA。基于可逆的动态氢键相互作用，断裂的摩擦层可以自主修复并进一步改善其摩擦电行为，达到原始值的 90%。此外，TVNG中废弃的摩擦层可以通过热水溶解去除并重新涂覆在棉织物上，构建可重复使用的TVNG，其可保留80%以上的原始价值。我们还对 TVNG 进行了稳定性测试以及拉伸机械和负载阻力分析。这项工作提出了一种基于天然棉织物上自愈摩擦层涂层的可持续TVNG，为可再生材料在纳米发电机领域的应用提供了一种可持续的方法。</w:t>
      </w:r>
    </w:p>
    <w:p>
      <w:pPr>
        <w:spacing w:before="0" w:after="200" w:lineRule="auto" w:line="276"/>
      </w:pPr>
      <w:r>
        <w:rPr>
          <w:b/>
        </w:rPr>
        <w:t xml:space="preserve">Abstract (EN): </w:t>
      </w:r>
      <w:r>
        <w:t>The combination of renewable cotton and recyclable tribolayer to construct durable direct-current tribovoltaic nanogenerators (TVNGs) demonstrates significant potential for addressing the issue of electronic waste. However, developing sustainable tribolayers for TVNGs that simultaneously possess long-term durability and recyclable functionality to extend service life remains a major challenge. Herein, we demonstrate a facile method to fabricate sustainable cotton-fabric-based TVNGs with a self-healing and recyclable tribolayer made of a biocompatible polyvinyl alcohol skeleton combined with semiconductor fillers and an aluminum sliding layer. The resultant TVNG exhibits a maximum open-circuit voltage of 1.08 V and a peak current of 0.72 mA. Based on reversible dynamic hydrogen-bond interactions, the fractured tribolayer can autonomously repair and further improve its triboelectric behavior, achieving up to 90% of the original values. Furthermore, the discarded tribolayer in TVNGs can be removed through hot water dissolution and recoating on cotton fabric to construct reused TVNGs, which can retain over 80% of the original value. We have also conducted stability tests and tensile mechanical and load resistance analysis for the TVNG. This work proposes a sustainable TVNG based on the coating of a self-healing tribolayer on natural cotton fabric, which provides a sustainable approach toward the application of renewable materials in the nanogenerator field.</w:t>
      </w:r>
    </w:p>
    <w:p>
      <w:pPr>
        <w:spacing w:before="120" w:after="120"/>
      </w:pPr>
      <w:r>
        <w:rPr>
          <w:sz w:val="18"/>
        </w:rPr>
        <w:t>——————————————————————————————————————————————————————————————————————</w:t>
      </w:r>
    </w:p>
    <w:p>
      <w:pPr>
        <w:spacing w:before="160" w:after="40" w:line="240" w:lineRule="auto"/>
      </w:pPr>
      <w:r>
        <w:rPr>
          <w:b/>
        </w:rPr>
        <w:t xml:space="preserve">[8] </w:t>
      </w:r>
      <w:hyperlink r:id="rId235">
        <w:r>
          <w:rPr>
            <w:color w:val="1155CC"/>
            <w:u w:val="single"/>
          </w:rPr>
          <w:t>基于超轻电纺交联明胶纳米纤维的柔性压阻式摩擦电自供电传感器</w:t>
        </w:r>
      </w:hyperlink>
    </w:p>
    <w:p>
      <w:pPr>
        <w:spacing w:before="0" w:after="80"/>
      </w:pPr>
      <w:r>
        <w:rPr>
          <w:i/>
          <w:sz w:val="20"/>
        </w:rPr>
        <w:t>EN: Flexible, Piezoresistive, and Triboelectric Self-Powered Sensors Based on Ultralight Electrospun Cross-Linked Gelatin Nanofibers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36">
        <w:r>
          <w:rPr>
            <w:color w:val="1155CC"/>
            <w:u w:val="single"/>
          </w:rPr>
          <w:t>10.1021/acsami.6c09406</w:t>
        </w:r>
      </w:hyperlink>
    </w:p>
    <w:p>
      <w:pPr>
        <w:spacing w:before="0" w:after="120"/>
      </w:pPr>
      <w:r>
        <w:rPr>
          <w:b/>
        </w:rPr>
        <w:t xml:space="preserve">Notes: </w:t>
      </w:r>
      <w:r>
        <w:t>abstract_source=crossref</w:t>
      </w:r>
    </w:p>
    <w:p>
      <w:pPr>
        <w:spacing w:before="0" w:after="80" w:lineRule="auto" w:line="276"/>
      </w:pPr>
      <w:r>
        <w:rPr>
          <w:b/>
        </w:rPr>
        <w:t xml:space="preserve">摘要（ZH）: </w:t>
      </w:r>
      <w:r>
        <w:t>摘要 随着可穿戴电子产品的快速发展，大多数柔性设备都是由不可降解材料制成，这些材料在使用后无法进行处理，从而带来了巨大的环境压力。为了解决这个问题，选择从猪皮中提取的明胶作为研究材料。通过用甲基丙烯酸酐对明胶进行改性，成功地将碳碳双键引入到明胶分子链中，生产出适合作为静电纺丝溶液的乙烯基明胶。然后通过静电纺丝和紫外辐射交联制备了具有三维网络结构的明胶纳米纤维材料。超轻明胶纳米纤维与银纳米线结合，作为压阻应变传感器的压敏材料和摩擦电自供电传感器的正极材料。确定最佳静电纺丝条件为溶液浓度8 wt%、电压20 kV和进料速率0.8 mL/h，产生具有增强的机械强度和热稳定性的明胶基纳米纤维膜。当AgNW以4cm距离喷射六次时，所得的GelMA/AgNW压阻传感器表现出很强的机械性能、稳定的电流输出、多维识别、优异的循环稳定性以及对不同压力和弯曲角度的可靠响应。组装好的 GelMA/AgNWs-TENG 表现出出色的耐用性和电气性能，在 10,000 次循环中保持稳定性，并实现约 634 的峰峰值电压</w:t>
      </w:r>
    </w:p>
    <w:p>
      <w:pPr>
        <w:spacing w:before="0" w:after="200" w:lineRule="auto" w:line="276"/>
      </w:pPr>
      <w:r>
        <w:rPr>
          <w:b/>
        </w:rPr>
        <w:t xml:space="preserve">Abstract (EN): </w:t>
      </w:r>
      <w:r>
        <w:t>With the rapid development of wearable electronics, most flexible devices are made of nondegradable materials, which cannot be processed after use and thus impose significant environmental pressure. To address this, gelatin extracted from porcine skin was selected as the research material. By modifying gelatin with methacrylic anhydride, carbon–carbon double bonds were successfully introduced into the gelatin molecular chain, producing vinyl gelatin suitable as an electrospinning solution. A gelatin nanofiber material with a three-dimensional network structure was then prepared via electrospinning and ultraviolet radiation cross-linking. The ultralight gelatin nanofibers were combined with silver nanowires to serve as the pressure-sensitive material for piezoresistive strain sensors and as the positive material for triboelectric self-powered sensors. The optimal electrospinning conditions were determined to be 8 wt % solution concentration, 20 kV voltage, and 0.8 mL/h feeding rate, yielding a gelatin-based nanofiber membrane with enhanced mechanical strength and thermal stability. When the AgNWs were sprayed six times at a distance of 4 cm, the resulting GelMA/AgNW piezoresistive sensor exhibited strong mechanical performance, stable current output, multidimensional recognition, excellent cycle stability, and reliable responsiveness to different pressures and bending angles. The assembled GelMA/AgNWs-TENG demonstrated outstanding durability and electrical performance, maintaining stability over 10,000 cycles and achieving a peak-to-peak voltage of approximately 634 V. Furthermore, the device successfully harvested energy to power various light-emitting diodes (LEDs) and small electronic devices, while also serving as a self-powered sensor for human motion monitoring. These results underscore its potential for diverse applications and its contribution to environmentally sustainable wearable technologies.</w:t>
      </w:r>
    </w:p>
    <w:p>
      <w:pPr>
        <w:spacing w:before="120" w:after="120"/>
      </w:pPr>
      <w:r>
        <w:rPr>
          <w:sz w:val="18"/>
        </w:rPr>
        <w:t>——————————————————————————————————————————————————————————————————————</w:t>
      </w:r>
    </w:p>
    <w:p>
      <w:pPr>
        <w:spacing w:before="160" w:after="40" w:line="240" w:lineRule="auto"/>
      </w:pPr>
      <w:r>
        <w:rPr>
          <w:b/>
        </w:rPr>
        <w:t xml:space="preserve">[9] </w:t>
      </w:r>
      <w:hyperlink r:id="rId237">
        <w:r>
          <w:rPr>
            <w:color w:val="1155CC"/>
            <w:u w:val="single"/>
          </w:rPr>
          <w:t>用于高温电容储能的网络结构全有机复合材料</w:t>
        </w:r>
      </w:hyperlink>
    </w:p>
    <w:p>
      <w:pPr>
        <w:spacing w:before="0" w:after="80"/>
      </w:pPr>
      <w:r>
        <w:rPr>
          <w:i/>
          <w:sz w:val="20"/>
        </w:rPr>
        <w:t>EN: Network‐Structured All Organic Composite for High‐Temperature Capacitive Energy Storage</w:t>
      </w:r>
    </w:p>
    <w:p>
      <w:pPr>
        <w:spacing w:before="0" w:after="120"/>
      </w:pPr>
      <w:r>
        <w:rPr>
          <w:b/>
        </w:rPr>
        <w:t xml:space="preserve">Source: </w:t>
      </w:r>
      <w:r>
        <w:t>Wiley: Advanced Energy Materials: Table of Contents</w:t>
      </w:r>
      <w:r>
        <w:t xml:space="preserve">    </w:t>
      </w:r>
      <w:r>
        <w:rPr>
          <w:b/>
        </w:rPr>
        <w:t xml:space="preserve">Pub date: </w:t>
      </w:r>
      <w:r>
        <w:t>2026-08-04 07:39:47+00:00</w:t>
      </w:r>
      <w:r>
        <w:t xml:space="preserve">    </w:t>
      </w:r>
      <w:r>
        <w:rPr>
          <w:b/>
        </w:rPr>
        <w:t xml:space="preserve">DOI: </w:t>
      </w:r>
      <w:hyperlink r:id="rId238">
        <w:r>
          <w:rPr>
            <w:color w:val="1155CC"/>
            <w:u w:val="single"/>
          </w:rPr>
          <w:t>10.1002/aenm.71395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温介电聚合物在先进电力电子和电气系统中很有前景，但在恶劣的工作条件下经常会遭受热激活电荷传输和击穿。在这里，我们证明高负载低分子量低聚亚芳基醚脲（O-EEU）可以通过网络介导的基质分配调节聚醚酰亚胺（PEI）中的电荷传输。在优化加载时，O-EEU 在 PEI 基质内形成富含 O-EEU 的网络，将原来连续的 PEI 相转化为局部隔室。这种分隔的架构引起电荷路径分割并在空间上限制载流子运动，从而抑制漏电传导并延迟连续击穿通道的形成。同时，O-EEU 中的极性尿素有助于额外的偶极极化。结果，优化后的 PEI/O-EEU 复合材料的介电常数为 4.22，击穿强度为 797 MV m</w:t>
      </w:r>
      <w:r>
        <w:t xml:space="preserve"> </w:t>
      </w:r>
      <w:r>
        <w:t>−1</w:t>
      </w:r>
      <w:r>
        <w:t xml:space="preserve"> </w:t>
      </w:r>
      <w:r>
        <w:t>在 150°C 时，放电能量密度为 9.05 J cm</w:t>
      </w:r>
      <w:r>
        <w:t xml:space="preserve"> </w:t>
      </w:r>
      <w:r>
        <w:t>−3</w:t>
      </w:r>
      <w:r>
        <w:t xml:space="preserve"> </w:t>
      </w:r>
      <w:r>
        <w:t>充放电效率高于90%，具有优异的循环稳定性和自清理能力。这项工作将高负载低聚物的掺入从传统填料引发的危险聚集转变为用于电荷传输调节的内部基质分配策略，为合理设计高温介电储能打开了大门。</w:t>
      </w:r>
    </w:p>
    <w:p>
      <w:pPr>
        <w:spacing w:before="0" w:after="200" w:lineRule="auto" w:line="276"/>
      </w:pPr>
      <w:r>
        <w:rPr>
          <w:b/>
        </w:rPr>
        <w:t xml:space="preserve">Abstract (EN): </w:t>
      </w:r>
      <w:r>
        <w:t>High‐temperature dielectric polymers are promising for advanced power electronics and electrical systems but often suffer from thermally activated charge transport and breakdown under harsh operating conditions. Here, we demonstrate that high‐loading low‐molecular‐weight oligomeric arylene ether urea (O‐EEU) can regulate charge transport in polyetherimide (PEI) through network‐mediated matrix partitioning. At the optimized loading, O‐EEU forms an O‐EEU‐rich network within the PEI matrix, converting the originally continuous PEI phase into localized compartments. This compartmentalized architecture induces charge‐path segmentation and spatially confines carrier motion, thereby suppressing leakage conduction and delaying the formation of continuous breakdown channels. Meanwhile, the polar urea in O‐EEU contributes to additional dipolar polarization. As a result, the optimized PEI/O‐EEU composite exhibits a dielectric constant of 4.22 and a breakdown strength of 797 MV m</w:t>
      </w:r>
      <w:r>
        <w:t xml:space="preserve"> </w:t>
      </w:r>
      <w:r>
        <w:t>−1</w:t>
      </w:r>
      <w:r>
        <w:t xml:space="preserve"> </w:t>
      </w:r>
      <w:r>
        <w:t>at 150°C, giving rise to a discharged energy density of 9.05 J cm</w:t>
      </w:r>
      <w:r>
        <w:t xml:space="preserve"> </w:t>
      </w:r>
      <w:r>
        <w:t>−3</w:t>
      </w:r>
      <w:r>
        <w:t xml:space="preserve"> </w:t>
      </w:r>
      <w:r>
        <w:t>with a charge–discharge efficiency above 90%, along with excellent cycling stability and self‐clearing capability. This work converts high‐loading oligomer incorporation from a risky aggregation induced by conventional filler inclusion into an internal matrix‐partitioning strategy for charge‐transport regulation, unlocking the door for rational design of high‐temperature dielectric energy storage.</w:t>
      </w:r>
    </w:p>
    <w:p>
      <w:pPr>
        <w:spacing w:before="120" w:after="120"/>
      </w:pPr>
      <w:r>
        <w:rPr>
          <w:sz w:val="18"/>
        </w:rPr>
        <w:t>——————————————————————————————————————————————————————————————————————</w:t>
      </w:r>
    </w:p>
    <w:p>
      <w:pPr>
        <w:spacing w:before="160" w:after="40" w:line="240" w:lineRule="auto"/>
      </w:pPr>
      <w:r>
        <w:rPr>
          <w:b/>
        </w:rPr>
        <w:t xml:space="preserve">[10] </w:t>
      </w:r>
      <w:hyperlink r:id="rId239">
        <w:r>
          <w:rPr>
            <w:color w:val="1155CC"/>
            <w:u w:val="single"/>
          </w:rPr>
          <w:t>往复电荷循环驱动的摩擦纳米发电机阵列的超线性输出缩放</w:t>
        </w:r>
      </w:hyperlink>
    </w:p>
    <w:p>
      <w:pPr>
        <w:spacing w:before="0" w:after="80"/>
      </w:pPr>
      <w:r>
        <w:rPr>
          <w:i/>
          <w:sz w:val="20"/>
        </w:rPr>
        <w:t>EN: Reciprocating Charge Circulation‐Driven Superlinear Output Scaling of Triboelectric Nanogenerator Arrays</w:t>
      </w:r>
    </w:p>
    <w:p>
      <w:pPr>
        <w:spacing w:before="0" w:after="120"/>
      </w:pPr>
      <w:r>
        <w:rPr>
          <w:b/>
        </w:rPr>
        <w:t xml:space="preserve">Source: </w:t>
      </w:r>
      <w:r>
        <w:t>Wiley: Advanced Materials: Table of Contents</w:t>
      </w:r>
      <w:r>
        <w:t xml:space="preserve">    </w:t>
      </w:r>
      <w:r>
        <w:rPr>
          <w:b/>
        </w:rPr>
        <w:t xml:space="preserve">Pub date: </w:t>
      </w:r>
      <w:r>
        <w:t>2026-08-04 13:22:17+00:00</w:t>
      </w:r>
      <w:r>
        <w:t xml:space="preserve">    </w:t>
      </w:r>
      <w:r>
        <w:rPr>
          <w:b/>
        </w:rPr>
        <w:t xml:space="preserve">DOI: </w:t>
      </w:r>
      <w:hyperlink r:id="rId240">
        <w:r>
          <w:rPr>
            <w:color w:val="1155CC"/>
            <w:u w:val="single"/>
          </w:rPr>
          <w:t>10.1002/adma.74434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堆叠和排列摩擦纳米发电机（TENG）是实现实用的大规模机械能收集的重要途径。然而，标准并行阵列充其量只能产生线性求和，在实践中，由于固有的功率损耗和相位不匹配，它经常降级为次线性输出（1+1≤2）。在这里，我们报告了一种协同相位可重构开关策略，该策略通过循环电荷循环打破了这一瓶颈。将动态网络拓扑与固有电容变化同步会产生循环电荷复合效应。这种相互流动增强了局部静电感应，形成反馈回路，将转移电荷和短路电流分别提高了 471% 和 246%，与并联阵列相比，功率增强了 976%，从而证明了“1+1&gt;2”的性能增强。至关重要的是，这种强劲的增长适应了不同模式下的可变相位差和异步循环，使混合接触分离/滑动系统的电荷和电流增强了 3.2 倍和 7.9 倍。此外，该策略能够从空气故障中迅速恢复，只需 27.34 秒即可清除反向电荷，远远优于传统的并联阵列。船形波浪能采集器展示了这种能力，可为无线多参数环境监测提供 2.4 µC 和 0.35 mA 电流。这项工作克服了互连 TENG 网络中的关键障碍，为高性能、大规模能量收集建立了强大的框架</w:t>
      </w:r>
    </w:p>
    <w:p>
      <w:pPr>
        <w:spacing w:before="0" w:after="200" w:lineRule="auto" w:line="276"/>
      </w:pPr>
      <w:r>
        <w:rPr>
          <w:b/>
        </w:rPr>
        <w:t xml:space="preserve">Abstract (EN): </w:t>
      </w:r>
      <w:r>
        <w:t>Stacking and arraying triboelectric nanogenerators (TENGs) represents an essential pathway toward practical, large‐scale mechanical energy harvesting. However, standard parallel arrays yield a mere linear summation at best, which in practice frequently degrades into sub‐linear outputs (1+1≤2) due to intrinsic power losses and phase mismatches. Here, we report a synergistic phase‐reconfigurable switching strategy that breaks this bottleneck through cyclic charge circulation. Synchronizing dynamic network topology with intrinsic capacitance variations induces a cyclic charge compounding effect. This reciprocal flow enhances localized electrostatic induction, forming a feedback loop that boosts transferred charge and short‐circuit current by 471% and 246%, respectively, yielding a 976% power enhancement over parallel arrays, thereby demonstrating “1+1&amp;gt;2” performance enhancement. Crucially, this robust growth accommodates variable phase differences and asynchronous cycles across diverse modes, yielding 3.2‐ and 7.9‐fold enhancements in charge and current for a hybrid contact‐separation/sliding system. Furthermore, the strategy swiftly recovers from air breakdown, clearing reversed charges in just 27.34 s, far superior to conventional parallel arrays. Demonstrating this capability, a boat‐shaped wave energy harvester delivers 2.4 µC and 0.35 mA for wireless multi‐parameter environmental monitoring. This work overcomes a critical barrier in interconnected TENG networks, establishing a robust framework for high‐performance, large‐scale energy harvesting systems.</w:t>
      </w:r>
    </w:p>
    <w:p>
      <w:pPr>
        <w:spacing w:before="120" w:after="120"/>
      </w:pPr>
      <w:r>
        <w:rPr>
          <w:sz w:val="18"/>
        </w:rPr>
        <w:t>——————————————————————————————————————————————————————————————————————</w:t>
      </w:r>
    </w:p>
    <w:p>
      <w:pPr>
        <w:spacing w:before="160" w:after="40" w:line="240" w:lineRule="auto"/>
      </w:pPr>
      <w:r>
        <w:rPr>
          <w:b/>
        </w:rPr>
        <w:t xml:space="preserve">[11] </w:t>
      </w:r>
      <w:hyperlink r:id="rId241">
        <w:r>
          <w:rPr>
            <w:color w:val="1155CC"/>
            <w:u w:val="single"/>
          </w:rPr>
          <w:t>一种自增强水凝胶涂层，可在海水中长期粘附 900 天以上</w:t>
        </w:r>
      </w:hyperlink>
    </w:p>
    <w:p>
      <w:pPr>
        <w:spacing w:before="0" w:after="80"/>
      </w:pPr>
      <w:r>
        <w:rPr>
          <w:i/>
          <w:sz w:val="20"/>
        </w:rPr>
        <w:t>EN: A Self‐Strengthening Hydrogel Coating for Long‐Term Underwater Adhesion in Seawater Over 900 Days</w:t>
      </w:r>
    </w:p>
    <w:p>
      <w:pPr>
        <w:spacing w:before="0" w:after="120"/>
      </w:pPr>
      <w:r>
        <w:rPr>
          <w:b/>
        </w:rPr>
        <w:t xml:space="preserve">Source: </w:t>
      </w:r>
      <w:r>
        <w:t>Wiley: Advanced Materials: Table of Contents</w:t>
      </w:r>
      <w:r>
        <w:t xml:space="preserve">    </w:t>
      </w:r>
      <w:r>
        <w:rPr>
          <w:b/>
        </w:rPr>
        <w:t xml:space="preserve">Pub date: </w:t>
      </w:r>
      <w:r>
        <w:t>2026-08-04 14:04:11+00:00</w:t>
      </w:r>
      <w:r>
        <w:t xml:space="preserve">    </w:t>
      </w:r>
      <w:r>
        <w:rPr>
          <w:b/>
        </w:rPr>
        <w:t xml:space="preserve">DOI: </w:t>
      </w:r>
      <w:hyperlink r:id="rId242">
        <w:r>
          <w:rPr>
            <w:color w:val="1155CC"/>
            <w:u w:val="single"/>
          </w:rPr>
          <w:t>10.1002/adma.74463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靠的水下附着力是水凝胶作为水下涂料实际应用的先决条件。尽管在提高粘合强度方面付出了巨大的努力，但强大的初始粘合力并不能确保长期的粘合稳定性。由于界面水合和持续的水诱导网络降解，特别是在海水等复杂的水环境中，实现水凝胶的持久水下粘附仍然具有根本性的挑战。为了克服这些限制，我们开发了一种水凝胶涂层，可以在天然海水中实现 900 多天的持久水下粘附。通过协同的界面相互作用在不同的基材上建立了强大的初始粘附力，同时通过多种合作的分子间相互作用和连续的醌介导的氧化交联在长时间的浸泡过程中保持了网络的完整性。因此，水凝胶表现出持续的低吸水率（900天后约162重量％），抑制膨胀引起的界面粘合力恶化，并在海水浸泡900天后保持剪切粘合强度约110 kPa。该水凝胶涂层还具有海洋防污抗菌和抗藻活性、水下超疏油性以及作为柔性超级电容器凝胶电解质的适用性。这项工作建立了一种设计原则，用于实现超出先前报道的时间尺度的长期水下功能性水凝胶，并提供了开发水下连续固化材料的总体策略</w:t>
      </w:r>
    </w:p>
    <w:p>
      <w:pPr>
        <w:spacing w:before="0" w:after="200" w:lineRule="auto" w:line="276"/>
      </w:pPr>
      <w:r>
        <w:rPr>
          <w:b/>
        </w:rPr>
        <w:t xml:space="preserve">Abstract (EN): </w:t>
      </w:r>
      <w:r>
        <w:t>Reliable underwater adhesion is a prerequisite for the practical application of hydrogels as underwater coatings. Despite extensive efforts to enhance adhesion strength, strong initial adhesion does not ensure long‐term adhesion stability. Achieving durable underwater adhesion of hydrogels remains fundamentally challenging due to interfacial hydration and continuous water‐induced network degradation, particularly in complex aqueous environments such as seawater. To overcome these limitations, a hydrogel coating that achieves persistent underwater adhesion in natural seawater for over 900 days is developed. Strong initial adhesion is established across diverse substrates through synergistic interfacial interactions, while network integrity is maintained during prolonged immersion through multiple cooperative intermolecular interactions and continuous quinone‐mediated oxidative crosslinking. Consequently, the hydrogel exhibits persistently low water uptake (≈162 wt% after 900 days), suppresses swelling‐induced deterioration of interfacial adhesion, and maintains a shear adhesion strength of ≈110 kPa after 900 days of seawater immersion. The hydrogel coating also exhibits antibacterial and anti‐algal activity for marine antifouling, underwater superoleophobicity, and applicability as a gel electrolyte for flexible supercapacitors. This work establishes a design principle for achieving long‐term underwater functional hydrogels beyond previously reported time scales and provides a general strategy for developing continuously curing materials in underwater and marine environments.</w:t>
      </w:r>
    </w:p>
    <w:p>
      <w:pPr>
        <w:spacing w:before="120" w:after="120"/>
      </w:pPr>
      <w:r>
        <w:rPr>
          <w:sz w:val="18"/>
        </w:rPr>
        <w:t>——————————————————————————————————————————————————————————————————————</w:t>
      </w:r>
    </w:p>
    <w:p>
      <w:pPr>
        <w:spacing w:before="160" w:after="40" w:line="240" w:lineRule="auto"/>
      </w:pPr>
      <w:r>
        <w:rPr>
          <w:b/>
        </w:rPr>
        <w:t xml:space="preserve">[12] </w:t>
      </w:r>
      <w:hyperlink r:id="rId243">
        <w:r>
          <w:rPr>
            <w:color w:val="1155CC"/>
            <w:u w:val="single"/>
          </w:rPr>
          <w:t>维生素 B12 预催化剂可实现分子钴胺素 (II) 催化水性氧化还原液流电池中的有机二硫化物阳极电解液</w:t>
        </w:r>
      </w:hyperlink>
    </w:p>
    <w:p>
      <w:pPr>
        <w:spacing w:before="0" w:after="80"/>
      </w:pPr>
      <w:r>
        <w:rPr>
          <w:i/>
          <w:sz w:val="20"/>
        </w:rPr>
        <w:t>EN: Vitamin B12 Precatalyst Enables Molecular Cobalamin(II) Catalysis for Organodisulfide Anolytes in Aqueous Redox Flow Batteries</w:t>
      </w:r>
    </w:p>
    <w:p>
      <w:pPr>
        <w:spacing w:before="0" w:after="120"/>
      </w:pPr>
      <w:r>
        <w:rPr>
          <w:b/>
        </w:rPr>
        <w:t xml:space="preserve">Source: </w:t>
      </w:r>
      <w:r>
        <w:t>Wiley: Advanced Materials: Table of Contents</w:t>
      </w:r>
      <w:r>
        <w:t xml:space="preserve">    </w:t>
      </w:r>
      <w:r>
        <w:rPr>
          <w:b/>
        </w:rPr>
        <w:t xml:space="preserve">Pub date: </w:t>
      </w:r>
      <w:r>
        <w:t>2026-08-04 14:06:53+00:00</w:t>
      </w:r>
      <w:r>
        <w:t xml:space="preserve">    </w:t>
      </w:r>
      <w:r>
        <w:rPr>
          <w:b/>
        </w:rPr>
        <w:t xml:space="preserve">DOI: </w:t>
      </w:r>
      <w:hyperlink r:id="rId244">
        <w:r>
          <w:rPr>
            <w:color w:val="1155CC"/>
            <w:u w:val="single"/>
          </w:rPr>
          <w:t>10.1002/adma.74467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经济实惠且稳定的有机二硫化物阳极电解液对于用于电网储能的长持续时间水性氧化还原液流电池（ARFB）具有吸引力。然而，涉及硫硫（S─S）键断裂/形成的缓慢氧化还原反应会导致严重的极化和有限的容量利用率，从而阻碍了有机二硫化物阳极电解液在ARFB中的实际应用。在此，我们报告了一种使用羟钴胺（维生素 B</w:t>
      </w:r>
      <w:r>
        <w:rPr>
          <w:vertAlign w:val="subscript"/>
        </w:rPr>
        <w:t>12</w:t>
      </w:r>
      <w:r>
        <w:t>，OHCbl）作为一种环境友好且生物相容性预催化剂，可以使分子钴胺素（II）催化有机二硫化物阳极电解液。通过 OHCbl 电化学还原原位生成的钴胺素 (II) 可双向加速 S─S 键的氧化还原反应，并在 40 mA cm 电流下使用 SPS（双（磺丙基）二硫化物）阳极电解液显着降低 ARFB 的过电势，从 1.24 V 降至 0.36 V</w:t>
      </w:r>
      <w:r>
        <w:t xml:space="preserve"> </w:t>
      </w:r>
      <w:r>
        <w:t>−2</w:t>
      </w:r>
      <w:r>
        <w:t xml:space="preserve"> </w:t>
      </w:r>
      <w:r>
        <w:t>，将能源效率从18%提升至66%。具有 1.0 M SPS 阳极电解液的 OHCbl 催化 ARFB 可提供 51.45 Ah L 的容量</w:t>
      </w:r>
      <w:r>
        <w:t xml:space="preserve"> </w:t>
      </w:r>
      <w:r>
        <w:t>−1</w:t>
      </w:r>
      <w:r>
        <w:t xml:space="preserve"> </w:t>
      </w:r>
      <w:r>
        <w:t>在 100% 充电状态下运行，并在 50 mA cm 电流下运行 850 个周期保持稳定</w:t>
      </w:r>
      <w:r>
        <w:t xml:space="preserve"> </w:t>
      </w:r>
      <w:r>
        <w:t>−2</w:t>
      </w:r>
      <w:r>
        <w:t xml:space="preserve"> </w:t>
      </w:r>
      <w:r>
        <w:t>每天的衰减率低至 0.0189%。此外，基于 1.3 M SPS 的接近饱和的 ARFB 实现了 96.2% 的容量利用率，相当于 67.05 Ah L</w:t>
      </w:r>
      <w:r>
        <w:t xml:space="preserve"> </w:t>
      </w:r>
      <w:r>
        <w:t>−1</w:t>
      </w:r>
      <w:r>
        <w:t xml:space="preserve"> </w:t>
      </w:r>
      <w:r>
        <w:t>交付能力。这种钴胺素 (II) 催化策略解决了 ki</w:t>
      </w:r>
    </w:p>
    <w:p>
      <w:pPr>
        <w:spacing w:before="0" w:after="200" w:lineRule="auto" w:line="276"/>
      </w:pPr>
      <w:r>
        <w:rPr>
          <w:b/>
        </w:rPr>
        <w:t xml:space="preserve">Abstract (EN): </w:t>
      </w:r>
      <w:r>
        <w:t>Affordable and stable organodisulfide anolytes are attractive for long‐duration aqueous redox flow batteries (ARFBs) for grid energy storage. However, the sluggish redox reactions involving the cleavage/formation of sulfur–sulfur (S─S) bonds cause severe polarization and limited capacity utilization, thus hindering the practical application of organodisulfide anolytes in ARFBs. Herein, we report a homogeneous catalysis strategy employing hydroxocobalamin (Vitamin B</w:t>
      </w:r>
      <w:r>
        <w:rPr>
          <w:vertAlign w:val="subscript"/>
        </w:rPr>
        <w:t>12</w:t>
      </w:r>
      <w:r>
        <w:t>, OHCbl) as an environmentally benign and biocompatible precatalyst which can enable molecular cobalamin(II) catalysis for organodisulfide anolytes. Cobalamin(II) generated in situ by electrochemical reduction of OHCbl bidirectionally accelerates the redox reactions of S─S bonds and significantly decreases the overpotential of the ARFB with SPS (bis(sodium sulfopropyl) disulfide) anolyte from 1.24 V to 0.36 V at 40 mA cm</w:t>
      </w:r>
      <w:r>
        <w:t xml:space="preserve"> </w:t>
      </w:r>
      <w:r>
        <w:t>−2</w:t>
      </w:r>
      <w:r>
        <w:t xml:space="preserve"> </w:t>
      </w:r>
      <w:r>
        <w:t>, boosting the energy efficiency from 18% to 66%. The OHCbl‐catalyzed ARFB with 1.0 M SPS anolyte delivers a capacity of 51.45 Ah L</w:t>
      </w:r>
      <w:r>
        <w:t xml:space="preserve"> </w:t>
      </w:r>
      <w:r>
        <w:t>−1</w:t>
      </w:r>
      <w:r>
        <w:t xml:space="preserve"> </w:t>
      </w:r>
      <w:r>
        <w:t>operated at 100% state of charge and remains stable for 850 cycles at 50 mA cm</w:t>
      </w:r>
      <w:r>
        <w:t xml:space="preserve"> </w:t>
      </w:r>
      <w:r>
        <w:t>−2</w:t>
      </w:r>
      <w:r>
        <w:t xml:space="preserve"> </w:t>
      </w:r>
      <w:r>
        <w:t>with a low decay rate of 0.0189% per day. Moreover, a nearly saturated 1.3 M SPS‐based ARFB achieves 96.2% capacity utilization, corresponding to 67.05 Ah L</w:t>
      </w:r>
      <w:r>
        <w:t xml:space="preserve"> </w:t>
      </w:r>
      <w:r>
        <w:t>−1</w:t>
      </w:r>
      <w:r>
        <w:t xml:space="preserve"> </w:t>
      </w:r>
      <w:r>
        <w:t>delivered capacity. This cobalamin(II) catalysis strategy addresses the kinetic bottlenecks inherent to organodisulfide‐based anolytes for ARFBs.</w:t>
      </w:r>
    </w:p>
    <w:p>
      <w:pPr>
        <w:spacing w:before="120" w:after="120"/>
      </w:pPr>
      <w:r>
        <w:rPr>
          <w:sz w:val="18"/>
        </w:rPr>
        <w:t>——————————————————————————————————————————————————————————————————————</w:t>
      </w:r>
    </w:p>
    <w:p>
      <w:pPr>
        <w:spacing w:before="160" w:after="40" w:line="240" w:lineRule="auto"/>
      </w:pPr>
      <w:r>
        <w:rPr>
          <w:b/>
        </w:rPr>
        <w:t xml:space="preserve">[13] </w:t>
      </w:r>
      <w:hyperlink r:id="rId245">
        <w:r>
          <w:rPr>
            <w:color w:val="1155CC"/>
            <w:u w:val="single"/>
          </w:rPr>
          <w:t>可扩展合成 3D 分层 MoS2 作为耐用、高电荷保留摩擦层，用于轻松制造高功率摩擦纳米发电机</w:t>
        </w:r>
      </w:hyperlink>
    </w:p>
    <w:p>
      <w:pPr>
        <w:spacing w:before="0" w:after="80"/>
      </w:pPr>
      <w:r>
        <w:rPr>
          <w:i/>
          <w:sz w:val="20"/>
        </w:rPr>
        <w:t>EN: Scalable Synthesis of 3D Hierarchical MoS2 as a Durable, High‐Charge‐Retention Friction Layer for the Facile Fabrication of High‐Power Triboelectric Nanogenerators</w:t>
      </w:r>
    </w:p>
    <w:p>
      <w:pPr>
        <w:spacing w:before="0" w:after="120"/>
      </w:pPr>
      <w:r>
        <w:rPr>
          <w:b/>
        </w:rPr>
        <w:t xml:space="preserve">Source: </w:t>
      </w:r>
      <w:r>
        <w:t>Wiley: Advanced Materials: Table of Contents</w:t>
      </w:r>
      <w:r>
        <w:t xml:space="preserve">    </w:t>
      </w:r>
      <w:r>
        <w:rPr>
          <w:b/>
        </w:rPr>
        <w:t xml:space="preserve">Pub date: </w:t>
      </w:r>
      <w:r>
        <w:t>2026-08-04 14:18:46+00:00</w:t>
      </w:r>
      <w:r>
        <w:t xml:space="preserve">    </w:t>
      </w:r>
      <w:r>
        <w:rPr>
          <w:b/>
        </w:rPr>
        <w:t xml:space="preserve">DOI: </w:t>
      </w:r>
      <w:hyperlink r:id="rId246">
        <w:r>
          <w:rPr>
            <w:color w:val="1155CC"/>
            <w:u w:val="single"/>
          </w:rPr>
          <w:t>10.1002/adma.74470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鉴于对可持续能源和自供电设备的需求不断增加，摩擦纳米发电机（TENG）等能量收集技术正在引起人们的关注。为了解决传统聚合物材料中电荷保留时间短的问题，具有高表面积和固有电荷捕获能力的二维材料，例如 MoS2</w:t>
      </w:r>
      <w:r>
        <w:rPr>
          <w:vertAlign w:val="subscript"/>
        </w:rPr>
        <w:t>2</w:t>
      </w:r>
      <w:r>
        <w:t>，被用作 TENG 中的摩擦层。然而，由于其原子薄的性质，它们的发电量太低，不适合实际应用，限制了它们在聚合物系统中作为填料的使用。我们报告了一种使用 3D 分层 MoS2 的基于 2D 材料的高功率 TENG</w:t>
      </w:r>
      <w:r>
        <w:rPr>
          <w:vertAlign w:val="subscript"/>
        </w:rPr>
        <w:t>2</w:t>
      </w:r>
      <w:r>
        <w:t>(3DH-MoS2</w:t>
      </w:r>
      <w:r>
        <w:rPr>
          <w:vertAlign w:val="subscript"/>
        </w:rPr>
        <w:t>2</w:t>
      </w:r>
      <w:r>
        <w:t>）作为主要摩擦材料。 3DH-MoS2</w:t>
      </w:r>
      <w:r>
        <w:rPr>
          <w:vertAlign w:val="subscript"/>
        </w:rPr>
        <w:t>2</w:t>
      </w:r>
      <w:r>
        <w:t>通过低温金属有机化学气相沉积合成，无需额外工艺即可在聚合物基材上直接生长均匀、大面积、3D 纳米结构的摩擦层。这种 3D 纳米结构增加了电荷捕获位点的数量，并显着提高了设备​​的耐用性。 4×4厘米</w:t>
      </w:r>
      <w:r>
        <w:rPr>
          <w:vertAlign w:val="subscript"/>
        </w:rPr>
        <w:t>2</w:t>
      </w:r>
      <w:r>
        <w:t>3DH-MoS2</w:t>
      </w:r>
      <w:r>
        <w:rPr>
          <w:vertAlign w:val="subscript"/>
        </w:rPr>
        <w:t>2</w:t>
      </w:r>
      <w:r>
        <w:t>基于 TENG 的最大输出电压为 320.1 V，功率密度为 0.841 mW cm</w:t>
      </w:r>
      <w:r>
        <w:t xml:space="preserve"> </w:t>
      </w:r>
      <w:r>
        <w:t>−2</w:t>
      </w:r>
      <w:r>
        <w:t xml:space="preserve"> </w:t>
      </w:r>
      <w:r>
        <w:t>，证明它可以有效地为发光二极管和计算器供电，并保持其性能超过 10 000 周期</w:t>
      </w:r>
    </w:p>
    <w:p>
      <w:pPr>
        <w:spacing w:before="0" w:after="200" w:lineRule="auto" w:line="276"/>
      </w:pPr>
      <w:r>
        <w:rPr>
          <w:b/>
        </w:rPr>
        <w:t xml:space="preserve">Abstract (EN): </w:t>
      </w:r>
      <w:r>
        <w:t>Given the increasing demand for sustainable energy and self‐powered devices, energy‐harvesting technologies, such as triboelectric nanogenerators (TENGs), are drawing attention. To address the short charge retention in conventional polymer materials, 2D materials with high surface areas and intrinsic charge‐trapping capabilities, such as MoS</w:t>
      </w:r>
      <w:r>
        <w:rPr>
          <w:vertAlign w:val="subscript"/>
        </w:rPr>
        <w:t>2</w:t>
      </w:r>
      <w:r>
        <w:t>, are being utilized as friction layers in TENGs. However, their power generation is too low for practical applications owing to their atomically thin nature, limiting their use as fillers in polymer‐based systems. We report a 2D‐material‐based high‐power TENG using 3D hierarchical MoS</w:t>
      </w:r>
      <w:r>
        <w:rPr>
          <w:vertAlign w:val="subscript"/>
        </w:rPr>
        <w:t>2</w:t>
      </w:r>
      <w:r>
        <w:t>(3DH‐MoS</w:t>
      </w:r>
      <w:r>
        <w:rPr>
          <w:vertAlign w:val="subscript"/>
        </w:rPr>
        <w:t>2</w:t>
      </w:r>
      <w:r>
        <w:t>) as a primary friction material. The 3DH‐MoS</w:t>
      </w:r>
      <w:r>
        <w:rPr>
          <w:vertAlign w:val="subscript"/>
        </w:rPr>
        <w:t>2</w:t>
      </w:r>
      <w:r>
        <w:t>is synthesized via low‐temperature metal–organic chemical vapor deposition, enabling the direct growth of a uniform, large‐area, 3D‐nanostructured friction layer on a polymer substrate without additional processes. This 3D nanostructure increases the amount of charge‐trapping sites and significantly enhances the durability of the device. The 4 × 4 cm</w:t>
      </w:r>
      <w:r>
        <w:rPr>
          <w:vertAlign w:val="subscript"/>
        </w:rPr>
        <w:t>2</w:t>
      </w:r>
      <w:r>
        <w:t>3DH‐MoS</w:t>
      </w:r>
      <w:r>
        <w:rPr>
          <w:vertAlign w:val="subscript"/>
        </w:rPr>
        <w:t>2</w:t>
      </w:r>
      <w:r>
        <w:t>‐based TENG produces a maximum output voltage of 320.1 V and a power density of 0.841 mW cm</w:t>
      </w:r>
      <w:r>
        <w:t xml:space="preserve"> </w:t>
      </w:r>
      <w:r>
        <w:t>−2</w:t>
      </w:r>
      <w:r>
        <w:t xml:space="preserve"> </w:t>
      </w:r>
      <w:r>
        <w:t>, proving it can effectively power light‐emitting diodes and a calculator, maintaining its performance over 10 000 cycles. In addition, the device can generate electricity from gas and water flow and human motion, highlighting the potential and versatility of 2D‐material‐based energy‐harvesting systems.</w:t>
      </w:r>
    </w:p>
    <w:p>
      <w:pPr>
        <w:spacing w:before="120" w:after="120"/>
      </w:pPr>
      <w:r>
        <w:rPr>
          <w:sz w:val="18"/>
        </w:rPr>
        <w:t>——————————————————————————————————————————————————————————————————————</w:t>
      </w:r>
    </w:p>
    <w:p>
      <w:pPr>
        <w:spacing w:before="160" w:after="40" w:line="240" w:lineRule="auto"/>
      </w:pPr>
      <w:r>
        <w:rPr>
          <w:b/>
        </w:rPr>
        <w:t xml:space="preserve">[14] </w:t>
      </w:r>
      <w:hyperlink r:id="rId247">
        <w:r>
          <w:rPr>
            <w:color w:val="1155CC"/>
            <w:u w:val="single"/>
          </w:rPr>
          <w:t>用于道路交通能源系统的悬臂式压电能量收集：从振动结构耦合到电路适应和现场部署</w:t>
        </w:r>
      </w:hyperlink>
    </w:p>
    <w:p>
      <w:pPr>
        <w:spacing w:before="0" w:after="80"/>
      </w:pPr>
      <w:r>
        <w:rPr>
          <w:i/>
          <w:sz w:val="20"/>
        </w:rPr>
        <w:t>EN: Cantilevered piezoelectric energy harvesting for road transportation energy systems: From vibration-structure coupling to circuit adaptation and field deployment</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48">
        <w:r>
          <w:rPr>
            <w:color w:val="1155CC"/>
            <w:u w:val="single"/>
          </w:rPr>
          <w:t>10.1016/j.apenergy.2026.128521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49">
        <w:r>
          <w:rPr>
            <w:color w:val="1155CC"/>
            <w:u w:val="single"/>
          </w:rPr>
          <w:t>原子工程分级多孔生物质碳：从多尺度设计到先进的能量存储和基础原理</w:t>
        </w:r>
      </w:hyperlink>
    </w:p>
    <w:p>
      <w:pPr>
        <w:spacing w:before="0" w:after="80"/>
      </w:pPr>
      <w:r>
        <w:rPr>
          <w:i/>
          <w:sz w:val="20"/>
        </w:rPr>
        <w:t>EN: Atomically engineered hierarchical porous biomass carbon: from multiscale design to advanced energy storage and fundamentals</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50">
        <w:r>
          <w:rPr>
            <w:color w:val="1155CC"/>
            <w:u w:val="single"/>
          </w:rPr>
          <w:t>10.1016/j.apenergy.2026.128573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51">
        <w:r>
          <w:rPr>
            <w:color w:val="1155CC"/>
            <w:u w:val="single"/>
          </w:rPr>
          <w:t>基于嵌入效率替代模型的钒氧化还原液流电池日前联合招标调能调频</w:t>
        </w:r>
      </w:hyperlink>
    </w:p>
    <w:p>
      <w:pPr>
        <w:spacing w:before="0" w:after="80"/>
      </w:pPr>
      <w:r>
        <w:rPr>
          <w:i/>
          <w:sz w:val="20"/>
        </w:rPr>
        <w:t>EN: Embedded efficiency surrogate model-based day-ahead joint bidding for energy and frequency regulation of vanadium redox flow batteries</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52">
        <w:r>
          <w:rPr>
            <w:color w:val="1155CC"/>
            <w:u w:val="single"/>
          </w:rPr>
          <w:t>10.1016/j.apenergy.2026.128523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53">
        <w:r>
          <w:rPr>
            <w:color w:val="1155CC"/>
            <w:u w:val="single"/>
          </w:rPr>
          <w:t>用于二维电子学的超薄非范德瓦尔斯神风石型氧化物系列</w:t>
        </w:r>
      </w:hyperlink>
    </w:p>
    <w:p>
      <w:pPr>
        <w:spacing w:before="0" w:after="80"/>
      </w:pPr>
      <w:r>
        <w:rPr>
          <w:i/>
          <w:sz w:val="20"/>
        </w:rPr>
        <w:t>EN: A family of ultrathin non-van der waals kamiokite-type oxides for two-dimensional electronics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非范德华 (vdW) 二维 (2D) 金属氧化物提供了丰富当前 2D 材料库并加速 2D 材料在未来电子设备中的采用的机会。然而，由于合成挑战和基础知识不足，对二维非 vdW 氧化物的探索仍然有限。在这里，我们报告了一种二维宽带隙非 vdW 氧化物系列——A2Mo3O8（A = Zn、Mn、Co 等），称为 kamiokite 型氧化物。双控化学气相沉积策略能够实现厚度低于 3 nm、晶畴尺寸超过 100 μm 的超薄 A2Mo3O8 单晶的面内生长，克服了晶格各向同性的内在限制，同时提供对产品化学计量的简便而精确的控制。值得注意的是，2D Zn2Mo3O8 具有 4.0 eV 的带隙和高介电常数 (κ ~ 25)。得益于 Zn2Mo3O8 良好的介电性能和高质量界面，采用 Zn2Mo3O8 顶栅电介质的 MoS2 晶体管在环境条件下表现出接近玻尔兹曼极限的亚阈值摆幅（~63.8 mV dec−1）、超过 107 的开/关比以及 1.6 mV MV−1 cm 的超低磁滞宽度。 A2Mo3O8 系列为开发高κ电介质和下一代高性能二维电子产品的各种功能组件提供了多功能材料平台。</w:t>
      </w:r>
    </w:p>
    <w:p>
      <w:pPr>
        <w:spacing w:before="0" w:after="200" w:lineRule="auto" w:line="276"/>
      </w:pPr>
      <w:r>
        <w:rPr>
          <w:b/>
        </w:rPr>
        <w:t xml:space="preserve">Abstract (EN): </w:t>
      </w:r>
      <w:r>
        <w:t>Non-van der Waals (vdW) two-dimensional (2D) metal oxides provide an opportunity to enrich the current 2D material library and accelerate the adoption of 2D materials into future electronic devices. However, the exploration of 2D non-vdW oxides remains limited, constrained by synthetic challenges and insufficient fundamental understanding. Here, we report a 2D wide-bandgap non-vdW oxide family—A2Mo3O8 (A = Zn, Mn, Co, etc.), known as kamiokite-type oxides. A dual-controlled chemical vapor deposition strategy enables the in-plane growth of ultrathin A2Mo3O8 single crystals with thicknesses below 3 nm and domain sizes exceeding 100 μm, overcoming the intrinsic constraints of lattice isotropy while providing facile and precise control over product stoichiometry. Notably, 2D Zn2Mo3O8 exhibits a bandgap of 4.0 eV and a high dielectric constant (κ ~ 25). Benefiting from the good dielectric properties and high-quality interface of Zn2Mo3O8, MoS2 transistors with a Zn2Mo3O8 top-gate dielectric exhibit near-Boltzmann-limit subthreshold swing (~63.8 mV dec−1), an on/off ratio exceeding 107, and an ultralow hysteresis width of 1.6 mV MV−1 cm under ambient conditions. The A2Mo3O8 family offers a versatile materials platform for the development of high‑κ dielectrics and a broad range of functional components for next-generation high-performance 2D electronics.</w:t>
      </w:r>
    </w:p>
    <w:p>
      <w:pPr>
        <w:spacing w:before="120" w:after="120"/>
      </w:pPr>
      <w:r>
        <w:rPr>
          <w:sz w:val="18"/>
        </w:rPr>
        <w:t>——————————————————————————————————————————————————————————————————————</w:t>
      </w:r>
    </w:p>
    <w:p>
      <w:pPr>
        <w:spacing w:before="160" w:after="40" w:line="240" w:lineRule="auto"/>
      </w:pPr>
      <w:r>
        <w:rPr>
          <w:b/>
        </w:rPr>
        <w:t xml:space="preserve">[18] </w:t>
      </w:r>
      <w:hyperlink r:id="rId254">
        <w:r>
          <w:rPr>
            <w:color w:val="1155CC"/>
            <w:u w:val="single"/>
          </w:rPr>
          <w:t>氟离子电池：揭开下一代储能的基础科学</w:t>
        </w:r>
      </w:hyperlink>
    </w:p>
    <w:p>
      <w:pPr>
        <w:spacing w:before="0" w:after="80"/>
      </w:pPr>
      <w:r>
        <w:rPr>
          <w:i/>
          <w:sz w:val="20"/>
        </w:rPr>
        <w:t>EN: Fluoride‐Ion Batteries: Unraveling the Fundamental Science for Next‐Generation Energy Storage</w:t>
      </w:r>
    </w:p>
    <w:p>
      <w:pPr>
        <w:spacing w:before="0" w:after="120"/>
      </w:pPr>
      <w:r>
        <w:rPr>
          <w:b/>
        </w:rPr>
        <w:t xml:space="preserve">Source: </w:t>
      </w:r>
      <w:r>
        <w:t>Wiley: Advanced Energy Materials: Table of Contents</w:t>
      </w:r>
      <w:r>
        <w:t xml:space="preserve">    </w:t>
      </w:r>
      <w:r>
        <w:rPr>
          <w:b/>
        </w:rPr>
        <w:t xml:space="preserve">Pub date: </w:t>
      </w:r>
      <w:r>
        <w:t>2026-08-05 06:30:33+00:00</w:t>
      </w:r>
      <w:r>
        <w:t xml:space="preserve">    </w:t>
      </w:r>
      <w:r>
        <w:rPr>
          <w:b/>
        </w:rPr>
        <w:t xml:space="preserve">DOI: </w:t>
      </w:r>
      <w:hyperlink r:id="rId255">
        <w:r>
          <w:rPr>
            <w:color w:val="1155CC"/>
            <w:u w:val="single"/>
          </w:rPr>
          <w:t>10.1002/aenm.71391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氟离子电池（FIB）最近引起了科学界的兴趣，主要是由于潜在的高能量密度优势。基础知识和功能性能之间的巨大差距源于氟化物穿梭原理固有的未解决的科学挑战。转换型电极的严重体积膨胀、固体电解质中氟离子迁移率差以及亚稳态电极-电解质界面等关键问题代表了限制电化学可逆性和循环寿命的关键科学瓶颈。此外，在评估方法和机制描述符方面缺乏共识，阻碍了科学研究之间的直接可比性。在这篇综述中，我们讨论了氟离子电池的基本电化学，特别关注电极和电解质材料的电荷转移机制、离子传输动力学以及结构演化。我们进一步强调了先进表征技术在探测潜在反应途径和界面现象中的关键作用。最后，我们考虑为这个新兴领域建立可靠的知识库所需的基本研究方向。</w:t>
      </w:r>
    </w:p>
    <w:p>
      <w:pPr>
        <w:spacing w:before="0" w:after="200" w:lineRule="auto" w:line="276"/>
      </w:pPr>
      <w:r>
        <w:rPr>
          <w:b/>
        </w:rPr>
        <w:t xml:space="preserve">Abstract (EN): </w:t>
      </w:r>
      <w:r>
        <w:t>Fluoride‐ion batteries (FIBs) have recently gained scientific interest, primarily driven by the potential high‐energy‐density advantage. The considerable gap between fundamental knowledge and functional performance stems from unresolved scientific challenges intrinsic to the fluoride shuttle principle. Critical issues such as severe volume expansion in conversion‐type electrodes, poor fluoride‐ion mobility in solid electrolytes, and metastable electrode‐electrolyte interfaces represent critical scientific bottlenecks that limit electrochemical reversibility and cycle life. Moreover, the absence of consensus regarding evaluation methodologies and mechanistic descriptors prevents direct comparability across scientific investigations. In this Review, we discuss the fundamental electrochemistry of fluoride‐ion batteries, with a particular focus on charge‐transfer mechanisms, ion‐transport kinetics, and structural evolution in electrode and electrolyte materials. We further highlight the critical role of advanced characterization techniques in probing underlying reaction pathways and interfacial phenomena. Finally, we consider essential research directions required to establish a reliable knowledge base for this emerging field.</w:t>
      </w:r>
    </w:p>
    <w:p>
      <w:pPr>
        <w:spacing w:before="120" w:after="120"/>
      </w:pPr>
      <w:r>
        <w:rPr>
          <w:sz w:val="18"/>
        </w:rPr>
        <w:t>——————————————————————————————————————————————————————————————————————</w:t>
      </w:r>
    </w:p>
    <w:p>
      <w:pPr>
        <w:spacing w:before="160" w:after="40" w:line="240" w:lineRule="auto"/>
      </w:pPr>
      <w:r>
        <w:rPr>
          <w:b/>
        </w:rPr>
        <w:t xml:space="preserve">[19] </w:t>
      </w:r>
      <w:hyperlink r:id="rId256">
        <w:r>
          <w:rPr>
            <w:color w:val="1155CC"/>
            <w:u w:val="single"/>
          </w:rPr>
          <w:t>用于可调多光谱伪装和电磁能量收集的各向异性可变负泊松比超材料</w:t>
        </w:r>
      </w:hyperlink>
    </w:p>
    <w:p>
      <w:pPr>
        <w:spacing w:before="0" w:after="80"/>
      </w:pPr>
      <w:r>
        <w:rPr>
          <w:i/>
          <w:sz w:val="20"/>
        </w:rPr>
        <w:t>EN: Anisotropic variable negative-Poisson-ratio metamaterials for tunable multispectral camouflage and electromagnetic energy harvesting</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257">
        <w:r>
          <w:rPr>
            <w:color w:val="1155CC"/>
            <w:u w:val="single"/>
          </w:rPr>
          <w:t>10.1126/sciadv.aef7205</w:t>
        </w:r>
      </w:hyperlink>
    </w:p>
    <w:p>
      <w:pPr>
        <w:spacing w:before="0" w:after="120"/>
      </w:pPr>
      <w:r>
        <w:rPr>
          <w:b/>
        </w:rPr>
        <w:t xml:space="preserve">Notes: </w:t>
      </w:r>
      <w:r>
        <w:t>abstract_source=crossref</w:t>
      </w:r>
    </w:p>
    <w:p>
      <w:pPr>
        <w:spacing w:before="0" w:after="80" w:lineRule="auto" w:line="276"/>
      </w:pPr>
      <w:r>
        <w:rPr>
          <w:b/>
        </w:rPr>
        <w:t xml:space="preserve">摘要（ZH）: </w:t>
      </w:r>
      <w:r>
        <w:t>自适应电磁兼容性、伪装和能量转换对快速响应调制提出了挑战。在这里，我们设计了像素化负泊松比超材料，可以快速控制结构各向异性，从而控制电磁特性。通过顺序剪切、拉伸和对齐过程，一维导体在每个像素中高度定向。单轴各向异性导致最高导电率达到 2.8 × 10</w:t>
      </w:r>
      <w:r>
        <w:rPr>
          <w:vertAlign w:val="subscript"/>
        </w:rPr>
        <w:t>6</w:t>
      </w:r>
      <w:r>
        <w:t>不同方向之间。这使得跨透明-吸收-屏蔽区域的角度相关的电磁兼容性成为可能。元框架实现了应变相关的各向异性可调性。变形将电磁波吸收率从 0.2 连续调整到 0.9（反射损耗从 -0.8 到 -17 分贝）。通过类似国际象棋的组装，该框架还可以保持变形不敏感的吸光度超过0.9。概念验证设备将环境电磁能转化为电能。发电机输出超过 0.5 伏，电池产生 0.75 毫瓦的峰值功率。此外，这些设备还展示了微波、红外和可见光谱中的可调谐伪装。</w:t>
      </w:r>
    </w:p>
    <w:p>
      <w:pPr>
        <w:spacing w:before="0" w:after="200" w:lineRule="auto" w:line="276"/>
      </w:pPr>
      <w:r>
        <w:rPr>
          <w:b/>
        </w:rPr>
        <w:t xml:space="preserve">Abstract (EN): </w:t>
      </w:r>
      <w:r>
        <w:t>Adaptive electromagnetic compatibility, camouflage, and energy conversion raises challenge in the swiftly responsive modulation. Herein, we designed pixelated negative-Poisson-ratio metamaterials that enable fast control over structural anisotropy and thus electromagnetic properties. One-dimensional conductors are highly oriented in each pixel through sequential shear, stretch, and alignment processes. The uniaxial anisotropy leads to the highest conductive ratio of 2.8 × 10</w:t>
      </w:r>
      <w:r>
        <w:rPr>
          <w:vertAlign w:val="subscript"/>
        </w:rPr>
        <w:t>6</w:t>
      </w:r>
      <w:r>
        <w:t>among different directions. This enables the angle-dependent electromagnetic compatibility across transparency–absorption–shielding regions. The meta-framework realizes strain-reliant anisotropic tunability. The deformation continuously adjusts electromagnetic wave absorbance from 0.2 to 0.9 (reflection loss from −0.8 to −17 decibels). Through chess-like assembly, the framework can also maintain deformation-insensitive absorbance beyond 0.9. The proof-of-concept devices harvest environmental electromagnetic energy to electricity. The generator outputs more than 0.5 volts and the cell generate a peak power of 0.75 milliwatt. Besides, the devices demonstrate tunable camouflage in microwave, infrared, and visible spectra.</w:t>
      </w:r>
    </w:p>
    <w:p>
      <w:pPr>
        <w:spacing w:before="120" w:after="120"/>
      </w:pPr>
      <w:r>
        <w:rPr>
          <w:sz w:val="18"/>
        </w:rPr>
        <w:t>——————————————————————————————————————————————————————————————————————</w:t>
      </w:r>
    </w:p>
    <w:p>
      <w:pPr>
        <w:spacing w:before="160" w:after="40" w:line="240" w:lineRule="auto"/>
      </w:pPr>
      <w:r>
        <w:rPr>
          <w:b/>
        </w:rPr>
        <w:t xml:space="preserve">[20] </w:t>
      </w:r>
      <w:hyperlink r:id="rId258">
        <w:r>
          <w:rPr>
            <w:color w:val="1155CC"/>
            <w:u w:val="single"/>
          </w:rPr>
          <w:t>机器学习引导的极化晶格去耦实现无铅介电陶瓷中的超高能量存储</w:t>
        </w:r>
      </w:hyperlink>
    </w:p>
    <w:p>
      <w:pPr>
        <w:spacing w:before="0" w:after="80"/>
      </w:pPr>
      <w:r>
        <w:rPr>
          <w:i/>
          <w:sz w:val="20"/>
        </w:rPr>
        <w:t>EN: Machine‐Learning‐Guided Polarization‐Lattice Decoupling Enables Ultrahigh Energy Storage in Lead‐Free Dielectric Ceramics</w:t>
      </w:r>
    </w:p>
    <w:p>
      <w:pPr>
        <w:spacing w:before="0" w:after="120"/>
      </w:pPr>
      <w:r>
        <w:rPr>
          <w:b/>
        </w:rPr>
        <w:t xml:space="preserve">Source: </w:t>
      </w:r>
      <w:r>
        <w:t>Wiley: Advanced Materials: Table of Contents</w:t>
      </w:r>
      <w:r>
        <w:t xml:space="preserve">    </w:t>
      </w:r>
      <w:r>
        <w:rPr>
          <w:b/>
        </w:rPr>
        <w:t xml:space="preserve">Pub date: </w:t>
      </w:r>
      <w:r>
        <w:t>2026-08-05 14:02:31+00:00</w:t>
      </w:r>
      <w:r>
        <w:t xml:space="preserve">    </w:t>
      </w:r>
      <w:r>
        <w:rPr>
          <w:b/>
        </w:rPr>
        <w:t xml:space="preserve">DOI: </w:t>
      </w:r>
      <w:hyperlink r:id="rId259">
        <w:r>
          <w:rPr>
            <w:color w:val="1155CC"/>
            <w:u w:val="single"/>
          </w:rPr>
          <w:t>10.1002/adma.73801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在无铅介电陶瓷中实现超高能量存储从根本上受到大极化和高介电击穿强度之间的内在权衡的限制。在这里，我们建立了一个可解释的机器学习引导的设计框架，将离子描述符与 ABO 中的极化行为定量联系起来</w:t>
      </w:r>
      <w:r>
        <w:rPr>
          <w:vertAlign w:val="subscript"/>
        </w:rPr>
        <w:t>3</w:t>
      </w:r>
      <w:r>
        <w:t>基于介电基体，能够合理识别具有本质上高极化电位的成分。在此战略的指导下，（Bi</w:t>
      </w:r>
      <w:r>
        <w:t xml:space="preserve"> </w:t>
      </w:r>
      <w:r>
        <w:t>0.275</w:t>
      </w:r>
      <w:r>
        <w:t xml:space="preserve"> </w:t>
      </w:r>
      <w:r>
        <w:t>钠</w:t>
      </w:r>
      <w:r>
        <w:t xml:space="preserve"> </w:t>
      </w:r>
      <w:r>
        <w:t>0.2255</w:t>
      </w:r>
      <w:r>
        <w:t xml:space="preserve"> </w:t>
      </w:r>
      <w:r>
        <w:t>K</w:t>
      </w:r>
      <w:r>
        <w:t xml:space="preserve"> </w:t>
      </w:r>
      <w:r>
        <w:t>0.0495</w:t>
      </w:r>
      <w:r>
        <w:t xml:space="preserve"> </w:t>
      </w:r>
      <w:r>
        <w:t>巴</w:t>
      </w:r>
      <w:r>
        <w:t xml:space="preserve"> </w:t>
      </w:r>
      <w:r>
        <w:t>0.3</w:t>
      </w:r>
      <w:r>
        <w:t xml:space="preserve"> </w:t>
      </w:r>
      <w:r>
        <w:t>)(钛</w:t>
      </w:r>
      <w:r>
        <w:t xml:space="preserve"> </w:t>
      </w:r>
      <w:r>
        <w:t>0.985</w:t>
      </w:r>
      <w:r>
        <w:t xml:space="preserve"> </w:t>
      </w:r>
      <w:r>
        <w:t>铪</w:t>
      </w:r>
      <w:r>
        <w:t xml:space="preserve"> </w:t>
      </w:r>
      <w:r>
        <w:t>0.015</w:t>
      </w:r>
      <w:r>
        <w:t xml:space="preserve"> </w:t>
      </w:r>
      <w:r>
        <w:t>)O</w:t>
      </w:r>
      <w:r>
        <w:rPr>
          <w:vertAlign w:val="subscript"/>
        </w:rPr>
        <w:t>3</w:t>
      </w:r>
      <w:r>
        <w:t>‐0.15(La</w:t>
      </w:r>
      <w:r>
        <w:t xml:space="preserve"> </w:t>
      </w:r>
      <w:r>
        <w:t>0.5</w:t>
      </w:r>
      <w:r>
        <w:t xml:space="preserve"> </w:t>
      </w:r>
      <w:r>
        <w:t>钐</w:t>
      </w:r>
      <w:r>
        <w:t xml:space="preserve"> </w:t>
      </w:r>
      <w:r>
        <w:t>0.5</w:t>
      </w:r>
      <w:r>
        <w:t xml:space="preserve"> </w:t>
      </w:r>
      <w:r>
        <w:t>）</w:t>
      </w:r>
      <w:r>
        <w:rPr>
          <w:vertAlign w:val="subscript"/>
        </w:rPr>
        <w:t>2</w:t>
      </w:r>
      <w:r>
        <w:t>钛</w:t>
      </w:r>
      <w:r>
        <w:rPr>
          <w:vertAlign w:val="subscript"/>
        </w:rPr>
        <w:t>2</w:t>
      </w:r>
      <w:r>
        <w:t>氧</w:t>
      </w:r>
      <w:r>
        <w:rPr>
          <w:vertAlign w:val="subscript"/>
        </w:rPr>
        <w:t>7</w:t>
      </w:r>
      <w:r>
        <w:t>(BNBT-3) 组合物被发现表现出 50.19 µC cm 的异常最大极化</w:t>
      </w:r>
      <w:r>
        <w:t xml:space="preserve"> </w:t>
      </w:r>
      <w:r>
        <w:t>−2</w:t>
      </w:r>
      <w:r>
        <w:t xml:space="preserve"> </w:t>
      </w:r>
      <w:r>
        <w:t>。当通过粘性聚合物工艺进行加工时，所得的 BNBT-3-VPP 电容器可实现 1400 kV cm 的超高击穿强度</w:t>
      </w:r>
      <w:r>
        <w:t xml:space="preserve"> </w:t>
      </w:r>
      <w:r>
        <w:t>−1</w:t>
      </w:r>
      <w:r>
        <w:t xml:space="preserve"> </w:t>
      </w:r>
      <w:r>
        <w:t>可恢复能量密度为25.1 J cm</w:t>
      </w:r>
      <w:r>
        <w:t xml:space="preserve"> </w:t>
      </w:r>
      <w:r>
        <w:t>−3</w:t>
      </w:r>
      <w:r>
        <w:t xml:space="preserve"> </w:t>
      </w:r>
      <w:r>
        <w:t>高效率，</w:t>
      </w:r>
    </w:p>
    <w:p>
      <w:pPr>
        <w:spacing w:before="0" w:after="200" w:lineRule="auto" w:line="276"/>
      </w:pPr>
      <w:r>
        <w:rPr>
          <w:b/>
        </w:rPr>
        <w:t xml:space="preserve">Abstract (EN): </w:t>
      </w:r>
      <w:r>
        <w:t>Achieving ultrahigh energy storage in lead‐free dielectric ceramics is fundamentally constrained by the intrinsic trade‐off between large polarization and high dielectric breakdown strength. Here, we establish an interpretable machine‐learning‐guided design framework that quantitatively links ionic descriptors with polarization behavior in ABO</w:t>
      </w:r>
      <w:r>
        <w:rPr>
          <w:vertAlign w:val="subscript"/>
        </w:rPr>
        <w:t>3</w:t>
      </w:r>
      <w:r>
        <w:t>‐based dielectric matrices, enabling the rational identification of compositions with intrinsically high polarization potential. Guided by this strategy, a (Bi</w:t>
      </w:r>
      <w:r>
        <w:t xml:space="preserve"> </w:t>
      </w:r>
      <w:r>
        <w:t>0.275</w:t>
      </w:r>
      <w:r>
        <w:t xml:space="preserve"> </w:t>
      </w:r>
      <w:r>
        <w:t>Na</w:t>
      </w:r>
      <w:r>
        <w:t xml:space="preserve"> </w:t>
      </w:r>
      <w:r>
        <w:t>0.2255</w:t>
      </w:r>
      <w:r>
        <w:t xml:space="preserve"> </w:t>
      </w:r>
      <w:r>
        <w:t>K</w:t>
      </w:r>
      <w:r>
        <w:t xml:space="preserve"> </w:t>
      </w:r>
      <w:r>
        <w:t>0.0495</w:t>
      </w:r>
      <w:r>
        <w:t xml:space="preserve"> </w:t>
      </w:r>
      <w:r>
        <w:t>Ba</w:t>
      </w:r>
      <w:r>
        <w:t xml:space="preserve"> </w:t>
      </w:r>
      <w:r>
        <w:t>0.3</w:t>
      </w:r>
      <w:r>
        <w:t xml:space="preserve"> </w:t>
      </w:r>
      <w:r>
        <w:t>)(Ti</w:t>
      </w:r>
      <w:r>
        <w:t xml:space="preserve"> </w:t>
      </w:r>
      <w:r>
        <w:t>0.985</w:t>
      </w:r>
      <w:r>
        <w:t xml:space="preserve"> </w:t>
      </w:r>
      <w:r>
        <w:t>Hf</w:t>
      </w:r>
      <w:r>
        <w:t xml:space="preserve"> </w:t>
      </w:r>
      <w:r>
        <w:t>0.015</w:t>
      </w:r>
      <w:r>
        <w:t xml:space="preserve"> </w:t>
      </w:r>
      <w:r>
        <w:t>)O</w:t>
      </w:r>
      <w:r>
        <w:rPr>
          <w:vertAlign w:val="subscript"/>
        </w:rPr>
        <w:t>3</w:t>
      </w:r>
      <w:r>
        <w:t>‐0.15(La</w:t>
      </w:r>
      <w:r>
        <w:t xml:space="preserve"> </w:t>
      </w:r>
      <w:r>
        <w:t>0.5</w:t>
      </w:r>
      <w:r>
        <w:t xml:space="preserve"> </w:t>
      </w:r>
      <w:r>
        <w:t>Sm</w:t>
      </w:r>
      <w:r>
        <w:t xml:space="preserve"> </w:t>
      </w:r>
      <w:r>
        <w:t>0.5</w:t>
      </w:r>
      <w:r>
        <w:t xml:space="preserve"> </w:t>
      </w:r>
      <w:r>
        <w:t>)</w:t>
      </w:r>
      <w:r>
        <w:rPr>
          <w:vertAlign w:val="subscript"/>
        </w:rPr>
        <w:t>2</w:t>
      </w:r>
      <w:r>
        <w:t>Ti</w:t>
      </w:r>
      <w:r>
        <w:rPr>
          <w:vertAlign w:val="subscript"/>
        </w:rPr>
        <w:t>2</w:t>
      </w:r>
      <w:r>
        <w:t>O</w:t>
      </w:r>
      <w:r>
        <w:rPr>
          <w:vertAlign w:val="subscript"/>
        </w:rPr>
        <w:t>7</w:t>
      </w:r>
      <w:r>
        <w:t>(BNBT‐3) composition is discovered that exhibits an exceptional maximum polarization of 50.19 µC cm</w:t>
      </w:r>
      <w:r>
        <w:t xml:space="preserve"> </w:t>
      </w:r>
      <w:r>
        <w:t>−2</w:t>
      </w:r>
      <w:r>
        <w:t xml:space="preserve"> </w:t>
      </w:r>
      <w:r>
        <w:t>. When processed via a viscous polymer process, the resulting BNBT‐3‐VPP capacitors achieve an ultrahigh breakdown strength of 1400 kV cm</w:t>
      </w:r>
      <w:r>
        <w:t xml:space="preserve"> </w:t>
      </w:r>
      <w:r>
        <w:t>−1</w:t>
      </w:r>
      <w:r>
        <w:t xml:space="preserve"> </w:t>
      </w:r>
      <w:r>
        <w:t>and a recoverable energy density of 25.1 J cm</w:t>
      </w:r>
      <w:r>
        <w:t xml:space="preserve"> </w:t>
      </w:r>
      <w:r>
        <w:t>−3</w:t>
      </w:r>
      <w:r>
        <w:t xml:space="preserve"> </w:t>
      </w:r>
      <w:r>
        <w:t>with high efficiency, placing them among the best‐performing lead‐free dielectric ceramics reported to date. Structural characterization combined with phase‐field simulations reveals that the outstanding performance originates from polarization‐lattice decoupling, where nanoscale polarization clusters and multiphase coexistence suppress long‐range ferroelectric order while enabling reversible polarization rotation. This work establishes a generalizable strategy that integrates interpretable machine learning with physically grounded materials design, providing a powerful route for discovering high‐performance dielectric energy storage materials.</w:t>
      </w:r>
    </w:p>
    <w:p>
      <w:pPr>
        <w:spacing w:before="120" w:after="120"/>
      </w:pPr>
      <w:r>
        <w:rPr>
          <w:sz w:val="18"/>
        </w:rPr>
        <w:t>——————————————————————————————————————————————————————————————————————</w:t>
      </w:r>
    </w:p>
    <w:p>
      <w:pPr>
        <w:spacing w:before="160" w:after="40" w:line="240" w:lineRule="auto"/>
      </w:pPr>
      <w:r>
        <w:rPr>
          <w:b/>
        </w:rPr>
        <w:t xml:space="preserve">[21] </w:t>
      </w:r>
      <w:hyperlink r:id="rId260">
        <w:r>
          <w:rPr>
            <w:color w:val="1155CC"/>
            <w:u w:val="single"/>
          </w:rPr>
          <w:t>通过 Bi3+ 驱动的原子纳米协同作用打破反铁电体中的能量存储权衡</w:t>
        </w:r>
      </w:hyperlink>
    </w:p>
    <w:p>
      <w:pPr>
        <w:spacing w:before="0" w:after="80"/>
      </w:pPr>
      <w:r>
        <w:rPr>
          <w:i/>
          <w:sz w:val="20"/>
        </w:rPr>
        <w:t>EN: Breaking the Energy Storage Trade‐off in Antiferroelectrics via Bi3+‐Driven Atomic‐Nanoscale Synergy</w:t>
      </w:r>
    </w:p>
    <w:p>
      <w:pPr>
        <w:spacing w:before="0" w:after="120"/>
      </w:pPr>
      <w:r>
        <w:rPr>
          <w:b/>
        </w:rPr>
        <w:t xml:space="preserve">Source: </w:t>
      </w:r>
      <w:r>
        <w:t>Wiley: Advanced Materials: Table of Contents</w:t>
      </w:r>
      <w:r>
        <w:t xml:space="preserve">    </w:t>
      </w:r>
      <w:r>
        <w:rPr>
          <w:b/>
        </w:rPr>
        <w:t xml:space="preserve">Pub date: </w:t>
      </w:r>
      <w:r>
        <w:t>2026-08-05 14:18:29+00:00</w:t>
      </w:r>
      <w:r>
        <w:t xml:space="preserve">    </w:t>
      </w:r>
      <w:r>
        <w:rPr>
          <w:b/>
        </w:rPr>
        <w:t xml:space="preserve">DOI: </w:t>
      </w:r>
      <w:hyperlink r:id="rId261">
        <w:r>
          <w:rPr>
            <w:color w:val="1155CC"/>
            <w:u w:val="single"/>
          </w:rPr>
          <w:t>10.1002/adma.74475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在反铁电陶瓷中实现卓越的能量存储受到根本性妥协的限制：realxor行为是以牺牲极化强度为代价的。这直接导致可恢复能量密度之间相互制约的平衡（</w:t>
      </w:r>
      <w:r>
        <w:t xml:space="preserve"> </w:t>
      </w:r>
      <w:r>
        <w:t>瓦</w:t>
      </w:r>
      <w:r>
        <w:t xml:space="preserve"> </w:t>
      </w:r>
      <w:r>
        <w:t>记录</w:t>
      </w:r>
      <w:r>
        <w:t xml:space="preserve"> </w:t>
      </w:r>
      <w:r>
        <w:t>）和储能效率（</w:t>
      </w:r>
      <w:r>
        <w:t xml:space="preserve"> </w:t>
      </w:r>
      <w:r>
        <w:t>η</w:t>
      </w:r>
      <w:r>
        <w:t xml:space="preserve"> </w:t>
      </w:r>
      <w:r>
        <w:t>）。为了克服这个问题，我们开发了一种 Bi 诱导的 Pb 局部键合调制策略</w:t>
      </w:r>
      <w:r>
        <w:t xml:space="preserve"> </w:t>
      </w:r>
      <w:r>
        <w:t>0.92‐1.5</w:t>
      </w:r>
      <w:r>
        <w:t xml:space="preserve"> </w:t>
      </w:r>
      <w:r>
        <w:t>x</w:t>
      </w:r>
      <w:r>
        <w:t xml:space="preserve"> </w:t>
      </w:r>
      <w:r>
        <w:t>锶</w:t>
      </w:r>
      <w:r>
        <w:t xml:space="preserve"> </w:t>
      </w:r>
      <w:r>
        <w:t>0.08</w:t>
      </w:r>
      <w:r>
        <w:t xml:space="preserve"> </w:t>
      </w:r>
      <w:r>
        <w:t>毕</w:t>
      </w:r>
      <w:r>
        <w:t xml:space="preserve"> </w:t>
      </w:r>
      <w:r>
        <w:t>x</w:t>
      </w:r>
      <w:r>
        <w:t xml:space="preserve"> </w:t>
      </w:r>
      <w:r>
        <w:t>锆</w:t>
      </w:r>
      <w:r>
        <w:t xml:space="preserve"> </w:t>
      </w:r>
      <w:r>
        <w:t>0.49</w:t>
      </w:r>
      <w:r>
        <w:t xml:space="preserve"> </w:t>
      </w:r>
      <w:r>
        <w:t>锡</w:t>
      </w:r>
      <w:r>
        <w:t xml:space="preserve"> </w:t>
      </w:r>
      <w:r>
        <w:t>0.5</w:t>
      </w:r>
      <w:r>
        <w:t xml:space="preserve"> </w:t>
      </w:r>
      <w:r>
        <w:t>钛</w:t>
      </w:r>
      <w:r>
        <w:t xml:space="preserve"> </w:t>
      </w:r>
      <w:r>
        <w:t>0.01</w:t>
      </w:r>
      <w:r>
        <w:t xml:space="preserve"> </w:t>
      </w:r>
      <w:r>
        <w:t>氧</w:t>
      </w:r>
      <w:r>
        <w:rPr>
          <w:vertAlign w:val="subscript"/>
        </w:rPr>
        <w:t>3</w:t>
      </w:r>
      <w:r>
        <w:t>同时增强 AFE 框架并改善偏振响应的陶瓷。这种方法提高了击穿强度和 AFE-FE 转变场，使材料能够承受更高的电场并释放更大的存储能量。优化后的成分创历史新高</w:t>
      </w:r>
      <w:r>
        <w:t xml:space="preserve"> </w:t>
      </w:r>
      <w:r>
        <w:t>瓦</w:t>
      </w:r>
      <w:r>
        <w:t xml:space="preserve"> </w:t>
      </w:r>
      <w:r>
        <w:t>记录</w:t>
      </w:r>
      <w:r>
        <w:t xml:space="preserve"> </w:t>
      </w:r>
      <w:r>
        <w:t>15.6 焦耳·厘米</w:t>
      </w:r>
      <w:r>
        <w:t xml:space="preserve"> </w:t>
      </w:r>
      <w:r>
        <w:t>−3</w:t>
      </w:r>
      <w:r>
        <w:t xml:space="preserve"> </w:t>
      </w:r>
      <w:r>
        <w:t>600 kV cm 下效率约为 90%</w:t>
      </w:r>
      <w:r>
        <w:t xml:space="preserve"> </w:t>
      </w:r>
      <w:r>
        <w:t>−1</w:t>
      </w:r>
      <w:r>
        <w:t xml:space="preserve"> </w:t>
      </w:r>
      <w:r>
        <w:t>，同时超快放电（</w:t>
      </w:r>
      <w:r>
        <w:t xml:space="preserve"> </w:t>
      </w:r>
      <w:r>
        <w:t>t</w:t>
      </w:r>
      <w:r>
        <w:t xml:space="preserve"> </w:t>
      </w:r>
      <w:r>
        <w:t>0.9</w:t>
      </w:r>
    </w:p>
    <w:p>
      <w:pPr>
        <w:spacing w:before="0" w:after="200" w:lineRule="auto" w:line="276"/>
      </w:pPr>
      <w:r>
        <w:rPr>
          <w:b/>
        </w:rPr>
        <w:t xml:space="preserve">Abstract (EN): </w:t>
      </w:r>
      <w:r>
        <w:t>Achieving superior energy storage in antiferroelectric ceramics is limited by a fundamental compromise: realxor behavior comes at the cost of sacrificing polarization strength. This directly leads to a mutually restrictive balance between recoverable energy density (</w:t>
      </w:r>
      <w:r>
        <w:t xml:space="preserve"> </w:t>
      </w:r>
      <w:r>
        <w:t>W</w:t>
      </w:r>
      <w:r>
        <w:t xml:space="preserve"> </w:t>
      </w:r>
      <w:r>
        <w:t>rec</w:t>
      </w:r>
      <w:r>
        <w:t xml:space="preserve"> </w:t>
      </w:r>
      <w:r>
        <w:t>) and energy storage efficiency (</w:t>
      </w:r>
      <w:r>
        <w:t xml:space="preserve"> </w:t>
      </w:r>
      <w:r>
        <w:t>η</w:t>
      </w:r>
      <w:r>
        <w:t xml:space="preserve"> </w:t>
      </w:r>
      <w:r>
        <w:t>). To overcome this, we develop a Bi‐induced local bonding modulation strategy in Pb</w:t>
      </w:r>
      <w:r>
        <w:t xml:space="preserve"> </w:t>
      </w:r>
      <w:r>
        <w:t>0.92‐1.5</w:t>
      </w:r>
      <w:r>
        <w:t xml:space="preserve"> </w:t>
      </w:r>
      <w:r>
        <w:t>x</w:t>
      </w:r>
      <w:r>
        <w:t xml:space="preserve"> </w:t>
      </w:r>
      <w:r>
        <w:t>Sr</w:t>
      </w:r>
      <w:r>
        <w:t xml:space="preserve"> </w:t>
      </w:r>
      <w:r>
        <w:t>0.08</w:t>
      </w:r>
      <w:r>
        <w:t xml:space="preserve"> </w:t>
      </w:r>
      <w:r>
        <w:t>Bi</w:t>
      </w:r>
      <w:r>
        <w:t xml:space="preserve"> </w:t>
      </w:r>
      <w:r>
        <w:t>x</w:t>
      </w:r>
      <w:r>
        <w:t xml:space="preserve"> </w:t>
      </w:r>
      <w:r>
        <w:t>Zr</w:t>
      </w:r>
      <w:r>
        <w:t xml:space="preserve"> </w:t>
      </w:r>
      <w:r>
        <w:t>0.49</w:t>
      </w:r>
      <w:r>
        <w:t xml:space="preserve"> </w:t>
      </w:r>
      <w:r>
        <w:t>Sn</w:t>
      </w:r>
      <w:r>
        <w:t xml:space="preserve"> </w:t>
      </w:r>
      <w:r>
        <w:t>0.5</w:t>
      </w:r>
      <w:r>
        <w:t xml:space="preserve"> </w:t>
      </w:r>
      <w:r>
        <w:t>Ti</w:t>
      </w:r>
      <w:r>
        <w:t xml:space="preserve"> </w:t>
      </w:r>
      <w:r>
        <w:t>0.01</w:t>
      </w:r>
      <w:r>
        <w:t xml:space="preserve"> </w:t>
      </w:r>
      <w:r>
        <w:t>O</w:t>
      </w:r>
      <w:r>
        <w:rPr>
          <w:vertAlign w:val="subscript"/>
        </w:rPr>
        <w:t>3</w:t>
      </w:r>
      <w:r>
        <w:t>ceramics that simultaneously strengthens the AFE framework and refines polarization response. This approach elevates both the breakdown strength and the AFE‐FE transition field, allowing the material to withstand higher electric fields and release greater stored energy. The optimized composition achieves a record‐high</w:t>
      </w:r>
      <w:r>
        <w:t xml:space="preserve"> </w:t>
      </w:r>
      <w:r>
        <w:t>W</w:t>
      </w:r>
      <w:r>
        <w:t xml:space="preserve"> </w:t>
      </w:r>
      <w:r>
        <w:t>rec</w:t>
      </w:r>
      <w:r>
        <w:t xml:space="preserve"> </w:t>
      </w:r>
      <w:r>
        <w:t>of 15.6 J cm</w:t>
      </w:r>
      <w:r>
        <w:t xml:space="preserve"> </w:t>
      </w:r>
      <w:r>
        <w:t>−3</w:t>
      </w:r>
      <w:r>
        <w:t xml:space="preserve"> </w:t>
      </w:r>
      <w:r>
        <w:t>with ∼90% efficiency under 600 kV cm</w:t>
      </w:r>
      <w:r>
        <w:t xml:space="preserve"> </w:t>
      </w:r>
      <w:r>
        <w:t>−1</w:t>
      </w:r>
      <w:r>
        <w:t xml:space="preserve"> </w:t>
      </w:r>
      <w:r>
        <w:t>, alongside ultrafast discharge (</w:t>
      </w:r>
      <w:r>
        <w:t xml:space="preserve"> </w:t>
      </w:r>
      <w:r>
        <w:t>t</w:t>
      </w:r>
      <w:r>
        <w:t xml:space="preserve"> </w:t>
      </w:r>
      <w:r>
        <w:t>0.9</w:t>
      </w:r>
      <w:r>
        <w:t xml:space="preserve"> </w:t>
      </w:r>
      <w:r>
        <w:t>∼64.5 ns) and excellent thermal/frequency stability. Atomic‐scale characterization reveals a coexistence of robust long‐range AFE order and local polar heterogeneity, which collectively smooths the field‐induced transition path and suppresses early breakdown. This work provides a generalizable design principle for dielectric capacitors by strategically decoupling polarization enhancement from relaxor behavior, paving the way for high‐energy, high‐efficiency pulsed‐power systems.</w:t>
      </w:r>
    </w:p>
    <w:p>
      <w:pPr>
        <w:spacing w:before="120" w:after="120"/>
      </w:pPr>
      <w:r>
        <w:rPr>
          <w:sz w:val="18"/>
        </w:rPr>
        <w:t>——————————————————————————————————————————————————————————————————————</w:t>
      </w:r>
    </w:p>
    <w:p>
      <w:pPr>
        <w:spacing w:before="160" w:after="40" w:line="240" w:lineRule="auto"/>
      </w:pPr>
      <w:r>
        <w:rPr>
          <w:b/>
        </w:rPr>
        <w:t xml:space="preserve">[22] </w:t>
      </w:r>
      <w:hyperlink r:id="rId262">
        <w:r>
          <w:rPr>
            <w:color w:val="1155CC"/>
            <w:u w:val="single"/>
          </w:rPr>
          <w:t>氢和电池存储电网互动混合能源系统的分层协调优化</w:t>
        </w:r>
      </w:hyperlink>
    </w:p>
    <w:p>
      <w:pPr>
        <w:spacing w:before="0" w:after="80"/>
      </w:pPr>
      <w:r>
        <w:rPr>
          <w:i/>
          <w:sz w:val="20"/>
        </w:rPr>
        <w:t>EN: Hierarchical coordination optimization for grid-interactive hybrid energy systems with hydrogen and battery storage</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263">
        <w:r>
          <w:rPr>
            <w:color w:val="1155CC"/>
            <w:u w:val="single"/>
          </w:rPr>
          <w:t>10.1016/j.apenergy.2026.128529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264">
        <w:r>
          <w:rPr>
            <w:color w:val="1155CC"/>
            <w:u w:val="single"/>
          </w:rPr>
          <w:t>双塔光效率极限评估，指导太阳能塔式系统设计</w:t>
        </w:r>
      </w:hyperlink>
    </w:p>
    <w:p>
      <w:pPr>
        <w:spacing w:before="0" w:after="80"/>
      </w:pPr>
      <w:r>
        <w:rPr>
          <w:i/>
          <w:sz w:val="20"/>
        </w:rPr>
        <w:t>EN: Evaluation of dual-tower optical efficiency limit for guiding the design of solar power tower systems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265">
        <w:r>
          <w:rPr>
            <w:color w:val="1155CC"/>
            <w:u w:val="single"/>
          </w:rPr>
          <w:t>10.1016/j.apenergy.2026.128545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66">
        <w:r>
          <w:rPr>
            <w:color w:val="1155CC"/>
            <w:u w:val="single"/>
          </w:rPr>
          <w:t>费米学驱动的戈薇金属中的角极横向热电</w:t>
        </w:r>
      </w:hyperlink>
    </w:p>
    <w:p>
      <w:pPr>
        <w:spacing w:before="0" w:after="80"/>
      </w:pPr>
      <w:r>
        <w:rPr>
          <w:i/>
          <w:sz w:val="20"/>
        </w:rPr>
        <w:t>EN: Fermiology-driven goniopolar transverse thermoelectricity in kagome metals</w:t>
      </w:r>
    </w:p>
    <w:p>
      <w:pPr>
        <w:spacing w:before="0" w:after="120"/>
      </w:pPr>
      <w:r>
        <w:rPr>
          <w:b/>
        </w:rPr>
        <w:t xml:space="preserve">Source: </w:t>
      </w:r>
      <w:r>
        <w:t>Nature Materials</w:t>
      </w:r>
      <w:r>
        <w:t xml:space="preserve">    </w:t>
      </w:r>
      <w:r>
        <w:rPr>
          <w:b/>
        </w:rPr>
        <w:t xml:space="preserve">Pub date: </w:t>
      </w:r>
      <w:r>
        <w:t>2026-07-31 00:00:00+00:00</w:t>
      </w:r>
      <w:r>
        <w:t xml:space="preserve">    </w:t>
      </w:r>
      <w:r>
        <w:rPr>
          <w:b/>
        </w:rPr>
        <w:t xml:space="preserve">DOI: </w:t>
      </w:r>
      <w:hyperlink r:id="rId267">
        <w:r>
          <w:rPr>
            <w:color w:val="1155CC"/>
            <w:u w:val="single"/>
          </w:rPr>
          <w:t>10.1038/s41563-026-02678-4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戈薇晶格的奇特几何形状驱动涌现量子态并推进能源技术；然而，基于反常能斯特效应（ANE）的磁系统从根本上受到低热电势的限制（&lt;6μ V K</w:t>
      </w:r>
      <w:r>
        <w:t xml:space="preserve"> </w:t>
      </w:r>
      <w:r>
        <w:t>−1</w:t>
      </w:r>
      <w:r>
        <w:t xml:space="preserve"> </w:t>
      </w:r>
      <w:r>
        <w:t>）和杂散场干扰。在这里，我们提出了角极性（轴相关载流子极性），以在 kagome 系统中实现高零场横向热电响应。通过利用平带和范霍夫奇点驱动的电子态，我们发现了 LuCo 中异常大的角极热电响应</w:t>
      </w:r>
      <w:r>
        <w:rPr>
          <w:vertAlign w:val="subscript"/>
        </w:rPr>
        <w:t>6</w:t>
      </w:r>
      <w:r>
        <w:t>锗</w:t>
      </w:r>
      <w:r>
        <w:rPr>
          <w:vertAlign w:val="subscript"/>
        </w:rPr>
        <w:t>6</w:t>
      </w:r>
      <w:r>
        <w:t>，包括 18.4 μV K 的横向热电势</w:t>
      </w:r>
      <w:r>
        <w:t xml:space="preserve"> </w:t>
      </w:r>
      <w:r>
        <w:t>−1</w:t>
      </w:r>
      <w:r>
        <w:t xml:space="preserve"> </w:t>
      </w:r>
      <w:r>
        <w:t>横向珀耳帖电导率为 105 A m</w:t>
      </w:r>
      <w:r>
        <w:t xml:space="preserve"> </w:t>
      </w:r>
      <w:r>
        <w:t>−1</w:t>
      </w:r>
      <w:r>
        <w:t xml:space="preserve"> </w:t>
      </w:r>
      <w:r>
        <w:t>K</w:t>
      </w:r>
      <w:r>
        <w:t xml:space="preserve"> </w:t>
      </w:r>
      <w:r>
        <w:t>−1</w:t>
      </w:r>
      <w:r>
        <w:t xml:space="preserve"> </w:t>
      </w:r>
      <w:r>
        <w:t>在室温和零场下。平带与高电导率的协同作用产生的值比传统的基于 ANE 的系统大一个数量级。我们的研究结果表明，角极戈薇金属是热电材料有希望的候选者。</w:t>
      </w:r>
    </w:p>
    <w:p>
      <w:pPr>
        <w:spacing w:before="0" w:after="200" w:lineRule="auto" w:line="276"/>
      </w:pPr>
      <w:r>
        <w:rPr>
          <w:b/>
        </w:rPr>
        <w:t xml:space="preserve">Abstract (EN): </w:t>
      </w:r>
      <w:r>
        <w:t>The exotic geometry of the kagome lattice drives emergent quantum states and advances energy technologies; however, the anomalous Nernst effect (ANE)-based magnetic systems are fundamentally limited by low thermopowers (&amp;lt;6μ V K</w:t>
      </w:r>
      <w:r>
        <w:t xml:space="preserve"> </w:t>
      </w:r>
      <w:r>
        <w:t>−1</w:t>
      </w:r>
      <w:r>
        <w:t xml:space="preserve"> </w:t>
      </w:r>
      <w:r>
        <w:t>) and stray-field interference. Here we propose goniopolarity (axis-dependent carrier polarity) to achieve high zero-field transverse thermoelectric responses in kagome systems. By exploiting flat-band- and van Hove singularity-driven electronic states, we uncover exceptionally large goniopolar thermoelectric responses in LuCo</w:t>
      </w:r>
      <w:r>
        <w:rPr>
          <w:vertAlign w:val="subscript"/>
        </w:rPr>
        <w:t>6</w:t>
      </w:r>
      <w:r>
        <w:t>Ge</w:t>
      </w:r>
      <w:r>
        <w:rPr>
          <w:vertAlign w:val="subscript"/>
        </w:rPr>
        <w:t>6</w:t>
      </w:r>
      <w:r>
        <w:t>, including a transverse thermopower of 18.4 μV K</w:t>
      </w:r>
      <w:r>
        <w:t xml:space="preserve"> </w:t>
      </w:r>
      <w:r>
        <w:t>−1</w:t>
      </w:r>
      <w:r>
        <w:t xml:space="preserve"> </w:t>
      </w:r>
      <w:r>
        <w:t>and a transverse Peltier conductivity of 105 A m</w:t>
      </w:r>
      <w:r>
        <w:t xml:space="preserve"> </w:t>
      </w:r>
      <w:r>
        <w:t>−1</w:t>
      </w:r>
      <w:r>
        <w:t xml:space="preserve"> </w:t>
      </w:r>
      <w:r>
        <w:t>K</w:t>
      </w:r>
      <w:r>
        <w:t xml:space="preserve"> </w:t>
      </w:r>
      <w:r>
        <w:t>−1</w:t>
      </w:r>
      <w:r>
        <w:t xml:space="preserve"> </w:t>
      </w:r>
      <w:r>
        <w:t>at room temperature and zero field. The synergy of flat bands with high electrical conductivity yields values an order of magnitude greater than those achieved in conventional ANE-based systems. Our findings establish goniopolar kagome metals as promising candidates for thermoelectrics.</w:t>
      </w:r>
    </w:p>
    <w:p>
      <w:pPr>
        <w:spacing w:before="120" w:after="120"/>
      </w:pPr>
      <w:r>
        <w:rPr>
          <w:sz w:val="18"/>
        </w:rPr>
        <w:t>——————————————————————————————————————————————————————————————————————</w:t>
      </w:r>
    </w:p>
    <w:p>
      <w:pPr>
        <w:spacing w:before="160" w:after="40" w:line="240" w:lineRule="auto"/>
      </w:pPr>
      <w:r>
        <w:rPr>
          <w:b/>
        </w:rPr>
        <w:t xml:space="preserve">[3] </w:t>
      </w:r>
      <w:hyperlink r:id="rId268">
        <w:r>
          <w:rPr>
            <w:color w:val="1155CC"/>
            <w:u w:val="single"/>
          </w:rPr>
          <w:t>集成新型聚光太阳能发电厂的混合能源系统优化：二级时间尺度的双层方法</w:t>
        </w:r>
      </w:hyperlink>
    </w:p>
    <w:p>
      <w:pPr>
        <w:spacing w:before="0" w:after="80"/>
      </w:pPr>
      <w:r>
        <w:rPr>
          <w:i/>
          <w:sz w:val="20"/>
        </w:rPr>
        <w:t>EN: Optimization of hybrid energy system integrating novel concentrated solar power plant: a bi-level approach at second-level time scale</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269">
        <w:r>
          <w:rPr>
            <w:color w:val="1155CC"/>
            <w:u w:val="single"/>
          </w:rPr>
          <w:t>10.1016/j.apenergy.2026.128488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70">
        <w:r>
          <w:rPr>
            <w:color w:val="1155CC"/>
            <w:u w:val="single"/>
          </w:rPr>
          <w:t>用于热能和能量转换系统的值得信赖的数字孪生：基于物理的建模、不确定性感知预测和运营决策支持</w:t>
        </w:r>
      </w:hyperlink>
    </w:p>
    <w:p>
      <w:pPr>
        <w:spacing w:before="0" w:after="80"/>
      </w:pPr>
      <w:r>
        <w:rPr>
          <w:i/>
          <w:sz w:val="20"/>
        </w:rPr>
        <w:t>EN: Trustworthy digital twins for thermal and energy conversion systems: physics-grounded modeling, uncertainty-aware prediction, and operational decision support</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271">
        <w:r>
          <w:rPr>
            <w:color w:val="1155CC"/>
            <w:u w:val="single"/>
          </w:rPr>
          <w:t>10.1016/j.apenergy.2026.128575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72">
        <w:r>
          <w:rPr>
            <w:color w:val="1155CC"/>
            <w:u w:val="single"/>
          </w:rPr>
          <w:t>用于多区域建筑节能 HVAC 控制的因果推理多智能体强化学习</w:t>
        </w:r>
      </w:hyperlink>
    </w:p>
    <w:p>
      <w:pPr>
        <w:spacing w:before="0" w:after="80"/>
      </w:pPr>
      <w:r>
        <w:rPr>
          <w:i/>
          <w:sz w:val="20"/>
        </w:rPr>
        <w:t>EN: Causal inference multi-agent reinforcement learning for energy-efficient HVAC control in multi-zone buildings</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273">
        <w:r>
          <w:rPr>
            <w:color w:val="1155CC"/>
            <w:u w:val="single"/>
          </w:rPr>
          <w:t>10.1016/j.apenergy.2026.128569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74">
        <w:r>
          <w:rPr>
            <w:color w:val="1155CC"/>
            <w:u w:val="single"/>
          </w:rPr>
          <w:t>数据中心室内系统时空异构图建模与温度预测</w:t>
        </w:r>
      </w:hyperlink>
    </w:p>
    <w:p>
      <w:pPr>
        <w:spacing w:before="0" w:after="80"/>
      </w:pPr>
      <w:r>
        <w:rPr>
          <w:i/>
          <w:sz w:val="20"/>
        </w:rPr>
        <w:t>EN: Spatio-temporal heterogeneous graph-based modeling and temperature prediction for data center indoor system</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275">
        <w:r>
          <w:rPr>
            <w:color w:val="1155CC"/>
            <w:u w:val="single"/>
          </w:rPr>
          <w:t>10.1016/j.apenergy.2026.128536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76">
        <w:r>
          <w:rPr>
            <w:color w:val="1155CC"/>
            <w:u w:val="single"/>
          </w:rPr>
          <w:t>利用错配应变和 β-α 相变进行热电 Ag2Se 的微结构工程</w:t>
        </w:r>
      </w:hyperlink>
    </w:p>
    <w:p>
      <w:pPr>
        <w:spacing w:before="0" w:after="80"/>
      </w:pPr>
      <w:r>
        <w:rPr>
          <w:i/>
          <w:sz w:val="20"/>
        </w:rPr>
        <w:t>EN: Exploiting Mismatch Strain and the β–α Phase Transition for Microstructural Engineering in Thermoelectric Ag2Se</w:t>
      </w:r>
    </w:p>
    <w:p>
      <w:pPr>
        <w:spacing w:before="0" w:after="120"/>
      </w:pPr>
      <w:r>
        <w:rPr>
          <w:b/>
        </w:rPr>
        <w:t xml:space="preserve">Source: </w:t>
      </w:r>
      <w:r>
        <w:t>ACS Energy Letters: Latest Articles (ACS Publications)</w:t>
      </w:r>
      <w:r>
        <w:t xml:space="preserve">    </w:t>
      </w:r>
      <w:r>
        <w:rPr>
          <w:b/>
        </w:rPr>
        <w:t xml:space="preserve">Pub date: </w:t>
      </w:r>
      <w:r>
        <w:t>2026-08-03 00:00:00+00:00</w:t>
      </w:r>
      <w:r>
        <w:t xml:space="preserve">    </w:t>
      </w:r>
      <w:r>
        <w:rPr>
          <w:b/>
        </w:rPr>
        <w:t xml:space="preserve">DOI: </w:t>
      </w:r>
      <w:hyperlink r:id="rId277">
        <w:r>
          <w:rPr>
            <w:color w:val="1155CC"/>
            <w:u w:val="single"/>
          </w:rPr>
          <w:t>10.1021/acsenergylett.6c01499</w:t>
        </w:r>
      </w:hyperlink>
    </w:p>
    <w:p>
      <w:pPr>
        <w:spacing w:before="0" w:after="120"/>
      </w:pPr>
      <w:r>
        <w:rPr>
          <w:b/>
        </w:rPr>
        <w:t xml:space="preserve">Notes: </w:t>
      </w:r>
      <w:r>
        <w:t>abstract_source=crossref</w:t>
      </w:r>
    </w:p>
    <w:p>
      <w:pPr>
        <w:spacing w:before="0" w:after="80" w:lineRule="auto" w:line="276"/>
      </w:pPr>
      <w:r>
        <w:rPr>
          <w:b/>
        </w:rPr>
        <w:t xml:space="preserve">摘要（ZH）: </w:t>
      </w:r>
      <w:r>
        <w:t>摘要 硒化银（Ag2Se）是一种有前途的近室温热电材料，但其狭窄的化学计量窗口和β-α相变使可重复的微观结构控制变得复杂。在这里，我们提出了一种失配辅助的微结构工程策略，其中 Ag2Se 颗粒用聚阴离子 ZnSe 络合物处理，并通过 β-α 转变进行固结，以引入 ZnSe 纳米沉淀物、Ag2Se/ZnSe 界面和局部应变场。 ZnSe 和 Ag2Se 之间的晶体失配以及 Zn2+/Ag+ 尺寸差异放大了相变引起的变形，并通过周期性应变调制促进高密度位错。这种缺陷结构抑制晶粒粗化，去除多余的银，限制银间隙的形成，并通过晶格软化和多尺度声子散射降低晶格热导率。 Ag2Se–4%ZnSe 纳米复合材料在 369 K 时的峰值 zTmax 为 1.13，在 300 至 380 K 时的 zTavg 为 1.08，证明通过 β–α 相变进行失配驱动的缺陷工程是优化 Ag2Se 基热电材料的一种途径。</w:t>
      </w:r>
    </w:p>
    <w:p>
      <w:pPr>
        <w:spacing w:before="0" w:after="200" w:lineRule="auto" w:line="276"/>
      </w:pPr>
      <w:r>
        <w:rPr>
          <w:b/>
        </w:rPr>
        <w:t xml:space="preserve">Abstract (EN): </w:t>
      </w:r>
      <w:r>
        <w:t>Silver selenide (Ag2Se) is a promising near-room-temperature thermoelectric material, but its narrow stoichiometric window and β–α phase transition complicate reproducible microstructure control. Here, we present a mismatch-assisted microstructure engineering strategy in which Ag2Se particles are treated with polyanionic ZnSe complexes and consolidated through the β–α transition to introduce ZnSe nanoprecipitates, Ag2Se/ZnSe interfaces, and local strain fields. The crystallographic mismatch between ZnSe and Ag2Se, together with the Zn2+/Ag+ size difference, amplifies phase-transition-induced deformation and promotes high-density dislocations with periodic strain modulations. This defect architecture suppresses grain coarsening, removes excess Ag, limits Ag-interstitial formation, and reduces lattice thermal conductivity through lattice softening and multiscale phonon scattering. Ag2Se–4%ZnSe nanocomposites achieve a peak zTmax of 1.13 at 369 K and a zTavg of 1.08 from 300 to 380 K, demonstrating mismatch-driven defect engineering through the β–α phase transition as a route for optimizing Ag2Se-based thermoelectrics.</w:t>
      </w:r>
    </w:p>
    <w:p>
      <w:pPr>
        <w:spacing w:before="120" w:after="120"/>
      </w:pPr>
      <w:r>
        <w:rPr>
          <w:sz w:val="18"/>
        </w:rPr>
        <w:t>——————————————————————————————————————————————————————————————————————</w:t>
      </w:r>
    </w:p>
    <w:p>
      <w:pPr>
        <w:spacing w:before="160" w:after="40" w:line="240" w:lineRule="auto"/>
      </w:pPr>
      <w:r>
        <w:rPr>
          <w:b/>
        </w:rPr>
        <w:t xml:space="preserve">[8] </w:t>
      </w:r>
      <w:hyperlink r:id="rId278">
        <w:r>
          <w:rPr>
            <w:color w:val="1155CC"/>
            <w:u w:val="single"/>
          </w:rPr>
          <w:t>通过厚度诱导纹理和双边界制备高性能 Bi0.4Sb1.6Te3 薄膜</w:t>
        </w:r>
      </w:hyperlink>
    </w:p>
    <w:p>
      <w:pPr>
        <w:spacing w:before="0" w:after="80"/>
      </w:pPr>
      <w:r>
        <w:rPr>
          <w:i/>
          <w:sz w:val="20"/>
        </w:rPr>
        <w:t>EN: High-Performance Bi0.4Sb1.6Te3 Films via Thickness-Induced Texturing and Twin Boundaries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79">
        <w:r>
          <w:rPr>
            <w:color w:val="1155CC"/>
            <w:u w:val="single"/>
          </w:rPr>
          <w:t>10.1021/acsami.6c11802</w:t>
        </w:r>
      </w:hyperlink>
    </w:p>
    <w:p>
      <w:pPr>
        <w:spacing w:before="0" w:after="120"/>
      </w:pPr>
      <w:r>
        <w:rPr>
          <w:b/>
        </w:rPr>
        <w:t xml:space="preserve">Notes: </w:t>
      </w:r>
      <w:r>
        <w:t>abstract_source=crossref</w:t>
      </w:r>
    </w:p>
    <w:p>
      <w:pPr>
        <w:spacing w:before="0" w:after="80" w:lineRule="auto" w:line="276"/>
      </w:pPr>
      <w:r>
        <w:rPr>
          <w:b/>
        </w:rPr>
        <w:t xml:space="preserve">摘要（ZH）: </w:t>
      </w:r>
      <w:r>
        <w:t>摘要 高性能碲化铋薄膜的开发对于微型热电器件的技术创新至关重要。然而，多晶薄膜中电和热传输的解耦仍然具有挑战性。在这里，我们报告了一种将厚度诱导纹理与缺陷工程相结合的协同策略，以增强 p 型 Bi0.4Sb1.6Te3 薄膜的热电性能。采用 Te 补偿磁控溅射，随着厚度从 500 nm 增加到 800 nm，(00l) 取向因子从 0.17 增加到 0.39。这种 (00l) 织构为空穴传输提供了低散射路径，而 Te 补偿有效地调节了载流子浓度，从而有助于提高塞贝克系数。重要的是，薄膜内形成了相干 60° 纳米孪晶边界的致密网络，具有双重作用：充当有效的声子散射中心，显着抑制晶格热导率，同时由于其界面特性而保持有利的载流子传输。最终，优化的800 nm薄膜表现出高热电性能：室温下功率因数高达约40 μW·cm–1·K–2，面内导热系数低至约0.83 W·m–1·K–1，实现了1.43的高热电品质因数（zT）。这项工作为减轻热电薄膜中的电和热传输权衡提供了一种简单有效的实用策略。</w:t>
      </w:r>
    </w:p>
    <w:p>
      <w:pPr>
        <w:spacing w:before="0" w:after="200" w:lineRule="auto" w:line="276"/>
      </w:pPr>
      <w:r>
        <w:rPr>
          <w:b/>
        </w:rPr>
        <w:t xml:space="preserve">Abstract (EN): </w:t>
      </w:r>
      <w:r>
        <w:t>The development of high-performance bismuth telluride thin films is essential for technological innovation in miniature thermoelectric devices. However, decoupling electrical and thermal transport in polycrystalline films remains challenging. Here, we report a synergistic strategy that combines thickness-induced texturing with defect engineering to enhance the thermoelectric properties of p-type Bi0.4Sb1.6Te3 films. Employing Te-compensated magnetron sputtering, the (00l) orientation factor increased from 0.17 to 0.39 as thickness increased from 500 to 800 nm. This (00l) texture provides low-scattering pathways for hole transport, while Te compensation effectively regulates carrier concentration, thereby contributing to an enhanced Seebeck coefficient. Importantly, a dense network of coherent 60° nanotwinned boundaries forms within the film, serving dual roles: acting as efficient phonon-scattering centers that significantly suppress lattice thermal conductivity while maintaining favorable carrier transport owing to their interfacial characteristics. Ultimately, the optimized 800 nm film exhibits high thermoelectric performance: a power factor as high as approximately 40 μW·cm–1·K–2 at room temperature and an in-plane thermal conductivity as low as approximately 0.83 W·m–1·K–1, achieving a high thermoelectric figure of merit (zT) of 1.43. This work provides a simple and effective practical strategy for mitigating the electrical and thermal transport trade-off in thermoelectric films.</w:t>
      </w:r>
    </w:p>
    <w:p>
      <w:pPr>
        <w:spacing w:before="120" w:after="120"/>
      </w:pPr>
      <w:r>
        <w:rPr>
          <w:sz w:val="18"/>
        </w:rPr>
        <w:t>——————————————————————————————————————————————————————————————————————</w:t>
      </w:r>
    </w:p>
    <w:p>
      <w:pPr>
        <w:spacing w:before="160" w:after="40" w:line="240" w:lineRule="auto"/>
      </w:pPr>
      <w:r>
        <w:rPr>
          <w:b/>
        </w:rPr>
        <w:t xml:space="preserve">[9] </w:t>
      </w:r>
      <w:hyperlink r:id="rId280">
        <w:r>
          <w:rPr>
            <w:color w:val="1155CC"/>
            <w:u w:val="single"/>
          </w:rPr>
          <w:t>液晶界面工程增强热传导，实现高效热管理</w:t>
        </w:r>
      </w:hyperlink>
    </w:p>
    <w:p>
      <w:pPr>
        <w:spacing w:before="0" w:after="80"/>
      </w:pPr>
      <w:r>
        <w:rPr>
          <w:i/>
          <w:sz w:val="20"/>
        </w:rPr>
        <w:t>EN: Liquid Crystal Interface Engineering Enhances Thermal Conduction for Efficient Thermal Management</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81">
        <w:r>
          <w:rPr>
            <w:color w:val="1155CC"/>
            <w:u w:val="single"/>
          </w:rPr>
          <w:t>10.1021/acsami.6c09709</w:t>
        </w:r>
      </w:hyperlink>
    </w:p>
    <w:p>
      <w:pPr>
        <w:spacing w:before="0" w:after="120"/>
      </w:pPr>
      <w:r>
        <w:rPr>
          <w:b/>
        </w:rPr>
        <w:t xml:space="preserve">Notes: </w:t>
      </w:r>
      <w:r>
        <w:t>abstract_source=crossref</w:t>
      </w:r>
    </w:p>
    <w:p>
      <w:pPr>
        <w:spacing w:before="0" w:after="80" w:lineRule="auto" w:line="276"/>
      </w:pPr>
      <w:r>
        <w:rPr>
          <w:b/>
        </w:rPr>
        <w:t xml:space="preserve">摘要（ZH）: </w:t>
      </w:r>
      <w:r>
        <w:t>摘要 高功率集成电子器件需要具有高导热率、柔性和热稳定性的散热材料。在此，开发了液晶（LC）改性石墨烯界面工程策略来制造芳纶复合薄膜。密度泛函理论证实，多环芳族液晶通过强 π-π 相互作用锚定在石墨烯上。这种改性提高了石墨烯和芳纶之间的界面相容性，而不会损坏石墨烯晶格。分子动力学模拟表明，液晶夹层有效抑制了界面热阻（ITR），因为液晶分子有助于增强石墨烯和芳纶网络之间的频率匹配和振动模式耦合。受益于热压下液晶的有序流动特性，界面处的缺陷和间隙可以被填充，形成有序且致密的热传导路径。该复合薄膜在液晶改性石墨烯（LC-石墨烯）负载量为40 wt%时，面内导热系数最大为15.39 W·m–1·K–1，是纯芳纶纳米纤维（ANF）薄膜的6.36倍。此外，该薄膜具有优异的热稳定性，初始分解温度高于450℃，机械性能拉伸强度达到101MPa。作为散热材料，与商用焊盘相比，它可将电路和大功率 LED 的工作温度降低约 25 °C。这项工作为芳纶基热管理复合材料提供了一种有前景的界面设计策略。</w:t>
      </w:r>
    </w:p>
    <w:p>
      <w:pPr>
        <w:spacing w:before="0" w:after="200" w:lineRule="auto" w:line="276"/>
      </w:pPr>
      <w:r>
        <w:rPr>
          <w:b/>
        </w:rPr>
        <w:t xml:space="preserve">Abstract (EN): </w:t>
      </w:r>
      <w:r>
        <w:t>High-power integrated electronics demand heat-dissipation materials with high thermal conductivity, flexibility, and thermal stability. Herein, a liquid crystal (LC)-modified graphene interface engineering strategy is developed to fabricate aramid composite films. The polycyclic aromatic LC anchors onto graphene via strong π–π interactions, as confirmed by density functional theory. This modification improves interfacial compatibility between graphene and aramid without damaging the graphene lattice. Molecular dynamics simulations reveal that the LC interlayer effectively suppresses the interfacial thermal resistance (ITR), as the LC molecules facilitate enhanced frequency matching and vibrational mode coupling between the graphene and aramid networks. Benefiting from the ordered flow characteristics of the LC under hot pressing, the defects and gaps at the interface can be filled, forming ordered and dense thermal conduction pathways. The composite film achieves a maximum in-plane thermal conductivity of 15.39 W·m–1·K–1 at 40 wt % liquid crystal-modified graphene (LC-graphene) loading, which is 6.36 times that of a pure aramid nanofiber (ANF) film. Moreover, the film exhibits outstanding thermal stability with an initial decomposition temperature above 450 °C and mechanical properties with tensile strength reaching 101 MPa. As a heat dissipation material, it reduces the operating temperature of circuit and high-power LEDs by ∼25 °C compared to commercial pads. This work provides a promising interface design strategy for aramid-based thermal management composites.</w:t>
      </w:r>
    </w:p>
    <w:p>
      <w:pPr>
        <w:spacing w:before="120" w:after="120"/>
      </w:pPr>
      <w:r>
        <w:rPr>
          <w:sz w:val="18"/>
        </w:rPr>
        <w:t>——————————————————————————————————————————————————————————————————————</w:t>
      </w:r>
    </w:p>
    <w:p>
      <w:pPr>
        <w:spacing w:before="160" w:after="40" w:line="240" w:lineRule="auto"/>
      </w:pPr>
      <w:r>
        <w:rPr>
          <w:b/>
        </w:rPr>
        <w:t xml:space="preserve">[10] </w:t>
      </w:r>
      <w:hyperlink r:id="rId282">
        <w:r>
          <w:rPr>
            <w:color w:val="1155CC"/>
            <w:u w:val="single"/>
          </w:rPr>
          <w:t>Sb3+ 掺杂可在 Pb-In 二元混合金属卤化物中实现可调谐多色发射和可逆热致变色</w:t>
        </w:r>
      </w:hyperlink>
    </w:p>
    <w:p>
      <w:pPr>
        <w:spacing w:before="0" w:after="80"/>
      </w:pPr>
      <w:r>
        <w:rPr>
          <w:i/>
          <w:sz w:val="20"/>
        </w:rPr>
        <w:t>EN: Sb3+ Doping Enables Tunable Multicolor Emission and Reversible Thermochromism in Pb-In Binary Hybrid Metal Halides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83">
        <w:r>
          <w:rPr>
            <w:color w:val="1155CC"/>
            <w:u w:val="single"/>
          </w:rPr>
          <w:t>10.1021/acsami.6c09023</w:t>
        </w:r>
      </w:hyperlink>
    </w:p>
    <w:p>
      <w:pPr>
        <w:spacing w:before="0" w:after="120"/>
      </w:pPr>
      <w:r>
        <w:rPr>
          <w:b/>
        </w:rPr>
        <w:t xml:space="preserve">Notes: </w:t>
      </w:r>
      <w:r>
        <w:t>abstract_source=crossref</w:t>
      </w:r>
    </w:p>
    <w:p>
      <w:pPr>
        <w:spacing w:before="0" w:after="80" w:lineRule="auto" w:line="276"/>
      </w:pPr>
      <w:r>
        <w:rPr>
          <w:b/>
        </w:rPr>
        <w:t xml:space="preserve">摘要（ZH）: </w:t>
      </w:r>
      <w:r>
        <w:t>摘要 有机-无机杂化多金属卤化物具有丰富的光物理性质，在多色发射和多功能光电应用方面具有巨大潜力，但其发展受到相分离和难以集成多种发光功能的限制。在此，我们报道了一种零维 Pb-In 双金属卤化物 (C9H20N)7[InCl4]2[Pb3Cl11] (C9H20N+ = 1-丁基-1-甲基吡咯烷鎓)，作为结构明确的多金属晶体平台。在 340 nm 激发下，该化合物在 518 nm 处呈现亮绿色发射，PLQY 高达 96.4%，源自三个 [PbCl6]4- 八面体之间通过声子辅助耦合形成的 [Pb3Cl11]5- 簇三极化子。引入 Sb3+ 后，会出现 675 nm 处的额外宽带红色发射，与 Sb3+ 相关的三重态自陷激子 (STE) 和 Sb3+-In3+ 供体-受体对 (DAP) 相关，从而实现从绿色到红色的激发依赖性可调发射。更重要的是，在 365 nm 激发下，未掺杂晶体表现出明显的抗热猝灭行为，而 Sb3+ 掺杂系统在 80-460 K 范围内表现出温度响应发光调节和可逆红橙绿热致变色现象。因此，这项工作将高效的基于团簇的绿光发射、Sb3+ 诱导的红光发射、反热猝灭行为和可逆热致变色响应集成在单个 Pb-In 中。多金属零维晶体平台，在固态照明、光学防伪和信息加密方面展现出前景。</w:t>
      </w:r>
    </w:p>
    <w:p>
      <w:pPr>
        <w:spacing w:before="0" w:after="200" w:lineRule="auto" w:line="276"/>
      </w:pPr>
      <w:r>
        <w:rPr>
          <w:b/>
        </w:rPr>
        <w:t xml:space="preserve">Abstract (EN): </w:t>
      </w:r>
      <w:r>
        <w:t>Organic–inorganic hybrid multimetal halides possess rich photophysical properties and great potential for multicolor emission and multifunctional optoelectronic applications, but their development is limited by phase separation and the difficulty of integrating multiple luminescent functions. Herein, we report a zero-dimensional Pb-In bimetallic halide, (C9H20N)7[InCl4]2[Pb3Cl11] (C9H20N+ = 1-butyl-1-methylpyrrolidinium), as a structurally well-defined multimetallic crystalline platform. Under 340 nm excitation, the compound exhibits bright green emission at 518 nm with a high PLQY of 96.4%, originating from the [Pb3Cl11]5– cluster tri-polaron formed through phonon-assisted coupling among three [PbCl6]4– octahedra. Upon Sb3+ introduction, an additional broadband red emission at 675 nm appears, associated with Sb3+-related triplet self-trapped exciton (STE) and Sb3+-In3+ donor–acceptor pair (DAP), enabling excitation-dependent tunable emission from green to red. More importantly, under 365 nm excitation, the undoped crystal shows pronounced anti-thermal-quenching behavior, while the Sb3+-doped system exhibits temperature-responsive luminescence regulation and reversible red-orange-green thermochromism over 80–460 K. This work thus integrates efficient cluster-based green emission, Sb3+-induced red emission, antithermal-quenching behavior, and reversible thermochromic response in a single Pb-In multimetallic zero-dimensional crystalline platform, showing promise for solid-state lighting, optical anticounterfeiting, and information encryption.</w:t>
      </w:r>
    </w:p>
    <w:p>
      <w:pPr>
        <w:spacing w:before="120" w:after="120"/>
      </w:pPr>
      <w:r>
        <w:rPr>
          <w:sz w:val="18"/>
        </w:rPr>
        <w:t>——————————————————————————————————————————————————————————————————————</w:t>
      </w:r>
    </w:p>
    <w:p>
      <w:pPr>
        <w:spacing w:before="160" w:after="40" w:line="240" w:lineRule="auto"/>
      </w:pPr>
      <w:r>
        <w:rPr>
          <w:b/>
        </w:rPr>
        <w:t xml:space="preserve">[11] </w:t>
      </w:r>
      <w:hyperlink r:id="rId284">
        <w:r>
          <w:rPr>
            <w:color w:val="1155CC"/>
            <w:u w:val="single"/>
          </w:rPr>
          <w:t>基于纤维素的分层多孔膜集成了温度适应性和超疏水自清洁功能，适用于全季节被动辐射冷却</w:t>
        </w:r>
      </w:hyperlink>
    </w:p>
    <w:p>
      <w:pPr>
        <w:spacing w:before="0" w:after="80"/>
      </w:pPr>
      <w:r>
        <w:rPr>
          <w:i/>
          <w:sz w:val="20"/>
        </w:rPr>
        <w:t>EN: Cellulose-Based Hierarchical Porous Membranes Integrating Temperature-Adaptability and Superhydrophobic Self-Cleaning for All-Season Passive Radiative Cooling</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85">
        <w:r>
          <w:rPr>
            <w:color w:val="1155CC"/>
            <w:u w:val="single"/>
          </w:rPr>
          <w:t>10.1021/acsami.6c08441</w:t>
        </w:r>
      </w:hyperlink>
    </w:p>
    <w:p>
      <w:pPr>
        <w:spacing w:before="0" w:after="120"/>
      </w:pPr>
      <w:r>
        <w:rPr>
          <w:b/>
        </w:rPr>
        <w:t xml:space="preserve">Notes: </w:t>
      </w:r>
      <w:r>
        <w:t>abstract_source=crossref</w:t>
      </w:r>
    </w:p>
    <w:p>
      <w:pPr>
        <w:spacing w:before="0" w:after="80" w:lineRule="auto" w:line="276"/>
      </w:pPr>
      <w:r>
        <w:rPr>
          <w:b/>
        </w:rPr>
        <w:t xml:space="preserve">摘要（ZH）: </w:t>
      </w:r>
      <w:r>
        <w:t>摘要 被动辐射冷却为建筑热管理提供了一条可持续的途径，但其实际部署受到两个关键限制的严重阻碍，即寒冷环境中静态冷却引起的过冷和室外污垢导致的光学退化。在此，我们构建了一种基于纤维素的分层多孔材料，该材料将热致变色切换与超疏水自清洁相结合。具体来说，通过具有可扩展潜力的溶剂模板辅助蒸发诱导相分离策略，将热致变色微胶囊（TMC）集成到定制的醋酸纤维素多孔网络结构中。至关重要的是，这种结构不仅产生广泛的米氏散射位点以最大限度地提高太阳反射率，而且还将 TMC 机械固定在结构内，从而减轻通常在高填充复合材料中观察到的脆化。因此，即使在 30 wt% 的高 TMC 负载量下，所得膜也表现出优异的机械性能，拉伸强度为 21.9 MPa，断裂伸长率为 34.3%。同时，该薄膜实现了自主光学切换，将太阳反射率从热态的96.2%调节到冷态的80.8%，同时保持95.0%的高红外发射率。现场测试表明，该膜具有优异的气候适应性，即在强烈的太阳辐照下可实现12.3℃的制冷，并在寒冷环境下比静态辐射制冷膜保持6.6℃的热优势，有效抑制过冷。进一步</w:t>
      </w:r>
    </w:p>
    <w:p>
      <w:pPr>
        <w:spacing w:before="0" w:after="200" w:lineRule="auto" w:line="276"/>
      </w:pPr>
      <w:r>
        <w:rPr>
          <w:b/>
        </w:rPr>
        <w:t xml:space="preserve">Abstract (EN): </w:t>
      </w:r>
      <w:r>
        <w:t>Passive radiative cooling offers a sustainable pathway for building thermal management, yet its practical deployment is severely hindered by two critical limitations, namely, static cooling-induced overcooling in cold environments and optical deterioration due to outdoor fouling. Herein, we construct a cellulose-based hierarchically porous material that integrates thermochromic switching with superhydrophobic self-cleaning. Specifically, thermochromic microcapsules (TMCs) are integrated into a tailored cellulose acetate porous network structure via a solvent-template-assisted evaporation-induced phase separation strategy with scalable potential. Crucially, this architecture not only generates extensive Mie-scattering sites to maximize solar reflectance but also mechanically anchors the TMCs within the structure, thereby mitigating the embrittlement typically observed in highly filled composites. Consequently, the resulting membrane exhibits excellent mechanical properties even at a high TMC loading of 30 wt %, achieving a tensile strength of 21.9 MPa and an elongation at break of 34.3%. Meanwhile, the membrane achieves autonomous optical switching, modulating solar reflectance from 96.2% in the hot state to 80.8% in the cold state, while maintaining a high infrared emissivity of 95.0%. Field tests demonstrate superior climate adaptability, i.e., the membrane yields a cooling of 12.3 °C under intense solar irradiance and effectively suppresses overcooling by maintaining a 6.6 °C thermal advantage over the static radiative cooling film in cold environments. Furthermore, to ensure long-term fidelity, a superhydrophobic feature is introduced (contact angle ∼152°), endowing the surface with exceptional self-cleaning capabilities that preserve optical performance against dust accumulation. This work synergizes adaptive thermoregulation with environmental durability, offering a scalable, eco-friendly solution for next-generation smart building envelopes.</w:t>
      </w:r>
    </w:p>
    <w:p>
      <w:pPr>
        <w:spacing w:before="120" w:after="120"/>
      </w:pPr>
      <w:r>
        <w:rPr>
          <w:sz w:val="18"/>
        </w:rPr>
        <w:t>——————————————————————————————————————————————————————————————————————</w:t>
      </w:r>
    </w:p>
    <w:p>
      <w:pPr>
        <w:spacing w:before="160" w:after="40" w:line="240" w:lineRule="auto"/>
      </w:pPr>
      <w:r>
        <w:rPr>
          <w:b/>
        </w:rPr>
        <w:t xml:space="preserve">[12] </w:t>
      </w:r>
      <w:hyperlink r:id="rId286">
        <w:r>
          <w:rPr>
            <w:color w:val="1155CC"/>
            <w:u w:val="single"/>
          </w:rPr>
          <w:t>新时代聚合物热电：材料创新、掺杂前沿、解耦策略和非常规应用（Adv. Mater. 43/2026）</w:t>
        </w:r>
      </w:hyperlink>
    </w:p>
    <w:p>
      <w:pPr>
        <w:spacing w:before="0" w:after="80"/>
      </w:pPr>
      <w:r>
        <w:rPr>
          <w:i/>
          <w:sz w:val="20"/>
        </w:rPr>
        <w:t>EN: New‐Era Polymer Thermoelectrics: Material Innovations, Doping Frontiers, Decoupling Strategies, and Unconventional Applications (Adv. Mater. 43/2026)</w:t>
      </w:r>
    </w:p>
    <w:p>
      <w:pPr>
        <w:spacing w:before="0" w:after="120"/>
      </w:pPr>
      <w:r>
        <w:rPr>
          <w:b/>
        </w:rPr>
        <w:t xml:space="preserve">Source: </w:t>
      </w:r>
      <w:r>
        <w:t>Wiley: Advanced Materials: Table of Contents</w:t>
      </w:r>
      <w:r>
        <w:t xml:space="preserve">    </w:t>
      </w:r>
      <w:r>
        <w:rPr>
          <w:b/>
        </w:rPr>
        <w:t xml:space="preserve">Pub date: </w:t>
      </w:r>
      <w:r>
        <w:t>2026-08-03 15:01:30+00:00</w:t>
      </w:r>
      <w:r>
        <w:t xml:space="preserve">    </w:t>
      </w:r>
      <w:r>
        <w:rPr>
          <w:b/>
        </w:rPr>
        <w:t xml:space="preserve">DOI: </w:t>
      </w:r>
      <w:hyperlink r:id="rId287">
        <w:r>
          <w:rPr>
            <w:color w:val="1155CC"/>
            <w:u w:val="single"/>
          </w:rPr>
          <w:t>10.1002/adma.74410</w:t>
        </w:r>
      </w:hyperlink>
    </w:p>
    <w:p>
      <w:pPr>
        <w:spacing w:before="0" w:after="120"/>
      </w:pPr>
      <w:r>
        <w:rPr>
          <w:b/>
        </w:rPr>
        <w:t xml:space="preserve">Notes: </w:t>
      </w:r>
      <w:r>
        <w:t>abstract_source=openalex</w:t>
      </w:r>
    </w:p>
    <w:p>
      <w:pPr>
        <w:spacing w:before="0" w:after="80" w:lineRule="auto" w:line="276"/>
      </w:pPr>
      <w:r>
        <w:rPr>
          <w:b/>
        </w:rPr>
        <w:t xml:space="preserve">摘要（ZH）: </w:t>
      </w:r>
      <w:r>
        <w:t>新时代聚合物热电学封面描绘了聚合物热电学的新时代，其中包括各种突破，例如 n 型 PBFDO 的出现、电子和热传输的复杂解耦策略，以及柔性、可拉伸热电器件的演示。最终，这项工作构建了从基本机制到实际应用的桥梁。更多详细信息请参阅 Suhao Wang 的评论（DOI：10.1002/adma.202522912）。</w:t>
      </w:r>
    </w:p>
    <w:p>
      <w:pPr>
        <w:spacing w:before="0" w:after="200" w:lineRule="auto" w:line="276"/>
      </w:pPr>
      <w:r>
        <w:rPr>
          <w:b/>
        </w:rPr>
        <w:t xml:space="preserve">Abstract (EN): </w:t>
      </w:r>
      <w:r>
        <w:t>New-Era Polymer Thermoelectrics The cover depicts a new era in polymer thermoelectrics, featuring various breakthroughs such as the emergence of n-type PBFDO, sophisticated decoupling strategies for electronic and thermal transport, alongside the demonstration of flexible, stretchable thermoelectric devices. Ultimately, this works builds a bridge from fundamental mechanisms to real-world applications. More details can be found in the Review by Suhao Wang (DOI: 10.1002/adma.202522912).</w:t>
      </w:r>
    </w:p>
    <w:p>
      <w:pPr>
        <w:spacing w:before="120" w:after="120"/>
      </w:pPr>
      <w:r>
        <w:rPr>
          <w:sz w:val="18"/>
        </w:rPr>
        <w:t>——————————————————————————————————————————————————————————————————————</w:t>
      </w:r>
    </w:p>
    <w:p>
      <w:pPr>
        <w:spacing w:before="160" w:after="40" w:line="240" w:lineRule="auto"/>
      </w:pPr>
      <w:r>
        <w:rPr>
          <w:b/>
        </w:rPr>
        <w:t xml:space="preserve">[13] </w:t>
      </w:r>
      <w:hyperlink r:id="rId288">
        <w:r>
          <w:rPr>
            <w:color w:val="1155CC"/>
            <w:u w:val="single"/>
          </w:rPr>
          <w:t>用于定向盐结晶和零液体排放的熔融核壳碳聚合物纳米球的多孔界面光热层（Adv. Mater. 43/2026）</w:t>
        </w:r>
      </w:hyperlink>
    </w:p>
    <w:p>
      <w:pPr>
        <w:spacing w:before="0" w:after="80"/>
      </w:pPr>
      <w:r>
        <w:rPr>
          <w:i/>
          <w:sz w:val="20"/>
        </w:rPr>
        <w:t>EN: A Porous Interfacial Photothermal Layer of Fused Core–Shell Carbon‐Polymer Nanospheres for Directional Salt Crystallization and Zero‐Liquid‐Discharge (Adv. Mater. 43/2026)</w:t>
      </w:r>
    </w:p>
    <w:p>
      <w:pPr>
        <w:spacing w:before="0" w:after="120"/>
      </w:pPr>
      <w:r>
        <w:rPr>
          <w:b/>
        </w:rPr>
        <w:t xml:space="preserve">Source: </w:t>
      </w:r>
      <w:r>
        <w:t>Wiley: Advanced Materials: Table of Contents</w:t>
      </w:r>
      <w:r>
        <w:t xml:space="preserve">    </w:t>
      </w:r>
      <w:r>
        <w:rPr>
          <w:b/>
        </w:rPr>
        <w:t xml:space="preserve">Pub date: </w:t>
      </w:r>
      <w:r>
        <w:t>2026-08-03 15:01:30+00:00</w:t>
      </w:r>
      <w:r>
        <w:t xml:space="preserve">    </w:t>
      </w:r>
      <w:r>
        <w:rPr>
          <w:b/>
        </w:rPr>
        <w:t xml:space="preserve">DOI: </w:t>
      </w:r>
      <w:hyperlink r:id="rId289">
        <w:r>
          <w:rPr>
            <w:color w:val="1155CC"/>
            <w:u w:val="single"/>
          </w:rPr>
          <w:t>10.1002/adma.74412</w:t>
        </w:r>
      </w:hyperlink>
    </w:p>
    <w:p>
      <w:pPr>
        <w:spacing w:before="0" w:after="120"/>
      </w:pPr>
      <w:r>
        <w:rPr>
          <w:b/>
        </w:rPr>
        <w:t xml:space="preserve">Notes: </w:t>
      </w:r>
      <w:r>
        <w:t>abstract_source=openalex</w:t>
      </w:r>
    </w:p>
    <w:p>
      <w:pPr>
        <w:spacing w:before="0" w:after="80" w:lineRule="auto" w:line="276"/>
      </w:pPr>
      <w:r>
        <w:rPr>
          <w:b/>
        </w:rPr>
        <w:t xml:space="preserve">摘要（ZH）: </w:t>
      </w:r>
      <w:r>
        <w:t>太阳能驱动的零液体排放海水淡化 该封面重点介绍了由分级水凝胶蒸发器实现的太阳能驱动的零液体排放海水淡化。在一次太阳照射下，表面限制的光热层加速蒸发，同时定向传输引导盐水离开活性界面，诱导局部盐结晶。这种解耦将超咸水转化为淡水和可回收的盐。更多详细信息，请参阅 Qiang Fu、Jiangtao Xu 及其同事的研究文章 (DOI: 10.1002/adma.73845)。</w:t>
      </w:r>
    </w:p>
    <w:p>
      <w:pPr>
        <w:spacing w:before="0" w:after="200" w:lineRule="auto" w:line="276"/>
      </w:pPr>
      <w:r>
        <w:rPr>
          <w:b/>
        </w:rPr>
        <w:t xml:space="preserve">Abstract (EN): </w:t>
      </w:r>
      <w:r>
        <w:t>Solar-Driven Zero-Liquid-Discharge Desalination The cover highlights solar-driven zero-liquid-discharge desalination enabled by a hierarchical hydrogel evaporator. Under one-sun irradiation, a surface-confined photothermal layer accelerates evaporation, while directional transport guides brine from the active interface, inducing localized salt crystallization. This decoupling converts hypersaline brine into freshwater and recoverable salt. More details are provided in the Research Article by Qiang Fu, Jiangtao Xu, and co-workers (DOI: 10.1002/adma.73845).</w:t>
      </w:r>
    </w:p>
    <w:p>
      <w:pPr>
        <w:spacing w:before="120" w:after="120"/>
      </w:pPr>
      <w:r>
        <w:rPr>
          <w:sz w:val="18"/>
        </w:rPr>
        <w:t>——————————————————————————————————————————————————————————————————————</w:t>
      </w:r>
    </w:p>
    <w:p>
      <w:pPr>
        <w:spacing w:before="160" w:after="40" w:line="240" w:lineRule="auto"/>
      </w:pPr>
      <w:r>
        <w:rPr>
          <w:b/>
        </w:rPr>
        <w:t xml:space="preserve">[14] </w:t>
      </w:r>
      <w:hyperlink r:id="rId290">
        <w:r>
          <w:rPr>
            <w:color w:val="1155CC"/>
            <w:u w:val="single"/>
          </w:rPr>
          <w:t>基于约束学习的分布式水蓄热区域供冷系统优化运行</w:t>
        </w:r>
      </w:hyperlink>
    </w:p>
    <w:p>
      <w:pPr>
        <w:spacing w:before="0" w:after="80"/>
      </w:pPr>
      <w:r>
        <w:rPr>
          <w:i/>
          <w:sz w:val="20"/>
        </w:rPr>
        <w:t>EN: Constraint learning-based optimal operation of district cooling systems with distributed water thermal energy storage</w:t>
      </w:r>
    </w:p>
    <w:p>
      <w:pPr>
        <w:spacing w:before="0" w:after="120"/>
      </w:pPr>
      <w:r>
        <w:rPr>
          <w:b/>
        </w:rPr>
        <w:t xml:space="preserve">Source: </w:t>
      </w:r>
      <w:r>
        <w:t>ScienceDirect Publication: Applied Energy</w:t>
      </w:r>
      <w:r>
        <w:t xml:space="preserve">    </w:t>
      </w:r>
      <w:r>
        <w:rPr>
          <w:b/>
        </w:rPr>
        <w:t xml:space="preserve">Pub date: </w:t>
      </w:r>
      <w:r>
        <w:t>2026-08-04 00:00:00+00:00</w:t>
      </w:r>
      <w:r>
        <w:t xml:space="preserve">    </w:t>
      </w:r>
      <w:r>
        <w:rPr>
          <w:b/>
        </w:rPr>
        <w:t xml:space="preserve">DOI: </w:t>
      </w:r>
      <w:hyperlink r:id="rId291">
        <w:r>
          <w:rPr>
            <w:color w:val="1155CC"/>
            <w:u w:val="single"/>
          </w:rPr>
          <w:t>10.1016/j.apenergy.2026.128556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92">
        <w:r>
          <w:rPr>
            <w:color w:val="1155CC"/>
            <w:u w:val="single"/>
          </w:rPr>
          <w:t>物理几何二元性实现的仿生扩散超材料</w:t>
        </w:r>
      </w:hyperlink>
    </w:p>
    <w:p>
      <w:pPr>
        <w:spacing w:before="0" w:after="80"/>
      </w:pPr>
      <w:r>
        <w:rPr>
          <w:i/>
          <w:sz w:val="20"/>
        </w:rPr>
        <w:t>EN: Biomimetic diffusion metamaterials enabled by physical-geometric duality</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结构设计通常面临先进功能和实际可制造性之间的基本权衡，这一挑战在自由形式超材料中尤其严峻，其中全向性能通常需要复杂的制造。受到叶子保角生长的启发，我们通过建立超材料设计的物理几何二元性来解决这一长期存在的挑战。这种二元性使得几何变换能够直接从通过物理等效获得的材料参数和场导出。由此产生的扩散超材料表现出独特的行为：尽管导热系数具有很强的各向异性和异质性，但等温线和热流线仍然相互正交。这一特性有效地将复杂的热导率张量的实现简化为层压复合材料沿局部场线的直接对准，而无需优化。我们通过实验展示了一种自由形状的热斗篷，可以实现全向隐形。我们的工作建立了一种仿生设计范式，可以协调功能性与可制造性，对热管理和扩散传输具有广泛的影响。</w:t>
      </w:r>
    </w:p>
    <w:p>
      <w:pPr>
        <w:spacing w:before="0" w:after="200" w:lineRule="auto" w:line="276"/>
      </w:pPr>
      <w:r>
        <w:rPr>
          <w:b/>
        </w:rPr>
        <w:t xml:space="preserve">Abstract (EN): </w:t>
      </w:r>
      <w:r>
        <w:t>Structural design typically faces a fundamental trade-off between advanced functionality and practical manufacturability, a challenge that is especially acute in freeform metamaterials, where omnidirectional performance often demands intricate fabrication. Inspired by the angle-preserving growth of leaves, we address this long-standing challenge by establishing a physical-geometric duality for metamaterial design. This duality enables geometric transformations to be derived directly from material parameters and fields obtained via physical equivalence. The resulting diffusion metamaterials exhibit a distinctive behavior: despite strong anisotropy and heterogeneity in thermal conductivity, isotherms and heat streamlines remain mutually orthogonal. This property effectively reduces the realization of complex thermal conductivity tensors to the direct alignment of laminated composites along local field lines without optimization. We experimentally demonstrate a freeform thermal cloak that achieves omnidirectional invisibility. Our work establishes a biomimetic design paradigm that reconciles functionality with manufacturability, with broad implications for thermal management and diffusive transport.</w:t>
      </w:r>
    </w:p>
    <w:p>
      <w:pPr>
        <w:spacing w:before="120" w:after="120"/>
      </w:pPr>
      <w:r>
        <w:rPr>
          <w:sz w:val="18"/>
        </w:rPr>
        <w:t>——————————————————————————————————————————————————————————————————————</w:t>
      </w:r>
    </w:p>
    <w:p>
      <w:pPr>
        <w:spacing w:before="160" w:after="40" w:line="240" w:lineRule="auto"/>
      </w:pPr>
      <w:r>
        <w:rPr>
          <w:b/>
        </w:rPr>
        <w:t xml:space="preserve">[16] </w:t>
      </w:r>
      <w:hyperlink r:id="rId293">
        <w:r>
          <w:rPr>
            <w:color w:val="1155CC"/>
            <w:u w:val="single"/>
          </w:rPr>
          <w:t>沉积痕量金属和微生物特征揭示了圣托里尼火山口长期的热液历史</w:t>
        </w:r>
      </w:hyperlink>
    </w:p>
    <w:p>
      <w:pPr>
        <w:spacing w:before="0" w:after="80"/>
      </w:pPr>
      <w:r>
        <w:rPr>
          <w:i/>
          <w:sz w:val="20"/>
        </w:rPr>
        <w:t>EN: A prolonged hydrothermal past at Santorini Caldera revealed by sedimentary trace metal and microbial signatures</w:t>
      </w:r>
    </w:p>
    <w:p>
      <w:pPr>
        <w:spacing w:before="0" w:after="120"/>
      </w:pPr>
      <w:r>
        <w:rPr>
          <w:b/>
        </w:rPr>
        <w:t xml:space="preserve">Source: </w:t>
      </w:r>
      <w:r>
        <w:t>Earth and environmental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火山口的热液系统对于发出火山动荡信号、形成矿床和维持化学合成微生物至关重要。对国际海洋发现计划 (IODP) 第 398 次探险期间从希腊圣托里尼火山口收集的约 3500 年沉积物序列进行的分析揭示了长期古热液系统的行为。沉积物地球化学和宏基因组数据记录了大约 1100 年的剧烈热液活动和金属通量，两次大喷发之间的时间间隔为 2270 年。沉积物热液衍生的微量金属在背景上显着富集（砷和汞约为 200 倍，锰、锑、钼和钒为 10-50 倍），长期金属通量（9 t yr−1 As、2.5 t yr−1 Cu、7 kg yr−1 Ag）与陶波火山区当今地热田的通量相当。宏基因组分析确定了金属抗性基因升高——微生物适应升高的热液应激源的信号。在这里，我们整合地质和基因组证据来破译圣托里尼火山口过去热液系统的古环境和生物地球化学历史。</w:t>
      </w:r>
    </w:p>
    <w:p>
      <w:pPr>
        <w:spacing w:before="0" w:after="200" w:lineRule="auto" w:line="276"/>
      </w:pPr>
      <w:r>
        <w:rPr>
          <w:b/>
        </w:rPr>
        <w:t xml:space="preserve">Abstract (EN): </w:t>
      </w:r>
      <w:r>
        <w:t>Hydrothermal systems in volcanic calderas are critical in signalling volcanic unrest, forming ore deposits, and sustaining chemosynthetic microorganisms. Analysis of a ~3500-year sequence of sediments collected from the Santorini caldera, Greece, during International Ocean Discovery Program (IODP) Expedition 398 reveals the behaviour of a prolonged paleo-hydrothermal system. Sediment geochemical and metagenomic data record vigorous hydrothermal activity and metal fluxes for ~1100 years, within a 2270-year window between two major eruptions. Sediment hydrothermally-derived trace metals are significantly enriched over background (~200-fold for As and Hg, and 10–50-fold for Mn, Sb, Mo, and V), with long-term metal fluxes (9 t yr−1 As, 2.5 t yr−1 Cu, 7 kg yr−1 Ag) comparable to fluxes from present-day geothermal fields in the Taupo Volcanic Zone. Metagenomic analysis identifies elevated metal resistance genes—signals of microbial adaptation to heightened hydrothermal stressors. Here we integrate geological and genomic evidence to decipher the paleoenvironmental and biogeochemical history of the past hydrothermal system at Santorini caldera.</w:t>
      </w:r>
    </w:p>
    <w:p>
      <w:pPr>
        <w:spacing w:before="120" w:after="120"/>
      </w:pPr>
      <w:r>
        <w:rPr>
          <w:sz w:val="18"/>
        </w:rPr>
        <w:t>——————————————————————————————————————————————————————————————————————</w:t>
      </w:r>
    </w:p>
    <w:p>
      <w:pPr>
        <w:spacing w:before="160" w:after="40" w:line="240" w:lineRule="auto"/>
      </w:pPr>
      <w:r>
        <w:rPr>
          <w:b/>
        </w:rPr>
        <w:t xml:space="preserve">[17] </w:t>
      </w:r>
      <w:hyperlink r:id="rId294">
        <w:r>
          <w:rPr>
            <w:color w:val="1155CC"/>
            <w:u w:val="single"/>
          </w:rPr>
          <w:t>通过范德华间隙的原子级库仑剪裁实现 N 型 Bi2Te3 的卓越延展性</w:t>
        </w:r>
      </w:hyperlink>
    </w:p>
    <w:p>
      <w:pPr>
        <w:spacing w:before="0" w:after="80"/>
      </w:pPr>
      <w:r>
        <w:rPr>
          <w:i/>
          <w:sz w:val="20"/>
        </w:rPr>
        <w:t>EN: Exceptional Ductility in N‐Type Bi2Te3 Enabled by Atomic‐Scale Coulomb Tailoring of the Van Der Waals Gap</w:t>
      </w:r>
    </w:p>
    <w:p>
      <w:pPr>
        <w:spacing w:before="0" w:after="120"/>
      </w:pPr>
      <w:r>
        <w:rPr>
          <w:b/>
        </w:rPr>
        <w:t xml:space="preserve">Source: </w:t>
      </w:r>
      <w:r>
        <w:t>Wiley: Advanced Energy Materials: Table of Contents</w:t>
      </w:r>
      <w:r>
        <w:t xml:space="preserve">    </w:t>
      </w:r>
      <w:r>
        <w:rPr>
          <w:b/>
        </w:rPr>
        <w:t xml:space="preserve">Pub date: </w:t>
      </w:r>
      <w:r>
        <w:t>2026-08-04 07:32:37+00:00</w:t>
      </w:r>
      <w:r>
        <w:t xml:space="preserve">    </w:t>
      </w:r>
      <w:r>
        <w:rPr>
          <w:b/>
        </w:rPr>
        <w:t xml:space="preserve">DOI: </w:t>
      </w:r>
      <w:hyperlink r:id="rId295">
        <w:r>
          <w:rPr>
            <w:color w:val="1155CC"/>
            <w:u w:val="single"/>
          </w:rPr>
          <w:t>10.1002/aenm.71385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机半导体是现代电子产品的基础，但其固有的脆性限制了功能应用。在这里，我们通过原子级库仑剪裁展示了层状半导体碲化铋的可塑性工程策略。通过在范德华间隙中进行战略掺杂，建立长程层间库仑吸引力，脆性 Bi</w:t>
      </w:r>
      <w:r>
        <w:rPr>
          <w:vertAlign w:val="subscript"/>
        </w:rPr>
        <w:t>2</w:t>
      </w:r>
      <w:r>
        <w:t>碲</w:t>
      </w:r>
      <w:r>
        <w:rPr>
          <w:vertAlign w:val="subscript"/>
        </w:rPr>
        <w:t>3</w:t>
      </w:r>
      <w:r>
        <w:t>已成功转化为高度可变形的半导体。重要的是，这种策略保留了面内电传输，实现了 &gt;90% 的室温压缩应变，同时保留了异常的峰值</w:t>
      </w:r>
      <w:r>
        <w:t xml:space="preserve"> </w:t>
      </w:r>
      <w:r>
        <w:t>zT</w:t>
      </w:r>
      <w:r>
        <w:t xml:space="preserve"> </w:t>
      </w:r>
      <w:r>
        <w:t>350 K 时为 1.2。层间库仑相互作用和面内共价键的解耦性质能够同时增强塑性和保持电子性能。这项工作建立了一个通用设计原则，利用层间和面内相互作用之间的解耦，在不影响其电子性能的情况下开发可变形半导体。</w:t>
      </w:r>
    </w:p>
    <w:p>
      <w:pPr>
        <w:spacing w:before="0" w:after="200" w:lineRule="auto" w:line="276"/>
      </w:pPr>
      <w:r>
        <w:rPr>
          <w:b/>
        </w:rPr>
        <w:t xml:space="preserve">Abstract (EN): </w:t>
      </w:r>
      <w:r>
        <w:t>Inorganic semiconductors underpin modern electronics but suffer from their intrinsic brittleness that constrains functional applications. Here, we demonstrate a plasticity engineering strategy for layered semiconductor Bismuth Telluride via atomic‐scale Coulomb tailoring. By establishing long‐range interlayer Coulomb attraction through strategic doping in the van der Waals gap, the brittle Bi</w:t>
      </w:r>
      <w:r>
        <w:rPr>
          <w:vertAlign w:val="subscript"/>
        </w:rPr>
        <w:t>2</w:t>
      </w:r>
      <w:r>
        <w:t>Te</w:t>
      </w:r>
      <w:r>
        <w:rPr>
          <w:vertAlign w:val="subscript"/>
        </w:rPr>
        <w:t>3</w:t>
      </w:r>
      <w:r>
        <w:t>is successfully transformed into highly deformable semiconductors. Importantly, this strategy preserves the in‐plane electrical transport, which achieves &amp;gt;90% room‐temperature compressive strain while retaining an exceptional peak</w:t>
      </w:r>
      <w:r>
        <w:t xml:space="preserve"> </w:t>
      </w:r>
      <w:r>
        <w:t>zT</w:t>
      </w:r>
      <w:r>
        <w:t xml:space="preserve"> </w:t>
      </w:r>
      <w:r>
        <w:t>of 1.2 at 350 K. The decoupled nature of interlayer Coulomb interaction and in‐plane covalent bonding enables concurrent plasticity enhancement and electronic property conservation. This work establishes a general design principle, leveraging the decoupling between interlayer and in‐plane interactions, for developing deformable semiconductors without compromising their electronic properties.</w:t>
      </w:r>
    </w:p>
    <w:p>
      <w:pPr>
        <w:spacing w:before="120" w:after="120"/>
      </w:pPr>
      <w:r>
        <w:rPr>
          <w:sz w:val="18"/>
        </w:rPr>
        <w:t>——————————————————————————————————————————————————————————————————————</w:t>
      </w:r>
    </w:p>
    <w:p>
      <w:pPr>
        <w:spacing w:before="160" w:after="40" w:line="240" w:lineRule="auto"/>
      </w:pPr>
      <w:r>
        <w:rPr>
          <w:b/>
        </w:rPr>
        <w:t xml:space="preserve">[18] </w:t>
      </w:r>
      <w:hyperlink r:id="rId296">
        <w:r>
          <w:rPr>
            <w:color w:val="1155CC"/>
            <w:u w:val="single"/>
          </w:rPr>
          <w:t>具有梯度加权方位压缩和行间光学回避的基于图案的定日镜场布局生成方法</w:t>
        </w:r>
      </w:hyperlink>
    </w:p>
    <w:p>
      <w:pPr>
        <w:spacing w:before="0" w:after="80"/>
      </w:pPr>
      <w:r>
        <w:rPr>
          <w:i/>
          <w:sz w:val="20"/>
        </w:rPr>
        <w:t>EN: A pattern-based heliostat field layout generation method with gradient-weighted azimuthal compression and inter-row optical avoidance</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97">
        <w:r>
          <w:rPr>
            <w:color w:val="1155CC"/>
            <w:u w:val="single"/>
          </w:rPr>
          <w:t>10.1016/j.apenergy.2026.128520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98">
        <w:r>
          <w:rPr>
            <w:color w:val="1155CC"/>
            <w:u w:val="single"/>
          </w:rPr>
          <w:t>用于稳定太阳能制氢的相变材料增强热管理：机制和操作行为</w:t>
        </w:r>
      </w:hyperlink>
    </w:p>
    <w:p>
      <w:pPr>
        <w:spacing w:before="0" w:after="80"/>
      </w:pPr>
      <w:r>
        <w:rPr>
          <w:i/>
          <w:sz w:val="20"/>
        </w:rPr>
        <w:t>EN: Phase-change-material-enhanced thermal management for stable solar hydrogen production: Mechanism and operational behaviour</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99">
        <w:r>
          <w:rPr>
            <w:color w:val="1155CC"/>
            <w:u w:val="single"/>
          </w:rPr>
          <w:t>10.1016/j.apenergy.2026.128586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00">
        <w:r>
          <w:rPr>
            <w:color w:val="1155CC"/>
            <w:u w:val="single"/>
          </w:rPr>
          <w:t>单一聚合物掺杂系统的双极性热电发电</w:t>
        </w:r>
      </w:hyperlink>
    </w:p>
    <w:p>
      <w:pPr>
        <w:spacing w:before="0" w:after="80"/>
      </w:pPr>
      <w:r>
        <w:rPr>
          <w:i/>
          <w:sz w:val="20"/>
        </w:rPr>
        <w:t>EN: Dual-Polarity Thermoelectric Generation from a Single Polymer-Dopant System</w:t>
      </w:r>
    </w:p>
    <w:p>
      <w:pPr>
        <w:spacing w:before="0" w:after="120"/>
      </w:pPr>
      <w:r>
        <w:rPr>
          <w:b/>
        </w:rPr>
        <w:t xml:space="preserve">Source: </w:t>
      </w:r>
      <w:r>
        <w:t>ACS Energy Letters: Latest Articles (ACS Publications)</w:t>
      </w:r>
      <w:r>
        <w:t xml:space="preserve">    </w:t>
      </w:r>
      <w:r>
        <w:rPr>
          <w:b/>
        </w:rPr>
        <w:t xml:space="preserve">Pub date: </w:t>
      </w:r>
      <w:r>
        <w:t>2026-08-05 00:00:00+00:00</w:t>
      </w:r>
      <w:r>
        <w:t xml:space="preserve">    </w:t>
      </w:r>
      <w:r>
        <w:rPr>
          <w:b/>
        </w:rPr>
        <w:t xml:space="preserve">DOI: </w:t>
      </w:r>
      <w:hyperlink r:id="rId301">
        <w:r>
          <w:rPr>
            <w:color w:val="1155CC"/>
            <w:u w:val="single"/>
          </w:rPr>
          <w:t>10.1021/acsenergylett.6c01785</w:t>
        </w:r>
      </w:hyperlink>
    </w:p>
    <w:p>
      <w:pPr>
        <w:spacing w:before="0" w:after="120"/>
      </w:pPr>
      <w:r>
        <w:rPr>
          <w:b/>
        </w:rPr>
        <w:t xml:space="preserve">Notes: </w:t>
      </w:r>
      <w:r>
        <w:t>abstract_source=crossref</w:t>
      </w:r>
    </w:p>
    <w:p>
      <w:pPr>
        <w:spacing w:before="0" w:after="80" w:lineRule="auto" w:line="276"/>
      </w:pPr>
      <w:r>
        <w:rPr>
          <w:b/>
        </w:rPr>
        <w:t xml:space="preserve">摘要（ZH）: </w:t>
      </w:r>
      <w:r>
        <w:t>摘要：高掺杂有机半导体中的塞贝克系数符号反转为双极性热电发电提供了一种非常规途径，无需依赖不稳定的 n 型材料，但其物理起源仍知之甚少。在这里，我们证明系统化学掺杂可以引起多个塞贝克系数反转，从而能够在单一材料系统内获得 p 型和 n 型热电状态。动力学蒙特卡罗模拟定量地再现了我们的实验和文献数据，并表明极性转变是由费米能量附近的态密度填充和库仑带隙打开之间的相互作用引起的。这些结果建立了极性反转的统一框架，并确定了通过掺杂实现双极性所需的条件。在这个框架的指导下，我们实现了一种基于单一聚合物掺杂剂系统的电导率匹配的双极性热电发生器，展示了极性控制在有机热电中更广泛的潜力。</w:t>
      </w:r>
    </w:p>
    <w:p>
      <w:pPr>
        <w:spacing w:before="0" w:after="200" w:lineRule="auto" w:line="276"/>
      </w:pPr>
      <w:r>
        <w:rPr>
          <w:b/>
        </w:rPr>
        <w:t xml:space="preserve">Abstract (EN): </w:t>
      </w:r>
      <w:r>
        <w:t>Seebeck coefficient sign inversion in highly doped organic semiconductors provides an unconventional route to dual-polarity thermoelectric generation without relying on unstable n-type materials, yet its physical origins remain poorly understood. Here, we demonstrate that systematic chemical doping can induce multiple Seebeck coefficient inversions, enabling access to both p-type and n-type thermoelectric regimes within a single material system. Kinetic Monte Carlo simulations quantitatively reproduce both our experiments and literature data and show that the polarity transitions arise from the interplay between density of states filling and the opening of a Coulomb gap near the Fermi energy. These results establish a unified framework for polarity inversion and identify the conditions required to achieve dual polarity through doping. Guided by this framework, we realize a conductivity-matched dual polarity thermoelectric generator based on a single polymer-dopant system, illustrating the broader potential of polarity control in organic thermoelectrics.</w:t>
      </w:r>
    </w:p>
    <w:p>
      <w:pPr>
        <w:spacing w:before="120" w:after="120"/>
      </w:pPr>
      <w:r>
        <w:rPr>
          <w:sz w:val="18"/>
        </w:rPr>
        <w:t>——————————————————————————————————————————————————————————————————————</w:t>
      </w:r>
    </w:p>
    <w:p>
      <w:pPr>
        <w:spacing w:before="160" w:after="40" w:line="240" w:lineRule="auto"/>
      </w:pPr>
      <w:r>
        <w:rPr>
          <w:b/>
        </w:rPr>
        <w:t xml:space="preserve">[21] </w:t>
      </w:r>
      <w:hyperlink r:id="rId302">
        <w:r>
          <w:rPr>
            <w:color w:val="1155CC"/>
            <w:u w:val="single"/>
          </w:rPr>
          <w:t>具有协同光热调节功能的分层 SiO2@纤维素纳米纤维气凝胶用于高性能被动冷却</w:t>
        </w:r>
      </w:hyperlink>
    </w:p>
    <w:p>
      <w:pPr>
        <w:spacing w:before="0" w:after="80"/>
      </w:pPr>
      <w:r>
        <w:rPr>
          <w:i/>
          <w:sz w:val="20"/>
        </w:rPr>
        <w:t>EN: Hierarchical SiO2@Cellulose Nanofiber Aerogels With Synergistic Optical–Thermal Regulation for High‐Performance Passive Cooling</w:t>
      </w:r>
    </w:p>
    <w:p>
      <w:pPr>
        <w:spacing w:before="0" w:after="120"/>
      </w:pPr>
      <w:r>
        <w:rPr>
          <w:b/>
        </w:rPr>
        <w:t xml:space="preserve">Source: </w:t>
      </w:r>
      <w:r>
        <w:t>Wiley: Advanced Materials: Table of Contents</w:t>
      </w:r>
      <w:r>
        <w:t xml:space="preserve">    </w:t>
      </w:r>
      <w:r>
        <w:rPr>
          <w:b/>
        </w:rPr>
        <w:t xml:space="preserve">Pub date: </w:t>
      </w:r>
      <w:r>
        <w:t>2026-08-05 12:31:09+00:00</w:t>
      </w:r>
      <w:r>
        <w:t xml:space="preserve">    </w:t>
      </w:r>
      <w:r>
        <w:rPr>
          <w:b/>
        </w:rPr>
        <w:t xml:space="preserve">DOI: </w:t>
      </w:r>
      <w:hyperlink r:id="rId303">
        <w:r>
          <w:rPr>
            <w:color w:val="1155CC"/>
            <w:u w:val="single"/>
          </w:rPr>
          <w:t>10.1002/adma.74505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被动辐射冷却通过最大限度地减少太阳吸收，同时最大限度地提高通过大气透明窗口的中红外（MIR）发射，为热管理提供了一条可持续的途径。然而，寄生热量增益严重损害了其净冷却效率。在这里，我们报告了一种可逆黄化介导的策略来制造分层 SiO2</w:t>
      </w:r>
      <w:r>
        <w:rPr>
          <w:vertAlign w:val="subscript"/>
        </w:rPr>
        <w:t>2</w:t>
      </w:r>
      <w:r>
        <w:t>@纤维素纳米纤维气凝胶，协同整合宽带太阳反射率、高中红外发射率和低导热率。黄化化学能够均匀、原位锚定 ∼300 nm SiO2</w:t>
      </w:r>
      <w:r>
        <w:rPr>
          <w:vertAlign w:val="subscript"/>
        </w:rPr>
        <w:t>2</w:t>
      </w:r>
      <w:r>
        <w:t>纳米球沿着纳米纤维排列，形成独特的“珍珠项链”形态，而定向冰模板进一步构建层状分层多孔网络，抑制非辐射传热。优化后的气凝胶的平均太阳反射率为 95.6%，在 8–13 µm 大气窗口内的中红外发射率为 95.3%，超低导热系数为 0.028 W m</w:t>
      </w:r>
      <w:r>
        <w:t xml:space="preserve"> </w:t>
      </w:r>
      <w:r>
        <w:t>−1</w:t>
      </w:r>
      <w:r>
        <w:t xml:space="preserve"> </w:t>
      </w:r>
      <w:r>
        <w:t>K</w:t>
      </w:r>
      <w:r>
        <w:t xml:space="preserve"> </w:t>
      </w:r>
      <w:r>
        <w:t>−1</w:t>
      </w:r>
      <w:r>
        <w:t xml:space="preserve"> </w:t>
      </w:r>
      <w:r>
        <w:t>。 1000W·m以下</w:t>
      </w:r>
      <w:r>
        <w:t xml:space="preserve"> </w:t>
      </w:r>
      <w:r>
        <w:t>−2</w:t>
      </w:r>
      <w:r>
        <w:t xml:space="preserve"> </w:t>
      </w:r>
      <w:r>
        <w:t>与聚苯乙烯泡沫相比，它的时间平均低于环境温度冷却 3.7°C，净温度降低 24.9°C，同时将制冷热循环延长 47.3%。这项工作提供了一个可扩展的材料设计框架，用于光学选择性和隔热的单片集成，或</w:t>
      </w:r>
    </w:p>
    <w:p>
      <w:pPr>
        <w:spacing w:before="0" w:after="200" w:lineRule="auto" w:line="276"/>
      </w:pPr>
      <w:r>
        <w:rPr>
          <w:b/>
        </w:rPr>
        <w:t xml:space="preserve">Abstract (EN): </w:t>
      </w:r>
      <w:r>
        <w:t>Passive radiative cooling offers a sustainable pathway for thermal management by minimizing solar absorption while maximizing mid‐infrared (MIR) emission through the atmospheric transparency window. However, parasitic heat gain substantially compromises its net cooling efficiency. Here, we report a reversible xanthation‐mediated strategy to fabricate hierarchical SiO</w:t>
      </w:r>
      <w:r>
        <w:rPr>
          <w:vertAlign w:val="subscript"/>
        </w:rPr>
        <w:t>2</w:t>
      </w:r>
      <w:r>
        <w:t>@cellulose nanofiber aerogels that synergistically integrate broadband solar reflectivity, high MIR emissivity, and low thermal conductivity. The xanthation chemistry enables uniform, in situ anchoring of ∼300 nm SiO</w:t>
      </w:r>
      <w:r>
        <w:rPr>
          <w:vertAlign w:val="subscript"/>
        </w:rPr>
        <w:t>2</w:t>
      </w:r>
      <w:r>
        <w:t>nanospheres along nanofibers, creating a distinctive ‘pearl‐necklace’ morphology, while directional ice‐templating further constructs lamellar hierarchical porous networks that suppress nonradiative heat transfer. The optimized aerogel exhibits an average solar reflectance of 95.6%, a MIR emissivity of 95.3% within the 8–13 µm atmospheric window, and an ultralow thermal conductivity of 0.028 W m</w:t>
      </w:r>
      <w:r>
        <w:t xml:space="preserve"> </w:t>
      </w:r>
      <w:r>
        <w:t>−1</w:t>
      </w:r>
      <w:r>
        <w:t xml:space="preserve"> </w:t>
      </w:r>
      <w:r>
        <w:t>K</w:t>
      </w:r>
      <w:r>
        <w:t xml:space="preserve"> </w:t>
      </w:r>
      <w:r>
        <w:t>−1</w:t>
      </w:r>
      <w:r>
        <w:t xml:space="preserve"> </w:t>
      </w:r>
      <w:r>
        <w:t>. Under 1000 W m</w:t>
      </w:r>
      <w:r>
        <w:t xml:space="preserve"> </w:t>
      </w:r>
      <w:r>
        <w:t>−2</w:t>
      </w:r>
      <w:r>
        <w:t xml:space="preserve"> </w:t>
      </w:r>
      <w:r>
        <w:t>solar irradiance, it achieves a time‐averaged subambient cooling of 3.7°C and a net temperature reduction of 24.9°C compared to polystyrene foam, while extending refrigeration thermal cycling by 47.3%. This work provides a scalable material design framework for monolithic integration of optical selectivity and thermal insulation, offering a promising sustainable solution for energy‐efficient buildings, cold‐chain logistics, and next‐generation thermal management systems.</w:t>
      </w:r>
    </w:p>
    <w:p>
      <w:pPr>
        <w:spacing w:before="120" w:after="120"/>
      </w:pPr>
      <w:r>
        <w:rPr>
          <w:sz w:val="18"/>
        </w:rPr>
        <w:t>——————————————————————————————————————————————————————————————————————</w:t>
      </w:r>
    </w:p>
    <w:p>
      <w:pPr>
        <w:spacing w:before="160" w:after="40" w:line="240" w:lineRule="auto"/>
      </w:pPr>
      <w:r>
        <w:rPr>
          <w:b/>
        </w:rPr>
        <w:t xml:space="preserve">[22] </w:t>
      </w:r>
      <w:hyperlink r:id="rId304">
        <w:r>
          <w:rPr>
            <w:color w:val="1155CC"/>
            <w:u w:val="single"/>
          </w:rPr>
          <w:t>偶氮苯的跨尺度光学和光子学：分子光开关、介观材料运动和自适应器件</w:t>
        </w:r>
      </w:hyperlink>
    </w:p>
    <w:p>
      <w:pPr>
        <w:spacing w:before="0" w:after="80"/>
      </w:pPr>
      <w:r>
        <w:rPr>
          <w:i/>
          <w:sz w:val="20"/>
        </w:rPr>
        <w:t>EN: Azobenzene's Cross‐Scale Optics and Photonics: Molecular Photoswitching, Mesoscopic Material Motions, and Adaptive Devices</w:t>
      </w:r>
    </w:p>
    <w:p>
      <w:pPr>
        <w:spacing w:before="0" w:after="120"/>
      </w:pPr>
      <w:r>
        <w:rPr>
          <w:b/>
        </w:rPr>
        <w:t xml:space="preserve">Source: </w:t>
      </w:r>
      <w:r>
        <w:t>Wiley: Advanced Materials: Table of Contents</w:t>
      </w:r>
      <w:r>
        <w:t xml:space="preserve">    </w:t>
      </w:r>
      <w:r>
        <w:rPr>
          <w:b/>
        </w:rPr>
        <w:t xml:space="preserve">Pub date: </w:t>
      </w:r>
      <w:r>
        <w:t>2026-08-05 14:14:31+00:00</w:t>
      </w:r>
      <w:r>
        <w:t xml:space="preserve">    </w:t>
      </w:r>
      <w:r>
        <w:rPr>
          <w:b/>
        </w:rPr>
        <w:t xml:space="preserve">DOI: </w:t>
      </w:r>
      <w:hyperlink r:id="rId305">
        <w:r>
          <w:rPr>
            <w:color w:val="1155CC"/>
            <w:u w:val="single"/>
          </w:rPr>
          <w:t>10.1002/adma.202522702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偶氮苯是一种广泛研究的分子光开关，可将光吸收转化为可逆</w:t>
      </w:r>
      <w:r>
        <w:t xml:space="preserve"> </w:t>
      </w:r>
      <w:r>
        <w:t>E/Z</w:t>
      </w:r>
      <w:r>
        <w:t xml:space="preserve"> </w:t>
      </w:r>
      <w:r>
        <w:t>异构化，并且当嵌入软或有序介质中时，具有光学、机械、热、传输和生物适应性功能。这篇综述通过跨尺度的结构-性能-功能框架研究了偶氮苯光学和光子学。我们首先总结一下机械景观</w:t>
      </w:r>
      <w:r>
        <w:t xml:space="preserve"> </w:t>
      </w:r>
      <w:r>
        <w:t>反式-顺式</w:t>
      </w:r>
      <w:r>
        <w:t xml:space="preserve"> </w:t>
      </w:r>
      <w:r>
        <w:t>异构化，包括 π–π* 和 n–π* 激发、超快弛豫途径以及调节吸收波长、量子产率、光稳态 (PSS) 和</w:t>
      </w:r>
      <w:r>
        <w:t xml:space="preserve"> </w:t>
      </w:r>
      <w:r>
        <w:t>顺式-</w:t>
      </w:r>
      <w:r>
        <w:t>状态寿命。然后，我们将单分子转换与含偶氮苯材料中的集体响应联系起来，包括光对准和全光学极化、无定形聚合物中的应力驱动表面图案、液晶聚合物网络（LCN）和液晶弹性体（LCE）中的光力学以及基于相变的响应。在此基础上，我们根据其主要器件功能组织应用：信息处理和可重构光子学、动态液晶（LC）和自适应光学器件、分子太阳热（MOST）能量存储、机械运动和软机器人、机械处理、生物自适应传输以及光/离子电子接口。该评论强调分子取向、应力产生和宏观调控之间的定量联系</w:t>
      </w:r>
    </w:p>
    <w:p>
      <w:pPr>
        <w:spacing w:before="0" w:after="200" w:lineRule="auto" w:line="276"/>
      </w:pPr>
      <w:r>
        <w:rPr>
          <w:b/>
        </w:rPr>
        <w:t xml:space="preserve">Abstract (EN): </w:t>
      </w:r>
      <w:r>
        <w:t>Azobenzene is a widely studied molecular photoswitch that converts light absorption into reversible</w:t>
      </w:r>
      <w:r>
        <w:t xml:space="preserve"> </w:t>
      </w:r>
      <w:r>
        <w:t>E/Z</w:t>
      </w:r>
      <w:r>
        <w:t xml:space="preserve"> </w:t>
      </w:r>
      <w:r>
        <w:t>isomerization and, when embedded in soft or ordered media, into optical, mechanical, thermal, transport, and bioadaptive functions. This review examines azobenzene optics and photonics through a cross‐scale structure‐property‐function framework. We first summarize the mechanistic landscape of</w:t>
      </w:r>
      <w:r>
        <w:t xml:space="preserve"> </w:t>
      </w:r>
      <w:r>
        <w:t>trans–cis</w:t>
      </w:r>
      <w:r>
        <w:t xml:space="preserve"> </w:t>
      </w:r>
      <w:r>
        <w:t>isomerization, including π–π* and n–π* excitation, ultrafast relaxation pathways, and molecular design rules that tune absorption wavelength, quantum yield, photostationary state (PSS), and</w:t>
      </w:r>
      <w:r>
        <w:t xml:space="preserve"> </w:t>
      </w:r>
      <w:r>
        <w:t>cis‐</w:t>
      </w:r>
      <w:r>
        <w:t xml:space="preserve"> </w:t>
      </w:r>
      <w:r>
        <w:t>state lifetime. We then connect single‐molecule switching to collective responses in azobenzene‐containing materials, including photoalignment and all‐optical poling, stress‐driven surface patterning in amorphous polymers, photomechanics in liquid‐crystalline polymer networks (LCNs) and liquid crystal elastomers (LCEs), and phase‐transition‐based responses. On this basis, we organize applications according to their dominant device functions: information processing and reconfigurable photonics, dynamic liquid crystals (LCs) and adaptive optical devices, molecular solar thermal (MOST) energy storage, mechanical motion and soft robotics, mechanically enabled processing, bioadaptive transport, and opto/iontronic interfaces. The Review emphasizes quantitative links between molecular orientation, stress generation, and macroscopic deformation, and highlights how modeling and materials design can improve visible/red‐light operation, fatigue resistance, penetration depth, manufacturability, and device integration. We close by outlining challenges and opportunities for durable, scalable, and multifunctional azobenzene‐based adaptive photonic matter.</w:t>
      </w:r>
    </w:p>
    <w:p>
      <w:pPr>
        <w:spacing w:before="120" w:after="120"/>
      </w:pPr>
      <w:r>
        <w:rPr>
          <w:sz w:val="18"/>
        </w:rPr>
        <w:t>——————————————————————————————————————————————————————————————————————</w:t>
      </w:r>
    </w:p>
    <w:p>
      <w:pPr>
        <w:spacing w:before="160" w:after="40" w:line="240" w:lineRule="auto"/>
      </w:pPr>
      <w:r>
        <w:rPr>
          <w:b/>
        </w:rPr>
        <w:t xml:space="preserve">[23] </w:t>
      </w:r>
      <w:hyperlink r:id="rId306">
        <w:r>
          <w:rPr>
            <w:color w:val="1155CC"/>
            <w:u w:val="single"/>
          </w:rPr>
          <w:t>城市建筑太阳能分布式低碳能源系统：设计和多目标优化以获得良好的3E性能</w:t>
        </w:r>
      </w:hyperlink>
    </w:p>
    <w:p>
      <w:pPr>
        <w:spacing w:before="0" w:after="80"/>
      </w:pPr>
      <w:r>
        <w:rPr>
          <w:i/>
          <w:sz w:val="20"/>
        </w:rPr>
        <w:t>EN: A solar distributed low-carbon energy system for urban buildings: design and multi-objective optimization for favorable 3E performance</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307">
        <w:r>
          <w:rPr>
            <w:color w:val="1155CC"/>
            <w:u w:val="single"/>
          </w:rPr>
          <w:t>10.1016/j.apenergy.2026.128563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08">
        <w:r>
          <w:rPr>
            <w:color w:val="1155CC"/>
            <w:u w:val="single"/>
          </w:rPr>
          <w:t>重掺杂、高补偿外延 ScN 薄膜超出玻尔兹曼热电势极限</w:t>
        </w:r>
      </w:hyperlink>
    </w:p>
    <w:p>
      <w:pPr>
        <w:spacing w:before="0" w:after="80"/>
      </w:pPr>
      <w:r>
        <w:rPr>
          <w:i/>
          <w:sz w:val="20"/>
        </w:rPr>
        <w:t>EN: Heavily doped, highly compensated epitaxial ScN thin films exceed Boltzmann thermopower limits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309">
        <w:r>
          <w:rPr>
            <w:color w:val="1155CC"/>
            <w:u w:val="single"/>
          </w:rPr>
          <w:t>10.1126/science.aef9458</w:t>
        </w:r>
      </w:hyperlink>
    </w:p>
    <w:p>
      <w:pPr>
        <w:spacing w:before="0" w:after="120"/>
      </w:pPr>
      <w:r>
        <w:rPr>
          <w:b/>
        </w:rPr>
        <w:t xml:space="preserve">Notes: </w:t>
      </w:r>
      <w:r>
        <w:t>abstract_source=crossref</w:t>
      </w:r>
    </w:p>
    <w:p>
      <w:pPr>
        <w:spacing w:before="0" w:after="80" w:lineRule="auto" w:line="276"/>
      </w:pPr>
      <w:r>
        <w:rPr>
          <w:b/>
        </w:rPr>
        <w:t xml:space="preserve">摘要（ZH）: </w:t>
      </w:r>
      <w:r>
        <w:t>塞贝克效应将温度梯度转换为电压。然而，传统的传输理论将晶体材料中的热电势限制在每开尔文几毫伏。我们提供的实验证据表明，在重掺杂、高补偿 (HDHC) 外延氮化钪 (ScN) 薄膜中，接近室温的塞贝克系数超过 –124 毫伏/开尔文。 HDHC ScN 中带电掺杂剂的随机分布已知会产生电势波动，从而扭曲电子能带并引起渗流输运，我们的结果进一步揭示了热电势和电导率之间的幂律缩放。在超薄膜中，库仑势的 Rytova-Keldysh 修正进一步放大了势波动并增强了塞贝克响应。我们的研究结果揭示了晶体半导体中类电解质热电的固态模拟。</w:t>
      </w:r>
    </w:p>
    <w:p>
      <w:pPr>
        <w:spacing w:before="0" w:after="200" w:lineRule="auto" w:line="276"/>
      </w:pPr>
      <w:r>
        <w:rPr>
          <w:b/>
        </w:rPr>
        <w:t xml:space="preserve">Abstract (EN): </w:t>
      </w:r>
      <w:r>
        <w:t>The Seebeck effect converts a temperature gradient into an electric voltage. However, conventional transport theories constrain this thermopower to a few millivolts per Kelvin in crystalline materials. We present experimental evidence of a Seebeck coefficient exceeding –124 millivolts per Kelvin near room temperature in heavily doped, highly compensated (HDHC) epitaxial scandium nitride (ScN) thin films. Random distribution of charged dopants in HDHC ScN are known to generate potential fluctuations that distort the electronic bands and give rise to percolative transport, and our results further reveal a power-law scaling between thermopower and electrical conductivity. In ultrathin films, the Rytova-Keldysh modifications of the Coulomb potential further amplify the potential fluctuations and enhance the Seebeck response. Our findings reveal a solid-state analog of electrolyte-like thermopower in a crystalline semiconductor.</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310">
        <w:r>
          <w:rPr>
            <w:color w:val="1155CC"/>
            <w:u w:val="single"/>
          </w:rPr>
          <w:t>聚（偕胺肟）纤维上水平排列的共价有机骨架纳米线用于高效铀捕获</w:t>
        </w:r>
      </w:hyperlink>
    </w:p>
    <w:p>
      <w:pPr>
        <w:spacing w:before="0" w:after="80"/>
      </w:pPr>
      <w:r>
        <w:rPr>
          <w:i/>
          <w:sz w:val="20"/>
        </w:rPr>
        <w:t>EN: Horizontally arranged covalent organic framework nanowires on poly(amidoxime) fibers for high-efficiency uranium capture</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从核废水和冶金废水中高效捕集低浓度铀（浓度范围为10-50 ppm）对于维护水体生态安全至关重要。在此，提出了一种离子配位方法来实现共价有机骨架（COF）纳米线的受控排列，这些纳米线在聚（偕胺肟）（PAO）纤维表面水平排列。在界面处，PAO 的偕胺肟基团和 COF 的光催化位点能够协同化学结合并将可溶性铀光还原成 (UO2)O2·4H2O 沉淀物。两种途径的有效整合使得在 12 小时内能够实现 1259 mg g−1 的超高铀吸收能力 (~10 ppm)，将提取时间缩短至原始 COF 纳米线的 1/10。值得注意的是，在铀浓度~50 ppm的加铀冶金废水中，COF复合材料的铀吸收能力达到9230 mg g−1，为现有材料的铀吸附能力树立了新的基准。</w:t>
      </w:r>
    </w:p>
    <w:p>
      <w:pPr>
        <w:spacing w:before="0" w:after="200" w:lineRule="auto" w:line="276"/>
      </w:pPr>
      <w:r>
        <w:rPr>
          <w:b/>
        </w:rPr>
        <w:t xml:space="preserve">Abstract (EN): </w:t>
      </w:r>
      <w:r>
        <w:t>The efficient capture of low-concentration uranium (with a concentration range of 10–50 ppm) from nuclear and metallurgical wastewaters is crucial for safeguarding the ecological security of water bodies. Herein, an ion coordination approach was proposed to achieve the controlled arrangement of covalent organic framework (COF) nanowires, with these nanowires being horizontally aligned on the surface of poly(amidoxime) (PAO) fibers. At the interface, the amidoxime groups of PAO and the photocatalytic sites of COF enable synergistic chemical binding and photoreduction of soluble uranium into (UO2)O2·4H2O precipitates. This efficient integration of the two pathways enables an ultrahigh uranium uptake capacity of 1259 mg g−1 within 12 hours (~10 ppm), reducing the extraction time to 1/10 that of the pristine COF nanowires. Notably, in the uranium-spiked metallurgical wastewater with a uranium concentration of ~50 ppm, the COF composite attains a uranium uptake capacity of 9230 mg g−1, establishing a new benchmark for uranium adsorption capacity among existing materials.</w:t>
      </w:r>
    </w:p>
    <w:p>
      <w:pPr>
        <w:spacing w:before="120" w:after="120"/>
      </w:pPr>
      <w:r>
        <w:rPr>
          <w:sz w:val="18"/>
        </w:rPr>
        <w:t>——————————————————————————————————————————————————————————————————————</w:t>
      </w:r>
    </w:p>
    <w:p>
      <w:pPr>
        <w:spacing w:before="160" w:after="40" w:line="240" w:lineRule="auto"/>
      </w:pPr>
      <w:r>
        <w:rPr>
          <w:b/>
        </w:rPr>
        <w:t xml:space="preserve">[2] </w:t>
      </w:r>
      <w:hyperlink r:id="rId311">
        <w:r>
          <w:rPr>
            <w:color w:val="1155CC"/>
            <w:u w:val="single"/>
          </w:rPr>
          <w:t>取得正确的平衡——以核不扩散为重点的聚变燃料循环锂浓缩的考虑</w:t>
        </w:r>
      </w:hyperlink>
    </w:p>
    <w:p>
      <w:pPr>
        <w:spacing w:before="0" w:after="80"/>
      </w:pPr>
      <w:r>
        <w:rPr>
          <w:i/>
          <w:sz w:val="20"/>
        </w:rPr>
        <w:t>EN: Getting the balance right—Considerations of lithium enrichment for the fusion fuel cycle with a focus on nuclear non-proliferation</w:t>
      </w:r>
    </w:p>
    <w:p>
      <w:pPr>
        <w:spacing w:before="0" w:after="120"/>
      </w:pPr>
      <w:r>
        <w:rPr>
          <w:b/>
        </w:rPr>
        <w:t xml:space="preserve">Source: </w:t>
      </w:r>
      <w:r>
        <w:t>Joule</w:t>
      </w:r>
      <w:r>
        <w:t xml:space="preserve">    </w:t>
      </w:r>
      <w:r>
        <w:rPr>
          <w:b/>
        </w:rPr>
        <w:t xml:space="preserve">Pub date: </w:t>
      </w:r>
      <w:r>
        <w:t>2026-07-31 00:00:00+00:00</w:t>
      </w:r>
      <w:r>
        <w:t xml:space="preserve">    </w:t>
      </w:r>
      <w:r>
        <w:rPr>
          <w:b/>
        </w:rPr>
        <w:t xml:space="preserve">DOI: </w:t>
      </w:r>
      <w:hyperlink r:id="rId312">
        <w:r>
          <w:rPr>
            <w:color w:val="1155CC"/>
            <w:u w:val="single"/>
          </w:rPr>
          <w:t>10.1016/j.joule.2026.102596</w:t>
        </w:r>
      </w:hyperlink>
    </w:p>
    <w:p>
      <w:pPr>
        <w:spacing w:before="0" w:after="120"/>
      </w:pPr>
      <w:r>
        <w:rPr>
          <w:b/>
        </w:rPr>
        <w:t xml:space="preserve">Notes: </w:t>
      </w:r>
      <w:r>
        <w:t>abstract_source=rss_cell</w:t>
      </w:r>
    </w:p>
    <w:p>
      <w:pPr>
        <w:spacing w:before="0" w:after="80" w:lineRule="auto" w:line="276"/>
      </w:pPr>
      <w:r>
        <w:rPr>
          <w:b/>
        </w:rPr>
        <w:t xml:space="preserve">摘要（ZH）: </w:t>
      </w:r>
      <w:r>
        <w:t>未来的聚变反应堆可能依靠锂6来产生氚，但一些总体概念中提出的非常高的浓缩度会产生一种高度扩散问题的材料，同时也会带来严重的经济和工程处罚。本文认为，核聚变规模扩大应与国际公认的浓缩限制和保障措施以及避免最高风险锂 6 水平的增殖设计相结合，以便在全球范围内进行部署，同时加强监督、更清晰的材料核算、改进的国际供应链监控和更低的扩散风险。</w:t>
      </w:r>
    </w:p>
    <w:p>
      <w:pPr>
        <w:spacing w:before="0" w:after="200" w:lineRule="auto" w:line="276"/>
      </w:pPr>
      <w:r>
        <w:rPr>
          <w:b/>
        </w:rPr>
        <w:t xml:space="preserve">Abstract (EN): </w:t>
      </w:r>
      <w:r>
        <w:t>Future fusion reactors may rely on lithium-6 to breed tritium, but the very high enrichments proposed in some blanket concepts create a material of heightened proliferation concern while also imposing steep economic and engineering penalties. This paper argues that fusion scale-up should be paired with internationally recognized enrichment limits and safeguards and with breeder designs that avoid the highest-risk lithium-6 levels so deployment can proceed globally with stronger oversight, clearer material accountancy, improved international supply-chain monitoring, and lower proliferation risk.</w:t>
      </w:r>
    </w:p>
    <w:p>
      <w:pPr>
        <w:spacing w:before="120" w:after="120"/>
      </w:pPr>
      <w:r>
        <w:rPr>
          <w:sz w:val="18"/>
        </w:rPr>
        <w:t>——————————————————————————————————————————————————————————————————————</w:t>
      </w:r>
    </w:p>
    <w:p>
      <w:pPr>
        <w:spacing w:before="160" w:after="40" w:line="240" w:lineRule="auto"/>
      </w:pPr>
      <w:r>
        <w:rPr>
          <w:b/>
        </w:rPr>
        <w:t xml:space="preserve">[3] </w:t>
      </w:r>
      <w:hyperlink r:id="rId313">
        <w:r>
          <w:rPr>
            <w:color w:val="1155CC"/>
            <w:u w:val="single"/>
          </w:rPr>
          <w:t>ICRH 共振层位置对 WEST H 少数等离子体核心等离子体性能的影响</w:t>
        </w:r>
      </w:hyperlink>
    </w:p>
    <w:p>
      <w:pPr>
        <w:spacing w:before="0" w:after="80"/>
      </w:pPr>
      <w:r>
        <w:rPr>
          <w:i/>
          <w:sz w:val="20"/>
        </w:rPr>
        <w:t>EN: Impact of ICRH resonant layer position on core plasma performances in WEST H-minority plasmas</w:t>
      </w:r>
    </w:p>
    <w:p>
      <w:pPr>
        <w:spacing w:before="0" w:after="120"/>
      </w:pPr>
      <w:r>
        <w:rPr>
          <w:b/>
        </w:rPr>
        <w:t xml:space="preserve">Source: </w:t>
      </w:r>
      <w:r>
        <w:t>Nuclear Fusion - latest papers</w:t>
      </w:r>
      <w:r>
        <w:t xml:space="preserve">    </w:t>
      </w:r>
      <w:r>
        <w:rPr>
          <w:b/>
        </w:rPr>
        <w:t xml:space="preserve">Pub date: </w:t>
      </w:r>
      <w:r>
        <w:t>2026-08-02 23:00:00+00:00</w:t>
      </w:r>
      <w:r>
        <w:t xml:space="preserve">    </w:t>
      </w:r>
      <w:r>
        <w:rPr>
          <w:b/>
        </w:rPr>
        <w:t xml:space="preserve">DOI: </w:t>
      </w:r>
      <w:hyperlink r:id="rId314">
        <w:r>
          <w:rPr>
            <w:color w:val="1155CC"/>
            <w:u w:val="single"/>
          </w:rPr>
          <w:t>10.1088/1741-4326/ae8d37</w:t>
        </w:r>
      </w:hyperlink>
    </w:p>
    <w:p>
      <w:pPr>
        <w:spacing w:before="0" w:after="120"/>
      </w:pPr>
      <w:r>
        <w:rPr>
          <w:b/>
        </w:rPr>
        <w:t xml:space="preserve">Notes: </w:t>
      </w:r>
      <w:r>
        <w:t>abstract_source=rss_description</w:t>
      </w:r>
    </w:p>
    <w:p>
      <w:pPr>
        <w:spacing w:before="0" w:after="80" w:lineRule="auto" w:line="276"/>
      </w:pPr>
      <w:r>
        <w:rPr>
          <w:b/>
        </w:rPr>
        <w:t xml:space="preserve">摘要（ZH）: </w:t>
      </w:r>
      <w:r>
        <w:t>在 WEST 的氘等离子体中进行了氢少数离子回旋共振加热 (ICRH) 的系统实验研究，以优化功率沉积。对离子回旋加速器共振层的径向位置和少数浓度进行专门扫描，同时保持全局等离子体参数和天线耦合几乎恒定。当谐振层向高场侧 (HFS) 移动约 7 cm、氢少数浓度在 5% 至 8% 之间时，可获得最大性能。对于较大的向内位移，会发生明显的退化，而当谐振位于低场侧时，性能几乎减半。没有观察到湍流特性对共振位置的明显依赖性，这表明约束变化主要受波吸收和快离子约束修改的控制。红外热成像和量热测量表明，对于超过 HFS 上特定值的共振位置，快离子纹波引起的损耗被最小化，揭示了最佳吸收和壁负载减轻之间的权衡。这些结果表明，谐振层位置和少数浓度的协调控制允许在全金属反应堆相关环境中同时优化 ICRH 效率和快离子壁负载。</w:t>
      </w:r>
    </w:p>
    <w:p>
      <w:pPr>
        <w:spacing w:before="0" w:after="200" w:lineRule="auto" w:line="276"/>
      </w:pPr>
      <w:r>
        <w:rPr>
          <w:b/>
        </w:rPr>
        <w:t xml:space="preserve">Abstract (EN): </w:t>
      </w:r>
      <w:r>
        <w:t>A systematic experimental study of hydrogen-minority ion cyclotron resonance heating (ICRH) has been performed in deuterium plasmas in WEST to optimize the power deposition. Dedicated scans of the radial position of the ion cyclotron resonant layer and of the minority concentration were carried out while keeping global plasma parameters and antenna coupling nearly constant. The maximum performance is obtained when the resonant layer is shifted towards the high-field side (HFS) by around 7 cm with a hydrogen minority concentration between 5% and 8%. A pronounced degradation occurs for larger inward displacements, whereas the performances are almost halved when the resonance is located in the low-field side. No clear dependence of turbulence characteristics on the resonance position is observed, indicating that the confinement variations are primarily governed by wave absorption and fast-ion confinement modifications. Infrared thermography and calorimetry measurements show that fast-ion ripple-induced losses are minimized for resonance positions beyond a certain value on the HFS, revealing a trade-off between optimal absorption and wall load mitigation. These results demonstrate that coordinated control of the resonant layer position and minority concentration allows simultaneous optimization of ICRH efficiency and fast-ion wall loads in a fully metallic reactor-relevant environment.</w:t>
      </w:r>
    </w:p>
    <w:p>
      <w:pPr>
        <w:spacing w:before="120" w:after="120"/>
      </w:pPr>
      <w:r>
        <w:rPr>
          <w:sz w:val="18"/>
        </w:rPr>
        <w:t>——————————————————————————————————————————————————————————————————————</w:t>
      </w:r>
    </w:p>
    <w:p>
      <w:pPr>
        <w:spacing w:before="160" w:after="40" w:line="240" w:lineRule="auto"/>
      </w:pPr>
      <w:r>
        <w:rPr>
          <w:b/>
        </w:rPr>
        <w:t xml:space="preserve">[4] </w:t>
      </w:r>
      <w:hyperlink r:id="rId315">
        <w:r>
          <w:rPr>
            <w:color w:val="1155CC"/>
            <w:u w:val="single"/>
          </w:rPr>
          <w:t>准等动力磁场和分段全向磁场的组合</w:t>
        </w:r>
      </w:hyperlink>
    </w:p>
    <w:p>
      <w:pPr>
        <w:spacing w:before="0" w:after="80"/>
      </w:pPr>
      <w:r>
        <w:rPr>
          <w:i/>
          <w:sz w:val="20"/>
        </w:rPr>
        <w:t>EN: Combination of quasi-isodynamic and piecewise omnigenous magnetic fields</w:t>
      </w:r>
    </w:p>
    <w:p>
      <w:pPr>
        <w:spacing w:before="0" w:after="120"/>
      </w:pPr>
      <w:r>
        <w:rPr>
          <w:b/>
        </w:rPr>
        <w:t xml:space="preserve">Source: </w:t>
      </w:r>
      <w:r>
        <w:t>Nuclear Fusion - latest papers</w:t>
      </w:r>
      <w:r>
        <w:t xml:space="preserve">    </w:t>
      </w:r>
      <w:r>
        <w:rPr>
          <w:b/>
        </w:rPr>
        <w:t xml:space="preserve">Pub date: </w:t>
      </w:r>
      <w:r>
        <w:t>2026-08-02 23:00:00+00:00</w:t>
      </w:r>
      <w:r>
        <w:t xml:space="preserve">    </w:t>
      </w:r>
      <w:r>
        <w:rPr>
          <w:b/>
        </w:rPr>
        <w:t xml:space="preserve">DOI: </w:t>
      </w:r>
      <w:hyperlink r:id="rId316">
        <w:r>
          <w:rPr>
            <w:color w:val="1155CC"/>
            <w:u w:val="single"/>
          </w:rPr>
          <w:t>10.1088/1741-4326/ae8bbd</w:t>
        </w:r>
      </w:hyperlink>
    </w:p>
    <w:p>
      <w:pPr>
        <w:spacing w:before="0" w:after="120"/>
      </w:pPr>
      <w:r>
        <w:rPr>
          <w:b/>
        </w:rPr>
        <w:t xml:space="preserve">Notes: </w:t>
      </w:r>
      <w:r>
        <w:t>abstract_source=rss_description</w:t>
      </w:r>
    </w:p>
    <w:p>
      <w:pPr>
        <w:spacing w:before="0" w:after="80" w:lineRule="auto" w:line="276"/>
      </w:pPr>
      <w:r>
        <w:rPr>
          <w:b/>
        </w:rPr>
        <w:t xml:space="preserve">摘要（ZH）: </w:t>
      </w:r>
      <w:r>
        <w:t>由于同时优化了径向和平行新古典输运，准等动力（QI）场已成为近年来大多数候选聚变反应堆仿星器磁配置的主要选择。然而，实现高度的准等动力性通常是以仿星器通量表面的强烈成形和复杂的线圈几何形状为代价的。在这项工作中，拟等动力性和分段全向性 (pwO) 的概念结合起来形成 QI-pwO 场。这些场是磁表面低场区域中的 QI，而它们在高场区域中明显偏离准等动力性，而不牺牲 QI 场的新古典输运特性。这种偏离可以使新古典输运的优化与仿星反应堆的其他物理和技术方面的整合变得更容易。</w:t>
      </w:r>
    </w:p>
    <w:p>
      <w:pPr>
        <w:spacing w:before="0" w:after="200" w:lineRule="auto" w:line="276"/>
      </w:pPr>
      <w:r>
        <w:rPr>
          <w:b/>
        </w:rPr>
        <w:t xml:space="preserve">Abstract (EN): </w:t>
      </w:r>
      <w:r>
        <w:t>Due to their simultaneous optimization for radial and parallel neoclassical transport, quasi-isodynamic (QI) fields have been the main choice of stellarator magnetic configuration for most fusion reactor candidates in recent years. However, achieving a high degree of quasi-isodynamicity often comes at the cost of a strong shaping of the flux surfaces of the stellarator and complex coil geometries. In this work, the concepts of quasi-isodynamicity and piecewise omnigenity (pwO) are combined to form QI-pwO fields. These fields are QI in the low-field region of the magnetic surface, whereas they significantly depart from quasi-isodynamicity in the high-field region without sacrificing the neoclassical transport properties of QI fields. This departure could make it easier to integrate the optimization of neoclassical transport with other physical and technological aspects of a stellarator reactor.</w:t>
      </w:r>
    </w:p>
    <w:p>
      <w:pPr>
        <w:spacing w:before="120" w:after="120"/>
      </w:pPr>
      <w:r>
        <w:rPr>
          <w:sz w:val="18"/>
        </w:rPr>
        <w:t>——————————————————————————————————————————————————————————————————————</w:t>
      </w:r>
    </w:p>
    <w:p>
      <w:pPr>
        <w:spacing w:before="160" w:after="40" w:line="240" w:lineRule="auto"/>
      </w:pPr>
      <w:r>
        <w:rPr>
          <w:b/>
        </w:rPr>
        <w:t xml:space="preserve">[5] </w:t>
      </w:r>
      <w:hyperlink r:id="rId317">
        <w:r>
          <w:rPr>
            <w:color w:val="1155CC"/>
            <w:u w:val="single"/>
          </w:rPr>
          <w:t>核动力商船计划必须面对风险</w:t>
        </w:r>
      </w:hyperlink>
    </w:p>
    <w:p>
      <w:pPr>
        <w:spacing w:before="0" w:after="80"/>
      </w:pPr>
      <w:r>
        <w:rPr>
          <w:i/>
          <w:sz w:val="20"/>
        </w:rPr>
        <w:t>EN: Plans for nuclear-powered merchant ships must confront risks</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318">
        <w:r>
          <w:rPr>
            <w:color w:val="1155CC"/>
            <w:u w:val="single"/>
          </w:rPr>
          <w:t>10.1038/d41586-026-02388-6</w:t>
        </w:r>
      </w:hyperlink>
    </w:p>
    <w:p>
      <w:pPr>
        <w:spacing w:before="0" w:after="120"/>
      </w:pPr>
      <w:r>
        <w:rPr>
          <w:b/>
        </w:rPr>
        <w:t xml:space="preserve">Notes: </w:t>
      </w:r>
      <w:r>
        <w:t>abstract_source=rss_nature</w:t>
      </w:r>
    </w:p>
    <w:p>
      <w:pPr>
        <w:spacing w:before="0" w:after="80" w:lineRule="auto" w:line="276"/>
      </w:pPr>
      <w:r>
        <w:rPr>
          <w:b/>
        </w:rPr>
        <w:t xml:space="preserve">摘要（ZH）: </w:t>
      </w:r>
      <w:r>
        <w:t>由原子反应堆驱动的船舶排放量低，但会产生其他危险，需要明确的监管。</w:t>
      </w:r>
    </w:p>
    <w:p>
      <w:pPr>
        <w:spacing w:before="0" w:after="200" w:lineRule="auto" w:line="276"/>
      </w:pPr>
      <w:r>
        <w:rPr>
          <w:b/>
        </w:rPr>
        <w:t xml:space="preserve">Abstract (EN): </w:t>
      </w:r>
      <w:r>
        <w:t>Vessels propelled by atomic reactors have low emissions but create other hazards that need clear regulations.</w:t>
      </w:r>
    </w:p>
    <w:p>
      <w:pPr>
        <w:spacing w:before="120" w:after="120"/>
      </w:pPr>
      <w:r>
        <w:rPr>
          <w:sz w:val="18"/>
        </w:rPr>
        <w:t>——————————————————————————————————————————————————————————————————————</w:t>
      </w:r>
    </w:p>
    <w:p>
      <w:pPr>
        <w:spacing w:before="160" w:after="40" w:line="240" w:lineRule="auto"/>
      </w:pPr>
      <w:r>
        <w:rPr>
          <w:b/>
        </w:rPr>
        <w:t xml:space="preserve">[6] </w:t>
      </w:r>
      <w:hyperlink r:id="rId319">
        <w:r>
          <w:rPr>
            <w:color w:val="1155CC"/>
            <w:u w:val="single"/>
          </w:rPr>
          <w:t>美国电力和工业部门小型模块化反应堆的技术经济竞争力</w:t>
        </w:r>
      </w:hyperlink>
    </w:p>
    <w:p>
      <w:pPr>
        <w:spacing w:before="0" w:after="80"/>
      </w:pPr>
      <w:r>
        <w:rPr>
          <w:i/>
          <w:sz w:val="20"/>
        </w:rPr>
        <w:t>EN: Technoeconomic competitiveness of small modular reactors across U.S. power and industrial sectors</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小型模块化反应堆（SMR）是美国提议部署的下一代核反应堆，但早期扩大规模的途径仍不确定。我们对 SMR 在电力、工业热能和氢气应用中的部署潜力进行了大规模、现场定量评估，评估了经济绩效、脱碳潜力以及对资本成本不确定性的敏感性。在《通货膨胀减少法案》氢生产税收抵免于 2033 年到期之前部署对于合成氨、钢铁和炼油领域的工业氢生产最具吸引力。以首创的信贷资本成本，可以以高内部回报率部署 91 吉瓦的 SMR 电力，而专用电力生产是不经济的。有利可图的部署高度依赖于信贷，信贷可以扩大未来工业过程热机会并在资本成本加倍的情​​况下保持生存能力，与最近的大型核发电项目一致。这些发现对行业的批发电力重点提出了挑战，并强调了评估这些机会的紧迫性。</w:t>
      </w:r>
    </w:p>
    <w:p>
      <w:pPr>
        <w:spacing w:before="0" w:after="200" w:lineRule="auto" w:line="276"/>
      </w:pPr>
      <w:r>
        <w:rPr>
          <w:b/>
        </w:rPr>
        <w:t xml:space="preserve">Abstract (EN): </w:t>
      </w:r>
      <w:r>
        <w:t>Small Modular Reactors (SMRs) are next-generation nuclear reactors proposed for United States deployment, but pathways for early scale-up remain uncertain. We present a large-scale, site-level quantitative assessment of SMR deployment potential across electricity, industrial heat, and hydrogen applications, evaluating economic performance, decarbonization potential, and sensitivity to capital-cost uncertainty. Deployment before the Inflation Reduction Act Hydrogen Production Tax Credit expires in 2033 is most attractive for industrial hydrogen production in ammonia, steel, and refining. At first-of-a-kind capital costs with the credit, 91 gigawatts electric of SMRs could be deployed at high internal rates of return, whereas dedicated power production is uneconomic. Profitable deployment is highly dependent on the credit which could expand future industrial process heat opportunities and maintain viability under doubled capital costs, consistent with recent large nuclear generation projects. These findings challenge the industry’s wholesale-electricity focus and underscore the urgency of evaluating these opportunities.</w:t>
      </w:r>
    </w:p>
    <w:p>
      <w:pPr>
        <w:spacing w:before="120" w:after="120"/>
      </w:pPr>
      <w:r>
        <w:rPr>
          <w:sz w:val="18"/>
        </w:rPr>
        <w:t>——————————————————————————————————————————————————————————————————————</w:t>
      </w:r>
    </w:p>
    <w:p>
      <w:pPr>
        <w:spacing w:before="160" w:after="40" w:line="240" w:lineRule="auto"/>
      </w:pPr>
      <w:r>
        <w:rPr>
          <w:b/>
        </w:rPr>
        <w:t xml:space="preserve">[7] </w:t>
      </w:r>
      <w:hyperlink r:id="rId320">
        <w:r>
          <w:rPr>
            <w:color w:val="1155CC"/>
            <w:u w:val="single"/>
          </w:rPr>
          <w:t>$^{12}\mathrm{C}+^{19}\mathrm{F}$中的聚变阻碍：深入了解天体物理学</w:t>
        </w:r>
      </w:hyperlink>
    </w:p>
    <w:p>
      <w:pPr>
        <w:spacing w:before="0" w:after="80"/>
      </w:pPr>
      <w:r>
        <w:rPr>
          <w:i/>
          <w:sz w:val="20"/>
        </w:rPr>
        <w:t>EN: Fusion hindrance in $^{12}\mathrm{C} + ^{19}\mathrm{F}$: Insights into astrophysics</w:t>
      </w:r>
    </w:p>
    <w:p>
      <w:pPr>
        <w:spacing w:before="0" w:after="120"/>
      </w:pPr>
      <w:r>
        <w:rPr>
          <w:b/>
        </w:rPr>
        <w:t xml:space="preserve">Source: </w:t>
      </w:r>
      <w:r>
        <w:t>Recent Articles in Phys. Rev. C</w:t>
      </w:r>
      <w:r>
        <w:t xml:space="preserve">    </w:t>
      </w:r>
      <w:r>
        <w:rPr>
          <w:b/>
        </w:rPr>
        <w:t xml:space="preserve">Pub date: </w:t>
      </w:r>
      <w:r>
        <w:t>2026-08-04 10:00:00+00:00</w:t>
      </w:r>
      <w:r>
        <w:t xml:space="preserve">    </w:t>
      </w:r>
      <w:r>
        <w:rPr>
          <w:b/>
        </w:rPr>
        <w:t xml:space="preserve">DOI: </w:t>
      </w:r>
      <w:hyperlink r:id="rId321">
        <w:r>
          <w:rPr>
            <w:color w:val="1155CC"/>
            <w:u w:val="single"/>
          </w:rPr>
          <w:t>10.1103/6nb6-hxwz</w:t>
        </w:r>
      </w:hyperlink>
    </w:p>
    <w:p>
      <w:pPr>
        <w:spacing w:before="0" w:after="120"/>
      </w:pPr>
      <w:r>
        <w:rPr>
          <w:b/>
        </w:rPr>
        <w:t xml:space="preserve">Notes: </w:t>
      </w:r>
      <w:r>
        <w:t>abstract_source=rss_description</w:t>
      </w:r>
    </w:p>
    <w:p>
      <w:pPr>
        <w:spacing w:before="0" w:after="80" w:lineRule="auto" w:line="276"/>
      </w:pPr>
      <w:r>
        <w:rPr>
          <w:b/>
        </w:rPr>
        <w:t xml:space="preserve">摘要（ZH）: </w:t>
      </w:r>
      <w:r>
        <w:t>作者：M. Del Fabbro、AM Stefanini、G. Montagnoli、G. Colucci、G. Andreetta、M. Balogh、L. Busak、L. Corradi、E. Fioretto、F. Galtarossa、A. Goasduff、A. Gozzelino、T. Mijatović、J. Pellumaj、E. Pilotto、F. Simioni、S.S. Szilner、A. Togni、A. Trzcińska 和 M. Wolińska-CichockaBackground：与天体物理学 ^{16}\mathrm{O}, ^{16}\mathrm{O} + ^{16}\mathrm{O}$) 相关的光系统在深次势垒能量下聚变激发函数的行为还远未明确建立。这是由于差异......[物理。牧师神父。 C 114, 024601] 8 月 4 日星期二发布，</w:t>
      </w:r>
    </w:p>
    <w:p>
      <w:pPr>
        <w:spacing w:before="0" w:after="200" w:lineRule="auto" w:line="276"/>
      </w:pPr>
      <w:r>
        <w:rPr>
          <w:b/>
        </w:rPr>
        <w:t xml:space="preserve">Abstract (EN): </w:t>
      </w:r>
      <w:r>
        <w:t>Author(s): M. Del Fabbro, A. M. Stefanini, G. Montagnoli, G. Colucci, G. Andreetta, M. Balogh, L. Busak, L. Corradi, E. Fioretto, F. Galtarossa, A. Goasduff, A. Gozzelino, T. Mijatović, J. Pellumaj, E. Pilotto, F. Simioni, S. Szilner, A. Togni, A. Trzcińska, and M. Wolińska-CichockaBackground: The behavior of fusion excitation functions at deep sub-barrier energies for light systems relevant for astrophysics (e.g., $^{12}\mathrm{C} + ^{12}\mathrm{C}, ^{12}\mathrm{C} + ^{16}\mathrm{O}, ^{16}\mathrm{O} + ^{16}\mathrm{O}$) is far from being clearly established. This is due to dif…[Phys. Rev. C 114, 024601] Published Tue Aug 04, 2026</w:t>
      </w:r>
    </w:p>
    <w:p>
      <w:pPr>
        <w:spacing w:before="120" w:after="120"/>
      </w:pPr>
      <w:r>
        <w:rPr>
          <w:sz w:val="18"/>
        </w:rPr>
        <w:t>——————————————————————————————————————————————————————————————————————</w:t>
      </w:r>
    </w:p>
    <w:p>
      <w:pPr>
        <w:spacing w:before="160" w:after="40" w:line="240" w:lineRule="auto"/>
      </w:pPr>
      <w:r>
        <w:rPr>
          <w:b/>
        </w:rPr>
        <w:t xml:space="preserve">[8] </w:t>
      </w:r>
      <w:hyperlink r:id="rId322">
        <w:r>
          <w:rPr>
            <w:color w:val="1155CC"/>
            <w:u w:val="single"/>
          </w:rPr>
          <w:t>通过双选择实验首次测量乏核燃料中微子排放</w:t>
        </w:r>
      </w:hyperlink>
    </w:p>
    <w:p>
      <w:pPr>
        <w:spacing w:before="0" w:after="80"/>
      </w:pPr>
      <w:r>
        <w:rPr>
          <w:i/>
          <w:sz w:val="20"/>
        </w:rPr>
        <w:t>EN: First Measurement of Neutrino Emissions from Spent Nuclear Fuel by the Double Chooz Experiment</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323">
        <w:r>
          <w:rPr>
            <w:color w:val="1155CC"/>
            <w:u w:val="single"/>
          </w:rPr>
          <w:t>10.1103/dr26-j19g</w:t>
        </w:r>
      </w:hyperlink>
    </w:p>
    <w:p>
      <w:pPr>
        <w:spacing w:before="0" w:after="120"/>
      </w:pPr>
      <w:r>
        <w:rPr>
          <w:b/>
        </w:rPr>
        <w:t xml:space="preserve">Notes: </w:t>
      </w:r>
      <w:r>
        <w:t>abstract_source=rss_description</w:t>
      </w:r>
    </w:p>
    <w:p>
      <w:pPr>
        <w:spacing w:before="0" w:after="80" w:lineRule="auto" w:line="276"/>
      </w:pPr>
      <w:r>
        <w:rPr>
          <w:b/>
        </w:rPr>
        <w:t xml:space="preserve">摘要（ZH）: </w:t>
      </w:r>
      <w:r>
        <w:t>作者：T. Abrahão 等人。 (Double Chooz Collaboration)用过的核燃料和关闭的核反应堆会释放出反中微子，核监管机构可以利用这些反中微子对植物进行实时监测。莱特牧师。 137, 061803] 2026 年 8 月 4 日星期二发布</w:t>
      </w:r>
    </w:p>
    <w:p>
      <w:pPr>
        <w:spacing w:before="0" w:after="200" w:lineRule="auto" w:line="276"/>
      </w:pPr>
      <w:r>
        <w:rPr>
          <w:b/>
        </w:rPr>
        <w:t xml:space="preserve">Abstract (EN): </w:t>
      </w:r>
      <w:r>
        <w:t>Author(s): T. Abrahão et al. (Double Chooz Collaboration)Spent nuclear fuel and shutdown nuclear reactors emit antineutrinos, which nuclear watchdogs could use for real-time monitoring of plants.[Phys. Rev. Lett. 137, 061803] Published Tue Aug 04, 2026</w:t>
      </w:r>
    </w:p>
    <w:p>
      <w:pPr>
        <w:spacing w:before="120" w:after="120"/>
      </w:pPr>
      <w:r>
        <w:rPr>
          <w:sz w:val="18"/>
        </w:rPr>
        <w:t>——————————————————————————————————————————————————————————————————————</w:t>
      </w:r>
    </w:p>
    <w:p>
      <w:pPr>
        <w:spacing w:before="160" w:after="40" w:line="240" w:lineRule="auto"/>
      </w:pPr>
      <w:r>
        <w:rPr>
          <w:b/>
        </w:rPr>
        <w:t xml:space="preserve">[9] </w:t>
      </w:r>
      <w:hyperlink r:id="rId324">
        <w:r>
          <w:rPr>
            <w:color w:val="1155CC"/>
            <w:u w:val="single"/>
          </w:rPr>
          <w:t>通过$^{54}\mathrm{Cr}+^{209}\mathrm{Bi}$形成超重元素$^{263}Bh$的聚变抑制</w:t>
        </w:r>
      </w:hyperlink>
    </w:p>
    <w:p>
      <w:pPr>
        <w:spacing w:before="0" w:after="80"/>
      </w:pPr>
      <w:r>
        <w:rPr>
          <w:i/>
          <w:sz w:val="20"/>
        </w:rPr>
        <w:t>EN: Fusion Suppression in Super Heavy Element $^{263}Bh$ Formation via $^{54}\mathrm{Cr}+^{209}\mathrm{Bi}$</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325">
        <w:r>
          <w:rPr>
            <w:color w:val="1155CC"/>
            <w:u w:val="single"/>
          </w:rPr>
          <w:t>10.1103/dkm5-xt6d</w:t>
        </w:r>
      </w:hyperlink>
    </w:p>
    <w:p>
      <w:pPr>
        <w:spacing w:before="0" w:after="120"/>
      </w:pPr>
      <w:r>
        <w:rPr>
          <w:b/>
        </w:rPr>
        <w:t xml:space="preserve">Notes: </w:t>
      </w:r>
      <w:r>
        <w:t>abstract_source=rss_description</w:t>
      </w:r>
    </w:p>
    <w:p>
      <w:pPr>
        <w:spacing w:before="0" w:after="80" w:lineRule="auto" w:line="276"/>
      </w:pPr>
      <w:r>
        <w:rPr>
          <w:b/>
        </w:rPr>
        <w:t xml:space="preserve">摘要（ZH）: </w:t>
      </w:r>
      <w:r>
        <w:t>作者：Tathagata Banerjee、Emanuele Vardaci、Antonio Di Nitto、Pia A. Setaro、Giuseppe Alifano、Davide Panico、Simona Di Costanzo、Antonio Vanzanella、D. Kumar、W. H. Trzaska、C. Petrone、S. Calinescu 和 C. Borcea 重射弹诱发反应中聚变抑制的精确量化被主要的非化合物过程所掩盖，数据有限，模型不确定。在三光束 e…[Phys.莱特牧师。 137, 062501] 2026 年 8 月 4 日星期二发布</w:t>
      </w:r>
    </w:p>
    <w:p>
      <w:pPr>
        <w:spacing w:before="0" w:after="200" w:lineRule="auto" w:line="276"/>
      </w:pPr>
      <w:r>
        <w:rPr>
          <w:b/>
        </w:rPr>
        <w:t xml:space="preserve">Abstract (EN): </w:t>
      </w:r>
      <w:r>
        <w:t>Author(s): Tathagata Banerjee, Emanuele Vardaci, Antonio Di Nitto, Pia A. Setaro, Giuseppe Alifano, Davide Panico, Simona Di Costanzo, Antonio Vanzanella, D. Kumar, W. H. Trzaska, C. Petrone, S. Calinescu, and C. BorceaThe precise quantification of fusion suppression in heavy-projectile induced reactions is obscured by dominant noncompound processes, limited data, and uncertain models. Mass-total kinetic energy (MTKE) distributions for the reaction $^{54}\mathrm{Cr}+^{209}\mathrm{Bi}$ were measured at three beam e…[Phys. Rev. Lett. 137, 062501] Published Tue Aug 04, 2026</w:t>
      </w:r>
    </w:p>
    <w:p>
      <w:pPr>
        <w:spacing w:before="120" w:after="120"/>
      </w:pPr>
      <w:r>
        <w:rPr>
          <w:sz w:val="18"/>
        </w:rPr>
        <w:t>——————————————————————————————————————————————————————————————————————</w:t>
      </w:r>
    </w:p>
    <w:p>
      <w:pPr>
        <w:spacing w:before="160" w:after="40" w:line="240" w:lineRule="auto"/>
      </w:pPr>
      <w:r>
        <w:rPr>
          <w:b/>
        </w:rPr>
        <w:t xml:space="preserve">[10] </w:t>
      </w:r>
      <w:hyperlink r:id="rId326">
        <w:r>
          <w:rPr>
            <w:color w:val="1155CC"/>
            <w:u w:val="single"/>
          </w:rPr>
          <w:t>基于 HL-3 托卡马克任意快离子分布的方向分辨合成 DD 中子谱</w:t>
        </w:r>
      </w:hyperlink>
    </w:p>
    <w:p>
      <w:pPr>
        <w:spacing w:before="0" w:after="80"/>
      </w:pPr>
      <w:r>
        <w:rPr>
          <w:i/>
          <w:sz w:val="20"/>
        </w:rPr>
        <w:t>EN: Direction-resolved synthetic DD neutron spectra based on arbitrary fast-ion distributions for the HL-3 tokamak</w:t>
      </w:r>
    </w:p>
    <w:p>
      <w:pPr>
        <w:spacing w:before="0" w:after="120"/>
      </w:pPr>
      <w:r>
        <w:rPr>
          <w:b/>
        </w:rPr>
        <w:t xml:space="preserve">Source: </w:t>
      </w:r>
      <w:r>
        <w:t>Nuclear Fusion - latest papers</w:t>
      </w:r>
      <w:r>
        <w:t xml:space="preserve">    </w:t>
      </w:r>
      <w:r>
        <w:rPr>
          <w:b/>
        </w:rPr>
        <w:t xml:space="preserve">Pub date: </w:t>
      </w:r>
      <w:r>
        <w:t>2026-08-04 23:00:00+00:00</w:t>
      </w:r>
      <w:r>
        <w:t xml:space="preserve">    </w:t>
      </w:r>
      <w:r>
        <w:rPr>
          <w:b/>
        </w:rPr>
        <w:t xml:space="preserve">DOI: </w:t>
      </w:r>
      <w:hyperlink r:id="rId327">
        <w:r>
          <w:rPr>
            <w:color w:val="1155CC"/>
            <w:u w:val="single"/>
          </w:rPr>
          <w:t>10.1088/1741-4326/ae8de7</w:t>
        </w:r>
      </w:hyperlink>
    </w:p>
    <w:p>
      <w:pPr>
        <w:spacing w:before="0" w:after="120"/>
      </w:pPr>
      <w:r>
        <w:rPr>
          <w:b/>
        </w:rPr>
        <w:t xml:space="preserve">Notes: </w:t>
      </w:r>
      <w:r>
        <w:t>abstract_source=rss_description</w:t>
      </w:r>
    </w:p>
    <w:p>
      <w:pPr>
        <w:spacing w:before="0" w:after="80" w:lineRule="auto" w:line="276"/>
      </w:pPr>
      <w:r>
        <w:rPr>
          <w:b/>
        </w:rPr>
        <w:t xml:space="preserve">摘要（ZH）: </w:t>
      </w:r>
      <w:r>
        <w:t>粒子轨道追踪代码 (PTC) 中实现了用于计算聚变反应速率和合成中子能谱的空间分辨和方向分辨框架。该模型接受任意离子速度分布，并明确分离热、束-热和束-束贡献，从而能够计算指定观察几何形状的局部聚变源和线积分中子能谱。该方法适用于中性束注入的 HL-3 托卡马克等离子体。对于核心离子温度，体积积分DD中子产生速率以束热反应为主，约占总数的70%~80%。增加束注入能量增强了束热对中子产生速率的贡献，并导致更高的能量和更宽的中子谱。中子谱形状在很大程度上取决于观察几何形状：中平面径向视线 (LOS) 表现出清晰的双峰束热谱，而中平面弦 LOS 则产生更平滑的单峰谱。 PTC预测的体积积分DD中子产率略高于TRANSP结果，与归一化至PTC值时的相对差异。与#6002 和#12260 中的展开的 HL-3 DD 中子能谱相比，LOS 积分合成能谱在源能谱水平上捕获了主要 DD 峰结构和高能侧的能谱形状。剩余的低能量侧差异主要与诊断链效应和剩余源建模极限有关</w:t>
      </w:r>
    </w:p>
    <w:p>
      <w:pPr>
        <w:spacing w:before="0" w:after="200" w:lineRule="auto" w:line="276"/>
      </w:pPr>
      <w:r>
        <w:rPr>
          <w:b/>
        </w:rPr>
        <w:t xml:space="preserve">Abstract (EN): </w:t>
      </w:r>
      <w:r>
        <w:t>A spatially resolved and direction-resolved framework for computing fusion reaction rates and synthetic neutron energy spectra is implemented in the Particle Orbit Tracing Code (PTC). The model accepts arbitrary ion velocity distributions and explicitly separates thermal, beam–thermal, and beam–beam contributions, enabling calculations of local fusion sources and line-integrated neutron spectra for specified viewing geometries. The approach is applied to HL-3 tokamak plasmas with neutral beam injection. For core ion temperatures , the volume-integrated DD neutron production rate is dominated by beam–thermal reactions, accounting for approximately 70%–80% of the total. Increasing the beam injection energy enhances the beam–thermal contribution to the neutron production rate and leads to higher-energy and broader neutron spectra. The neutron spectral shape depends strongly on the viewing geometry: a mid-plane radial line-of-sight (LOS) exhibits a clear double-peaked beam–thermal spectrum, whereas a mid-plane chord LOS yields a smoother, single-peaked spectrum. The volume-integrated DD neutron production rate predicted by PTC is slightly higher than the TRANSP result, with a relative difference of when normalised to the PTC value. Compared with unfolded HL-3 DD neutron spectra from shots #6002 and #12260, the LOS-integrated synthetic spectra capture the main DD-peak structure and the spectral shape on the high-energy side at the source-spectrum level. The remaining low-energy-side differences are mainly associated with diagnostic-chain effects and residual source-modelling limitations.</w:t>
      </w:r>
    </w:p>
    <w:p>
      <w:pPr>
        <w:spacing w:before="120" w:after="120"/>
      </w:pPr>
      <w:r>
        <w:rPr>
          <w:sz w:val="18"/>
        </w:rPr>
        <w:t>——————————————————————————————————————————————————————————————————————</w:t>
      </w:r>
    </w:p>
    <w:p>
      <w:pPr>
        <w:spacing w:before="160" w:after="40" w:line="240" w:lineRule="auto"/>
      </w:pPr>
      <w:r>
        <w:rPr>
          <w:b/>
        </w:rPr>
        <w:t xml:space="preserve">[11] </w:t>
      </w:r>
      <w:hyperlink r:id="rId328">
        <w:r>
          <w:rPr>
            <w:color w:val="1155CC"/>
            <w:u w:val="single"/>
          </w:rPr>
          <w:t>EAST 托卡马克中高次谐波鱼骨的混合模拟</w:t>
        </w:r>
      </w:hyperlink>
    </w:p>
    <w:p>
      <w:pPr>
        <w:spacing w:before="0" w:after="80"/>
      </w:pPr>
      <w:r>
        <w:rPr>
          <w:i/>
          <w:sz w:val="20"/>
        </w:rPr>
        <w:t>EN: Hybrid simulations of fishbones with high order harmonics in EAST Tokamak</w:t>
      </w:r>
    </w:p>
    <w:p>
      <w:pPr>
        <w:spacing w:before="0" w:after="120"/>
      </w:pPr>
      <w:r>
        <w:rPr>
          <w:b/>
        </w:rPr>
        <w:t xml:space="preserve">Source: </w:t>
      </w:r>
      <w:r>
        <w:t>Nuclear Fusion - latest papers</w:t>
      </w:r>
      <w:r>
        <w:t xml:space="preserve">    </w:t>
      </w:r>
      <w:r>
        <w:rPr>
          <w:b/>
        </w:rPr>
        <w:t xml:space="preserve">Pub date: </w:t>
      </w:r>
      <w:r>
        <w:t>2026-08-04 23:00:00+00:00</w:t>
      </w:r>
      <w:r>
        <w:t xml:space="preserve">    </w:t>
      </w:r>
      <w:r>
        <w:rPr>
          <w:b/>
        </w:rPr>
        <w:t xml:space="preserve">DOI: </w:t>
      </w:r>
      <w:hyperlink r:id="rId329">
        <w:r>
          <w:rPr>
            <w:color w:val="1155CC"/>
            <w:u w:val="single"/>
          </w:rPr>
          <w:t>10.1088/1741-4326/ae8de8</w:t>
        </w:r>
      </w:hyperlink>
    </w:p>
    <w:p>
      <w:pPr>
        <w:spacing w:before="0" w:after="120"/>
      </w:pPr>
      <w:r>
        <w:rPr>
          <w:b/>
        </w:rPr>
        <w:t xml:space="preserve">Notes: </w:t>
      </w:r>
      <w:r>
        <w:t>abstract_source=rss_description</w:t>
      </w:r>
    </w:p>
    <w:p>
      <w:pPr>
        <w:spacing w:before="0" w:after="80" w:lineRule="auto" w:line="276"/>
      </w:pPr>
      <w:r>
        <w:rPr>
          <w:b/>
        </w:rPr>
        <w:t xml:space="preserve">摘要（ZH）: </w:t>
      </w:r>
      <w:r>
        <w:t>高次谐波鱼骨的线性稳定性和非线性动力学已通过实验先进超导托卡马克（EAST）中的全局动磁流体动力学（MHD）代码M3D-K进行了研究。基于采用中性束注入 (NBI) 加热的 EAST 放电参数，线性模拟表明，具有不同环形模数的模式主要由捕获的高能粒子 (EP) 通过环形进动共振驱动。该模态是典型的鱼骨模，而当EP压力超过临界值时，存在从鱼骨模到高能粒子模(EPM)的模态转变。对于模态，模态频率在不同的EP压力下几乎保持不变。非线性仿真表明，在弱 EP 驱动下，该模式是由基模的 MHD 非线性耦合驱动的。在这种情况下，谐波的频率是模式的两倍，两种模式都表现出向下频率的啁啾。在强 EP 驱动下， 和 组件都会出现具有更高模式频率的 β 诱发阿尔文本征模 (BAE)，并且组件会因频率啁啾而驱动不稳定。这些仿真结果强调，非线性 MHD 耦合和快速离子重新分布对于理解高次谐波鱼骨动力学至关重要。</w:t>
      </w:r>
    </w:p>
    <w:p>
      <w:pPr>
        <w:spacing w:before="0" w:after="200" w:lineRule="auto" w:line="276"/>
      </w:pPr>
      <w:r>
        <w:rPr>
          <w:b/>
        </w:rPr>
        <w:t xml:space="preserve">Abstract (EN): </w:t>
      </w:r>
      <w:r>
        <w:t>The linear stability and nonlinear dynamics of fishbones with high order harmonics have been investigated by the global kinetic-magnetohydrodynamic (MHD) code M3D-K in the Experimental Advanced Superconducting Tokamak (EAST). Based on EAST discharge parameters with neutral beam injection (NBI) heating, linear simulations show that the modes with different toroidal mode numbers are primarily driven by trapped energetic particles (EPs) through toroidal precession resonance. The mode is the typical fishbone, while there exists a transition for mode from fishbone-like mode to energetic particle mode (EPM) when the EP pressure exceeds a critical value. For the mode, the mode frequency remains almost unchanged with different EP pressure. Nonlinear simulations show that with weak EP drive, the mode is driven by the MHD nonlinear coupling of the fundamental mode. In this regime, the frequency of the harmonic is twice that of the mode, with both modes exhibiting downward frequency chirping. With strong EP drive, beta-induced Alfvén eigenmodes (BAEs) with higher mode frequencies emerge for both and components, and the component is driven unstable with frequency chirping up. These simulation results highlight that nonlinear MHD coupling and fast ion redistribution are critical for understanding the dynamics of fishbones with high order harmonics.</w:t>
      </w:r>
    </w:p>
    <w:p>
      <w:pPr>
        <w:spacing w:before="120" w:after="120"/>
      </w:pPr>
      <w:r>
        <w:rPr>
          <w:sz w:val="18"/>
        </w:rPr>
        <w:t>——————————————————————————————————————————————————————————————————————</w:t>
      </w:r>
    </w:p>
    <w:p>
      <w:pPr>
        <w:spacing w:before="160" w:after="40" w:line="240" w:lineRule="auto"/>
      </w:pPr>
      <w:r>
        <w:rPr>
          <w:b/>
        </w:rPr>
        <w:t xml:space="preserve">[12] </w:t>
      </w:r>
      <w:hyperlink r:id="rId330">
        <w:r>
          <w:rPr>
            <w:color w:val="1155CC"/>
            <w:u w:val="single"/>
          </w:rPr>
          <w:t>基于...的伽马射线能谱诊断的阿尔法粒子速度和轨道空间灵敏度</w:t>
        </w:r>
      </w:hyperlink>
    </w:p>
    <w:p>
      <w:pPr>
        <w:spacing w:before="0" w:after="80"/>
      </w:pPr>
      <w:r>
        <w:rPr>
          <w:i/>
          <w:sz w:val="20"/>
        </w:rPr>
        <w:t>EN: Alpha particle velocity- and orbit-space sensitivity of gamma-ray spectroscopy diagnostics based on the ...</w:t>
      </w:r>
    </w:p>
    <w:p>
      <w:pPr>
        <w:spacing w:before="0" w:after="120"/>
      </w:pPr>
      <w:r>
        <w:rPr>
          <w:b/>
        </w:rPr>
        <w:t xml:space="preserve">Source: </w:t>
      </w:r>
      <w:r>
        <w:t>Nuclear Fusion - latest papers</w:t>
      </w:r>
      <w:r>
        <w:t xml:space="preserve">    </w:t>
      </w:r>
      <w:r>
        <w:rPr>
          <w:b/>
        </w:rPr>
        <w:t xml:space="preserve">Pub date: </w:t>
      </w:r>
      <w:r>
        <w:t>2026-08-04 23:00:00+00:00</w:t>
      </w:r>
      <w:r>
        <w:t xml:space="preserve">    </w:t>
      </w:r>
      <w:r>
        <w:rPr>
          <w:b/>
        </w:rPr>
        <w:t xml:space="preserve">DOI: </w:t>
      </w:r>
      <w:hyperlink r:id="rId331">
        <w:r>
          <w:rPr>
            <w:color w:val="1155CC"/>
            <w:u w:val="single"/>
          </w:rPr>
          <w:t>10.1088/1741-4326/ae8de9</w:t>
        </w:r>
      </w:hyperlink>
    </w:p>
    <w:p>
      <w:pPr>
        <w:spacing w:before="0" w:after="120"/>
      </w:pPr>
      <w:r>
        <w:rPr>
          <w:b/>
        </w:rPr>
        <w:t xml:space="preserve">Notes: </w:t>
      </w:r>
      <w:r>
        <w:t>abstract_source=rss_description</w:t>
      </w:r>
    </w:p>
    <w:p>
      <w:pPr>
        <w:spacing w:before="0" w:after="80" w:lineRule="auto" w:line="276"/>
      </w:pPr>
      <w:r>
        <w:rPr>
          <w:b/>
        </w:rPr>
        <w:t xml:space="preserve">摘要（ZH）: </w:t>
      </w:r>
      <w:r>
        <w:t>燃烧等离子体道路上的一个关键挑战是阿尔法粒子相空间的测量。在可用的少数实验选项中，伽马射线光谱（GRS）是一种关键方法。之前在欧洲联合圆环上的演示是基于α粒子和作为目标杂质的铍之间的反应，但这不再适用，无论是在具有钨基第一壁的国际热核实验堆上，还是在其他即将进行的燃烧等离子体实验中。另一方面，由于在钨器件中使用硼注入进行等离子体操作，阿尔法粒子和硼杂质之间的伽马射线反应已被提议作为替代方案。这项工作首次对硼基 GRS 对 α 粒子相空间的速度空间和轨道空间敏感性进行数值评估，重点关注反应。根据发射峰值，我们发现测量可以分别对选定的超阿尔芬速度和亚芬速度敏感，对于径向视线的情况，对捕获轨道和马铃薯轨道上的粒子的灵敏度增强。有关同向和反向阿尔法的信息只能通过更精细的光谱形状分析或部署切向视线才能访问。结果与在间接 GRS 测量和 α 粒子相空间之间建立桥梁相关。它们还提供定量输入，以确定哪些波-α粒子共振相互作用可以（或不能）用基于硼的 GRS 测量，具体取决于观测几何形状。</w:t>
      </w:r>
    </w:p>
    <w:p>
      <w:pPr>
        <w:spacing w:before="0" w:after="200" w:lineRule="auto" w:line="276"/>
      </w:pPr>
      <w:r>
        <w:rPr>
          <w:b/>
        </w:rPr>
        <w:t xml:space="preserve">Abstract (EN): </w:t>
      </w:r>
      <w:r>
        <w:t>A key challenge on the path towards burning plasmas is the measurement of the alpha particle phase space. Among the few experimental options available, gamma-ray spectroscopy (GRS) is a key method. Previous demonstrations at Joint European Torus were based on reactions between alpha particles and beryllium as the target impurity, but this is no longer applicable, neither at ITER with a tungsten-based first wall, nor in other forthcoming burning plasma experiments. On the other hand, owing to the use of boron injection for plasma operations in tungsten devices, gamma-ray reactions between the alpha particles and boron impurities have been proposed as an alternative. This work presents the first numerical evaluation of the velocity-space and orbit-space sensitivity of boron-based GRS to the alpha particle phase space, focusing on the reaction. Depending on the emission peak, we find that measurements can be separately sensitive to selected super- and sub-Alfvenic velocities, with an enhanced sensitivity towards particles on trapped and potato orbits, for the case of radial lines of sight. Information on co- and counter-going alphas may be accessed only by more refined spectral shape analysis or if a tangential line of sight is deployed. The results are relevant to establish a bridge between the indirect GRS measurements and the alpha particle phase space. They furthermore provide a quantitative input to determine which wave-alpha particle resonant interactions may (or may not) be measurable with boron based GRS, depending on the observation geometry.</w:t>
      </w:r>
    </w:p>
    <w:p>
      <w:pPr>
        <w:spacing w:before="120" w:after="120"/>
      </w:pPr>
      <w:r>
        <w:rPr>
          <w:sz w:val="18"/>
        </w:rPr>
        <w:t>——————————————————————————————————————————————————————————————————————</w:t>
      </w:r>
    </w:p>
    <w:p>
      <w:pPr>
        <w:spacing w:before="160" w:after="40" w:line="240" w:lineRule="auto"/>
      </w:pPr>
      <w:r>
        <w:rPr>
          <w:b/>
        </w:rPr>
        <w:t xml:space="preserve">[13] </w:t>
      </w:r>
      <w:hyperlink r:id="rId332">
        <w:r>
          <w:rPr>
            <w:color w:val="1155CC"/>
            <w:u w:val="single"/>
          </w:rPr>
          <w:t>通过 SOLPS-ITER 模拟碳杂质传输和 E×B 漂移对 HL-3 开放式 X 偏滤器中脱离悬崖的影响</w:t>
        </w:r>
      </w:hyperlink>
    </w:p>
    <w:p>
      <w:pPr>
        <w:spacing w:before="0" w:after="80"/>
      </w:pPr>
      <w:r>
        <w:rPr>
          <w:i/>
          <w:sz w:val="20"/>
        </w:rPr>
        <w:t>EN: Modeling the effects of carbon impurity transport and E×B drift on detachment cliff in the HL-3 open X-divertor by SOLPS-ITER</w:t>
      </w:r>
    </w:p>
    <w:p>
      <w:pPr>
        <w:spacing w:before="0" w:after="120"/>
      </w:pPr>
      <w:r>
        <w:rPr>
          <w:b/>
        </w:rPr>
        <w:t xml:space="preserve">Source: </w:t>
      </w:r>
      <w:r>
        <w:t>Nuclear Fusion - latest papers</w:t>
      </w:r>
      <w:r>
        <w:t xml:space="preserve">    </w:t>
      </w:r>
      <w:r>
        <w:rPr>
          <w:b/>
        </w:rPr>
        <w:t xml:space="preserve">Pub date: </w:t>
      </w:r>
      <w:r>
        <w:t>2026-08-04 23:00:00+00:00</w:t>
      </w:r>
      <w:r>
        <w:t xml:space="preserve">    </w:t>
      </w:r>
      <w:r>
        <w:rPr>
          <w:b/>
        </w:rPr>
        <w:t xml:space="preserve">DOI: </w:t>
      </w:r>
      <w:hyperlink r:id="rId333">
        <w:r>
          <w:rPr>
            <w:color w:val="1155CC"/>
            <w:u w:val="single"/>
          </w:rPr>
          <w:t>10.1088/1741-4326/ae8fe8</w:t>
        </w:r>
      </w:hyperlink>
    </w:p>
    <w:p>
      <w:pPr>
        <w:spacing w:before="0" w:after="120"/>
      </w:pPr>
      <w:r>
        <w:rPr>
          <w:b/>
        </w:rPr>
        <w:t xml:space="preserve">Notes: </w:t>
      </w:r>
      <w:r>
        <w:t>abstract_source=rss_description</w:t>
      </w:r>
    </w:p>
    <w:p>
      <w:pPr>
        <w:spacing w:before="0" w:after="80" w:lineRule="auto" w:line="276"/>
      </w:pPr>
      <w:r>
        <w:rPr>
          <w:b/>
        </w:rPr>
        <w:t xml:space="preserve">摘要（ZH）: </w:t>
      </w:r>
      <w:r>
        <w:t>这项工作采用 SOLPS-ITER 代码包来研究碳杂质输运和 E × B 漂移对 HL-3 开放 X 偏滤器配置 (OXD) 中分离悬崖的影响，并阐明了实验观察背后的物理机制，即 HL-3 OXD 中的偏滤器分离需要比标准单零偏滤器配置 (SN) 更高的上游分界密度 (ne,sep) 才能发生。在这项工作中，我们发现：（1）在低ne,sep下，E×B漂移对HL-3 OXD中偏滤器脱离的抑制比SN中更强； (2) 在有/无 E × B 漂移的 HL-3 OXD 中观察到脱离悬崖。 HL-3 OXD的开放结构和大的极向磁通量膨胀导致在低ne,sep条件下在没有漂移的情况下在外冲击点处出现脱离悬崖，导致不均匀的偏滤器状态（冲击点脱离，远SOL高回收）。考虑到漂移，不均匀状态驱动极向和径向 E × B 流，这些流共同将碳杂质从外部撞击点输送出去，使 HL-3 OXD 更难分离——与实验一致。此外，我们发现HL-3 OXD中带/不带漂移的脱离悬崖的根本原因是：当ne,sep上升到某个阈值以上时，碳杂质传输方向突然逆转，并在偏滤器区域产生正反馈回路。区别在于驱动碳杂质输运逆转的因素：没有漂移，它是由碳离子上的热力和摩擦力之间的竞争驱动的；没有漂移，它是由碳离子上的热力和摩擦力之间的竞争驱动的。与德里</w:t>
      </w:r>
    </w:p>
    <w:p>
      <w:pPr>
        <w:spacing w:before="0" w:after="200" w:lineRule="auto" w:line="276"/>
      </w:pPr>
      <w:r>
        <w:rPr>
          <w:b/>
        </w:rPr>
        <w:t xml:space="preserve">Abstract (EN): </w:t>
      </w:r>
      <w:r>
        <w:t>This work employs the SOLPS-ITER code package to investigate the effects of carbon impurity transport and E × B drift on the detachment cliff in the HL-3 open X-divertor configuration (OXD), and elucidates the physical mechanism behind the experimental observation that divertor detachment in the HL-3 OXD requires a higher upstream separatrix density (ne,sep) to occur than in the standard single null divertor configuration (SN). In this work, we find that: (1) the E × B drift more strongly suppresses divertor detachment in the HL-3 OXD under low ne,sep than in the SN; (2) a detachment cliff is observed in the HL-3 OXD with/without E × B drift. The open structure and large poloidal magnetic flux expansion of the HL-3 OXD lead to a detachment cliff at the outer strike point under low ne,sep conditions without drifts, resulting in an inhomogeneous divertor state (strike point detached, far SOL high-recycling). With drifts included, the inhomogeneous state drives poloidal and radial E × B flows that together transport carbon impurities away from the outer strike point, making the HL-3 OXD harder to detach—consistent with experiments. Besides, we find that the fundamental cause of the detachment cliff in the HL-3 OXD with/without drifts: as ne,sep rises above a certain threshold, the abrupt reversal of carbon impurity transport direction and the resulting positive−feedback loop in the divertor region. The difference lies in what drives the carbon impurity transport reversal: without drifts, it is driven by competition between thermal and frictional forces on carbon ions; with drifts, by changes in the poloidal E × B drift flow near the separatrix. These findings indicate that the open divertor structure of the HL-3 OXD is the primary reason for its difficulty in achieving detachment. Enhancing its closure can significantly improve its detachment capability, providing a reference for the application of the X−divertor in future devices (ITER/CFETR).</w:t>
      </w:r>
    </w:p>
    <w:p>
      <w:pPr>
        <w:spacing w:before="120" w:after="120"/>
      </w:pPr>
      <w:r>
        <w:rPr>
          <w:sz w:val="18"/>
        </w:rPr>
        <w:t>——————————————————————————————————————————————————————————————————————</w:t>
      </w:r>
    </w:p>
    <w:p>
      <w:pPr>
        <w:spacing w:before="160" w:after="40" w:line="240" w:lineRule="auto"/>
      </w:pPr>
      <w:r>
        <w:rPr>
          <w:b/>
        </w:rPr>
        <w:t xml:space="preserve">[14] </w:t>
      </w:r>
      <w:hyperlink r:id="rId334">
        <w:r>
          <w:rPr>
            <w:color w:val="1155CC"/>
            <w:u w:val="single"/>
          </w:rPr>
          <w:t>利用 ICRH 最大化 VNS 中的中子产额</w:t>
        </w:r>
      </w:hyperlink>
    </w:p>
    <w:p>
      <w:pPr>
        <w:spacing w:before="0" w:after="80"/>
      </w:pPr>
      <w:r>
        <w:rPr>
          <w:i/>
          <w:sz w:val="20"/>
        </w:rPr>
        <w:t>EN: Exploiting ICRH to maximise the neutron yield in VNS</w:t>
      </w:r>
    </w:p>
    <w:p>
      <w:pPr>
        <w:spacing w:before="0" w:after="120"/>
      </w:pPr>
      <w:r>
        <w:rPr>
          <w:b/>
        </w:rPr>
        <w:t xml:space="preserve">Source: </w:t>
      </w:r>
      <w:r>
        <w:t>Nuclear Fusion - latest papers</w:t>
      </w:r>
      <w:r>
        <w:t xml:space="preserve">    </w:t>
      </w:r>
      <w:r>
        <w:rPr>
          <w:b/>
        </w:rPr>
        <w:t xml:space="preserve">Pub date: </w:t>
      </w:r>
      <w:r>
        <w:t>2026-08-04 23:00:00+00:00</w:t>
      </w:r>
      <w:r>
        <w:t xml:space="preserve">    </w:t>
      </w:r>
      <w:r>
        <w:rPr>
          <w:b/>
        </w:rPr>
        <w:t xml:space="preserve">DOI: </w:t>
      </w:r>
      <w:hyperlink r:id="rId335">
        <w:r>
          <w:rPr>
            <w:color w:val="1155CC"/>
            <w:u w:val="single"/>
          </w:rPr>
          <w:t>10.1088/1741-4326/ae8f57</w:t>
        </w:r>
      </w:hyperlink>
    </w:p>
    <w:p>
      <w:pPr>
        <w:spacing w:before="0" w:after="120"/>
      </w:pPr>
      <w:r>
        <w:rPr>
          <w:b/>
        </w:rPr>
        <w:t xml:space="preserve">Notes: </w:t>
      </w:r>
      <w:r>
        <w:t>abstract_source=rss_description</w:t>
      </w:r>
    </w:p>
    <w:p>
      <w:pPr>
        <w:spacing w:before="0" w:after="80" w:lineRule="auto" w:line="276"/>
      </w:pPr>
      <w:r>
        <w:rPr>
          <w:b/>
        </w:rPr>
        <w:t xml:space="preserve">摘要（ZH）: </w:t>
      </w:r>
      <w:r>
        <w:t>虽然 ITER 将证明在聚变反应堆相关环境中产生显着聚变功率的长持续时间脉冲是可能的，但体积中子源 (VNS) 托卡马克的目的是提供一个测试平台，用于研究长时间聚变中子暴露对面向等离子体的组件的影响。目前，VNS预计的辅助加热方案是电子回旋加速器和中性束注入（NBI）加热，而主要聚变发电则由快速氘NBI离子和等离子体中的热氚离子之间的束靶反应产生。本文讨论了在中等规模的聚变反应堆中仅使用波加热来最大化聚变产率的潜力。我们在这里重点关注离子回旋加速器共振加热（IC​​RH 或 IC），而电子回旋加速器加热（ECRH 或 EC）提供 IC 波耦合的基本目标等离子体。更具体地说，我们利用了这样的想法：在 JET DTE2 和 DTE3 活动中，融合性能的提升超出了仅 NBI 所能达到的水平。采用基本回旋加速器频率的 IC 加热可以产生中等速度的离子尾部，该尾部在截面峰值能量附近具有大部分高浓度少数尾部的粒子，类似于 NBI 束-目标融合方案。不是采用平衡和浓度以及由 2 个热燃料离子热粒子产生的聚变反应，而是利用横截面曲线的陡度来促进热粒子和 IC 产生之间的核反应。</w:t>
      </w:r>
    </w:p>
    <w:p>
      <w:pPr>
        <w:spacing w:before="0" w:after="200" w:lineRule="auto" w:line="276"/>
      </w:pPr>
      <w:r>
        <w:rPr>
          <w:b/>
        </w:rPr>
        <w:t xml:space="preserve">Abstract (EN): </w:t>
      </w:r>
      <w:r>
        <w:t>While ITER will demonstrate that long duration pulses producing significant fusion power is possible in a fusion reactor relevant environment, the aim of the volumetric neutron source (VNS) tokamak is to offer a testbed for studying the impact of long-time fusion neutron exposure to the plasma facing components. Presently, the auxiliary heating schemes foreseen for the VNS are electron cyclotron and neutral beam injection (NBI) heating while the main fusion power generation is intended to result from beam-target reactions between the fast deuterium NBI ions and the thermal Tritium ions in the plasma. The present paper discusses the potential of only using wave heating to maximise the fusion yield in modest scale fusion reactors. We focus here on ion cyclotron resonance heating (ICRH or IC) while electron cyclotron heating (ECRH or EC) provides the basic target plasma the IC waves couple to. More in particular, we exploit the idea that permitted the fusion performance to be boosted beyond what NBI alone could achieve in the JET DTE2 and DTE3 campaigns. Adopting IC heating at the fundamental cyclotron frequency allows to create a moderately fast ion tail that has a large fraction of particles of a high concentration minority tail near the energy where the cross section peaks, similar to the NBI beam-target fusion scheme. Rather than adopting balanced and concentrations and count on fusion reactions produced by 2 thermal fuel ion thermal populations, the steepness of the cross section curve is exploited to boost the nuclear reactions between a thermal population and an IC created fast particle ‘beam’. In the present wave-only exploratory study it is estimated that of fusion power can be achieved when adopting the 2025 reference parameters for the VNS device. A more comprehensive study (not just focusing on heating) is, however, needed to assess the potential in more detail.</w:t>
      </w:r>
    </w:p>
    <w:p>
      <w:pPr>
        <w:spacing w:before="120" w:after="120"/>
      </w:pPr>
      <w:r>
        <w:rPr>
          <w:sz w:val="18"/>
        </w:rPr>
        <w:t>——————————————————————————————————————————————————————————————————————</w:t>
      </w:r>
    </w:p>
    <w:p>
      <w:pPr>
        <w:spacing w:before="160" w:after="40" w:line="240" w:lineRule="auto"/>
      </w:pPr>
      <w:r>
        <w:rPr>
          <w:b/>
        </w:rPr>
        <w:t xml:space="preserve">[15] </w:t>
      </w:r>
      <w:hyperlink r:id="rId336">
        <w:r>
          <w:rPr>
            <w:color w:val="1155CC"/>
            <w:u w:val="single"/>
          </w:rPr>
          <w:t>用于高 n 环形 Alf 线性不稳定性分析的物理增强代理模型</w:t>
        </w:r>
      </w:hyperlink>
    </w:p>
    <w:p>
      <w:pPr>
        <w:spacing w:before="0" w:after="80"/>
      </w:pPr>
      <w:r>
        <w:rPr>
          <w:i/>
          <w:sz w:val="20"/>
        </w:rPr>
        <w:t>EN: Physics-augmented surrogate model for linear instability analysis of high- n toroidal Alf...</w:t>
      </w:r>
    </w:p>
    <w:p>
      <w:pPr>
        <w:spacing w:before="0" w:after="120"/>
      </w:pPr>
      <w:r>
        <w:rPr>
          <w:b/>
        </w:rPr>
        <w:t xml:space="preserve">Source: </w:t>
      </w:r>
      <w:r>
        <w:t>Nuclear Fusion - latest papers</w:t>
      </w:r>
      <w:r>
        <w:t xml:space="preserve">    </w:t>
      </w:r>
      <w:r>
        <w:rPr>
          <w:b/>
        </w:rPr>
        <w:t xml:space="preserve">Pub date: </w:t>
      </w:r>
      <w:r>
        <w:t>2026-08-04 23:00:00+00:00</w:t>
      </w:r>
      <w:r>
        <w:t xml:space="preserve">    </w:t>
      </w:r>
      <w:r>
        <w:rPr>
          <w:b/>
        </w:rPr>
        <w:t xml:space="preserve">DOI: </w:t>
      </w:r>
      <w:hyperlink r:id="rId337">
        <w:r>
          <w:rPr>
            <w:color w:val="1155CC"/>
            <w:u w:val="single"/>
          </w:rPr>
          <w:t>10.1088/1741-4326/ae8fe9</w:t>
        </w:r>
      </w:hyperlink>
    </w:p>
    <w:p>
      <w:pPr>
        <w:spacing w:before="0" w:after="120"/>
      </w:pPr>
      <w:r>
        <w:rPr>
          <w:b/>
        </w:rPr>
        <w:t xml:space="preserve">Notes: </w:t>
      </w:r>
      <w:r>
        <w:t>abstract_source=rss_description</w:t>
      </w:r>
    </w:p>
    <w:p>
      <w:pPr>
        <w:spacing w:before="0" w:after="80" w:lineRule="auto" w:line="276"/>
      </w:pPr>
      <w:r>
        <w:rPr>
          <w:b/>
        </w:rPr>
        <w:t xml:space="preserve">摘要（ZH）: </w:t>
      </w:r>
      <w:r>
        <w:t>我们提出了物理增强替代模型，用于托卡马克中高环形阿尔文本征模（TAE）的线性不稳定性分析。高 TAE 线性不稳定性的数据库是通过回旋磁流体动力能量粒子代码 (GMEC) 的全局初始值模拟以及局部特征值代码能量粒子 TAE 特征值代码 (ETEC) 生成的。 ETEC 求解的方程比 GMEC 求解的第一原理方程大大简化，具有高膨胀表示。 ETEC 的本地解决方案与 GMEC 的全球解决方案具有很强的相关性。以局部归一化平衡参数为输入，以从 GMEC 获得的 TAE 的真实频率和增长率作为输出，训练基于多层感知器的代理模型。我们的结果表明，将 ETEC 结果作为先验物理信息合并到输入中可以显着提高替代模型的泛化性能。</w:t>
      </w:r>
    </w:p>
    <w:p>
      <w:pPr>
        <w:spacing w:before="0" w:after="200" w:lineRule="auto" w:line="276"/>
      </w:pPr>
      <w:r>
        <w:rPr>
          <w:b/>
        </w:rPr>
        <w:t xml:space="preserve">Abstract (EN): </w:t>
      </w:r>
      <w:r>
        <w:t>We propose the physics-augmented surrogate model for linear instability analysis of high- toroidal Alfvén eigenmodes (TAEs) in tokamaks. The database for high- TAE linear instabilities is generated by the global initial-value simulations by Gyrokinetic magnetohydrodynamic Energetic-particle Code (GMEC), and also the local eigenvalue code Energetic-particle TAE Eigenvalue Code (ETEC). The equations solved by ETEC are much simplified from the first-principle equations solved by GMEC, with high- ballooning representation. The local solutions from ETEC exhibit a strong correlation with the global solutions from GMEC. The multi-layer perceptron based surrogate models are trained, taking local normalized equilibrium parameters as inputs, and the real frequency and growth rate of TAEs obtained from GMEC as outputs. Our results indicate that incorporating ETEC results as prior physical information into the inputs leads to a substantial improvement in the generalization performance of the surrogate model.</w:t>
      </w:r>
    </w:p>
    <w:p>
      <w:pPr>
        <w:spacing w:before="120" w:after="120"/>
      </w:pPr>
      <w:r>
        <w:rPr>
          <w:sz w:val="18"/>
        </w:rPr>
        <w:t>——————————————————————————————————————————————————————————————————————</w:t>
      </w:r>
    </w:p>
    <w:p>
      <w:pPr>
        <w:spacing w:before="160" w:after="40" w:line="240" w:lineRule="auto"/>
      </w:pPr>
      <w:r>
        <w:rPr>
          <w:b/>
        </w:rPr>
        <w:t xml:space="preserve">[16] </w:t>
      </w:r>
      <w:hyperlink r:id="rId338">
        <w:r>
          <w:rPr>
            <w:color w:val="1155CC"/>
            <w:u w:val="single"/>
          </w:rPr>
          <w:t>CFETR 稳态情况下氦灰输运的数值研究</w:t>
        </w:r>
      </w:hyperlink>
    </w:p>
    <w:p>
      <w:pPr>
        <w:spacing w:before="0" w:after="80"/>
      </w:pPr>
      <w:r>
        <w:rPr>
          <w:i/>
          <w:sz w:val="20"/>
        </w:rPr>
        <w:t>EN: Numerical investigation of helium ash transport in CFETR steady state scenario</w:t>
      </w:r>
    </w:p>
    <w:p>
      <w:pPr>
        <w:spacing w:before="0" w:after="120"/>
      </w:pPr>
      <w:r>
        <w:rPr>
          <w:b/>
        </w:rPr>
        <w:t xml:space="preserve">Source: </w:t>
      </w:r>
      <w:r>
        <w:t>Nuclear Fusion - latest papers</w:t>
      </w:r>
      <w:r>
        <w:t xml:space="preserve">    </w:t>
      </w:r>
      <w:r>
        <w:rPr>
          <w:b/>
        </w:rPr>
        <w:t xml:space="preserve">Pub date: </w:t>
      </w:r>
      <w:r>
        <w:t>2026-08-05 23:00:00+00:00</w:t>
      </w:r>
      <w:r>
        <w:t xml:space="preserve">    </w:t>
      </w:r>
      <w:r>
        <w:rPr>
          <w:b/>
        </w:rPr>
        <w:t xml:space="preserve">DOI: </w:t>
      </w:r>
      <w:hyperlink r:id="rId339">
        <w:r>
          <w:rPr>
            <w:color w:val="1155CC"/>
            <w:u w:val="single"/>
          </w:rPr>
          <w:t>10.1088/1741-4326/ae8e8e</w:t>
        </w:r>
      </w:hyperlink>
    </w:p>
    <w:p>
      <w:pPr>
        <w:spacing w:before="0" w:after="120"/>
      </w:pPr>
      <w:r>
        <w:rPr>
          <w:b/>
        </w:rPr>
        <w:t xml:space="preserve">Notes: </w:t>
      </w:r>
      <w:r>
        <w:t>abstract_source=rss_description</w:t>
      </w:r>
    </w:p>
    <w:p>
      <w:pPr>
        <w:spacing w:before="0" w:after="80" w:lineRule="auto" w:line="276"/>
      </w:pPr>
      <w:r>
        <w:rPr>
          <w:b/>
        </w:rPr>
        <w:t xml:space="preserve">摘要（ZH）: </w:t>
      </w:r>
      <w:r>
        <w:t>在磁约束聚变等离子体中，氘-氚聚变的主要产物是高能α粒子，它通过碰撞将能量转移到背景等离子体并变成热化的氦灰。氦灰积累会导致燃料稀释并降低等离子体约束性能和聚变增益。在这项工作中，中国聚变工程试验堆（CFETR）中氦灰的输运由先进的输运求解器TGYRO进行模拟，该求解器调用NEO和TGLF代码分别计算新古典和湍流输运。通过分析氦灰的新古典和湍流输运，发现ITG湍流在CFETR中氦灰的输运中占主导地位。此外，对于低氦灰分数，重新分布的氦灰密度分布高于初始设定分布，因为源速率超过向外传输，而在高氦灰分数时，它变得低于初始分布。在内部传输屏障内，ITG 湍流受到抑制，导致氦灰向外传输显着减少。氦灰的传输过程也会影响微观不稳定性。特别是，氦灰浓度的增加可以稳定 ITG 湍流。由于阿尔文本征模而重新分布的高能 α 粒子通过修改氦灰源分布来影响氦灰传输，但它们不会显着改变氦灰分布。我们的工作增进了对未来核燃料中控制氦灰迁移的主要物理机制的理解</w:t>
      </w:r>
    </w:p>
    <w:p>
      <w:pPr>
        <w:spacing w:before="0" w:after="200" w:lineRule="auto" w:line="276"/>
      </w:pPr>
      <w:r>
        <w:rPr>
          <w:b/>
        </w:rPr>
        <w:t xml:space="preserve">Abstract (EN): </w:t>
      </w:r>
      <w:r>
        <w:t>In magnetic confinement fusion plasmas, the main product of deuterium-tritium fusion is energetic alpha particles, which transfer energy to the background plasma by collisions and become thermalized helium ash. Helium ash accumulation would cause fuel dilution and reduce plasma confinement performance and fusion gain. In this work, the transport of helium ash in China fusion engineering test reactor (CFETR) is simulated by the advanced transport solver TGYRO, which invokes the NEO and TGLF codes to compute neoclassical and turbulent transport, respectively. By analyzing the neoclassical and turbulent transport of helium ash, it is found that ITG turbulence is dominant for helium ash transport in CFETR. In addition, with low helium ash fractions, the redistributed helium ash density profile is higher than the initial setting profile because the source rate exceeds the outward transport, while at high helium ash fractions it becomes lower than the initial profile. Inside the internal transport barrier, ITG turbulence is suppressed, leading to a significant reduction in the outward transport of helium ash. The transport process of helium ash can also affect micro-instabilities. In particular, an increase in helium ash concentration may stabilize ITG turbulence. Redistributed energetic alpha particles due to Alfvén eigenmodes affect the helium ash transport by modifying the helium ash source profile, but they do not significantly alter the helium ash distribution. Our work advances the understanding of the dominant physical mechanism governing helium ash transport in future fusion devices.</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340">
        <w:r>
          <w:rPr>
            <w:color w:val="1155CC"/>
            <w:u w:val="single"/>
          </w:rPr>
          <w:t>网络受限大电网绿氢发电调度</w:t>
        </w:r>
      </w:hyperlink>
    </w:p>
    <w:p>
      <w:pPr>
        <w:spacing w:before="0" w:after="80"/>
      </w:pPr>
      <w:r>
        <w:rPr>
          <w:i/>
          <w:sz w:val="20"/>
        </w:rPr>
        <w:t>EN: Green hydrogen to power scheduling in a large power grid with network constraints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341">
        <w:r>
          <w:rPr>
            <w:color w:val="1155CC"/>
            <w:u w:val="single"/>
          </w:rPr>
          <w:t>10.1016/j.apenergy.2026.128436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342">
        <w:r>
          <w:rPr>
            <w:color w:val="1155CC"/>
            <w:u w:val="single"/>
          </w:rPr>
          <w:t>具有高分辨率电流分布测量的质子交换膜燃料电池内部动态特性</w:t>
        </w:r>
      </w:hyperlink>
    </w:p>
    <w:p>
      <w:pPr>
        <w:spacing w:before="0" w:after="80"/>
      </w:pPr>
      <w:r>
        <w:rPr>
          <w:i/>
          <w:sz w:val="20"/>
        </w:rPr>
        <w:t>EN: Dynamic characteristics inside proton exchange membrane fuel cell with high-resolution current distribution measurement</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343">
        <w:r>
          <w:rPr>
            <w:color w:val="1155CC"/>
            <w:u w:val="single"/>
          </w:rPr>
          <w:t>10.1016/j.apenergy.2026.128559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344">
        <w:r>
          <w:rPr>
            <w:color w:val="1155CC"/>
            <w:u w:val="single"/>
          </w:rPr>
          <w:t>“1+N”机制与数据混合驱动的多单元系统简化建模方法及其在多堆燃料电池系统中的应用</w:t>
        </w:r>
      </w:hyperlink>
    </w:p>
    <w:p>
      <w:pPr>
        <w:spacing w:before="0" w:after="80"/>
      </w:pPr>
      <w:r>
        <w:rPr>
          <w:i/>
          <w:sz w:val="20"/>
        </w:rPr>
        <w:t>EN: “1 + N” mechanism and data hybrid-driven simplified modeling method for multi-unit systems and its application to multi-stack fuel cell systems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345">
        <w:r>
          <w:rPr>
            <w:color w:val="1155CC"/>
            <w:u w:val="single"/>
          </w:rPr>
          <w:t>10.1016/j.apenergy.2026.128513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346">
        <w:r>
          <w:rPr>
            <w:color w:val="1155CC"/>
            <w:u w:val="single"/>
          </w:rPr>
          <w:t>枯竭气藏中氢气和二氧化碳的地下生物甲烷化：热-水-生物耦合模型</w:t>
        </w:r>
      </w:hyperlink>
    </w:p>
    <w:p>
      <w:pPr>
        <w:spacing w:before="0" w:after="80"/>
      </w:pPr>
      <w:r>
        <w:rPr>
          <w:i/>
          <w:sz w:val="20"/>
        </w:rPr>
        <w:t>EN: Underground bio-methanation of hydrogen and carbon dioxide in depleted gas reservoirs: Thermo-hydro-bio coupled modeling</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347">
        <w:r>
          <w:rPr>
            <w:color w:val="1155CC"/>
            <w:u w:val="single"/>
          </w:rPr>
          <w:t>10.1016/j.apenergy.2026.128555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348">
        <w:r>
          <w:rPr>
            <w:color w:val="1155CC"/>
            <w:u w:val="single"/>
          </w:rPr>
          <w:t>用于燃料电池履带式车辆能量管理的基于预测的分布式深度强化学习：混合控制框架</w:t>
        </w:r>
      </w:hyperlink>
    </w:p>
    <w:p>
      <w:pPr>
        <w:spacing w:before="0" w:after="80"/>
      </w:pPr>
      <w:r>
        <w:rPr>
          <w:i/>
          <w:sz w:val="20"/>
        </w:rPr>
        <w:t>EN: Prediction-informed distributional deep reinforcement learning for energy management of fuel cell tracked vehicles: A hybrid control framework</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349">
        <w:r>
          <w:rPr>
            <w:color w:val="1155CC"/>
            <w:u w:val="single"/>
          </w:rPr>
          <w:t>10.1016/j.apenergy.2026.128534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350">
        <w:r>
          <w:rPr>
            <w:color w:val="1155CC"/>
            <w:u w:val="single"/>
          </w:rPr>
          <w:t>欧盟的环境税和生物燃料生产：不同生产商规模的异质效应</w:t>
        </w:r>
      </w:hyperlink>
    </w:p>
    <w:p>
      <w:pPr>
        <w:spacing w:before="0" w:after="80"/>
      </w:pPr>
      <w:r>
        <w:rPr>
          <w:i/>
          <w:sz w:val="20"/>
        </w:rPr>
        <w:t>EN: Environmental taxation and biofuel production in the EU: Heterogeneous effects across producer scales</w:t>
      </w:r>
    </w:p>
    <w:p>
      <w:pPr>
        <w:spacing w:before="0" w:after="120"/>
      </w:pPr>
      <w:r>
        <w:rPr>
          <w:b/>
        </w:rPr>
        <w:t xml:space="preserve">Source: </w:t>
      </w:r>
      <w:r>
        <w:t>ScienceDirect Publication: Energy Policy</w:t>
      </w:r>
      <w:r>
        <w:t xml:space="preserve">    </w:t>
      </w:r>
      <w:r>
        <w:rPr>
          <w:b/>
        </w:rPr>
        <w:t xml:space="preserve">Pub date: </w:t>
      </w:r>
      <w:r>
        <w:t>2026-07-31 00:00:00+00:00</w:t>
      </w:r>
      <w:r>
        <w:t xml:space="preserve">    </w:t>
      </w:r>
      <w:r>
        <w:rPr>
          <w:b/>
        </w:rPr>
        <w:t xml:space="preserve">DOI: </w:t>
      </w:r>
      <w:hyperlink r:id="rId351">
        <w:r>
          <w:rPr>
            <w:color w:val="1155CC"/>
            <w:u w:val="single"/>
          </w:rPr>
          <w:t>10.1016/j.enpol.2026.115525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352">
        <w:r>
          <w:rPr>
            <w:color w:val="1155CC"/>
            <w:u w:val="single"/>
          </w:rPr>
          <w:t>使用宽带电化学阻抗谱估算无气体计量 PEM 电解槽的制氢效率</w:t>
        </w:r>
      </w:hyperlink>
    </w:p>
    <w:p>
      <w:pPr>
        <w:spacing w:before="0" w:after="80"/>
      </w:pPr>
      <w:r>
        <w:rPr>
          <w:i/>
          <w:sz w:val="20"/>
        </w:rPr>
        <w:t>EN: Estimation of hydrogen production efficiency for gas-metering-free PEM electrolyzers using broadband electrochemical impedance spectroscopy</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353">
        <w:r>
          <w:rPr>
            <w:color w:val="1155CC"/>
            <w:u w:val="single"/>
          </w:rPr>
          <w:t>10.1016/j.apenergy.2026.128565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354">
        <w:r>
          <w:rPr>
            <w:color w:val="1155CC"/>
            <w:u w:val="single"/>
          </w:rPr>
          <w:t>绿色氨经济的长期气候脆弱性：柯本-盖革区的综合技术经济和生命周期评估</w:t>
        </w:r>
      </w:hyperlink>
    </w:p>
    <w:p>
      <w:pPr>
        <w:spacing w:before="0" w:after="80"/>
      </w:pPr>
      <w:r>
        <w:rPr>
          <w:i/>
          <w:sz w:val="20"/>
        </w:rPr>
        <w:t>EN: Long-term climate vulnerability of green ammonia economics: an integrated techno-economic and life cycle assessment across Köppen-Geiger zones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355">
        <w:r>
          <w:rPr>
            <w:color w:val="1155CC"/>
            <w:u w:val="single"/>
          </w:rPr>
          <w:t>10.1016/j.apenergy.2026.128532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56">
        <w:r>
          <w:rPr>
            <w:color w:val="1155CC"/>
            <w:u w:val="single"/>
          </w:rPr>
          <w:t>双钙钛矿上超细 Ru 纳米颗粒的相干溶出通过强金属支撑相互作用促进 CO2 和 H2O 电解</w:t>
        </w:r>
      </w:hyperlink>
    </w:p>
    <w:p>
      <w:pPr>
        <w:spacing w:before="0" w:after="80"/>
      </w:pPr>
      <w:r>
        <w:rPr>
          <w:i/>
          <w:sz w:val="20"/>
        </w:rPr>
        <w:t>EN: Coherent Exsolution of Ultrafine Ru Nanoparticles on Double Perovskite Boosts CO2 and H2O Electrolysis via Strong Metal‐Support Interactions</w:t>
      </w:r>
    </w:p>
    <w:p>
      <w:pPr>
        <w:spacing w:before="0" w:after="120"/>
      </w:pPr>
      <w:r>
        <w:rPr>
          <w:b/>
        </w:rPr>
        <w:t xml:space="preserve">Source: </w:t>
      </w:r>
      <w:r>
        <w:t>Wiley: Advanced Energy Materials: Table of Contents</w:t>
      </w:r>
      <w:r>
        <w:t xml:space="preserve">    </w:t>
      </w:r>
      <w:r>
        <w:rPr>
          <w:b/>
        </w:rPr>
        <w:t xml:space="preserve">Pub date: </w:t>
      </w:r>
      <w:r>
        <w:t>2026-07-31 07:15:46+00:00</w:t>
      </w:r>
      <w:r>
        <w:t xml:space="preserve">    </w:t>
      </w:r>
      <w:r>
        <w:rPr>
          <w:b/>
        </w:rPr>
        <w:t xml:space="preserve">DOI: </w:t>
      </w:r>
      <w:hyperlink r:id="rId357">
        <w:r>
          <w:rPr>
            <w:color w:val="1155CC"/>
            <w:u w:val="single"/>
          </w:rPr>
          <w:t>10.1002/aenm.71314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固体氧化物电解池 (SOEC) 在高效、高速转化 CO 方面具有巨大潜力</w:t>
      </w:r>
      <w:r>
        <w:rPr>
          <w:vertAlign w:val="subscript"/>
        </w:rPr>
        <w:t>2</w:t>
      </w:r>
      <w:r>
        <w:t>和H</w:t>
      </w:r>
      <w:r>
        <w:rPr>
          <w:vertAlign w:val="subscript"/>
        </w:rPr>
        <w:t>2</w:t>
      </w:r>
      <w:r>
        <w:t>O转化为由可再生电力驱动的合成气。然而，SOEC 的性能往往受到缺乏将 CO 的高活性与结构稳定性结合在一起的燃料电极材料的限制。</w:t>
      </w:r>
      <w:r>
        <w:rPr>
          <w:vertAlign w:val="subscript"/>
        </w:rPr>
        <w:t>2</w:t>
      </w:r>
      <w:r>
        <w:t>和H</w:t>
      </w:r>
      <w:r>
        <w:rPr>
          <w:vertAlign w:val="subscript"/>
        </w:rPr>
        <w:t>2</w:t>
      </w:r>
      <w:r>
        <w:t>O电化学还原。在这里，我们开发了一种设计合理的燃料电极，Sr</w:t>
      </w:r>
      <w:r>
        <w:t xml:space="preserve"> </w:t>
      </w:r>
      <w:r>
        <w:t>1.95</w:t>
      </w:r>
      <w:r>
        <w:t xml:space="preserve"> </w:t>
      </w:r>
      <w:r>
        <w:t>铁镁</w:t>
      </w:r>
      <w:r>
        <w:t xml:space="preserve"> </w:t>
      </w:r>
      <w:r>
        <w:t>0.3</w:t>
      </w:r>
      <w:r>
        <w:t xml:space="preserve"> </w:t>
      </w:r>
      <w:r>
        <w:t>莫</w:t>
      </w:r>
      <w:r>
        <w:t xml:space="preserve"> </w:t>
      </w:r>
      <w:r>
        <w:t>0.6</w:t>
      </w:r>
      <w:r>
        <w:t xml:space="preserve"> </w:t>
      </w:r>
      <w:r>
        <w:t>汝</w:t>
      </w:r>
      <w:r>
        <w:t xml:space="preserve"> </w:t>
      </w:r>
      <w:r>
        <w:t>0.1</w:t>
      </w:r>
      <w:r>
        <w:t xml:space="preserve"> </w:t>
      </w:r>
      <w:r>
        <w:t>氧</w:t>
      </w:r>
      <w:r>
        <w:t xml:space="preserve"> </w:t>
      </w:r>
      <w:r>
        <w:t>6-δ</w:t>
      </w:r>
      <w:r>
        <w:t xml:space="preserve"> </w:t>
      </w:r>
      <w:r>
        <w:t>(SFMMRu)，它表现出超小 Ru 纳米颗粒 (1-5 nm) 的相干溶出，具有极高的表面数密度 (∼2.7 × 10</w:t>
      </w:r>
      <w:r>
        <w:rPr>
          <w:vertAlign w:val="subscript"/>
        </w:rPr>
        <w:t>4</w:t>
      </w:r>
      <w:r>
        <w:t>颗粒微米</w:t>
      </w:r>
      <w:r>
        <w:t xml:space="preserve"> </w:t>
      </w:r>
      <w:r>
        <w:t>−2</w:t>
      </w:r>
      <w:r>
        <w:t xml:space="preserve"> </w:t>
      </w:r>
      <w:r>
        <w:t>）。由此产生的高密度稳定金属氧化物界面显着增强了CO</w:t>
      </w:r>
      <w:r>
        <w:rPr>
          <w:vertAlign w:val="subscript"/>
        </w:rPr>
        <w:t>2</w:t>
      </w:r>
      <w:r>
        <w:t>和H</w:t>
      </w:r>
      <w:r>
        <w:rPr>
          <w:vertAlign w:val="subscript"/>
        </w:rPr>
        <w:t>2</w:t>
      </w:r>
      <w:r>
        <w:t>O 电还原动力学。因此，SFMMRu 表现出 0.254 Ω cm 的低极化电阻</w:t>
      </w:r>
      <w:r>
        <w:rPr>
          <w:vertAlign w:val="subscript"/>
        </w:rPr>
        <w:t>2</w:t>
      </w:r>
      <w:r>
        <w:t>50% CO2/CO2 中</w:t>
      </w:r>
      <w:r>
        <w:rPr>
          <w:vertAlign w:val="subscript"/>
        </w:rPr>
        <w:t>2</w:t>
      </w:r>
      <w:r>
        <w:t>和 0.143 Ω 厘米</w:t>
      </w:r>
      <w:r>
        <w:rPr>
          <w:vertAlign w:val="subscript"/>
        </w:rPr>
        <w:t>2</w:t>
      </w:r>
      <w:r>
        <w:t>在 40% H 中</w:t>
      </w:r>
      <w:r>
        <w:rPr>
          <w:vertAlign w:val="subscript"/>
        </w:rPr>
        <w:t>2</w:t>
      </w:r>
      <w:r>
        <w:t>氧/氢</w:t>
      </w:r>
    </w:p>
    <w:p>
      <w:pPr>
        <w:spacing w:before="0" w:after="200" w:lineRule="auto" w:line="276"/>
      </w:pPr>
      <w:r>
        <w:rPr>
          <w:b/>
        </w:rPr>
        <w:t xml:space="preserve">Abstract (EN): </w:t>
      </w:r>
      <w:r>
        <w:t>Solid oxide electrolysis cells (SOECs) hold significant potential for efficient, high‑rate conversion of CO</w:t>
      </w:r>
      <w:r>
        <w:rPr>
          <w:vertAlign w:val="subscript"/>
        </w:rPr>
        <w:t>2</w:t>
      </w:r>
      <w:r>
        <w:t>and H</w:t>
      </w:r>
      <w:r>
        <w:rPr>
          <w:vertAlign w:val="subscript"/>
        </w:rPr>
        <w:t>2</w:t>
      </w:r>
      <w:r>
        <w:t>O into syngas driven by renewable electricity. However, SOEC performance is often constrained by the scarcity of fuel electrode materials that combine high activity with structural stability for CO</w:t>
      </w:r>
      <w:r>
        <w:rPr>
          <w:vertAlign w:val="subscript"/>
        </w:rPr>
        <w:t>2</w:t>
      </w:r>
      <w:r>
        <w:t>and H</w:t>
      </w:r>
      <w:r>
        <w:rPr>
          <w:vertAlign w:val="subscript"/>
        </w:rPr>
        <w:t>2</w:t>
      </w:r>
      <w:r>
        <w:t>O electrochemical reduction. Here, we develop a rationally designed fuel electrode, Sr</w:t>
      </w:r>
      <w:r>
        <w:t xml:space="preserve"> </w:t>
      </w:r>
      <w:r>
        <w:t>1.95</w:t>
      </w:r>
      <w:r>
        <w:t xml:space="preserve"> </w:t>
      </w:r>
      <w:r>
        <w:t>FeMg</w:t>
      </w:r>
      <w:r>
        <w:t xml:space="preserve"> </w:t>
      </w:r>
      <w:r>
        <w:t>0.3</w:t>
      </w:r>
      <w:r>
        <w:t xml:space="preserve"> </w:t>
      </w:r>
      <w:r>
        <w:t>Mo</w:t>
      </w:r>
      <w:r>
        <w:t xml:space="preserve"> </w:t>
      </w:r>
      <w:r>
        <w:t>0.6</w:t>
      </w:r>
      <w:r>
        <w:t xml:space="preserve"> </w:t>
      </w:r>
      <w:r>
        <w:t>Ru</w:t>
      </w:r>
      <w:r>
        <w:t xml:space="preserve"> </w:t>
      </w:r>
      <w:r>
        <w:t>0.1</w:t>
      </w:r>
      <w:r>
        <w:t xml:space="preserve"> </w:t>
      </w:r>
      <w:r>
        <w:t>O</w:t>
      </w:r>
      <w:r>
        <w:t xml:space="preserve"> </w:t>
      </w:r>
      <w:r>
        <w:t>6‐δ</w:t>
      </w:r>
      <w:r>
        <w:t xml:space="preserve"> </w:t>
      </w:r>
      <w:r>
        <w:t>(SFMMRu), that exhibits coherent exsolution of ultrasmall Ru nanoparticles (1‐5 nm) with an exceptionally high surface number density (∼2.7 × 10</w:t>
      </w:r>
      <w:r>
        <w:rPr>
          <w:vertAlign w:val="subscript"/>
        </w:rPr>
        <w:t>4</w:t>
      </w:r>
      <w:r>
        <w:t>particles µm</w:t>
      </w:r>
      <w:r>
        <w:t xml:space="preserve"> </w:t>
      </w:r>
      <w:r>
        <w:t>−2</w:t>
      </w:r>
      <w:r>
        <w:t xml:space="preserve"> </w:t>
      </w:r>
      <w:r>
        <w:t>). The resulting high density of stable metal‐oxide interfaces markedly enhances CO</w:t>
      </w:r>
      <w:r>
        <w:rPr>
          <w:vertAlign w:val="subscript"/>
        </w:rPr>
        <w:t>2</w:t>
      </w:r>
      <w:r>
        <w:t>and H</w:t>
      </w:r>
      <w:r>
        <w:rPr>
          <w:vertAlign w:val="subscript"/>
        </w:rPr>
        <w:t>2</w:t>
      </w:r>
      <w:r>
        <w:t>O electroreduction kinetics. As a result, the SFMMRu exhibits low polarization resistances of 0.254 Ω cm</w:t>
      </w:r>
      <w:r>
        <w:rPr>
          <w:vertAlign w:val="subscript"/>
        </w:rPr>
        <w:t>2</w:t>
      </w:r>
      <w:r>
        <w:t>in 50% CO/CO</w:t>
      </w:r>
      <w:r>
        <w:rPr>
          <w:vertAlign w:val="subscript"/>
        </w:rPr>
        <w:t>2</w:t>
      </w:r>
      <w:r>
        <w:t>and 0.143 Ω cm</w:t>
      </w:r>
      <w:r>
        <w:rPr>
          <w:vertAlign w:val="subscript"/>
        </w:rPr>
        <w:t>2</w:t>
      </w:r>
      <w:r>
        <w:t>in 40% H</w:t>
      </w:r>
      <w:r>
        <w:rPr>
          <w:vertAlign w:val="subscript"/>
        </w:rPr>
        <w:t>2</w:t>
      </w:r>
      <w:r>
        <w:t>O/H</w:t>
      </w:r>
      <w:r>
        <w:rPr>
          <w:vertAlign w:val="subscript"/>
        </w:rPr>
        <w:t>2</w:t>
      </w:r>
      <w:r>
        <w:t>at 800°C. In SOEC operation at 1.5 V, high current densities of 2.24 A cm</w:t>
      </w:r>
      <w:r>
        <w:t xml:space="preserve"> </w:t>
      </w:r>
      <w:r>
        <w:t>−2</w:t>
      </w:r>
      <w:r>
        <w:t xml:space="preserve"> </w:t>
      </w:r>
      <w:r>
        <w:t>and 2.88 A cm</w:t>
      </w:r>
      <w:r>
        <w:t xml:space="preserve"> </w:t>
      </w:r>
      <w:r>
        <w:t>−2</w:t>
      </w:r>
      <w:r>
        <w:t xml:space="preserve"> </w:t>
      </w:r>
      <w:r>
        <w:t>are achieved for CO</w:t>
      </w:r>
      <w:r>
        <w:rPr>
          <w:vertAlign w:val="subscript"/>
        </w:rPr>
        <w:t>2</w:t>
      </w:r>
      <w:r>
        <w:t>and H</w:t>
      </w:r>
      <w:r>
        <w:rPr>
          <w:vertAlign w:val="subscript"/>
        </w:rPr>
        <w:t>2</w:t>
      </w:r>
      <w:r>
        <w:t>O electrolysis, respectively. Long‐term operation exceeding 200 h at 1 A cm</w:t>
      </w:r>
      <w:r>
        <w:t xml:space="preserve"> </w:t>
      </w:r>
      <w:r>
        <w:t>−2</w:t>
      </w:r>
      <w:r>
        <w:t xml:space="preserve"> </w:t>
      </w:r>
      <w:r>
        <w:t>in pure CO</w:t>
      </w:r>
      <w:r>
        <w:rPr>
          <w:vertAlign w:val="subscript"/>
        </w:rPr>
        <w:t>2</w:t>
      </w:r>
      <w:r>
        <w:t>demonstrates the high durability of the fuel electrode. Advanced electron microscopy combined with density functional theory calculations indicate that the formation of ultrasmall, densely distributed Ru nanoparticles stems from strong metal‐support interactions between the Ru phase and the perovskite substrate.</w:t>
      </w:r>
    </w:p>
    <w:p>
      <w:pPr>
        <w:spacing w:before="120" w:after="120"/>
      </w:pPr>
      <w:r>
        <w:rPr>
          <w:sz w:val="18"/>
        </w:rPr>
        <w:t>——————————————————————————————————————————————————————————————————————</w:t>
      </w:r>
    </w:p>
    <w:p>
      <w:pPr>
        <w:spacing w:before="160" w:after="40" w:line="240" w:lineRule="auto"/>
      </w:pPr>
      <w:r>
        <w:rPr>
          <w:b/>
        </w:rPr>
        <w:t xml:space="preserve">[10] </w:t>
      </w:r>
      <w:hyperlink r:id="rId229">
        <w:r>
          <w:rPr>
            <w:color w:val="1155CC"/>
            <w:u w:val="single"/>
          </w:rPr>
          <w:t>双功能 Ru2P 纳米颗粒修饰的 Ru/N,P 掺杂碳纳米纤维用于高效肼氧化辅助制氢和锌-空气-肼电池</w:t>
        </w:r>
      </w:hyperlink>
    </w:p>
    <w:p>
      <w:pPr>
        <w:spacing w:before="0" w:after="80"/>
      </w:pPr>
      <w:r>
        <w:rPr>
          <w:i/>
          <w:sz w:val="20"/>
        </w:rPr>
        <w:t>EN: Dual‐Functional Ru2P Nanoparticle‐Decorated Ru/N,P‐Doped Carbon Nanofibers for Efficient Hydrazine Oxidation‐Assisted Hydrogen Production and Zinc‐Air‐Hydrazine Battery</w:t>
      </w:r>
    </w:p>
    <w:p>
      <w:pPr>
        <w:spacing w:before="0" w:after="120"/>
      </w:pPr>
      <w:r>
        <w:rPr>
          <w:b/>
        </w:rPr>
        <w:t xml:space="preserve">Source: </w:t>
      </w:r>
      <w:r>
        <w:t>Wiley: Advanced Energy Materials: Table of Contents</w:t>
      </w:r>
      <w:r>
        <w:t xml:space="preserve">    </w:t>
      </w:r>
      <w:r>
        <w:rPr>
          <w:b/>
        </w:rPr>
        <w:t xml:space="preserve">Pub date: </w:t>
      </w:r>
      <w:r>
        <w:t>2026-07-31 07:17:20+00:00</w:t>
      </w:r>
      <w:r>
        <w:t xml:space="preserve">    </w:t>
      </w:r>
      <w:r>
        <w:rPr>
          <w:b/>
        </w:rPr>
        <w:t xml:space="preserve">DOI: </w:t>
      </w:r>
      <w:hyperlink r:id="rId230">
        <w:r>
          <w:rPr>
            <w:color w:val="1155CC"/>
            <w:u w:val="single"/>
          </w:rPr>
          <w:t>10.1002/aenm.71366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高效耐用的电催化剂对于可持续氢（H</w:t>
      </w:r>
      <w:r>
        <w:rPr>
          <w:vertAlign w:val="subscript"/>
        </w:rPr>
        <w:t>2</w:t>
      </w:r>
      <w:r>
        <w:t>）发电和先进的能源存储。在此，茹</w:t>
      </w:r>
      <w:r>
        <w:rPr>
          <w:vertAlign w:val="subscript"/>
        </w:rPr>
        <w:t>2</w:t>
      </w:r>
      <w:r>
        <w:t>P纳米颗粒修饰的Ru/N,P掺杂碳纳米纤维（Ru</w:t>
      </w:r>
      <w:r>
        <w:rPr>
          <w:vertAlign w:val="subscript"/>
        </w:rPr>
        <w:t>2</w:t>
      </w:r>
      <w:r>
        <w:t>P@Ru/NPCNFs）是通过静电纺丝-碳化-热磷化策略制备的。由此产生的材料成为首屈一指的双功能电催化剂。对于肼氧化反应（HzOR），仅需-0.013 V的电位即可达到100 mA cm</w:t>
      </w:r>
      <w:r>
        <w:t xml:space="preserve"> </w:t>
      </w:r>
      <w:r>
        <w:t>−2</w:t>
      </w:r>
      <w:r>
        <w:t xml:space="preserve"> </w:t>
      </w:r>
      <w:r>
        <w:t>，比 Ru/N 掺杂 CNF (NCNF) 样品有显着改进。同时，该催化剂以 1000 mA cm 的工业级电流密度驱动析氢反应 (HER)</w:t>
      </w:r>
      <w:r>
        <w:t xml:space="preserve"> </w:t>
      </w:r>
      <w:r>
        <w:t>−2</w:t>
      </w:r>
      <w:r>
        <w:t xml:space="preserve"> </w:t>
      </w:r>
      <w:r>
        <w:t>在 1 M KOH 中的过电势仅为 155 mV，超过了商业 Pt/C 和最先进的报道催化剂设定的基准。利用这些优势，协同效应可以实现由肼氧化辅助的集成水分解系统，从而驱动 H</w:t>
      </w:r>
      <w:r>
        <w:rPr>
          <w:vertAlign w:val="subscript"/>
        </w:rPr>
        <w:t>2</w:t>
      </w:r>
      <w:r>
        <w:t>产率比传统水电解提高12倍。此外，还构建了可充电锌空气肼电池，表现出优异的活性和耐用性。这项工作提供了一种多功能电催化剂，并为超越传统电的混合能源转换和存储开辟了新途径</w:t>
      </w:r>
    </w:p>
    <w:p>
      <w:pPr>
        <w:spacing w:before="0" w:after="200" w:lineRule="auto" w:line="276"/>
      </w:pPr>
      <w:r>
        <w:rPr>
          <w:b/>
        </w:rPr>
        <w:t xml:space="preserve">Abstract (EN): </w:t>
      </w:r>
      <w:r>
        <w:t>Efficient and durable electrocatalysts are essential to sustainable hydrogen (H</w:t>
      </w:r>
      <w:r>
        <w:rPr>
          <w:vertAlign w:val="subscript"/>
        </w:rPr>
        <w:t>2</w:t>
      </w:r>
      <w:r>
        <w:t>) generation and advanced energy storage. Herein, Ru</w:t>
      </w:r>
      <w:r>
        <w:rPr>
          <w:vertAlign w:val="subscript"/>
        </w:rPr>
        <w:t>2</w:t>
      </w:r>
      <w:r>
        <w:t>P nanoparticles‐decorated Ru/N,P‐doped carbon nanofibers (Ru</w:t>
      </w:r>
      <w:r>
        <w:rPr>
          <w:vertAlign w:val="subscript"/>
        </w:rPr>
        <w:t>2</w:t>
      </w:r>
      <w:r>
        <w:t>P@Ru/NPCNFs) have been fabricated through an electrospinning‐carbonization‐thermal phosphorization strategy. The resulting material establishes itself as a premier dual‐functional electrocatalyst. For the hydrazine oxidation reaction (HzOR), it requires a potential of only −0.013 V to reach 100 mA cm</w:t>
      </w:r>
      <w:r>
        <w:t xml:space="preserve"> </w:t>
      </w:r>
      <w:r>
        <w:t>−2</w:t>
      </w:r>
      <w:r>
        <w:t xml:space="preserve"> </w:t>
      </w:r>
      <w:r>
        <w:t>, a significant improvement over the Ru/N‐doped CNFs (NCNFs) sample. Concurrently, this catalyst drives the hydrogen evolution reaction (HER) at an industrial‐grade current density of 1000 mA cm</w:t>
      </w:r>
      <w:r>
        <w:t xml:space="preserve"> </w:t>
      </w:r>
      <w:r>
        <w:t>−2</w:t>
      </w:r>
      <w:r>
        <w:t xml:space="preserve"> </w:t>
      </w:r>
      <w:r>
        <w:t>with an overpotential of just 155 mV in 1 M KOH, exceeding the benchmark set by commercial Pt/C and most advanced reported catalysts. Leveraging these advantages, the synergistic effects enable an integrated water‐splitting system assisted by hydrazine oxidation, driving a H</w:t>
      </w:r>
      <w:r>
        <w:rPr>
          <w:vertAlign w:val="subscript"/>
        </w:rPr>
        <w:t>2</w:t>
      </w:r>
      <w:r>
        <w:t>production rate 12 times higher than that of conventional water electrolysis. Furthermore, a rechargeable Zn‐air‐hydrazine battery is constructed, demonstrating excellent activity and durability. This work provides a versatile electrocatalyst and opens a new avenue for hybrid energy conversion and storage beyond conventional electrolysis.</w:t>
      </w:r>
    </w:p>
    <w:p>
      <w:pPr>
        <w:spacing w:before="120" w:after="120"/>
      </w:pPr>
      <w:r>
        <w:rPr>
          <w:sz w:val="18"/>
        </w:rPr>
        <w:t>——————————————————————————————————————————————————————————————————————</w:t>
      </w:r>
    </w:p>
    <w:p>
      <w:pPr>
        <w:spacing w:before="160" w:after="40" w:line="240" w:lineRule="auto"/>
      </w:pPr>
      <w:r>
        <w:rPr>
          <w:b/>
        </w:rPr>
        <w:t xml:space="preserve">[11] </w:t>
      </w:r>
      <w:hyperlink r:id="rId358">
        <w:r>
          <w:rPr>
            <w:color w:val="1155CC"/>
            <w:u w:val="single"/>
          </w:rPr>
          <w:t>通过原子 CrOx 层连接的 Pt 纳米板可实现高功率密度和耐用的 PEM 燃料电池</w:t>
        </w:r>
      </w:hyperlink>
    </w:p>
    <w:p>
      <w:pPr>
        <w:spacing w:before="0" w:after="80"/>
      </w:pPr>
      <w:r>
        <w:rPr>
          <w:i/>
          <w:sz w:val="20"/>
        </w:rPr>
        <w:t>EN: Pt Nanoplates Interfaced by Atomic CrOx Layer Enable High‐Power‐Density and Durable PEM Fuel Cells</w:t>
      </w:r>
    </w:p>
    <w:p>
      <w:pPr>
        <w:spacing w:before="0" w:after="120"/>
      </w:pPr>
      <w:r>
        <w:rPr>
          <w:b/>
        </w:rPr>
        <w:t xml:space="preserve">Source: </w:t>
      </w:r>
      <w:r>
        <w:t>Wiley: Angewandte Chemie International Edition: Table of Contents</w:t>
      </w:r>
      <w:r>
        <w:t xml:space="preserve">    </w:t>
      </w:r>
      <w:r>
        <w:rPr>
          <w:b/>
        </w:rPr>
        <w:t xml:space="preserve">Pub date: </w:t>
      </w:r>
      <w:r>
        <w:t>2026-07-31 07:59:17+00:00</w:t>
      </w:r>
      <w:r>
        <w:t xml:space="preserve">    </w:t>
      </w:r>
      <w:r>
        <w:rPr>
          <w:b/>
        </w:rPr>
        <w:t xml:space="preserve">DOI: </w:t>
      </w:r>
      <w:hyperlink r:id="rId359">
        <w:r>
          <w:rPr>
            <w:color w:val="1155CC"/>
            <w:u w:val="single"/>
          </w:rPr>
          <w:t>10.1002/anie.4495543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Pt基合金催化剂的溶解仍然是质子交换膜燃料电池中氧还原反应（ORR）的巨大挑战。在此，我们报告了一种新的阶段依赖的竞争吸附合成策略，用于制造与稳定的原子层 CrO 连接的二维 Pt 纳米板</w:t>
      </w:r>
      <w:r>
        <w:t xml:space="preserve"> </w:t>
      </w:r>
      <w:r>
        <w:t>x</w:t>
      </w:r>
      <w:r>
        <w:t xml:space="preserve"> </w:t>
      </w:r>
      <w:r>
        <w:t>(Pt-CrO</w:t>
      </w:r>
      <w:r>
        <w:t xml:space="preserve"> </w:t>
      </w:r>
      <w:r>
        <w:t>x</w:t>
      </w:r>
      <w:r>
        <w:t xml:space="preserve"> </w:t>
      </w:r>
      <w:r>
        <w:t>NP）。该策略利用了强大的 Pt–CrO</w:t>
      </w:r>
      <w:r>
        <w:t xml:space="preserve"> </w:t>
      </w:r>
      <w:r>
        <w:t>x</w:t>
      </w:r>
      <w:r>
        <w:t xml:space="preserve"> </w:t>
      </w:r>
      <w:r>
        <w:t>电子相互作用从根本上抑制 Pt 溶解，同时大大增强 ORR 活性。所得 Pt-CrO</w:t>
      </w:r>
      <w:r>
        <w:t xml:space="preserve"> </w:t>
      </w:r>
      <w:r>
        <w:t>x</w:t>
      </w:r>
      <w:r>
        <w:t xml:space="preserve"> </w:t>
      </w:r>
      <w:r>
        <w:t>NP 表现出卓越的电化学稳定性，30,000 次循环后质量活性下降了 3.3%，可以忽略不计，明显优于商业 Pt/C。此外，Pt-CrO</w:t>
      </w:r>
      <w:r>
        <w:t xml:space="preserve"> </w:t>
      </w:r>
      <w:r>
        <w:t>x</w:t>
      </w:r>
      <w:r>
        <w:t xml:space="preserve"> </w:t>
      </w:r>
      <w:r>
        <w:t>H 中基于纳米颗粒的膜电极组件</w:t>
      </w:r>
      <w:r>
        <w:rPr>
          <w:vertAlign w:val="subscript"/>
        </w:rPr>
        <w:t>2</w:t>
      </w:r>
      <w:r>
        <w:t>‐O</w:t>
      </w:r>
      <w:r>
        <w:rPr>
          <w:vertAlign w:val="subscript"/>
        </w:rPr>
        <w:t>2</w:t>
      </w:r>
      <w:r>
        <w:t>/空气电池提供 2.30/1.05 W cm 的出色峰值功率密度</w:t>
      </w:r>
      <w:r>
        <w:t xml:space="preserve"> </w:t>
      </w:r>
      <w:r>
        <w:t>−2</w:t>
      </w:r>
      <w:r>
        <w:t xml:space="preserve"> </w:t>
      </w:r>
      <w:r>
        <w:t>阴极 Pt 负载量低至 0.1 mg</w:t>
      </w:r>
      <w:r>
        <w:t xml:space="preserve"> </w:t>
      </w:r>
      <w:r>
        <w:t>铂</w:t>
      </w:r>
      <w:r>
        <w:t xml:space="preserve"> </w:t>
      </w:r>
      <w:r>
        <w:t>厘米</w:t>
      </w:r>
      <w:r>
        <w:t xml:space="preserve"> </w:t>
      </w:r>
      <w:r>
        <w:t>−2</w:t>
      </w:r>
      <w:r>
        <w:t xml:space="preserve"> </w:t>
      </w:r>
      <w:r>
        <w:t>，0.8 A cm 时电压损失为 16 mV</w:t>
      </w:r>
      <w:r>
        <w:t xml:space="preserve"> </w:t>
      </w:r>
      <w:r>
        <w:t>−2</w:t>
      </w:r>
      <w:r>
        <w:t xml:space="preserve"> </w:t>
      </w:r>
      <w:r>
        <w:t>经过加速稳定性测试。密度泛函理论 (DFT) 计算进一步揭示了 Pt-CrO</w:t>
      </w:r>
      <w:r>
        <w:t xml:space="preserve"> </w:t>
      </w:r>
      <w:r>
        <w:t>x</w:t>
      </w:r>
      <w:r>
        <w:t xml:space="preserve"> </w:t>
      </w:r>
      <w:r>
        <w:t>界面削弱了含氧中间体的结合</w:t>
      </w:r>
    </w:p>
    <w:p>
      <w:pPr>
        <w:spacing w:before="0" w:after="200" w:lineRule="auto" w:line="276"/>
      </w:pPr>
      <w:r>
        <w:rPr>
          <w:b/>
        </w:rPr>
        <w:t xml:space="preserve">Abstract (EN): </w:t>
      </w:r>
      <w:r>
        <w:t>The dissolution of Pt‐based alloy catalysts remains a formidable challenge for oxygen reduction reaction (ORR) in proton exchange membrane fuel cells. Herein, we report a new stage‐dependent competitive adsorption synthetic strategy for making 2D Pt nanoplates interfaced by a stable, atomic‐layer CrO</w:t>
      </w:r>
      <w:r>
        <w:t xml:space="preserve"> </w:t>
      </w:r>
      <w:r>
        <w:t>x</w:t>
      </w:r>
      <w:r>
        <w:t xml:space="preserve"> </w:t>
      </w:r>
      <w:r>
        <w:t>(Pt–CrO</w:t>
      </w:r>
      <w:r>
        <w:t xml:space="preserve"> </w:t>
      </w:r>
      <w:r>
        <w:t>x</w:t>
      </w:r>
      <w:r>
        <w:t xml:space="preserve"> </w:t>
      </w:r>
      <w:r>
        <w:t>NPs). This strategy leverages strong Pt–CrO</w:t>
      </w:r>
      <w:r>
        <w:t xml:space="preserve"> </w:t>
      </w:r>
      <w:r>
        <w:t>x</w:t>
      </w:r>
      <w:r>
        <w:t xml:space="preserve"> </w:t>
      </w:r>
      <w:r>
        <w:t>electronic interactions to fundamentally suppress Pt dissolution and meantime greatly enhance ORR activity. The resulting Pt–CrO</w:t>
      </w:r>
      <w:r>
        <w:t xml:space="preserve"> </w:t>
      </w:r>
      <w:r>
        <w:t>x</w:t>
      </w:r>
      <w:r>
        <w:t xml:space="preserve"> </w:t>
      </w:r>
      <w:r>
        <w:t>NPs demonstrate exceptional electrochemical stability with a negligible 3.3% decline in mass activity after 30,000 cycles, significantly outperforming commercial Pt/C. Furthermore, the Pt–CrO</w:t>
      </w:r>
      <w:r>
        <w:t xml:space="preserve"> </w:t>
      </w:r>
      <w:r>
        <w:t>x</w:t>
      </w:r>
      <w:r>
        <w:t xml:space="preserve"> </w:t>
      </w:r>
      <w:r>
        <w:t>NPs‐based membrane electrode assembly in an H</w:t>
      </w:r>
      <w:r>
        <w:rPr>
          <w:vertAlign w:val="subscript"/>
        </w:rPr>
        <w:t>2</w:t>
      </w:r>
      <w:r>
        <w:t>‐O</w:t>
      </w:r>
      <w:r>
        <w:rPr>
          <w:vertAlign w:val="subscript"/>
        </w:rPr>
        <w:t>2</w:t>
      </w:r>
      <w:r>
        <w:t>/air cell delivers an outstanding peak power density of 2.30/1.05 W cm</w:t>
      </w:r>
      <w:r>
        <w:t xml:space="preserve"> </w:t>
      </w:r>
      <w:r>
        <w:t>−2</w:t>
      </w:r>
      <w:r>
        <w:t xml:space="preserve"> </w:t>
      </w:r>
      <w:r>
        <w:t>with a low cathode Pt loading of 0.1 mg</w:t>
      </w:r>
      <w:r>
        <w:t xml:space="preserve"> </w:t>
      </w:r>
      <w:r>
        <w:t>Pt</w:t>
      </w:r>
      <w:r>
        <w:t xml:space="preserve"> </w:t>
      </w:r>
      <w:r>
        <w:t>cm</w:t>
      </w:r>
      <w:r>
        <w:t xml:space="preserve"> </w:t>
      </w:r>
      <w:r>
        <w:t>−2</w:t>
      </w:r>
      <w:r>
        <w:t xml:space="preserve"> </w:t>
      </w:r>
      <w:r>
        <w:t>, and 16 mV voltage loss at 0.8 A cm</w:t>
      </w:r>
      <w:r>
        <w:t xml:space="preserve"> </w:t>
      </w:r>
      <w:r>
        <w:t>−2</w:t>
      </w:r>
      <w:r>
        <w:t xml:space="preserve"> </w:t>
      </w:r>
      <w:r>
        <w:t>after accelerated stability tests. Density functional theory (DFT) calculations further unveil that the Pt–CrO</w:t>
      </w:r>
      <w:r>
        <w:t xml:space="preserve"> </w:t>
      </w:r>
      <w:r>
        <w:t>x</w:t>
      </w:r>
      <w:r>
        <w:t xml:space="preserve"> </w:t>
      </w:r>
      <w:r>
        <w:t>interface weakens the binding of oxygenated intermediates to Pt and significantly increases the Pt vacancy formation energy, consequently suppressing Pt dissolution and contributing to superior fuel cells durability.</w:t>
      </w:r>
    </w:p>
    <w:p>
      <w:pPr>
        <w:spacing w:before="120" w:after="120"/>
      </w:pPr>
      <w:r>
        <w:rPr>
          <w:sz w:val="18"/>
        </w:rPr>
        <w:t>——————————————————————————————————————————————————————————————————————</w:t>
      </w:r>
    </w:p>
    <w:p>
      <w:pPr>
        <w:spacing w:before="160" w:after="40" w:line="240" w:lineRule="auto"/>
      </w:pPr>
      <w:r>
        <w:rPr>
          <w:b/>
        </w:rPr>
        <w:t xml:space="preserve">[12] </w:t>
      </w:r>
      <w:hyperlink r:id="rId360">
        <w:r>
          <w:rPr>
            <w:color w:val="1155CC"/>
            <w:u w:val="single"/>
          </w:rPr>
          <w:t>用于高效酸性水氧化的超细氧化铱固溶体</w:t>
        </w:r>
      </w:hyperlink>
    </w:p>
    <w:p>
      <w:pPr>
        <w:spacing w:before="0" w:after="80"/>
      </w:pPr>
      <w:r>
        <w:rPr>
          <w:i/>
          <w:sz w:val="20"/>
        </w:rPr>
        <w:t>EN: Ultrafine Iridium‐Oxide Solid Solutions for Efficient Acidic Water Oxidation</w:t>
      </w:r>
    </w:p>
    <w:p>
      <w:pPr>
        <w:spacing w:before="0" w:after="120"/>
      </w:pPr>
      <w:r>
        <w:rPr>
          <w:b/>
        </w:rPr>
        <w:t xml:space="preserve">Source: </w:t>
      </w:r>
      <w:r>
        <w:t>Wiley: Angewandte Chemie International Edition: Table of Contents</w:t>
      </w:r>
      <w:r>
        <w:t xml:space="preserve">    </w:t>
      </w:r>
      <w:r>
        <w:rPr>
          <w:b/>
        </w:rPr>
        <w:t xml:space="preserve">Pub date: </w:t>
      </w:r>
      <w:r>
        <w:t>2026-07-31 08:00:17+00:00</w:t>
      </w:r>
      <w:r>
        <w:t xml:space="preserve">    </w:t>
      </w:r>
      <w:r>
        <w:rPr>
          <w:b/>
        </w:rPr>
        <w:t xml:space="preserve">DOI: </w:t>
      </w:r>
      <w:hyperlink r:id="rId361">
        <w:r>
          <w:rPr>
            <w:color w:val="1155CC"/>
            <w:u w:val="single"/>
          </w:rPr>
          <w:t>10.1002/anie.7808386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IrO成本高且催化性能不足</w:t>
      </w:r>
      <w:r>
        <w:rPr>
          <w:vertAlign w:val="subscript"/>
        </w:rPr>
        <w:t>2</w:t>
      </w:r>
      <w:r>
        <w:t>是阻碍质子交换膜水电解槽（PEMWE）发展的首要因素。在这里，我们提出内聚能的双重标准（</w:t>
      </w:r>
      <w:r>
        <w:t xml:space="preserve"> </w:t>
      </w:r>
      <w:r>
        <w:t>ΔCE</w:t>
      </w:r>
      <w:r>
        <w:t xml:space="preserve"> </w:t>
      </w:r>
      <w:r>
        <w:t>）和原子半径（</w:t>
      </w:r>
      <w:r>
        <w:t xml:space="preserve"> </w:t>
      </w:r>
      <w:r>
        <w:t>ΔR</w:t>
      </w:r>
      <w:r>
        <w:t xml:space="preserve"> </w:t>
      </w:r>
      <w:r>
        <w:t>) Ir 和杂原子之间的差异指导超细 IrO 的合成</w:t>
      </w:r>
      <w:r>
        <w:rPr>
          <w:vertAlign w:val="subscript"/>
        </w:rPr>
        <w:t>2</w:t>
      </w:r>
      <w:r>
        <w:t>基于固溶体（M</w:t>
      </w:r>
      <w:r>
        <w:t xml:space="preserve"> </w:t>
      </w:r>
      <w:r>
        <w:t>x</w:t>
      </w:r>
      <w:r>
        <w:t xml:space="preserve"> </w:t>
      </w:r>
      <w:r>
        <w:t>红外线</w:t>
      </w:r>
      <w:r>
        <w:t xml:space="preserve"> </w:t>
      </w:r>
      <w:r>
        <w:t>1−x</w:t>
      </w:r>
      <w:r>
        <w:t xml:space="preserve"> </w:t>
      </w:r>
      <w:r>
        <w:t>氧</w:t>
      </w:r>
      <w:r>
        <w:rPr>
          <w:vertAlign w:val="subscript"/>
        </w:rPr>
        <w:t>2</w:t>
      </w:r>
      <w:r>
        <w:t>）。 Mo、W元素含量最低</w:t>
      </w:r>
      <w:r>
        <w:t xml:space="preserve"> </w:t>
      </w:r>
      <w:r>
        <w:t>ΔCE</w:t>
      </w:r>
      <w:r>
        <w:t xml:space="preserve"> </w:t>
      </w:r>
      <w:r>
        <w:t>和</w:t>
      </w:r>
      <w:r>
        <w:t xml:space="preserve"> </w:t>
      </w:r>
      <w:r>
        <w:t>ΔR</w:t>
      </w:r>
      <w:r>
        <w:t xml:space="preserve"> </w:t>
      </w:r>
      <w:r>
        <w:t>表现出最促进的 Ir 合金化和最小化的颗粒粗化，从而能够制造亚 3 nm M</w:t>
      </w:r>
      <w:r>
        <w:t xml:space="preserve"> </w:t>
      </w:r>
      <w:r>
        <w:t>x</w:t>
      </w:r>
      <w:r>
        <w:t xml:space="preserve"> </w:t>
      </w:r>
      <w:r>
        <w:t>红外线</w:t>
      </w:r>
      <w:r>
        <w:t xml:space="preserve"> </w:t>
      </w:r>
      <w:r>
        <w:t>1−x</w:t>
      </w:r>
      <w:r>
        <w:t xml:space="preserve"> </w:t>
      </w:r>
      <w:r>
        <w:t>氧</w:t>
      </w:r>
      <w:r>
        <w:rPr>
          <w:vertAlign w:val="subscript"/>
        </w:rPr>
        <w:t>2</w:t>
      </w:r>
      <w:r>
        <w:t>(x = 33.3%−50%)。 Mo中广泛的Mo替代</w:t>
      </w:r>
      <w:r>
        <w:t xml:space="preserve"> </w:t>
      </w:r>
      <w:r>
        <w:t>1/3</w:t>
      </w:r>
      <w:r>
        <w:t xml:space="preserve"> </w:t>
      </w:r>
      <w:r>
        <w:t>红外线</w:t>
      </w:r>
      <w:r>
        <w:t xml:space="preserve"> </w:t>
      </w:r>
      <w:r>
        <w:t>2/3</w:t>
      </w:r>
      <w:r>
        <w:t xml:space="preserve"> </w:t>
      </w:r>
      <w:r>
        <w:t>氧</w:t>
      </w:r>
      <w:r>
        <w:rPr>
          <w:vertAlign w:val="subscript"/>
        </w:rPr>
        <w:t>2</w:t>
      </w:r>
      <w:r>
        <w:t>有效调节 Ir─O 共价并产生丰富的布朗斯台德酸位点作为质子受体。这些因素协同加速*OH和*OOH的去质子化，促进质子快速转移，从而显着降低析氧反应（OER）的能垒，缓解质子积聚。</w:t>
      </w:r>
    </w:p>
    <w:p>
      <w:pPr>
        <w:spacing w:before="0" w:after="200" w:lineRule="auto" w:line="276"/>
      </w:pPr>
      <w:r>
        <w:rPr>
          <w:b/>
        </w:rPr>
        <w:t xml:space="preserve">Abstract (EN): </w:t>
      </w:r>
      <w:r>
        <w:t>The high cost and inadequate catalytic performance of IrO</w:t>
      </w:r>
      <w:r>
        <w:rPr>
          <w:vertAlign w:val="subscript"/>
        </w:rPr>
        <w:t>2</w:t>
      </w:r>
      <w:r>
        <w:t>are primary factors hindering the development of proton exchange membrane water electrolyzer (PEMWE). Herein, we propose dual criteria of cohesive energy (</w:t>
      </w:r>
      <w:r>
        <w:t xml:space="preserve"> </w:t>
      </w:r>
      <w:r>
        <w:t>ΔCE</w:t>
      </w:r>
      <w:r>
        <w:t xml:space="preserve"> </w:t>
      </w:r>
      <w:r>
        <w:t>) and atomic radius (</w:t>
      </w:r>
      <w:r>
        <w:t xml:space="preserve"> </w:t>
      </w:r>
      <w:r>
        <w:t>ΔR</w:t>
      </w:r>
      <w:r>
        <w:t xml:space="preserve"> </w:t>
      </w:r>
      <w:r>
        <w:t>) discrepancies between Ir and heteroatoms for guiding the synthesis of ultrafine IrO</w:t>
      </w:r>
      <w:r>
        <w:rPr>
          <w:vertAlign w:val="subscript"/>
        </w:rPr>
        <w:t>2</w:t>
      </w:r>
      <w:r>
        <w:t>‐based solid solutions (M</w:t>
      </w:r>
      <w:r>
        <w:t xml:space="preserve"> </w:t>
      </w:r>
      <w:r>
        <w:t>x</w:t>
      </w:r>
      <w:r>
        <w:t xml:space="preserve"> </w:t>
      </w:r>
      <w:r>
        <w:t>Ir</w:t>
      </w:r>
      <w:r>
        <w:t xml:space="preserve"> </w:t>
      </w:r>
      <w:r>
        <w:t>1−x</w:t>
      </w:r>
      <w:r>
        <w:t xml:space="preserve"> </w:t>
      </w:r>
      <w:r>
        <w:t>O</w:t>
      </w:r>
      <w:r>
        <w:rPr>
          <w:vertAlign w:val="subscript"/>
        </w:rPr>
        <w:t>2</w:t>
      </w:r>
      <w:r>
        <w:t>). Elements of Mo and W with lowest</w:t>
      </w:r>
      <w:r>
        <w:t xml:space="preserve"> </w:t>
      </w:r>
      <w:r>
        <w:t>ΔCE</w:t>
      </w:r>
      <w:r>
        <w:t xml:space="preserve"> </w:t>
      </w:r>
      <w:r>
        <w:t>and</w:t>
      </w:r>
      <w:r>
        <w:t xml:space="preserve"> </w:t>
      </w:r>
      <w:r>
        <w:t>ΔR</w:t>
      </w:r>
      <w:r>
        <w:t xml:space="preserve"> </w:t>
      </w:r>
      <w:r>
        <w:t>exhibit the most facilitated alloying with Ir and minimized particle coarsening, enabling the fabrication of sub‐3 nm M</w:t>
      </w:r>
      <w:r>
        <w:t xml:space="preserve"> </w:t>
      </w:r>
      <w:r>
        <w:t>x</w:t>
      </w:r>
      <w:r>
        <w:t xml:space="preserve"> </w:t>
      </w:r>
      <w:r>
        <w:t>Ir</w:t>
      </w:r>
      <w:r>
        <w:t xml:space="preserve"> </w:t>
      </w:r>
      <w:r>
        <w:t>1−x</w:t>
      </w:r>
      <w:r>
        <w:t xml:space="preserve"> </w:t>
      </w:r>
      <w:r>
        <w:t>O</w:t>
      </w:r>
      <w:r>
        <w:rPr>
          <w:vertAlign w:val="subscript"/>
        </w:rPr>
        <w:t>2</w:t>
      </w:r>
      <w:r>
        <w:t>(x = 33.3%−50%). The extensive Mo substitution in Mo</w:t>
      </w:r>
      <w:r>
        <w:t xml:space="preserve"> </w:t>
      </w:r>
      <w:r>
        <w:t>1/3</w:t>
      </w:r>
      <w:r>
        <w:t xml:space="preserve"> </w:t>
      </w:r>
      <w:r>
        <w:t>Ir</w:t>
      </w:r>
      <w:r>
        <w:t xml:space="preserve"> </w:t>
      </w:r>
      <w:r>
        <w:t>2/3</w:t>
      </w:r>
      <w:r>
        <w:t xml:space="preserve"> </w:t>
      </w:r>
      <w:r>
        <w:t>O</w:t>
      </w:r>
      <w:r>
        <w:rPr>
          <w:vertAlign w:val="subscript"/>
        </w:rPr>
        <w:t>2</w:t>
      </w:r>
      <w:r>
        <w:t>effectively modulates Ir─O covalency and generates abundant Brønsted acid sites as proton acceptors. These factors synergistically accelerate the deprotonation of *OH and *OOH and promote rapid proton transfer, thereby significantly reducing the energy barrier of oxygen evolution reaction (OER) and alleviating the proton accumulation‐induced site poisoning. Resultantly, Mo</w:t>
      </w:r>
      <w:r>
        <w:t xml:space="preserve"> </w:t>
      </w:r>
      <w:r>
        <w:t>1/3</w:t>
      </w:r>
      <w:r>
        <w:t xml:space="preserve"> </w:t>
      </w:r>
      <w:r>
        <w:t>Ir</w:t>
      </w:r>
      <w:r>
        <w:t xml:space="preserve"> </w:t>
      </w:r>
      <w:r>
        <w:t>2/3</w:t>
      </w:r>
      <w:r>
        <w:t xml:space="preserve"> </w:t>
      </w:r>
      <w:r>
        <w:t>O</w:t>
      </w:r>
      <w:r>
        <w:rPr>
          <w:vertAlign w:val="subscript"/>
        </w:rPr>
        <w:t>2</w:t>
      </w:r>
      <w:r>
        <w:t>delivers a low overpotential of 540 mV at 1 A cm</w:t>
      </w:r>
      <w:r>
        <w:t xml:space="preserve"> </w:t>
      </w:r>
      <w:r>
        <w:t>−2</w:t>
      </w:r>
      <w:r>
        <w:t xml:space="preserve"> </w:t>
      </w:r>
      <w:r>
        <w:t>and an excellent stability of 700 h. PEMWE using Mo</w:t>
      </w:r>
      <w:r>
        <w:t xml:space="preserve"> </w:t>
      </w:r>
      <w:r>
        <w:t>1/3</w:t>
      </w:r>
      <w:r>
        <w:t xml:space="preserve"> </w:t>
      </w:r>
      <w:r>
        <w:t>Ir</w:t>
      </w:r>
      <w:r>
        <w:t xml:space="preserve"> </w:t>
      </w:r>
      <w:r>
        <w:t>2/3</w:t>
      </w:r>
      <w:r>
        <w:t xml:space="preserve"> </w:t>
      </w:r>
      <w:r>
        <w:t>O</w:t>
      </w:r>
      <w:r>
        <w:rPr>
          <w:vertAlign w:val="subscript"/>
        </w:rPr>
        <w:t>2</w:t>
      </w:r>
      <w:r>
        <w:t>achieves a high current density of 3 A cm</w:t>
      </w:r>
      <w:r>
        <w:t xml:space="preserve"> </w:t>
      </w:r>
      <w:r>
        <w:t>−2</w:t>
      </w:r>
      <w:r>
        <w:t xml:space="preserve"> </w:t>
      </w:r>
      <w:r>
        <w:t>at 2.26 V and steadily operates at 1 A cm</w:t>
      </w:r>
      <w:r>
        <w:t xml:space="preserve"> </w:t>
      </w:r>
      <w:r>
        <w:t>−2</w:t>
      </w:r>
      <w:r>
        <w:t xml:space="preserve"> </w:t>
      </w:r>
      <w:r>
        <w:t>for 625 h. This work transcends traditional hetero‐element doping paradigm for IrO</w:t>
      </w:r>
      <w:r>
        <w:rPr>
          <w:vertAlign w:val="subscript"/>
        </w:rPr>
        <w:t>2</w:t>
      </w:r>
      <w:r>
        <w:t>modification, offering a new perspective for developing high‐performance and low‐iridium OER catalysts.</w:t>
      </w:r>
    </w:p>
    <w:p>
      <w:pPr>
        <w:spacing w:before="120" w:after="120"/>
      </w:pPr>
      <w:r>
        <w:rPr>
          <w:sz w:val="18"/>
        </w:rPr>
        <w:t>——————————————————————————————————————————————————————————————————————</w:t>
      </w:r>
    </w:p>
    <w:p>
      <w:pPr>
        <w:spacing w:before="160" w:after="40" w:line="240" w:lineRule="auto"/>
      </w:pPr>
      <w:r>
        <w:rPr>
          <w:b/>
        </w:rPr>
        <w:t xml:space="preserve">[13] </w:t>
      </w:r>
      <w:hyperlink r:id="rId362">
        <w:r>
          <w:rPr>
            <w:color w:val="1155CC"/>
            <w:u w:val="single"/>
          </w:rPr>
          <w:t>ZrO2 上反应诱导的表面/次表面铟物种形成，用于增强 CO2 加氢生成甲醇</w:t>
        </w:r>
      </w:hyperlink>
    </w:p>
    <w:p>
      <w:pPr>
        <w:spacing w:before="0" w:after="80"/>
      </w:pPr>
      <w:r>
        <w:rPr>
          <w:i/>
          <w:sz w:val="20"/>
        </w:rPr>
        <w:t>EN: Reaction-induced surface/subsurface indium species formation on ZrO2 for enhanced CO2 hydrogenation to methanol</w:t>
      </w:r>
    </w:p>
    <w:p>
      <w:pPr>
        <w:spacing w:before="0" w:after="120"/>
      </w:pPr>
      <w:r>
        <w:rPr>
          <w:b/>
        </w:rPr>
        <w:t xml:space="preserve">Source: </w:t>
      </w:r>
      <w:r>
        <w:t>Physical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CO2 加氢过程中氧化物催化剂复杂的结构演变为优化催化性能带来了挑战和机遇。这项研究证明了 In2O3 颗粒通过反应诱导转化为 InOx 纳米层和 ZrO2 上的亚表面 In-Zr-O 固溶体（表示为 In-ZrO2@InOx），从而显着提高了甲醇合成效率。在CO2/H2反应条件下，H2还原产生的移动金属In0驱动In2O3重新分散到表面InOx纳米层中，而随后In0和Zr(CO3)2之间的相互扩散导致形成次表面In-Zr-O固溶体。通过精确控制温度、压力和气体成分，我们实现了三种不同 In 物种的最佳分布：In2O3 纳米颗粒、表面 InOx 纳米层和次表面 In-Zr-O 固溶体。工程化的In-ZrO2@InOx催化剂的甲醇时空产率为1.1 gmethanol/gcat/h，并且在300°C下超过600小时具有显着的稳定性。我们的研究结果强调了表面和次表面氧化物在氧化物催化反应中的关键作用，并证明了反应驱动的重组策略对于催化剂优化的有效性。</w:t>
      </w:r>
    </w:p>
    <w:p>
      <w:pPr>
        <w:spacing w:before="0" w:after="200" w:lineRule="auto" w:line="276"/>
      </w:pPr>
      <w:r>
        <w:rPr>
          <w:b/>
        </w:rPr>
        <w:t xml:space="preserve">Abstract (EN): </w:t>
      </w:r>
      <w:r>
        <w:t>The complex structural evolution of oxide catalysts during CO2 hydrogenation presents both challenges and opportunities for optimizing catalytic performance. This study demonstrates reaction-induced transformation of In2O3 particles into InOx nanolayers and subsurface In-Zr-O solid solutions on ZrO2 (denoted as In-ZrO2@InOx), significantly enhancing methanol synthesis efficiency. Under CO2/H2 reaction conditions, mobile metallic In0 generated from H2 reduction drives redispersion of In2O3 into surface InOx nanolayers, while subsequent inter-diffusion between In0 and Zr(CO3)2 leads to the formation of subsurface In–Zr–O solid solutions. Through precise control of temperature, pressure, and gas composition, we achieve optimal distribution of three distinct In species: In2O3 nanoparticles, surface InOx nanolayers, and subsurface In-Zr-O solid solutions. The engineered In-ZrO2@InOx catalyst exhibits a methanol space-time yield of 1.1 gmethanol/gcat/h with remarkable stability over 600 hours at 300 °C. Our findings highlight the crucial role of both surface and subsurface oxide species in oxide-catalyzed reactions and demonstrate the effectiveness of reaction-driven restructuring strategies for catalyst optimization.</w:t>
      </w:r>
    </w:p>
    <w:p>
      <w:pPr>
        <w:spacing w:before="120" w:after="120"/>
      </w:pPr>
      <w:r>
        <w:rPr>
          <w:sz w:val="18"/>
        </w:rPr>
        <w:t>——————————————————————————————————————————————————————————————————————</w:t>
      </w:r>
    </w:p>
    <w:p>
      <w:pPr>
        <w:spacing w:before="160" w:after="40" w:line="240" w:lineRule="auto"/>
      </w:pPr>
      <w:r>
        <w:rPr>
          <w:b/>
        </w:rPr>
        <w:t xml:space="preserve">[14] </w:t>
      </w:r>
      <w:hyperlink r:id="rId363">
        <w:r>
          <w:rPr>
            <w:color w:val="1155CC"/>
            <w:u w:val="single"/>
          </w:rPr>
          <w:t>摆脱氧还原催化中的结垢关系：对 PEM 燃料电池的影响</w:t>
        </w:r>
      </w:hyperlink>
    </w:p>
    <w:p>
      <w:pPr>
        <w:spacing w:before="0" w:after="80"/>
      </w:pPr>
      <w:r>
        <w:rPr>
          <w:i/>
          <w:sz w:val="20"/>
        </w:rPr>
        <w:t>EN: Escaping the Scaling Relationships in Oxygen Reduction Catalysis: Implications for PEM Fuel Cells</w:t>
      </w:r>
    </w:p>
    <w:p>
      <w:pPr>
        <w:spacing w:before="0" w:after="120"/>
      </w:pPr>
      <w:r>
        <w:rPr>
          <w:b/>
        </w:rPr>
        <w:t xml:space="preserve">Source: </w:t>
      </w:r>
      <w:r>
        <w:t>Wiley: Advanced Materials: Table of Contents</w:t>
      </w:r>
      <w:r>
        <w:t xml:space="preserve">    </w:t>
      </w:r>
      <w:r>
        <w:rPr>
          <w:b/>
        </w:rPr>
        <w:t xml:space="preserve">Pub date: </w:t>
      </w:r>
      <w:r>
        <w:t>2026-08-01 10:07:30+00:00</w:t>
      </w:r>
      <w:r>
        <w:t xml:space="preserve">    </w:t>
      </w:r>
      <w:r>
        <w:rPr>
          <w:b/>
        </w:rPr>
        <w:t xml:space="preserve">DOI: </w:t>
      </w:r>
      <w:hyperlink r:id="rId364">
        <w:r>
          <w:rPr>
            <w:color w:val="1155CC"/>
            <w:u w:val="single"/>
          </w:rPr>
          <w:t>10.1002/adma.74321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们对氢经济日益增长的兴趣引发了人们对质子交换膜燃料电池（PEMFC）的新兴趣；然而，铂等贵金属的高成本和供应有限仍然是其广泛使用的主要障碍。主要瓶颈是电化学氧还原反应（ORR），因为其复杂的多中间途径受到基本比例关系的限制，即使是最有效的催化剂也限制了其性能。在此，我们认为界面异质性，整合跨越次表面晶格、化学吸附层和近界面溶剂化体积的对称破缺扰动，为解耦ORR中间体的吸附能量和克服这些线性比例关系提供了机制基础。这一观点批判性地审视了为此目的而采取的最新策略，包括应变工程、原子分散位点、掺杂、界面场效应和限制，这些策略在不同程度上调节中间能量，但在实践中完全的热力学解耦仍然难以实现。因此，我们认为最有希望的前进道路在于整体设计界面，整合晶格、化学吸附和溶剂化作用，而不是孤立地调整任何一个，同时共同优化耐久性和传输动力学，以便将这些机械见解转化为实际的质子交换膜燃料电池。</w:t>
      </w:r>
    </w:p>
    <w:p>
      <w:pPr>
        <w:spacing w:before="0" w:after="200" w:lineRule="auto" w:line="276"/>
      </w:pPr>
      <w:r>
        <w:rPr>
          <w:b/>
        </w:rPr>
        <w:t xml:space="preserve">Abstract (EN): </w:t>
      </w:r>
      <w:r>
        <w:t>The growing interest in the hydrogen economy has sparked renewed interest in proton exchange membrane fuel cells (PEMFCs); however, the high cost and limited supply of noble metals like platinum remain a major obstacle to their widespread use. A primary bottleneck is the electrochemical oxygen reduction reaction (ORR) owing to its complex, multi‐intermediate pathway constrained by fundamental scaling relationships that limit the performance of even the most effective catalysts. Herein, we argue that interfacial heterogeneity, integrating symmetry‐breaking perturbations that span the subsurface lattice, the chemisorption layer, and the near‐interface solvation volume, provides the mechanistic basis for decoupling the adsorption energetics of ORR intermediates and overcoming these linear scaling relationships. This outlook critically examines recent strategies pursued to this end, including strain engineering, atomically dispersed sites, doping, interfacial field effects, and confinement, that modulate intermediate energetics to varying degrees, yet full thermodynamic decoupling remains elusive in practice. We, therefore, contend that the most promising path forward lies in engineering the interface holistically, integrating the lattice, chemisorption, and solvation contributions rather than tuning any one in isolation, while co‐optimizing for durability and transport dynamics in order to translate these mechanistic insights into practical PEMFCs.</w:t>
      </w:r>
    </w:p>
    <w:p>
      <w:pPr>
        <w:spacing w:before="120" w:after="120"/>
      </w:pPr>
      <w:r>
        <w:rPr>
          <w:sz w:val="18"/>
        </w:rPr>
        <w:t>——————————————————————————————————————————————————————————————————————</w:t>
      </w:r>
    </w:p>
    <w:p>
      <w:pPr>
        <w:spacing w:before="160" w:after="40" w:line="240" w:lineRule="auto"/>
      </w:pPr>
      <w:r>
        <w:rPr>
          <w:b/>
        </w:rPr>
        <w:t xml:space="preserve">[15] </w:t>
      </w:r>
      <w:hyperlink r:id="rId365">
        <w:r>
          <w:rPr>
            <w:color w:val="1155CC"/>
            <w:u w:val="single"/>
          </w:rPr>
          <w:t>迈向智能、弹性的绿色制氢：AWE、AEM、PEMWE 和 SOEC 电解系统的数字孪生技术和未来前景</w:t>
        </w:r>
      </w:hyperlink>
    </w:p>
    <w:p>
      <w:pPr>
        <w:spacing w:before="0" w:after="80"/>
      </w:pPr>
      <w:r>
        <w:rPr>
          <w:i/>
          <w:sz w:val="20"/>
        </w:rPr>
        <w:t>EN: Toward intelligent and resilient green hydrogen production: Digital twin technologies for AWE, AEM, PEMWE, and SOEC electrolysis systems and future perspectives</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366">
        <w:r>
          <w:rPr>
            <w:color w:val="1155CC"/>
            <w:u w:val="single"/>
          </w:rPr>
          <w:t>10.1016/j.apenergy.2026.128547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67">
        <w:r>
          <w:rPr>
            <w:color w:val="1155CC"/>
            <w:u w:val="single"/>
          </w:rPr>
          <w:t>通过石墨二炔 Mo-Cu-C=C 界面从硝酸盐废水中可持续合成氨</w:t>
        </w:r>
      </w:hyperlink>
    </w:p>
    <w:p>
      <w:pPr>
        <w:spacing w:before="0" w:after="80"/>
      </w:pPr>
      <w:r>
        <w:rPr>
          <w:i/>
          <w:sz w:val="20"/>
        </w:rPr>
        <w:t>EN: Sustainable ammonia synthesis from nitrate wastewater via graphdiyne Mo–Cu–C≡C interfaces</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使用可再生电力进行电化学绿色氨（NH3）生产是可持续的，但在工业条件下会面临选择性-活性-稳定性的权衡。在这里，我们报告了一种原子界面工程策略，能够在钼-铜氧化物上原位组装和偶联六乙炔基苯，形成 sp 杂化 Mo/Cu-C≡C 异质界面。它具有双d轨道杂化（Mo 4d-C 2p和Cu 3d-C 2p），使N-O键减弱36.85%，活化势垒降低0.43 eV，可逆电子缓冲促进质子耦合电子转移，以及金属原子和-C≡C-原子线之间的自调节电荷补偿，共同赋予高活性和近乎完全的析氢反应抑制。所得催化剂在环境条件下实现了高 NH3 产率（YNH3，2.45 mmol h−1 cm−2）和法拉第效率（~100%）。使用该催化剂运行的原型流动电解槽可在 NH3 浓度为 3.64 mmol h−1 cm−2 的情况下维持 500 mA cm−2 的工业电流密度 300 小时。</w:t>
      </w:r>
    </w:p>
    <w:p>
      <w:pPr>
        <w:spacing w:before="0" w:after="200" w:lineRule="auto" w:line="276"/>
      </w:pPr>
      <w:r>
        <w:rPr>
          <w:b/>
        </w:rPr>
        <w:t xml:space="preserve">Abstract (EN): </w:t>
      </w:r>
      <w:r>
        <w:t>Electrochemical green ammonia (NH3) production using renewable electricity is sustainable but suffers from selectivity-activity-stability trade-off under industrial conditions. Here we report an atomic interface engineering strategy enabling in-situ assembly and coupling of hexaethynylbenzenes on molybdenum-copper oxidesto form an sp-hybridized Mo/Cu-C≡C heterointerface. It features dual d-orbital hybridization (Mo 4d-C 2p and Cu 3d-C 2p) weakening N–O bond by 36.85% and lowering activation barrier by 0.43 eV, reversible electron-buffer facilitating proton-coupled electron transfer, and self-regulated charge compensation between metal atoms and -C≡C- atomic wires, collectively endowing high activity and near-complete hydrogen evolution reaction suppression. The resulting catalyst achieves high NH3 yielding rate (YNH3, 2.45 mmol h−1 cm−2) and Faradaic efficiency (~100%) under ambient conditions. A prototype flow electrolyzer operating with this catalyst sustains industrial-current densities of 500 mA cm−2 for 300 hours with NH3 of 3.64 mmol h−1 cm−2.</w:t>
      </w:r>
    </w:p>
    <w:p>
      <w:pPr>
        <w:spacing w:before="120" w:after="120"/>
      </w:pPr>
      <w:r>
        <w:rPr>
          <w:sz w:val="18"/>
        </w:rPr>
        <w:t>——————————————————————————————————————————————————————————————————————</w:t>
      </w:r>
    </w:p>
    <w:p>
      <w:pPr>
        <w:spacing w:before="160" w:after="40" w:line="240" w:lineRule="auto"/>
      </w:pPr>
      <w:r>
        <w:rPr>
          <w:b/>
        </w:rPr>
        <w:t xml:space="preserve">[17] </w:t>
      </w:r>
      <w:hyperlink r:id="rId368">
        <w:r>
          <w:rPr>
            <w:color w:val="1155CC"/>
            <w:u w:val="single"/>
          </w:rPr>
          <w:t>超低电位肼氧化节能制氢：调节界面OH-动力学实现碱性条件下N2H4的快速脱氢</w:t>
        </w:r>
      </w:hyperlink>
    </w:p>
    <w:p>
      <w:pPr>
        <w:spacing w:before="0" w:after="80"/>
      </w:pPr>
      <w:r>
        <w:rPr>
          <w:i/>
          <w:sz w:val="20"/>
        </w:rPr>
        <w:t>EN: Ultralow-Potential Hydrazine Oxidation for Energy-Saving Hydrogen Production: Regulating Interfacial OH– Dynamics Achieves Fast Dehydrogenation of N2H4 in Alkaline</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369">
        <w:r>
          <w:rPr>
            <w:color w:val="1155CC"/>
            <w:u w:val="single"/>
          </w:rPr>
          <w:t>10.1021/acsami.6c09619</w:t>
        </w:r>
      </w:hyperlink>
    </w:p>
    <w:p>
      <w:pPr>
        <w:spacing w:before="0" w:after="120"/>
      </w:pPr>
      <w:r>
        <w:rPr>
          <w:b/>
        </w:rPr>
        <w:t xml:space="preserve">Notes: </w:t>
      </w:r>
      <w:r>
        <w:t>abstract_source=crossref</w:t>
      </w:r>
    </w:p>
    <w:p>
      <w:pPr>
        <w:spacing w:before="0" w:after="80" w:lineRule="auto" w:line="276"/>
      </w:pPr>
      <w:r>
        <w:rPr>
          <w:b/>
        </w:rPr>
        <w:t xml:space="preserve">摘要（ZH）: </w:t>
      </w:r>
      <w:r>
        <w:t>摘要 联氨辅助水电解为制氢提供了一种有前途的节能途径，但其效率常常受到碱性介质中 OH- 和 N2H4 之间的竞争吸附的阻碍。在这里，我们的目标是调节界面 OH- 动力学以加速肼脱氢。构建了 Ru/WO3/NF 异质结构，其中亲氧性 WO3 作为 OH- 缓冲剂，将羟基物质重新分布到远离 Ru 活性位点的位置，并为 N2H4 吸附和活化创造有利的界面微环境。实验测量和理论计算均证实，该策略在 400 mA cm-2 下将肼氧化电位降低至 0.11 V vs RHE，提供 26 mV dec-1 的塔菲尔斜率，并在 200 mA cm-2 下保持稳定运行 120 小时。当应用于肼辅助整体水分解的膜电极组件中时，仅需 0.548 V 即可达到 200 mA cm–2。这项工作强调了界面 OH- 调节作为高效实用氢气生产的强大设计原则。</w:t>
      </w:r>
    </w:p>
    <w:p>
      <w:pPr>
        <w:spacing w:before="0" w:after="200" w:lineRule="auto" w:line="276"/>
      </w:pPr>
      <w:r>
        <w:rPr>
          <w:b/>
        </w:rPr>
        <w:t xml:space="preserve">Abstract (EN): </w:t>
      </w:r>
      <w:r>
        <w:t>Hydrazine-assisted water electrolysis offers a promising energy-saving route for hydrogen production, yet its efficiency is often hindered by competitive adsorption between OH– and N2H4 in alkaline media. Here, we aim to regulate interfacial OH– dynamics to accelerate hydrazine dehydrogenation. A Ru/WO3/NF heterostructure was constructed, in which oxophilic WO3 acts as an OH– buffer to redistribute hydroxyl species away from Ru active sites and create a favorable interfacial microenvironment for N2H4 adsorption and activation. Both experimental measurements and theoretical calculations confirm that this strategy lowers the hydrazine oxidation potential to 0.11 V vs RHE at 400 mA cm–2, delivers a Tafel slope of 26 mV dec–1, and maintains stable operation for 120 h at 200 mA cm–2. When applied in a membrane electrode assembly for hydrazine-assisted overall water splitting, only 0.548 V is required to reach 200 mA cm–2. This work highlights interfacial OH– regulation as a powerful design principle for efficient and practical hydrogen production.</w:t>
      </w:r>
    </w:p>
    <w:p>
      <w:pPr>
        <w:spacing w:before="120" w:after="120"/>
      </w:pPr>
      <w:r>
        <w:rPr>
          <w:sz w:val="18"/>
        </w:rPr>
        <w:t>——————————————————————————————————————————————————————————————————————</w:t>
      </w:r>
    </w:p>
    <w:p>
      <w:pPr>
        <w:spacing w:before="160" w:after="40" w:line="240" w:lineRule="auto"/>
      </w:pPr>
      <w:r>
        <w:rPr>
          <w:b/>
        </w:rPr>
        <w:t xml:space="preserve">[18] </w:t>
      </w:r>
      <w:hyperlink r:id="rId370">
        <w:r>
          <w:rPr>
            <w:color w:val="1155CC"/>
            <w:u w:val="single"/>
          </w:rPr>
          <w:t>双掺杂 Cs3Bi2Br9 中电子结构调制与自陷激子动力学耦合，实现高效光催化析氢</w:t>
        </w:r>
      </w:hyperlink>
    </w:p>
    <w:p>
      <w:pPr>
        <w:spacing w:before="0" w:after="80"/>
      </w:pPr>
      <w:r>
        <w:rPr>
          <w:i/>
          <w:sz w:val="20"/>
        </w:rPr>
        <w:t>EN: Coupling Electronic Structure Modulation with Self-Trapped Exciton Dynamics in Dual-Doped Cs3Bi2Br9 for Efficient Photocatalytic Hydrogen Evolution</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371">
        <w:r>
          <w:rPr>
            <w:color w:val="1155CC"/>
            <w:u w:val="single"/>
          </w:rPr>
          <w:t>10.1021/acsami.6c08762</w:t>
        </w:r>
      </w:hyperlink>
    </w:p>
    <w:p>
      <w:pPr>
        <w:spacing w:before="0" w:after="120"/>
      </w:pPr>
      <w:r>
        <w:rPr>
          <w:b/>
        </w:rPr>
        <w:t xml:space="preserve">Notes: </w:t>
      </w:r>
      <w:r>
        <w:t>abstract_source=crossref</w:t>
      </w:r>
    </w:p>
    <w:p>
      <w:pPr>
        <w:spacing w:before="0" w:after="80" w:lineRule="auto" w:line="276"/>
      </w:pPr>
      <w:r>
        <w:rPr>
          <w:b/>
        </w:rPr>
        <w:t xml:space="preserve">摘要（ZH）: </w:t>
      </w:r>
      <w:r>
        <w:t>摘要 无铅卤化物钙钛矿由于其低毒性和可调谐的电子结构，作为有前途的光电材料引起了广泛的关注。然而，稳定性差和对激发态调节的理解不足仍然是主要挑战。本文采用协同 Rb+/Sb3+ 共掺杂策略构建了一系列高度稳定的 Cs3Bi2Br9:x%Rb+,25%Sb3+ (x = 3、5、8 和 10) 微晶。结构表征表明共掺杂形成了相对稳定的钙钛矿结构。光谱实验发现，Sb3+取代增强了电子-声子耦合并加强了自陷激子（STE）的形成，而Rb+改变了STE弛豫动力学并抑制了辐射复合，从而提高了载流子利用效率。飞秒瞬态吸收（fs-TA）表明受控的激发态演化和增强的电荷转移特性。因此，Cs3Bi2Br9:x%Rb+,25%Sb3+的析氢速率达到了144 μmol·g−1 h−1，是原始Cs3Bi2Br9的5.8倍，而添加Pt后，由于加速的电荷分离和质子还原，该速率进一步提高到393 μmol·g−1 h−1。本文提出了结构-激发态-功能关系，并展示了如何通过激子工程优化无铅钙钛矿中的光催化析氢。</w:t>
      </w:r>
    </w:p>
    <w:p>
      <w:pPr>
        <w:spacing w:before="0" w:after="200" w:lineRule="auto" w:line="276"/>
      </w:pPr>
      <w:r>
        <w:rPr>
          <w:b/>
        </w:rPr>
        <w:t xml:space="preserve">Abstract (EN): </w:t>
      </w:r>
      <w:r>
        <w:t>Lead-free halide perovskites have attracted considerable attention as promising optoelectronic materials owing to their low toxicity and tunable electronic structures. However, poor stability and an insufficient understanding of excited-state regulation remain major challenges. A synergistic Rb+/Sb3+ codoping strategy is employed here to construct a series of highly stable Cs3Bi2Br9:x%Rb+,25%Sb3+ (x = 3, 5, 8, and 10) microcrystals. Structural characterization has shown that codoping forms a relatively stable perovskite structure. Spectroscopic experiments have identified that Sb3+ substitution enhances electron–phonon coupling and strengthens the formation of self-trapped excitons (STEs), and Rb+ modifies STE relaxation dynamics and suppresses radiative recombination to improve carrier utilization efficiency. Femtosecond transient absorption (fs-TA) indicates controlled excited-state evolution and enhanced charge-transfer characteristics. Therefore, Cs3Bi2Br9:x%Rb+,25%Sb3+ has achieved a hydrogen evolution rate of 144 μmol·g−1 h−1, which is 5.8 times higher than that of pristine Cs3Bi2Br9, and after adding Pt, this rate further increased to 393 μmol·g−1 h−1 due to accelerated charge separation and proton reduction. This paper proposes a structure-excited state-function relationship and shows how to optimize photocatalytic hydrogen evolution in lead-free perovskites by exciton engineering.</w:t>
      </w:r>
    </w:p>
    <w:p>
      <w:pPr>
        <w:spacing w:before="120" w:after="120"/>
      </w:pPr>
      <w:r>
        <w:rPr>
          <w:sz w:val="18"/>
        </w:rPr>
        <w:t>——————————————————————————————————————————————————————————————————————</w:t>
      </w:r>
    </w:p>
    <w:p>
      <w:pPr>
        <w:spacing w:before="160" w:after="40" w:line="240" w:lineRule="auto"/>
      </w:pPr>
      <w:r>
        <w:rPr>
          <w:b/>
        </w:rPr>
        <w:t xml:space="preserve">[19] </w:t>
      </w:r>
      <w:hyperlink r:id="rId372">
        <w:r>
          <w:rPr>
            <w:color w:val="1155CC"/>
            <w:u w:val="single"/>
          </w:rPr>
          <w:t>定制轴向双原子协同作用以协调级联碱性析氢</w:t>
        </w:r>
      </w:hyperlink>
    </w:p>
    <w:p>
      <w:pPr>
        <w:spacing w:before="0" w:after="80"/>
      </w:pPr>
      <w:r>
        <w:rPr>
          <w:i/>
          <w:sz w:val="20"/>
        </w:rPr>
        <w:t>EN: Customizing Axially‐Oriented Dual‐Atomic Synergy for Orchestrating Cascade Alkaline Hydrogen Evolution</w:t>
      </w:r>
    </w:p>
    <w:p>
      <w:pPr>
        <w:spacing w:before="0" w:after="120"/>
      </w:pPr>
      <w:r>
        <w:rPr>
          <w:b/>
        </w:rPr>
        <w:t xml:space="preserve">Source: </w:t>
      </w:r>
      <w:r>
        <w:t>Wiley: Advanced Materials: Table of Contents</w:t>
      </w:r>
      <w:r>
        <w:t xml:space="preserve">    </w:t>
      </w:r>
      <w:r>
        <w:rPr>
          <w:b/>
        </w:rPr>
        <w:t xml:space="preserve">Pub date: </w:t>
      </w:r>
      <w:r>
        <w:t>2026-08-03 09:50:28+00:00</w:t>
      </w:r>
      <w:r>
        <w:t xml:space="preserve">    </w:t>
      </w:r>
      <w:r>
        <w:rPr>
          <w:b/>
        </w:rPr>
        <w:t xml:space="preserve">DOI: </w:t>
      </w:r>
      <w:hyperlink r:id="rId373">
        <w:r>
          <w:rPr>
            <w:color w:val="1155CC"/>
            <w:u w:val="single"/>
          </w:rPr>
          <w:t>10.1002/adma.74458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原子尺度上协同几何和电子相互作用的全面协调是克服多步电化学过程中固有的级联动力学瓶颈的基础。在这里，定制了轴向导向的硫桥杂原子基序（Ru─S─Co），以在整个碱性析氢反应（HER）中实现协同调节。顶部的 Ru 原子是为了增强水捕获而设计的，底部插入的 Co 原子在晶格中激活中间的 S 原子，以平衡氢的吸附-解吸。这种定制的多位点协同作用显着降低了决定速率的水分裂步骤的能量障碍。在该改性界面上，反应性游离水的比例升高，以促进碱性 HER 引发。此外，沿双原子桥本质上不对称的电荷分布增强了 HER 过程中的电荷转移，并且突出的轨道耦合导致 Ru 的上移。</w:t>
      </w:r>
      <w:r>
        <w:t xml:space="preserve"> </w:t>
      </w:r>
      <w:r>
        <w:t>d</w:t>
      </w:r>
      <w:r>
        <w:t xml:space="preserve"> </w:t>
      </w:r>
      <w:r>
        <w:t>－能带中心以及费米能级周围 S p 轨道中状态密度的增加，进一步增强了 Ru-S 双位点活性。采用该催化剂作为阴极，阴离子交换膜电解槽可保持1000 mA cm的工业电流密度</w:t>
      </w:r>
      <w:r>
        <w:t xml:space="preserve"> </w:t>
      </w:r>
      <w:r>
        <w:t>−2</w:t>
      </w:r>
      <w:r>
        <w:t xml:space="preserve"> </w:t>
      </w:r>
      <w:r>
        <w:t>在 1.79 V 的小电压下，长期稳定性测试后性能衰减可以忽略不计。这项工作提供了对原子尺度协同作用的精确定制以实现动力学的有效管理的见解。</w:t>
      </w:r>
    </w:p>
    <w:p>
      <w:pPr>
        <w:spacing w:before="0" w:after="200" w:lineRule="auto" w:line="276"/>
      </w:pPr>
      <w:r>
        <w:rPr>
          <w:b/>
        </w:rPr>
        <w:t xml:space="preserve">Abstract (EN): </w:t>
      </w:r>
      <w:r>
        <w:t>The full orchestration of synergistic geometric and electronic interaction at atomic scale is fundamental to surmounting cascade kinetic bottlenecks inherent in multistep electrochemical processes. Here, an axially‐oriented, sulfur‐bridged hetero‐atomic motif (Ru─S─Co) is customized to achieve synergistic regulation throughout alkaline hydrogen evolution reaction (HER). The top‐positioned Ru atoms are tailored for enhanced water capture, and the bottom‐inserted Co atoms in lattice activate middle S atoms for balanced hydrogen adsorption–desorption. This customized multi‐site synergy conspicuously lowers the energy barrier for rate‐determining water scission step. The proportion of reactive free water is elevated on this modified interface to prompt alkaline HER initiation. Furthermore, the intrinsically asymmetric charge distribution along the dual‐atom bridge enhances charge transfer during HER, and the prominent orbital coupling induces an upshift in the Ru</w:t>
      </w:r>
      <w:r>
        <w:t xml:space="preserve"> </w:t>
      </w:r>
      <w:r>
        <w:t>d</w:t>
      </w:r>
      <w:r>
        <w:t xml:space="preserve"> </w:t>
      </w:r>
      <w:r>
        <w:t>‐band center together with increased density of states in S p‐orbitals around the Fermi level, further augmenting Ru‐S dual‐site activity. With this catalyst adopted as cathode, the anion‐exchange‐membrane electrolysis cell maintains an industrial current density of 1000 mA cm</w:t>
      </w:r>
      <w:r>
        <w:t xml:space="preserve"> </w:t>
      </w:r>
      <w:r>
        <w:t>−2</w:t>
      </w:r>
      <w:r>
        <w:t xml:space="preserve"> </w:t>
      </w:r>
      <w:r>
        <w:t>at a small voltage of 1.79 V with negligible performance decay after long‐term stability test. This work provides insights into precise customization of atomic‐scale synergy toward effective management of kinetically mismatched multisteps in HER‐related energy conversion.</w:t>
      </w:r>
    </w:p>
    <w:p>
      <w:pPr>
        <w:spacing w:before="120" w:after="120"/>
      </w:pPr>
      <w:r>
        <w:rPr>
          <w:sz w:val="18"/>
        </w:rPr>
        <w:t>——————————————————————————————————————————————————————————————————————</w:t>
      </w:r>
    </w:p>
    <w:p>
      <w:pPr>
        <w:spacing w:before="160" w:after="40" w:line="240" w:lineRule="auto"/>
      </w:pPr>
      <w:r>
        <w:rPr>
          <w:b/>
        </w:rPr>
        <w:t xml:space="preserve">[20] </w:t>
      </w:r>
      <w:hyperlink r:id="rId374">
        <w:r>
          <w:rPr>
            <w:color w:val="1155CC"/>
            <w:u w:val="single"/>
          </w:rPr>
          <w:t>用于大规模光化学制氢的超快速传质系统，采用约 100% 验证的微盆</w:t>
        </w:r>
      </w:hyperlink>
    </w:p>
    <w:p>
      <w:pPr>
        <w:spacing w:before="0" w:after="80"/>
      </w:pPr>
      <w:r>
        <w:rPr>
          <w:i/>
          <w:sz w:val="20"/>
        </w:rPr>
        <w:t>EN: Ultra‐Fast Mass Transfer System by ∼100% Validated Micro‐Basins for Large‐Scale Photochemical Hydrogen Production</w:t>
      </w:r>
    </w:p>
    <w:p>
      <w:pPr>
        <w:spacing w:before="0" w:after="120"/>
      </w:pPr>
      <w:r>
        <w:rPr>
          <w:b/>
        </w:rPr>
        <w:t xml:space="preserve">Source: </w:t>
      </w:r>
      <w:r>
        <w:t>Wiley: Advanced Materials: Table of Contents</w:t>
      </w:r>
      <w:r>
        <w:t xml:space="preserve">    </w:t>
      </w:r>
      <w:r>
        <w:rPr>
          <w:b/>
        </w:rPr>
        <w:t xml:space="preserve">Pub date: </w:t>
      </w:r>
      <w:r>
        <w:t>2026-08-03 09:57:19+00:00</w:t>
      </w:r>
      <w:r>
        <w:t xml:space="preserve">    </w:t>
      </w:r>
      <w:r>
        <w:rPr>
          <w:b/>
        </w:rPr>
        <w:t xml:space="preserve">DOI: </w:t>
      </w:r>
      <w:hyperlink r:id="rId375">
        <w:r>
          <w:rPr>
            <w:color w:val="1155CC"/>
            <w:u w:val="single"/>
          </w:rPr>
          <w:t>10.1002/adma.74456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环境友好的光催化实现大规模、高效、可持续的制氢不仅需要有效的传质，还需要优异的运行稳定性。传统的颗粒光催化剂系统在传质方面存在固有的局限性，例如无序的载流子迁移和不受控制的气泡演化，这些都阻碍了氢气的生产效率。在这里，我们提出了一种用于大规模光化学制氢的新的传质策略，该策略有效地克服了固有的传输限制，并通过聚结诱导的跳跃机制实现了超快的氢气泡分离。通过合理设计集成了金属助催化剂微盆阵列的隧道结光化学二极管，我们实现了表面催化位点近100%的活化，从而促进了载流子的定向传输和气泡的快速演化。该设计提供令人印象深刻的 177.53 µmol h 的氢气生产率</w:t>
      </w:r>
      <w:r>
        <w:t xml:space="preserve"> </w:t>
      </w:r>
      <w:r>
        <w:t>−1</w:t>
      </w:r>
      <w:r>
        <w:t xml:space="preserve"> </w:t>
      </w:r>
      <w:r>
        <w:t>厘米</w:t>
      </w:r>
      <w:r>
        <w:t xml:space="preserve"> </w:t>
      </w:r>
      <w:r>
        <w:t>−2</w:t>
      </w:r>
      <w:r>
        <w:t xml:space="preserve"> </w:t>
      </w:r>
      <w:r>
        <w:t>420 nm 照明下的表观量子产率为 70.7%。成功演示了具有高产氢率的室外太阳能驱动光催化反应器（25 cm × 25 cm），验证了全尺寸光催化剂系统的性能。这项工作展示了大规模氮化镓基光化学制氢系统，并为未来的发展提供了有用的结构设计策略</w:t>
      </w:r>
    </w:p>
    <w:p>
      <w:pPr>
        <w:spacing w:before="0" w:after="200" w:lineRule="auto" w:line="276"/>
      </w:pPr>
      <w:r>
        <w:rPr>
          <w:b/>
        </w:rPr>
        <w:t xml:space="preserve">Abstract (EN): </w:t>
      </w:r>
      <w:r>
        <w:t>Achieving large‐scale, efficient, and sustainable hydrogen production via environmentally friendly photocatalysis requires not only effective mass transfer but also excellent operational stability. Conventional particulate photocatalyst systems suffer from inherent limitations in mass transfer, such as disordered charge carrier migration and uncontrolled gas bubble evolution, which collectively hinder hydrogen production efficiency. Here, we present a new mass transfer strategy for large‐scale photochemical hydrogen production, which effectively overcomes intrinsic transport limitations and enables ultra‐fast hydrogen bubble detachment by a coalescence‐induced jumping mechanism. By rationally designing a tunnel‐junction photochemical diode integrated with a micro‐basin array of metallic cocatalysts, we achieved nearly 100% activation of surface catalytic sites, thereby promoting directional charge carrier transport and rapid gas bubble evolution. This design delivers an impressive hydrogen production rate of 177.53 µmol h</w:t>
      </w:r>
      <w:r>
        <w:t xml:space="preserve"> </w:t>
      </w:r>
      <w:r>
        <w:t>−1</w:t>
      </w:r>
      <w:r>
        <w:t xml:space="preserve"> </w:t>
      </w:r>
      <w:r>
        <w:t>cm</w:t>
      </w:r>
      <w:r>
        <w:t xml:space="preserve"> </w:t>
      </w:r>
      <w:r>
        <w:t>−2</w:t>
      </w:r>
      <w:r>
        <w:t xml:space="preserve"> </w:t>
      </w:r>
      <w:r>
        <w:t>and an apparent quantum yield of 70.7% under 420 nm illumination. An outdoor solar‐driven photocatalytic reactor (25 cm × 25 cm) with a high hydrogen production rate was successfully demonstrated, validating the performance of a full‐scale photocatalyst system. This work demonstrates a large‐scale GaN‐based photochemical hydrogen‐production system and provides a useful structural design strategy for the future development of solar hydrogen‐generation technologies.</w:t>
      </w:r>
    </w:p>
    <w:p>
      <w:pPr>
        <w:spacing w:before="120" w:after="120"/>
      </w:pPr>
      <w:r>
        <w:rPr>
          <w:sz w:val="18"/>
        </w:rPr>
        <w:t>——————————————————————————————————————————————————————————————————————</w:t>
      </w:r>
    </w:p>
    <w:p>
      <w:pPr>
        <w:spacing w:before="160" w:after="40" w:line="240" w:lineRule="auto"/>
      </w:pPr>
      <w:r>
        <w:rPr>
          <w:b/>
        </w:rPr>
        <w:t xml:space="preserve">[21] </w:t>
      </w:r>
      <w:hyperlink r:id="rId376">
        <w:r>
          <w:rPr>
            <w:color w:val="1155CC"/>
            <w:u w:val="single"/>
          </w:rPr>
          <w:t>Ir─O─Ru 界面协同作用导致安培级析氢的氢溢出</w:t>
        </w:r>
      </w:hyperlink>
    </w:p>
    <w:p>
      <w:pPr>
        <w:spacing w:before="0" w:after="80"/>
      </w:pPr>
      <w:r>
        <w:rPr>
          <w:i/>
          <w:sz w:val="20"/>
        </w:rPr>
        <w:t>EN: Hydrogen Spillover by Synergy at Ir─O─Ru Interfaces for Ampere‐Level Hydrogen Evolution</w:t>
      </w:r>
    </w:p>
    <w:p>
      <w:pPr>
        <w:spacing w:before="0" w:after="120"/>
      </w:pPr>
      <w:r>
        <w:rPr>
          <w:b/>
        </w:rPr>
        <w:t xml:space="preserve">Source: </w:t>
      </w:r>
      <w:r>
        <w:t>Wiley: Advanced Materials: Table of Contents</w:t>
      </w:r>
      <w:r>
        <w:t xml:space="preserve">    </w:t>
      </w:r>
      <w:r>
        <w:rPr>
          <w:b/>
        </w:rPr>
        <w:t xml:space="preserve">Pub date: </w:t>
      </w:r>
      <w:r>
        <w:t>2026-08-03 13:41:44+00:00</w:t>
      </w:r>
      <w:r>
        <w:t xml:space="preserve">    </w:t>
      </w:r>
      <w:r>
        <w:rPr>
          <w:b/>
        </w:rPr>
        <w:t xml:space="preserve">DOI: </w:t>
      </w:r>
      <w:hyperlink r:id="rId377">
        <w:r>
          <w:rPr>
            <w:color w:val="1155CC"/>
            <w:u w:val="single"/>
          </w:rPr>
          <w:t>10.1002/adma.74431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通过碱性水电解实现工业规模制氢需要能够维持安培级电流密度的电催化剂，但缓慢的 Volmer 步骤仍然是一个基本的动力学瓶颈。在这项研究中，我们报道了一种表面微环境工程催化剂，其中原子分散的铱原子通过与表面─OH基团和缺陷氧位点的配位选择性地修饰在钌纳米粒子上，形成电子耦合的Ir─O─Ru界面系综。基于Ir─O─Ru界面模型的密度泛函理论计算揭示了一种协同氢溢出机制，其中正极化的Ir─O微环境促进H</w:t>
      </w:r>
      <w:r>
        <w:rPr>
          <w:vertAlign w:val="subscript"/>
        </w:rPr>
        <w:t>2</w:t>
      </w:r>
      <w:r>
        <w:t>O 激活，而电子调谐的相邻 Ru 位点容纳溢出的 H* 并驱动 H─H 耦合，从而将速率决定势垒降低至 0.19 eV。结果，催化剂达到1.0 A cm</w:t>
      </w:r>
      <w:r>
        <w:t xml:space="preserve"> </w:t>
      </w:r>
      <w:r>
        <w:t>−2</w:t>
      </w:r>
      <w:r>
        <w:t xml:space="preserve"> </w:t>
      </w:r>
      <w:r>
        <w:t>在 1.0 M KOH 中的过电势为 103 mV，并表现出出色的耐久性（1.0 A cm 下 3038 小时）</w:t>
      </w:r>
      <w:r>
        <w:t xml:space="preserve"> </w:t>
      </w:r>
      <w:r>
        <w:t>−2</w:t>
      </w:r>
      <w:r>
        <w:t xml:space="preserve"> </w:t>
      </w:r>
      <w:r>
        <w:t>; 2.0 A cm 时 1593 小时</w:t>
      </w:r>
      <w:r>
        <w:t xml:space="preserve"> </w:t>
      </w:r>
      <w:r>
        <w:t>−2</w:t>
      </w:r>
      <w:r>
        <w:t xml:space="preserve"> </w:t>
      </w:r>
      <w:r>
        <w:t>）。它进一步在碱性海水中保持稳定运行（1.0 A cm 下 1427 小时）</w:t>
      </w:r>
      <w:r>
        <w:t xml:space="preserve"> </w:t>
      </w:r>
      <w:r>
        <w:t>−2</w:t>
      </w:r>
      <w:r>
        <w:t xml:space="preserve"> </w:t>
      </w:r>
      <w:r>
        <w:t>）和阴离子交换膜电解槽（80°C 下 910 小时）。这些发现表明单原子表面修饰可以有效地重新配置界面反应路径，提供有效的</w:t>
      </w:r>
    </w:p>
    <w:p>
      <w:pPr>
        <w:spacing w:before="0" w:after="200" w:lineRule="auto" w:line="276"/>
      </w:pPr>
      <w:r>
        <w:rPr>
          <w:b/>
        </w:rPr>
        <w:t xml:space="preserve">Abstract (EN): </w:t>
      </w:r>
      <w:r>
        <w:t>Industrial‐scale hydrogen production via alkaline water electrolysis requires electrocatalysts capable of sustaining ampere‐level current densities, yet the sluggish Volmer step remains a fundamental kinetic bottleneck. In this study, we report a surface‐microenvironment engineered catalyst in which atomically dispersed iridium atoms are selectively decorated on ruthenium nanoparticles through coordination with surface ─OH groups and defect oxygen sites, forming electronically coupled Ir─O─Ru interfacial ensembles. Density functional theory calculations based on the Ir─O─Ru interfacial model reveal a cooperative hydrogen‐spillover mechanism, in which the positively polarized Ir─O microenvironment promotes H</w:t>
      </w:r>
      <w:r>
        <w:rPr>
          <w:vertAlign w:val="subscript"/>
        </w:rPr>
        <w:t>2</w:t>
      </w:r>
      <w:r>
        <w:t>O activation, while the electronically tuned adjacent Ru sites accommodate the spilled‐over H* and drive the H─H coupling, thereby reducing the rate‐determining barrier to 0.19 eV. As a result, the catalyst achieves 1.0 A cm</w:t>
      </w:r>
      <w:r>
        <w:t xml:space="preserve"> </w:t>
      </w:r>
      <w:r>
        <w:t>−2</w:t>
      </w:r>
      <w:r>
        <w:t xml:space="preserve"> </w:t>
      </w:r>
      <w:r>
        <w:t>at an overpotential of 103 mV in 1.0 M KOH and shows outstanding durability (3038 h at 1.0 A cm</w:t>
      </w:r>
      <w:r>
        <w:t xml:space="preserve"> </w:t>
      </w:r>
      <w:r>
        <w:t>−2</w:t>
      </w:r>
      <w:r>
        <w:t xml:space="preserve"> </w:t>
      </w:r>
      <w:r>
        <w:t>; 1593 h at 2.0 A cm</w:t>
      </w:r>
      <w:r>
        <w:t xml:space="preserve"> </w:t>
      </w:r>
      <w:r>
        <w:t>−2</w:t>
      </w:r>
      <w:r>
        <w:t xml:space="preserve"> </w:t>
      </w:r>
      <w:r>
        <w:t>). It further maintains stable operation in alkaline seawater (1427 h at 1.0 A cm</w:t>
      </w:r>
      <w:r>
        <w:t xml:space="preserve"> </w:t>
      </w:r>
      <w:r>
        <w:t>−2</w:t>
      </w:r>
      <w:r>
        <w:t xml:space="preserve"> </w:t>
      </w:r>
      <w:r>
        <w:t>) and anion‐exchange‐membrane electrolyzer (910 h at 80°C). These findings demonstrate that single‐atom surface decoration can effectively reconfigure interfacial reaction pathways, providing an efficient strategy for high‐flux alkaline hydrogen evolution.</w:t>
      </w:r>
    </w:p>
    <w:p>
      <w:pPr>
        <w:spacing w:before="120" w:after="120"/>
      </w:pPr>
      <w:r>
        <w:rPr>
          <w:sz w:val="18"/>
        </w:rPr>
        <w:t>——————————————————————————————————————————————————————————————————————</w:t>
      </w:r>
    </w:p>
    <w:p>
      <w:pPr>
        <w:spacing w:before="160" w:after="40" w:line="240" w:lineRule="auto"/>
      </w:pPr>
      <w:r>
        <w:rPr>
          <w:b/>
        </w:rPr>
        <w:t xml:space="preserve">[22] </w:t>
      </w:r>
      <w:hyperlink r:id="rId378">
        <w:r>
          <w:rPr>
            <w:color w:val="1155CC"/>
            <w:u w:val="single"/>
          </w:rPr>
          <w:t>极化金属氮化物固溶体作为电催化剂实现安培级选择性甲酸合成</w:t>
        </w:r>
      </w:hyperlink>
    </w:p>
    <w:p>
      <w:pPr>
        <w:spacing w:before="0" w:after="80"/>
      </w:pPr>
      <w:r>
        <w:rPr>
          <w:i/>
          <w:sz w:val="20"/>
        </w:rPr>
        <w:t>EN: Polarized Metal Nitride Solid Solutions as Electrocatalysts Enabling Ampere-Level Selective Formic Acid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379">
        <w:r>
          <w:rPr>
            <w:color w:val="1155CC"/>
            <w:u w:val="single"/>
          </w:rPr>
          <w:t>10.1021/jacs.6c10367</w:t>
        </w:r>
      </w:hyperlink>
    </w:p>
    <w:p>
      <w:pPr>
        <w:spacing w:before="0" w:after="120"/>
      </w:pPr>
      <w:r>
        <w:rPr>
          <w:b/>
        </w:rPr>
        <w:t xml:space="preserve">Notes: </w:t>
      </w:r>
      <w:r>
        <w:t>abstract_source=crossref</w:t>
      </w:r>
    </w:p>
    <w:p>
      <w:pPr>
        <w:spacing w:before="0" w:after="80" w:lineRule="auto" w:line="276"/>
      </w:pPr>
      <w:r>
        <w:rPr>
          <w:b/>
        </w:rPr>
        <w:t xml:space="preserve">摘要（ZH）: </w:t>
      </w:r>
      <w:r>
        <w:t>摘要 甲酸（FA）是生物质电氧化过程中重要的增值产品，也是一种有效的液体燃料和氢载体。然而，实现高效的工业规模合成和持久的析氢仍然具有挑战性。在这里，我们报道了一种单相 NiCoN 固溶体金属氮化物催化剂，其中原子级 Co 的掺入诱导了具有电子极化活性位点的对称性破坏的 Ni-N-Co 配位环境。这种结构调节驱动界面转变为金属氧（氢）氧化物物质，并优化相关中间体的吸附能。这些变化加速了脱氢动力学并降低了 C-C 键断裂的能垒，从而引导反应途径选择性逐步氧化为 FA。最佳的 NiCoN 催化剂可实现 97.2% 的 FA 法拉第效率，并在阴离子交换膜 (AEM) 电解槽中以 1 A cm-2 的电流维持超过 3,600 小时的运行，这是甘油辅助耦合系统报道的最长寿命之一。这项工作将原子级固溶体工程确立为调节生物质电化学转化催化途径和长期界面稳定性的有效方法。</w:t>
      </w:r>
    </w:p>
    <w:p>
      <w:pPr>
        <w:spacing w:before="0" w:after="200" w:lineRule="auto" w:line="276"/>
      </w:pPr>
      <w:r>
        <w:rPr>
          <w:b/>
        </w:rPr>
        <w:t xml:space="preserve">Abstract (EN): </w:t>
      </w:r>
      <w:r>
        <w:t>Formic acid (FA) is an important value-added product in biomass electrooxidation and an effective liquid fuel and hydrogen carrier. However, achieving its efficient industrial-scale synthesis with durable hydrogen evolution remains challenging. Here, we report a single-phase NiCoN solid-solution metal nitride catalyst, in which atomic-level Co incorporation induces symmetry-breaking Ni–N–Co coordination environments with electronically polarized active sites. This structural modulation drives the interfacial transformation into metal oxy(hydro)xide species and optimizes the adsorption energies of relevant intermediates. These changes accelerate dehydrogenation kinetics and lower the energy barrier for C–C bond cleavage, thereby directing the reaction pathway toward selective stepwise oxidation to FA. The optimal NiCoN catalyst achieves a FA Faradaic efficiency of 97.2% and sustains over 3,600 h of operation at 1 A cm–2 in an anion-exchange membrane (AEM) electrolyzer, representing one of the longest reported lifetimes for a glycerol-assisted coupled system. This work establishes atomic-scale solid-solution engineering as an effective approach to regulate catalytic pathways and long-term interfacial stability for biomass electrochemical conversion.</w:t>
      </w:r>
    </w:p>
    <w:p>
      <w:pPr>
        <w:spacing w:before="120" w:after="120"/>
      </w:pPr>
      <w:r>
        <w:rPr>
          <w:sz w:val="18"/>
        </w:rPr>
        <w:t>——————————————————————————————————————————————————————————————————————</w:t>
      </w:r>
    </w:p>
    <w:p>
      <w:pPr>
        <w:spacing w:before="160" w:after="40" w:line="240" w:lineRule="auto"/>
      </w:pPr>
      <w:r>
        <w:rPr>
          <w:b/>
        </w:rPr>
        <w:t xml:space="preserve">[23] </w:t>
      </w:r>
      <w:hyperlink r:id="rId380">
        <w:r>
          <w:rPr>
            <w:color w:val="1155CC"/>
            <w:u w:val="single"/>
          </w:rPr>
          <w:t>了解氢技术的全球社会接受度：来自国际调查的信任、采用障碍和政策见解</w:t>
        </w:r>
      </w:hyperlink>
    </w:p>
    <w:p>
      <w:pPr>
        <w:spacing w:before="0" w:after="80"/>
      </w:pPr>
      <w:r>
        <w:rPr>
          <w:i/>
          <w:sz w:val="20"/>
        </w:rPr>
        <w:t>EN: Understanding global social acceptance of hydrogen technologies: trust, adoption barriers, and policy insights from an international survey</w:t>
      </w:r>
    </w:p>
    <w:p>
      <w:pPr>
        <w:spacing w:before="0" w:after="120"/>
      </w:pPr>
      <w:r>
        <w:rPr>
          <w:b/>
        </w:rPr>
        <w:t xml:space="preserve">Source: </w:t>
      </w:r>
      <w:r>
        <w:t>ScienceDirect Publication: Applied Energy</w:t>
      </w:r>
      <w:r>
        <w:t xml:space="preserve">    </w:t>
      </w:r>
      <w:r>
        <w:rPr>
          <w:b/>
        </w:rPr>
        <w:t xml:space="preserve">Pub date: </w:t>
      </w:r>
      <w:r>
        <w:t>2026-08-04 00:00:00+00:00</w:t>
      </w:r>
      <w:r>
        <w:t xml:space="preserve">    </w:t>
      </w:r>
      <w:r>
        <w:rPr>
          <w:b/>
        </w:rPr>
        <w:t xml:space="preserve">DOI: </w:t>
      </w:r>
      <w:hyperlink r:id="rId381">
        <w:r>
          <w:rPr>
            <w:color w:val="1155CC"/>
            <w:u w:val="single"/>
          </w:rPr>
          <w:t>10.1016/j.apenergy.2026.128553</w:t>
        </w:r>
      </w:hyperlink>
    </w:p>
    <w:p>
      <w:pPr>
        <w:spacing w:before="0" w:after="120"/>
      </w:pPr>
      <w:r>
        <w:rPr>
          <w:b/>
        </w:rPr>
        <w:t xml:space="preserve">Notes: </w:t>
      </w:r>
      <w:r>
        <w:t>abstract_source=openalex</w:t>
      </w:r>
    </w:p>
    <w:p>
      <w:pPr>
        <w:spacing w:before="0" w:after="80" w:lineRule="auto" w:line="276"/>
      </w:pPr>
      <w:r>
        <w:rPr>
          <w:b/>
        </w:rPr>
        <w:t xml:space="preserve">摘要（ZH）: </w:t>
      </w:r>
      <w:r>
        <w:t>氢越来越被认为是一种重要的能源载体，具有支持能源安全和减缓气候变化的潜力。尽管技术经济和环境方面得到了充分研究，但氢部署的社会层面仍然相对不足。本研究通过对 1000 多名受访者进行的国际调查来解决这一差距，提供有关影响公众接受氢技术的因素的全球见解。该调查涵盖人口特征、一般意识以及对特定氢应用的看法。结果表明，大学和研究中心是最值得信赖的信息来源，强调了科研机构在塑造公众理解方面的关键作用。氢技术通常被认为是安全的；然而，接受程度很大程度上受到可靠信息和公众意识的影响。经济因素成为关键驱动因素，受访者表示经济激励将显着提高采用意愿。氢作为化学原料和可再生能源储存等应用最受青睐，这反映了它们更高的技术成熟度和政策支持。总体而言，研究结果表明，信任和经济考虑，而不是安全问题，是氢接受的主要决定因素。这凸显了将社会认知指标纳入能源规划的必要性，并使氢能政策与有效的沟通策略和有针对性的经济支持保持一致。</w:t>
      </w:r>
    </w:p>
    <w:p>
      <w:pPr>
        <w:spacing w:before="0" w:after="200" w:lineRule="auto" w:line="276"/>
      </w:pPr>
      <w:r>
        <w:rPr>
          <w:b/>
        </w:rPr>
        <w:t xml:space="preserve">Abstract (EN): </w:t>
      </w:r>
      <w:r>
        <w:t>Hydrogen is increasingly recognized as a key energy carrier with potential to support energy security and climate mitigation. While techno-economic and environmental aspects are well studied, the social dimension of hydrogen deployment remains comparatively underexplored. This study addresses this gap through an international survey of more than 1000 respondents, providing global insights into the factors shaping public acceptance of hydrogen technologies. The survey covers demographic characteristics, general awareness, and perceptions of specific hydrogen applications. The results show that universities and research centers are the most trusted sources of information, emphasizing the critical role of scientific institutions in shaping public understanding. Hydrogen technologies are generally perceived as safe; however, acceptance is strongly influenced by access to reliable information and public awareness. Economic factors emerge as a key driver, with respondents indicating that financial incentives would significantly increase adoption willingness. Applications such as hydrogen use as a chemical feedstock and for renewable energy storage are viewed most favorably, reflecting their higher technological maturity and policy support. Overall, the findings demonstrate that trust and economic considerations, rather than safety concerns, are the main determinants of hydrogen acceptance. This highlights the need to integrate social-perception indicators into energy planning and to align hydrogen policies with effective communication strategies and targeted economic support.</w:t>
      </w:r>
    </w:p>
    <w:p>
      <w:pPr>
        <w:spacing w:before="120" w:after="120"/>
      </w:pPr>
      <w:r>
        <w:rPr>
          <w:sz w:val="18"/>
        </w:rPr>
        <w:t>——————————————————————————————————————————————————————————————————————</w:t>
      </w:r>
    </w:p>
    <w:p>
      <w:pPr>
        <w:spacing w:before="160" w:after="40" w:line="240" w:lineRule="auto"/>
      </w:pPr>
      <w:r>
        <w:rPr>
          <w:b/>
        </w:rPr>
        <w:t xml:space="preserve">[24] </w:t>
      </w:r>
      <w:hyperlink r:id="rId382">
        <w:r>
          <w:rPr>
            <w:color w:val="1155CC"/>
            <w:u w:val="single"/>
          </w:rPr>
          <w:t>催化剂组分对氢吸附和溢出影响的定量检验</w:t>
        </w:r>
      </w:hyperlink>
    </w:p>
    <w:p>
      <w:pPr>
        <w:spacing w:before="0" w:after="80"/>
      </w:pPr>
      <w:r>
        <w:rPr>
          <w:i/>
          <w:sz w:val="20"/>
        </w:rPr>
        <w:t>EN: A Quantitative Examination of Catalyst Component Impacts on Hydrogen Adsorption and Spillover</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383">
        <w:r>
          <w:rPr>
            <w:color w:val="1155CC"/>
            <w:u w:val="single"/>
          </w:rPr>
          <w:t>10.1021/jacs.6c08946</w:t>
        </w:r>
      </w:hyperlink>
    </w:p>
    <w:p>
      <w:pPr>
        <w:spacing w:before="0" w:after="120"/>
      </w:pPr>
      <w:r>
        <w:rPr>
          <w:b/>
        </w:rPr>
        <w:t xml:space="preserve">Notes: </w:t>
      </w:r>
      <w:r>
        <w:t>abstract_source=crossref</w:t>
      </w:r>
    </w:p>
    <w:p>
      <w:pPr>
        <w:spacing w:before="0" w:after="80" w:lineRule="auto" w:line="276"/>
      </w:pPr>
      <w:r>
        <w:rPr>
          <w:b/>
        </w:rPr>
        <w:t xml:space="preserve">摘要（ZH）: </w:t>
      </w:r>
      <w:r>
        <w:t>摘要 氢溢出是一种被广泛认可但了解甚少的表面现象。我们将体积化学吸附与傅里叶变换红外光谱、热重分析和酸碱滴定结合起来，量化金属（Pt、Au）和载体化学（锐钛矿、金红石、P25 二氧化钛）对溢出的作用。我们表明金属特性对溢出氢气的量几乎没有影响。 Au/TiO2 和 Pt/TiO2 的溢出压力依赖性基本相同，表明金属和载体上的 H2 吸附是平衡的。相反，溢出对载体表面化学高度敏感，因为金红石 TiO2 比锐钛矿 TiO2 稳定的表面氢多约 5 倍。这种变化是多种因素造成的，包括金红石表面较高的质子亲和力、稳定的表面电子态和较大的表面熵。这项工作强调了 Au/MOx 催化剂作为溢出控制材料的实用性，因为它们能够定量评估活性金属上的 H2 吸附和溢出到载体上。</w:t>
      </w:r>
    </w:p>
    <w:p>
      <w:pPr>
        <w:spacing w:before="0" w:after="200" w:lineRule="auto" w:line="276"/>
      </w:pPr>
      <w:r>
        <w:rPr>
          <w:b/>
        </w:rPr>
        <w:t xml:space="preserve">Abstract (EN): </w:t>
      </w:r>
      <w:r>
        <w:t>Hydrogen spillover is a widely recognized but poorly understood surface phenomenon. We coupled volumetric chemisorption with Fourier transform infrared spectroscopy, thermogravimetric analysis, and acid–base titrations to quantify the roles of metal (Pt, Au) and support chemistry (anatase, rutile, P25 titania) on spillover. We show that metal identity has little to no impact on the amount of spillover hydrogen. Spillover pressure dependence is essentially the same on Au/TiO2 and Pt/TiO2, indicating H2 adsorption is equilibrated across both the metal and support. Conversely, spillover is highly sensitive to support surface chemistry, as rutile TiO2 stabilizes ∼5× more surface hydrogen than anatase TiO2. This change is due to a combination of factors, including the rutile surface’s higher proton affinity, stabilized surface electronic states, and larger surface entropy. This work highlights the utility of Au/MOx catalysts as control materials for spillover, as they enable quantitative evaluation of H2 adsorption on active metals and spillover onto the support.</w:t>
      </w:r>
    </w:p>
    <w:p>
      <w:pPr>
        <w:spacing w:before="120" w:after="120"/>
      </w:pPr>
      <w:r>
        <w:rPr>
          <w:sz w:val="18"/>
        </w:rPr>
        <w:t>——————————————————————————————————————————————————————————————————————</w:t>
      </w:r>
    </w:p>
    <w:p>
      <w:pPr>
        <w:spacing w:before="160" w:after="40" w:line="240" w:lineRule="auto"/>
      </w:pPr>
      <w:r>
        <w:rPr>
          <w:b/>
        </w:rPr>
        <w:t xml:space="preserve">[25] </w:t>
      </w:r>
      <w:hyperlink r:id="rId384">
        <w:r>
          <w:rPr>
            <w:color w:val="1155CC"/>
            <w:u w:val="single"/>
          </w:rPr>
          <w:t>距离可调 Ru 双原子催化剂的空间和机理阐明，用于高效 CO 加氢生成乙醇</w:t>
        </w:r>
      </w:hyperlink>
    </w:p>
    <w:p>
      <w:pPr>
        <w:spacing w:before="0" w:after="80"/>
      </w:pPr>
      <w:r>
        <w:rPr>
          <w:i/>
          <w:sz w:val="20"/>
        </w:rPr>
        <w:t>EN: Spatial and mechanistic elucidation of distance tunable Ru dual atom catalysts for efficient CO hydrogenation to ethanol</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合成气到乙醇的转化在经济上具有吸引力，但由于实际条件下的活性和选择性有限，仍然具有挑战性。实现选择性 C-C 偶联并引导 *CHO 加氢生成乙醇需要精确控制活性位点几何结构和电子学。在这里，我们使用配位前驱体介导的策略在具有可调节局部结构的N配位碳载体上构建Ru双原子催化剂，其中Ru-Ru分离作为主要描述符，与配位环境和位点间电子耦合一起控制CO/H2协同活化和C-C键形成。改变原子间距离可以调节几何限制和电子相互作用，从而改善乙醇的形成。在最佳反应窗口内，Ru-Ru距离最短的催化剂表现出高CO转化率、含氧产物中乙醇的高选择性、无氧烃产物排除在选择性归一化之外，并且在1.0 MPa下稳定运行。原位光谱和DFT表明，短Ru-Ru间距增强了d轨道杂化和限制，促进协同回馈，降低C-C耦合势垒； Bader/电荷密度分析表明羟基化中间体对乙醇具有优先稳定作用。这项工作强调了距离调节的双原子协同性作为选择性合成气到乙醇催化的关键杠杆。</w:t>
      </w:r>
    </w:p>
    <w:p>
      <w:pPr>
        <w:spacing w:before="0" w:after="200" w:lineRule="auto" w:line="276"/>
      </w:pPr>
      <w:r>
        <w:rPr>
          <w:b/>
        </w:rPr>
        <w:t xml:space="preserve">Abstract (EN): </w:t>
      </w:r>
      <w:r>
        <w:t>Syngas-to-ethanol conversion is economically attractive yet remains challenging due to limited activity and selectivity under practical conditions. Achieving selective C-C coupling and directing *CHO hydrogenation to ethanol require precise control of active-site geometry and electronics. Here we use a coordination–precursor–mediated strategy to construct Ru dual-atom catalysts on N-coordinated carbon supports with tunable local architectures, where the Ru-Ru separation serves as a primary descriptor—together with coordination environment and intersite electronic coupling—governing cooperative CO/H2 activation and C-C bond formation. Varying the interatomic distance modulates geometric confinement and electronic interactions, improving ethanol formation. Within the optimal reaction window, the catalyst with the shortest Ru-Ru distance exhibits high CO conversion, high ethanol selectivity among oxygenated products, with oxygen-free hydrocarbon products excluded from the selectivity normalization, and stable operation at 1.0 MPa. In situ spectroscopy and DFT reveal that short Ru-Ru spacing enhances d-orbital hybridization and confinement, facilitating synergistic back-donation that lowers the C-C coupling barrier; Bader/charge-density analyses indicate preferential stabilization of hydroxylated intermediates toward ethanol. This work highlights distance-tuned dual-atom cooperativity as a key lever for selective syngas-to-ethanol catalysis.</w:t>
      </w:r>
    </w:p>
    <w:p>
      <w:pPr>
        <w:spacing w:before="120" w:after="120"/>
      </w:pPr>
      <w:r>
        <w:rPr>
          <w:sz w:val="18"/>
        </w:rPr>
        <w:t>——————————————————————————————————————————————————————————————————————</w:t>
      </w:r>
    </w:p>
    <w:p>
      <w:pPr>
        <w:spacing w:before="160" w:after="40" w:line="240" w:lineRule="auto"/>
      </w:pPr>
      <w:r>
        <w:rPr>
          <w:b/>
        </w:rPr>
        <w:t xml:space="preserve">[26] </w:t>
      </w:r>
      <w:hyperlink r:id="rId385">
        <w:r>
          <w:rPr>
            <w:color w:val="1155CC"/>
            <w:u w:val="single"/>
          </w:rPr>
          <w:t>具有亚纳米级通道的葫芦脲基金属有机框架具有极高的质子电导率</w:t>
        </w:r>
      </w:hyperlink>
    </w:p>
    <w:p>
      <w:pPr>
        <w:spacing w:before="0" w:after="80"/>
      </w:pPr>
      <w:r>
        <w:rPr>
          <w:i/>
          <w:sz w:val="20"/>
        </w:rPr>
        <w:t>EN: Exceptionally High Proton Conductivity in Cucurbituril-Based Metal–Organic Frameworks with Subnanometer Scale Channels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386">
        <w:r>
          <w:rPr>
            <w:color w:val="1155CC"/>
            <w:u w:val="single"/>
          </w:rPr>
          <w:t>10.1021/jacs.6c11488</w:t>
        </w:r>
      </w:hyperlink>
    </w:p>
    <w:p>
      <w:pPr>
        <w:spacing w:before="0" w:after="120"/>
      </w:pPr>
      <w:r>
        <w:rPr>
          <w:b/>
        </w:rPr>
        <w:t xml:space="preserve">Notes: </w:t>
      </w:r>
      <w:r>
        <w:t>abstract_source=crossref</w:t>
      </w:r>
    </w:p>
    <w:p>
      <w:pPr>
        <w:spacing w:before="0" w:after="80" w:lineRule="auto" w:line="276"/>
      </w:pPr>
      <w:r>
        <w:rPr>
          <w:b/>
        </w:rPr>
        <w:t xml:space="preserve">摘要（ZH）: </w:t>
      </w:r>
      <w:r>
        <w:t>摘要 基于大环分子的金属有机骨架不仅具有令人着迷的结构，而且在各个领域表现出丰富的性能。然而，它们作为具有高质子电导率的固体导体的应用潜力尚未在质子交换膜燃料电池（PEMFC）中得到彻底探索。在此，我们报道了由中性葫芦[6]脲基轮烷配体（L2+⊂CB[6]）、阴离子磺酸盐-对苯二甲酸酯配体构建的三种等网状葫芦脲基金属有机框架（MOF）[M2(L⊂CB[6]) STP2]（称为CUST-Fe、CUST-Co和CUST-Ni） (STP3–) 和不同的二价过渡金属离子 (M = Fe2+、Co2+、Ni2+)。 MOF 沿 c 轴的一维功能亚纳米通道赋予它们优异的质子传输能力。值得注意的是，CUST-Ni的质子电导率在60°C和97%相对湿度（RH）下达到8.8×10–3 S cm–1，比CUST-Co的最佳电导率高约35倍。根据密度泛函理论 (DFT) 计算，CUST-Ni 的质子迁移能垒比 CUST-Co 的质子迁移能垒更低，这说明了这一点。实验和DFT计算结果都表明协同氢键相互作用在MOF的亚纳米通道中的重要作用。这项工作为具有亚纳米级通道的创新 MOFs 的设计作为人造传质材料提供了新的见解。</w:t>
      </w:r>
    </w:p>
    <w:p>
      <w:pPr>
        <w:spacing w:before="0" w:after="200" w:lineRule="auto" w:line="276"/>
      </w:pPr>
      <w:r>
        <w:rPr>
          <w:b/>
        </w:rPr>
        <w:t xml:space="preserve">Abstract (EN): </w:t>
      </w:r>
      <w:r>
        <w:t>Macrocyclic molecule-based metal–organic frameworks not only possess fascinating structures, but also exhibit abundant properties in various fields. Yet, their application potentials as solid conductors with high proton conductivity have not been thoroughly explored for proton exchange membrane fuel cells (PEMFCs). Herein, we report three isoreticular cucurbituril-based metal–organic frameworks (MOFs) [M2(L⊂CB[6]) STP2] (termed CUST-Fe, CUST-Co and CUST-Ni) constructed from neutral cucurbit[6]uril-based rotaxane ligands (L2+⊂CB[6]), anionic sulfonate-terephthalate ligands (STP3–) and different divalent transition metal ions (M = Fe2+, Co2+, Ni2+). The one-dimensional functional subnanometer channels of the MOFs along the c-axis endow them with the capability for superior proton transport. It is noteworthy that the proton conductivity of CUST-Ni reaches 8.8 × 10–3 S cm–1 at 60 °C and 97% relative humidity (RH), which is approximately 35 times higher than the optimal conductivity of CUST-Co. This is illustrated by the lower proton migration energy barrier of CUST-Ni than that of CUST-Co based on density functional theory (DFT) calculations. Both experimental and DFT calculation results indicate the important role of synergistic hydrogen bonding interactions in the subnanometer channels of the MOFs. This work offers new insight into the design of innovative MOFs with subnanometer scale channels as artificial mass transport materials.</w:t>
      </w:r>
    </w:p>
    <w:p>
      <w:pPr>
        <w:spacing w:before="120" w:after="120"/>
      </w:pPr>
      <w:r>
        <w:rPr>
          <w:sz w:val="18"/>
        </w:rPr>
        <w:t>——————————————————————————————————————————————————————————————————————</w:t>
      </w:r>
    </w:p>
    <w:p>
      <w:pPr>
        <w:spacing w:before="160" w:after="40" w:line="240" w:lineRule="auto"/>
      </w:pPr>
      <w:r>
        <w:rPr>
          <w:b/>
        </w:rPr>
        <w:t xml:space="preserve">[27] </w:t>
      </w:r>
      <w:hyperlink r:id="rId387">
        <w:r>
          <w:rPr>
            <w:color w:val="1155CC"/>
            <w:u w:val="single"/>
          </w:rPr>
          <w:t>用于质子交换膜水电解的 RuO2 基催化剂的机理驱动原子级工程</w:t>
        </w:r>
      </w:hyperlink>
    </w:p>
    <w:p>
      <w:pPr>
        <w:spacing w:before="0" w:after="80"/>
      </w:pPr>
      <w:r>
        <w:rPr>
          <w:i/>
          <w:sz w:val="20"/>
        </w:rPr>
        <w:t>EN: Mechanism‐Driven Atomic‐Level Engineering Over RuO2‐Based Catalysts for Proton Exchange Membrane Water Electrolysis</w:t>
      </w:r>
    </w:p>
    <w:p>
      <w:pPr>
        <w:spacing w:before="0" w:after="120"/>
      </w:pPr>
      <w:r>
        <w:rPr>
          <w:b/>
        </w:rPr>
        <w:t xml:space="preserve">Source: </w:t>
      </w:r>
      <w:r>
        <w:t>Wiley: Advanced Energy Materials: Table of Contents</w:t>
      </w:r>
      <w:r>
        <w:t xml:space="preserve">    </w:t>
      </w:r>
      <w:r>
        <w:rPr>
          <w:b/>
        </w:rPr>
        <w:t xml:space="preserve">Pub date: </w:t>
      </w:r>
      <w:r>
        <w:t>2026-08-04 07:30:07+00:00</w:t>
      </w:r>
      <w:r>
        <w:t xml:space="preserve">    </w:t>
      </w:r>
      <w:r>
        <w:rPr>
          <w:b/>
        </w:rPr>
        <w:t xml:space="preserve">DOI: </w:t>
      </w:r>
      <w:hyperlink r:id="rId388">
        <w:r>
          <w:rPr>
            <w:color w:val="1155CC"/>
            <w:u w:val="single"/>
          </w:rPr>
          <w:t>10.1002/aenm.71381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质子交换膜水电解（PEMWE）装置具有能源效率高、响应速度快、操作灵活等优点，是最有前途的绿色制氢技术之一。然而，由于复杂的多步质子电子转移过程，PEMWE 的整体产氢效率经常受到阳极析氧反应 (OER) 动力学限制的限制。氧化钌</w:t>
      </w:r>
      <w:r>
        <w:rPr>
          <w:vertAlign w:val="subscript"/>
        </w:rPr>
        <w:t>2</w:t>
      </w:r>
      <w:r>
        <w:t>基于催化剂的稳定性仍然有限，这主要是由于运行过程中内在的Ru位点过度氧化和晶格氧损失，这促使人们深入研究它们的理解和减轻这些失活机制。与传统的表面尺度优化不同，RuO的最新进展</w:t>
      </w:r>
      <w:r>
        <w:rPr>
          <w:vertAlign w:val="subscript"/>
        </w:rPr>
        <w:t>2</w:t>
      </w:r>
      <w:r>
        <w:t>催化剂专注于对Ru位点和配位环境进行机制驱动的原子级工程修饰，以同时增强催化活性和稳定性。然而，将 OER 的机械复杂性与有针对性的原子尺度干预联系起来的全面理解仍然难以实现，为此，这篇综述全面概述了 RuO 的最新进展</w:t>
      </w:r>
      <w:r>
        <w:rPr>
          <w:vertAlign w:val="subscript"/>
        </w:rPr>
        <w:t>2</w:t>
      </w:r>
      <w:r>
        <w:t>基于纳米催化剂，重点是 OER 机制、PEMWE 中先进的原位/操作表征以及基于机制的原子尺度稳定性调节策略。最终，本次审查通过描绘主要内容来结束</w:t>
      </w:r>
    </w:p>
    <w:p>
      <w:pPr>
        <w:spacing w:before="0" w:after="200" w:lineRule="auto" w:line="276"/>
      </w:pPr>
      <w:r>
        <w:rPr>
          <w:b/>
        </w:rPr>
        <w:t xml:space="preserve">Abstract (EN): </w:t>
      </w:r>
      <w:r>
        <w:t>Proton Exchange Membrane Water Electrolysis (PEMWE) device with merits of high energy efficiency, rapid response, and operational flexibility represents one of the most promising technologies for green hydrogen production. However, the overall hydrogen production efficiency in PEMWEs is frequently constrained by kinetic limitations of the anodic oxygen evolution reaction (OER), due to intricate multi‐step proton‐electron transfer processes. RuO</w:t>
      </w:r>
      <w:r>
        <w:rPr>
          <w:vertAlign w:val="subscript"/>
        </w:rPr>
        <w:t>2</w:t>
      </w:r>
      <w:r>
        <w:t>‐based catalysts remain limited stability, primarily due to intrinsic Ru site overoxidation and lattice oxygen loss during operation, which motivates intensive study into their understanding and mitigating these inactivation mechanisms. Different from traditional surface scale optimization, recent advances in RuO</w:t>
      </w:r>
      <w:r>
        <w:rPr>
          <w:vertAlign w:val="subscript"/>
        </w:rPr>
        <w:t>2</w:t>
      </w:r>
      <w:r>
        <w:t>catalyst have focused on mechanism‐driven atomic‐level engineering modification of both Ru sites and coordination environment to simultaneously enhance catalytic activity and stability. However, a comprehensive understanding that bridges the mechanistic complexity of OER with targeted atomic‐scale intervention remains elusive, in response, this review provides a comprehensive overview of recent advances in RuO</w:t>
      </w:r>
      <w:r>
        <w:rPr>
          <w:vertAlign w:val="subscript"/>
        </w:rPr>
        <w:t>2</w:t>
      </w:r>
      <w:r>
        <w:t>‐based nanocatalysts, with an emphasis on OER mechanisms, advanced in‐situ/operando characterizations in PEMWE, and mechanism‐based strategies for regulating stability at the atomic scale. Ultimately, this review concludes by delineating the primary challenges and outlining promising future research directions essential for advancing the practical application of RuO</w:t>
      </w:r>
      <w:r>
        <w:rPr>
          <w:vertAlign w:val="subscript"/>
        </w:rPr>
        <w:t>2</w:t>
      </w:r>
      <w:r>
        <w:t>catalysts in PEMWEs.</w:t>
      </w:r>
    </w:p>
    <w:p>
      <w:pPr>
        <w:spacing w:before="120" w:after="120"/>
      </w:pPr>
      <w:r>
        <w:rPr>
          <w:sz w:val="18"/>
        </w:rPr>
        <w:t>——————————————————————————————————————————————————————————————————————</w:t>
      </w:r>
    </w:p>
    <w:p>
      <w:pPr>
        <w:spacing w:before="160" w:after="40" w:line="240" w:lineRule="auto"/>
      </w:pPr>
      <w:r>
        <w:rPr>
          <w:b/>
        </w:rPr>
        <w:t xml:space="preserve">[28] </w:t>
      </w:r>
      <w:hyperlink r:id="rId389">
        <w:r>
          <w:rPr>
            <w:color w:val="1155CC"/>
            <w:u w:val="single"/>
          </w:rPr>
          <w:t>通过球形静电斥力和催化剂-载体相互作用实现持久海水电解</w:t>
        </w:r>
      </w:hyperlink>
    </w:p>
    <w:p>
      <w:pPr>
        <w:spacing w:before="0" w:after="80"/>
      </w:pPr>
      <w:r>
        <w:rPr>
          <w:i/>
          <w:sz w:val="20"/>
        </w:rPr>
        <w:t>EN: Durable Seawater Electrolysis Enabled by Spherical Electrostatic Repulsion and Catalyst‐Support Interaction</w:t>
      </w:r>
    </w:p>
    <w:p>
      <w:pPr>
        <w:spacing w:before="0" w:after="120"/>
      </w:pPr>
      <w:r>
        <w:rPr>
          <w:b/>
        </w:rPr>
        <w:t xml:space="preserve">Source: </w:t>
      </w:r>
      <w:r>
        <w:t>Wiley: Advanced Materials: Table of Contents</w:t>
      </w:r>
      <w:r>
        <w:t xml:space="preserve">    </w:t>
      </w:r>
      <w:r>
        <w:rPr>
          <w:b/>
        </w:rPr>
        <w:t xml:space="preserve">Pub date: </w:t>
      </w:r>
      <w:r>
        <w:t>2026-08-04 14:24:31+00:00</w:t>
      </w:r>
      <w:r>
        <w:t xml:space="preserve">    </w:t>
      </w:r>
      <w:r>
        <w:rPr>
          <w:b/>
        </w:rPr>
        <w:t xml:space="preserve">DOI: </w:t>
      </w:r>
      <w:hyperlink r:id="rId390">
        <w:r>
          <w:rPr>
            <w:color w:val="1155CC"/>
            <w:u w:val="single"/>
          </w:rPr>
          <w:t>10.1002/adma.74473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由可再生能源驱动的海水电解制氢是实现净零排放的一种有前景的策略。高浓度氯离子（Cl</w:t>
      </w:r>
      <w:r>
        <w:t xml:space="preserve"> </w:t>
      </w:r>
      <w:r>
        <w:t>-</w:t>
      </w:r>
      <w:r>
        <w:t>）在海水中不仅会与阳极的析氧反应（OER）竞争，还会导致催化剂材料的腐蚀。通过催化剂表面的阴离子构建静电屏蔽，可以排斥Cl</w:t>
      </w:r>
      <w:r>
        <w:t xml:space="preserve"> </w:t>
      </w:r>
      <w:r>
        <w:t>-</w:t>
      </w:r>
      <w:r>
        <w:t>。然而，通过设计的几何形状调节阴离子分布以最大化这种排斥力的研究仍然有限。在此，一种球形催化剂，由在孔雀石微球（MM）上原位生长的碳酸盐插层镍铁层状双氢氧化物异质结构成，表现出增强的催化耐久性和活性。碳酸根阴离子引起的球形静电场保护催化剂，催化剂-载体相互作用（CSI）调节活性位点的电子结构以提高 OER。最后，组装好的电解槽表现出超过 1000 小时的出色耐用性，电流密度为 1 A/cm 时电压为 1.83 V</w:t>
      </w:r>
      <w:r>
        <w:rPr>
          <w:vertAlign w:val="subscript"/>
        </w:rPr>
        <w:t>2</w:t>
      </w:r>
      <w:r>
        <w:t>。这种静电保护的球形几何设计为海水电解催化剂的优化提供了见解。</w:t>
      </w:r>
    </w:p>
    <w:p>
      <w:pPr>
        <w:spacing w:before="0" w:after="200" w:lineRule="auto" w:line="276"/>
      </w:pPr>
      <w:r>
        <w:rPr>
          <w:b/>
        </w:rPr>
        <w:t xml:space="preserve">Abstract (EN): </w:t>
      </w:r>
      <w:r>
        <w:t>The electrolysis of seawater driven by renewable energy for hydrogen production represents a promising strategy toward net‐zero emissions. The high concentration of chloride ions (Cl</w:t>
      </w:r>
      <w:r>
        <w:t xml:space="preserve"> </w:t>
      </w:r>
      <w:r>
        <w:t>−</w:t>
      </w:r>
      <w:r>
        <w:t>) in seawater not only competes with the oxygen evolution reaction (OER) at the anode but also causes corrosion of the catalyst material. The construction of electrostatic shielding via anions on the catalyst surface can repel Cl</w:t>
      </w:r>
      <w:r>
        <w:t xml:space="preserve"> </w:t>
      </w:r>
      <w:r>
        <w:t>−</w:t>
      </w:r>
      <w:r>
        <w:t>. However, studies on regulating anion distribution through designed geometries to maximize such repulsion remain limited. Herein, a sphere‐like catalyst, constructed with a heterojunction of carbonate‐intercalated nickel‐iron layered double hydroxides in situ grown on malachite microspheres (MM), exhibits enhanced catalytic durability and activity. The spherical electrostatic field induced by carbonate anions protects the catalyst, and the catalyst‐support interaction (CSI) tunes the electronic structure of active sites to boost OER. Finally, the assembled electrolyzer demonstrates outstanding durability over 1000 h and a voltage of 1.83 V at a current density of 1 A per cm</w:t>
      </w:r>
      <w:r>
        <w:rPr>
          <w:vertAlign w:val="subscript"/>
        </w:rPr>
        <w:t>2</w:t>
      </w:r>
      <w:r>
        <w:t>. This spherical geometrical design of electrostatic protection offers insights into catalyst optimization for seawater electrolysis.</w:t>
      </w:r>
    </w:p>
    <w:p>
      <w:pPr>
        <w:spacing w:before="120" w:after="120"/>
      </w:pPr>
      <w:r>
        <w:rPr>
          <w:sz w:val="18"/>
        </w:rPr>
        <w:t>——————————————————————————————————————————————————————————————————————</w:t>
      </w:r>
    </w:p>
    <w:p>
      <w:pPr>
        <w:spacing w:before="160" w:after="40" w:line="240" w:lineRule="auto"/>
      </w:pPr>
      <w:r>
        <w:rPr>
          <w:b/>
        </w:rPr>
        <w:t xml:space="preserve">[29] </w:t>
      </w:r>
      <w:hyperlink r:id="rId391">
        <w:r>
          <w:rPr>
            <w:color w:val="1155CC"/>
            <w:u w:val="single"/>
          </w:rPr>
          <w:t>氢基多能源系统的分布式鲁棒容量优化：在可变操作条件下集成全链能量转换特性</w:t>
        </w:r>
      </w:hyperlink>
    </w:p>
    <w:p>
      <w:pPr>
        <w:spacing w:before="0" w:after="80"/>
      </w:pPr>
      <w:r>
        <w:rPr>
          <w:i/>
          <w:sz w:val="20"/>
        </w:rPr>
        <w:t>EN: Distributionally robust capacity optimization for hydrogen-based multi-energy systems: Integrating chain-wide energy conversion characteristics under variable operating conditions</w:t>
      </w:r>
    </w:p>
    <w:p>
      <w:pPr>
        <w:spacing w:before="0" w:after="120"/>
      </w:pPr>
      <w:r>
        <w:rPr>
          <w:b/>
        </w:rPr>
        <w:t xml:space="preserve">Source: </w:t>
      </w:r>
      <w:r>
        <w:t>ScienceDirect Publication: Applied Energy</w:t>
      </w:r>
      <w:r>
        <w:t xml:space="preserve">    </w:t>
      </w:r>
      <w:r>
        <w:rPr>
          <w:b/>
        </w:rPr>
        <w:t xml:space="preserve">Pub date: </w:t>
      </w:r>
      <w:r>
        <w:t>2026-08-05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392">
        <w:r>
          <w:rPr>
            <w:color w:val="1155CC"/>
            <w:u w:val="single"/>
          </w:rPr>
          <w:t>采用封闭式阴极进气设计的风冷式质子交换膜燃料电池：独立的阴极气流调节，实现更好的输出性能、环境适应性和耐用性</w:t>
        </w:r>
      </w:hyperlink>
    </w:p>
    <w:p>
      <w:pPr>
        <w:spacing w:before="0" w:after="80"/>
      </w:pPr>
      <w:r>
        <w:rPr>
          <w:i/>
          <w:sz w:val="20"/>
        </w:rPr>
        <w:t>EN: An air-cooled PEMFC with closed-cathode air intake design: independent cathode airflow regulation to achieve better output performance, environmental adaptability and durability</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393">
        <w:r>
          <w:rPr>
            <w:color w:val="1155CC"/>
            <w:u w:val="single"/>
          </w:rPr>
          <w:t>10.1016/j.apenergy.2026.128598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394">
        <w:r>
          <w:rPr>
            <w:color w:val="1155CC"/>
            <w:u w:val="single"/>
          </w:rPr>
          <w:t>六苯基苯节点重塑刚性微孔膜中的氢氧化物传输能量</w:t>
        </w:r>
      </w:hyperlink>
    </w:p>
    <w:p>
      <w:pPr>
        <w:spacing w:before="0" w:after="80"/>
      </w:pPr>
      <w:r>
        <w:rPr>
          <w:i/>
          <w:sz w:val="20"/>
        </w:rPr>
        <w:t>EN: Hexaphenylbenzene Nodes Reshape Hydroxide Transport Energetics in Rigid Microporous Membranes</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395">
        <w:r>
          <w:rPr>
            <w:color w:val="1155CC"/>
            <w:u w:val="single"/>
          </w:rPr>
          <w:t>10.1021/jacs.6c07266</w:t>
        </w:r>
      </w:hyperlink>
    </w:p>
    <w:p>
      <w:pPr>
        <w:spacing w:before="0" w:after="120"/>
      </w:pPr>
      <w:r>
        <w:rPr>
          <w:b/>
        </w:rPr>
        <w:t xml:space="preserve">Notes: </w:t>
      </w:r>
      <w:r>
        <w:t>abstract_source=crossref</w:t>
      </w:r>
    </w:p>
    <w:p>
      <w:pPr>
        <w:spacing w:before="0" w:after="80" w:lineRule="auto" w:line="276"/>
      </w:pPr>
      <w:r>
        <w:rPr>
          <w:b/>
        </w:rPr>
        <w:t xml:space="preserve">摘要（ZH）: </w:t>
      </w:r>
      <w:r>
        <w:t>摘要：刚性微孔阴离子交换膜（AEM）可以在抑制膨胀的同时创建连续的氢氧化物传输路径，但仅靠几何渗滤并不能确保化学限制孔中离子的快速迁移。在这里，我们表明，刚性微孔离聚物中的氢氧化物传输可以通过调节局部传输能量的拓扑离子节点来加速。将六苯基苯（HPB）掺入无醚的聚（芳基哌啶鎓）框架中，同时产生互连的微孔并在孔壁内空间关联多个阳离子位点。密度泛函理论和自由能分析表明，HPB 通过平滑限制下的局部能量景观来削弱氢氧根结合并降低位点间跳跃势垒。优化后的膜在 90 °C 时达到 168.6 mS cm–1，表现出 12.7 kJ mol–1 的表观活化能，尽管吸水率为 75.6%，但仅膨胀 12.1%。在 90 °C 的 2 M KOH 中放置 2000 小时后，它仍保留 97.4% 的电导率。这些优势转化为 2.0 V 电压下燃料电池峰值功率密度为 2.50 W cm-2 和电解槽电流密度为 8.05 A cm-2，可稳定运行超过 2500 小时。因此，空间相关的离子节点提供了调节刚性微孔离聚物中氢氧根传输能量的分子策略。</w:t>
      </w:r>
    </w:p>
    <w:p>
      <w:pPr>
        <w:spacing w:before="0" w:after="200" w:lineRule="auto" w:line="276"/>
      </w:pPr>
      <w:r>
        <w:rPr>
          <w:b/>
        </w:rPr>
        <w:t xml:space="preserve">Abstract (EN): </w:t>
      </w:r>
      <w:r>
        <w:t>Rigid microporous anion exchange membranes (AEMs) can create continuous hydroxide transport pathways while suppressing swelling, but geometric percolation alone does not ensure rapid ion migration in chemically confined pores. Here we show that hydroxide transport in rigid microporous ionomers can be accelerated through topological ionic nodes that regulate local transport energetics. Incorporation of hexaphenylbenzene (HPB) into an ether-free poly(aryl piperidinium) framework simultaneously generates interconnected microporosity and spatially correlates multiple cationic sites within pore walls. Density functional theory and free-energy analysis show that HPB weakens hydroxide binding and lowers intersite hopping barriers by smoothing the local energetic landscape under confinement. The optimized membrane reaches 168.6 mS cm–1 at 90 °C, exhibits an apparent activation energy of 12.7 kJ mol–1, and swells by only 12.1% despite 75.6% water uptake. It retains 97.4% of its conductivity after 2000 h in 2 M KOH at 90 °C. These advantages translate into a peak fuel cell power density of 2.50 W cm–2 and an electrolyzer current density of 8.05 A cm–2 at 2.0 V, with stable operation over 2500 h. Spatially correlated ionic nodes therefore provide a molecular strategy to regulate hydroxide transport energetics in rigid microporous ionomers.</w:t>
      </w:r>
    </w:p>
    <w:p>
      <w:pPr>
        <w:spacing w:before="120" w:after="120"/>
      </w:pPr>
      <w:r>
        <w:rPr>
          <w:sz w:val="18"/>
        </w:rPr>
        <w:t>——————————————————————————————————————————————————————————————————————</w:t>
      </w:r>
    </w:p>
    <w:p>
      <w:pPr>
        <w:spacing w:before="160" w:after="40" w:line="240" w:lineRule="auto"/>
      </w:pPr>
      <w:r>
        <w:rPr>
          <w:b/>
        </w:rPr>
        <w:t xml:space="preserve">[32] </w:t>
      </w:r>
      <w:hyperlink r:id="rId298">
        <w:r>
          <w:rPr>
            <w:color w:val="1155CC"/>
            <w:u w:val="single"/>
          </w:rPr>
          <w:t>用于稳定太阳能制氢的相变材料增强热管理：机制和操作行为</w:t>
        </w:r>
      </w:hyperlink>
    </w:p>
    <w:p>
      <w:pPr>
        <w:spacing w:before="0" w:after="80"/>
      </w:pPr>
      <w:r>
        <w:rPr>
          <w:i/>
          <w:sz w:val="20"/>
        </w:rPr>
        <w:t>EN: Phase-change-material-enhanced thermal management for stable solar hydrogen production: Mechanism and operational behaviour</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99">
        <w:r>
          <w:rPr>
            <w:color w:val="1155CC"/>
            <w:u w:val="single"/>
          </w:rPr>
          <w:t>10.1016/j.apenergy.2026.128586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396">
        <w:r>
          <w:rPr>
            <w:color w:val="1155CC"/>
            <w:u w:val="single"/>
          </w:rPr>
          <w:t>氧化铋钒 (BVO) 光电极上自组装分子催化剂双层的水氧化</w:t>
        </w:r>
      </w:hyperlink>
    </w:p>
    <w:p>
      <w:pPr>
        <w:spacing w:before="0" w:after="80"/>
      </w:pPr>
      <w:r>
        <w:rPr>
          <w:i/>
          <w:sz w:val="20"/>
        </w:rPr>
        <w:t>EN: Water Oxidation by Molecular Catalyst Bilayers Self-Assembled on Bismuth Vanadium Oxide (BVO) Photoelectrodes</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397">
        <w:r>
          <w:rPr>
            <w:color w:val="1155CC"/>
            <w:u w:val="single"/>
          </w:rPr>
          <w:t>10.1021/jacs.6c08907</w:t>
        </w:r>
      </w:hyperlink>
    </w:p>
    <w:p>
      <w:pPr>
        <w:spacing w:before="0" w:after="120"/>
      </w:pPr>
      <w:r>
        <w:rPr>
          <w:b/>
        </w:rPr>
        <w:t xml:space="preserve">Notes: </w:t>
      </w:r>
      <w:r>
        <w:t>abstract_source=crossref</w:t>
      </w:r>
    </w:p>
    <w:p>
      <w:pPr>
        <w:spacing w:before="0" w:after="80" w:lineRule="auto" w:line="276"/>
      </w:pPr>
      <w:r>
        <w:rPr>
          <w:b/>
        </w:rPr>
        <w:t xml:space="preserve">摘要（ZH）: </w:t>
      </w:r>
      <w:r>
        <w:t>摘要 阳光驱动的水分解是生产可持续燃料的可行策略之一。为此，质子还原和水氧化催化与光吸收材料的耦合至关重要。在这里，我们开发了一种策略，通过自组装和形成双层，将基于低聚 Ru-tda 络合物（tda2- 为 [2,2':6',2"-三联吡啶]-6,6"-二羧酸酯）的强大分子水氧化催化剂与光吸收 BiVO4 材料集成在一起。自组装过程还允许整合氧化还原介体 Ru-bpy（bpy 是 2,2'-联吡啶），通过瞬态吸收和强度调制光电流 (IMPS) 光谱测量，Ru-bpy 可以加速空穴从 BiVO4 到分子催化剂的转移，从而实现更有效的催化作用。在 pH 7 和 1 个太阳照射下，施加 0.82 V vs NHE（1.23 vs RHE）的电势，在电流密度约为 1 的情况下观察到光催化水氧化。 2 mA cm–2 和法拉第效率为 98%。这相当于每 Ru 单位超过 23,500 的营业额（每 Ru 低聚物 280,000），在中性 pH 值下排名最佳。这种新策略产生的光电极具有增强的稳定性和极低的催化剂负载量，预计将具有多种用途，并且易于与其他催化剂和半导体材料一起实施。</w:t>
      </w:r>
    </w:p>
    <w:p>
      <w:pPr>
        <w:spacing w:before="0" w:after="200" w:lineRule="auto" w:line="276"/>
      </w:pPr>
      <w:r>
        <w:rPr>
          <w:b/>
        </w:rPr>
        <w:t xml:space="preserve">Abstract (EN): </w:t>
      </w:r>
      <w:r>
        <w:t>Sunlight-driven water splitting stands out as one of the viable strategies for the generation of a sustainable fuel. For this purpose, the coupling of proton reduction and water oxidation catalysis, with light absorbing materials is crucial. Here we develop a strategy that integrates a powerful molecular water-oxidation catalyst, based on oligomeric Ru-tda complexes (tda2– is [2,2′:6′,2″-terpyridine]-6,6″-dicarboxylate), with a light absorbing BiVO4 material through self-assembly and formation of a bilayer. The self-assembly process also allows for the integration of a redox mediator, Ru-bpy (bpy is 2,2′-bipyridine), that was found to accelerate hole-transfer from the BiVO4 to the molecular catalyst leading to more efficient catalysis, as measured by transient absorption and intensity modulated photocurrent (IMPS) spectroscopies. With an applied potential of 0.82 V vs NHE (1.23 vs RHE) at pH 7 and 1 sun irradiation, photocatalytic water oxidation was observed with current densities of ca. 2 mA cm–2 and Faradaic efficiencies of 98%. This corresponds to turnover of over 23,500 per Ru unit (280,000 per Ru oligomer), ranking among the best reported at neutral pH. This new strategy yields photoelectrodes with enhanced stability and with very low catalyst loadings, that are expected to be versatile and easily implemented with other catalysts and semiconducting materials.</w:t>
      </w:r>
    </w:p>
    <w:p>
      <w:pPr>
        <w:spacing w:before="120" w:after="120"/>
      </w:pPr>
      <w:r>
        <w:rPr>
          <w:sz w:val="18"/>
        </w:rPr>
        <w:t>——————————————————————————————————————————————————————————————————————</w:t>
      </w:r>
    </w:p>
    <w:p>
      <w:pPr>
        <w:spacing w:before="160" w:after="40" w:line="240" w:lineRule="auto"/>
      </w:pPr>
      <w:r>
        <w:rPr>
          <w:b/>
        </w:rPr>
        <w:t xml:space="preserve">[34] </w:t>
      </w:r>
      <w:hyperlink r:id="rId398">
        <w:r>
          <w:rPr>
            <w:color w:val="1155CC"/>
            <w:u w:val="single"/>
          </w:rPr>
          <w:t>通过光热催化控制甲烷转化为含氧化合物的反应途径，实现零二氧化碳产生</w:t>
        </w:r>
      </w:hyperlink>
    </w:p>
    <w:p>
      <w:pPr>
        <w:spacing w:before="0" w:after="80"/>
      </w:pPr>
      <w:r>
        <w:rPr>
          <w:i/>
          <w:sz w:val="20"/>
        </w:rPr>
        <w:t>EN: Steering the reaction pathway of methane-to-oxygenates with zero CO2 production via photo–thermal catalysis</w:t>
      </w:r>
    </w:p>
    <w:p>
      <w:pPr>
        <w:spacing w:before="0" w:after="120"/>
      </w:pPr>
      <w:r>
        <w:rPr>
          <w:b/>
        </w:rPr>
        <w:t xml:space="preserve">Source: </w:t>
      </w:r>
      <w:r>
        <w:t>National Science Review Advance Access</w:t>
      </w:r>
      <w:r>
        <w:t xml:space="preserve">    </w:t>
      </w:r>
      <w:r>
        <w:rPr>
          <w:b/>
        </w:rPr>
        <w:t xml:space="preserve">Pub date: </w:t>
      </w:r>
      <w:r>
        <w:t>2026-08-05 00:00:00+00:00</w:t>
      </w:r>
      <w:r>
        <w:t xml:space="preserve">    </w:t>
      </w:r>
      <w:r>
        <w:rPr>
          <w:b/>
        </w:rPr>
        <w:t xml:space="preserve">DOI: </w:t>
      </w:r>
      <w:hyperlink r:id="rId399">
        <w:r>
          <w:rPr>
            <w:color w:val="1155CC"/>
            <w:u w:val="single"/>
          </w:rPr>
          <w:t>10.1093/nsr/nwag472</w:t>
        </w:r>
      </w:hyperlink>
    </w:p>
    <w:p>
      <w:pPr>
        <w:spacing w:before="0" w:after="120"/>
      </w:pPr>
      <w:r>
        <w:rPr>
          <w:b/>
        </w:rPr>
        <w:t xml:space="preserve">Notes: </w:t>
      </w:r>
      <w:r>
        <w:t>abstract_source=rss_oup</w:t>
      </w:r>
    </w:p>
    <w:p>
      <w:pPr>
        <w:spacing w:before="0" w:after="80" w:lineRule="auto" w:line="276"/>
      </w:pPr>
      <w:r>
        <w:rPr>
          <w:b/>
        </w:rPr>
        <w:t xml:space="preserve">摘要（ZH）: </w:t>
      </w:r>
      <w:r>
        <w:t>由于目标产物容易过度氧化，通过多相催化将 CH4 直接转化为液态含氧化合物非常具有挑战性。在此，我们提出了一种潜在的 Ag 修饰的 In2O3 光热催化剂，该催化剂能够在温和条件下（150°C，氙灯照射）使用分子 O2 将 CH4 选择性氧化为 CH3OH 和 HCHO。优化后的Ag-3/In2O3催化剂表现出卓越的性能，对液态含氧化合物实现100%选择性，完全抑制CO2的形成，并具有6544 μmol·g−1·h−1的高产率，是25°C下纯光催化的2.6倍。机理研究表明，光生空穴促进C-H键活化形成·CH3自由基，而O2在富电子Ag位点选择性还原生成·OH物质。同时，它表明Ag-10/In2O3对比催化剂上过量·OH的生成促进了HCHO过氧化为CO2，突出了·OH调节在确定Ag-3/In2O3催化剂上的产物选择性方面的重要性。此外，结合实验和DFT计算，表明具有合适能带结构的In2O3对CH3OH和HCHO表现出较弱的吸附亲和力，同时也为该催化过程中CO2零排放提供了深入的了解。这项工作表明，热催化和光催化途径的战略耦合增强了载流子利用率，并促进选择性自由基化学，以实现有效的 CH4 增值。</w:t>
      </w:r>
    </w:p>
    <w:p>
      <w:pPr>
        <w:spacing w:before="0" w:after="200" w:lineRule="auto" w:line="276"/>
      </w:pPr>
      <w:r>
        <w:rPr>
          <w:b/>
        </w:rPr>
        <w:t xml:space="preserve">Abstract (EN): </w:t>
      </w:r>
      <w:r>
        <w:t>The direct conversion of CH4 into liquid oxygenates via heterogeneous catalysis is highly challenging due to the facile overoxidation of target products. Herein, we present a potential Ag-modified In2O3 photo–thermal catalyst that enables the selective oxidation of CH4 to CH3OH and HCHO using molecular O2 under mild conditions (150°C, Xe lamp irradiation). The optimized Ag-3/In2O3 catalyst exhibits remarkable performance, achieving 100% selectivity toward liquid oxygenates with complete suppression of CO2 formation, and delivers a high production rate of 6544 μmol·g−1·h−1, 2.6 times greater than that under pure photocatalysis at 25°C. Mechanistic studies reveal that photogenerated holes facilitate C–H bond activation to form ·CH3 radicals, while O2 is selectively reduced at electron-rich Ag sites to generate ·OH species. Meanwhile, it demonstrates that excessive ·OH generation on the Ag-10/In2O3 contrast catalyst promotes HCHO overoxidation to CO2, highlighting the importance of ·OH regulation in determining product selectivity over the Ag-3/In2O3 catalyst. Moreover, combined with the experiments and DFT calculations, demonstrates that In2O3 with a suitable band structure exhibits weak adsorption affinity toward CH3OH and HCHO, while also supplying an in-depth understanding of the zero CO2 emissions in this catalysis process. The work illustrates that the strategic coupling of thermal and photocatalytic pathways enhances charge-carrier utilization and promotes selective radical chemistry for efficient CH4 valorization.</w:t>
      </w:r>
    </w:p>
    <w:p>
      <w:pPr>
        <w:spacing w:before="120" w:after="120"/>
      </w:pPr>
      <w:r>
        <w:rPr>
          <w:sz w:val="18"/>
        </w:rPr>
        <w:t>——————————————————————————————————————————————————————————————————————</w:t>
      </w:r>
    </w:p>
    <w:p>
      <w:pPr>
        <w:spacing w:before="160" w:after="40" w:line="240" w:lineRule="auto"/>
      </w:pPr>
      <w:r>
        <w:rPr>
          <w:b/>
        </w:rPr>
        <w:t xml:space="preserve">[35] </w:t>
      </w:r>
      <w:hyperlink r:id="rId400">
        <w:r>
          <w:rPr>
            <w:color w:val="1155CC"/>
            <w:u w:val="single"/>
          </w:rPr>
          <w:t>揭示激光诱导波纹和纳米颗粒对增强镍电极 HER 性能的贡献</w:t>
        </w:r>
      </w:hyperlink>
    </w:p>
    <w:p>
      <w:pPr>
        <w:spacing w:before="0" w:after="80"/>
      </w:pPr>
      <w:r>
        <w:rPr>
          <w:i/>
          <w:sz w:val="20"/>
        </w:rPr>
        <w:t>EN: Unraveling the Contributions of Laser-Induced Ripples and Nanoparticles to Enhanced HER Performance of Nickel Electrodes</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401">
        <w:r>
          <w:rPr>
            <w:color w:val="1155CC"/>
            <w:u w:val="single"/>
          </w:rPr>
          <w:t>10.1021/acsami.6c11963</w:t>
        </w:r>
      </w:hyperlink>
    </w:p>
    <w:p>
      <w:pPr>
        <w:spacing w:before="0" w:after="120"/>
      </w:pPr>
      <w:r>
        <w:rPr>
          <w:b/>
        </w:rPr>
        <w:t xml:space="preserve">Notes: </w:t>
      </w:r>
      <w:r>
        <w:t>abstract_source=crossref</w:t>
      </w:r>
    </w:p>
    <w:p>
      <w:pPr>
        <w:spacing w:before="0" w:after="80" w:lineRule="auto" w:line="276"/>
      </w:pPr>
      <w:r>
        <w:rPr>
          <w:b/>
        </w:rPr>
        <w:t xml:space="preserve">摘要（ZH）: </w:t>
      </w:r>
      <w:r>
        <w:t>摘要 在此，我们报告了一种无化学策略，通过波长控制的飞秒激光诱导周期性表面结构化（LIPSS）来增强镍电极的析氢反应（HER）性能。在相同的照射强度下，使用 515 和 1030 nm 的超短激光脉冲对平面镍片进行纳米结构，产生用激光生成的纳米颗粒状结构装饰的高度有序的低空间频率波纹。波纹的方向垂直于激光偏振，周期性从 515 nm 处的~400 nm 增加到 1030 nm 处的~800 nm。 AFM 分析显示，1030 nm 处的波纹幅度和表面粗糙度较高，峰谷高度从~100 nm 增加到~240 nm，表明能量沉积和熔化深度更深。 1.0 M KOH 中的电化学测量揭示了表面形态与 HER 活性之间的密切关系。 1030 nm 结构的电极表现出最佳性能，塔菲尔斜率约为 85 mV dec−1，电化学活性表面积比未处理的 Ni 高四倍以上，电荷转移电阻最低，并且在 100 mA cm−2 下具有出色的稳定性。尽管仅波纹的形成就使几何表面积增加了 23%，但电化学表面积 (ESCA) 的大幅增加表明，叠加的纳米级特征创建了对于改进 HER 性能至关重要的分层形态。</w:t>
      </w:r>
    </w:p>
    <w:p>
      <w:pPr>
        <w:spacing w:before="0" w:after="200" w:lineRule="auto" w:line="276"/>
      </w:pPr>
      <w:r>
        <w:rPr>
          <w:b/>
        </w:rPr>
        <w:t xml:space="preserve">Abstract (EN): </w:t>
      </w:r>
      <w:r>
        <w:t>Herein, we report a chemistry-free strategy to enhance the hydrogen evolution reaction (HER) performance of nickel electrodes through wavelength-controlled femtosecond laser-induced periodic surface structuring (LIPSS). Planar nickel sheets were nanostructured using ultrashort laser pulses at 515 and 1030 nm under identical irradiation intensity, yielding highly ordered low-spatial-frequency ripples decorated with laser-generated nanoparticle-like structures. The ripples were oriented perpendicular to the laser polarization, with periodicity increasing from ∼400 nm at 515 nm to ∼800 nm at 1030 nm. AFM analysis showed higher ripple amplitudes and surface roughness at 1030 nm, with peak-to-valley heights increasing from ∼100 to ∼240 nm, indicating deeper energy deposition and melt depth. Electrochemical measurements in 1.0 M KOH revealed a strong relationship between surface morphology and HER activity. The 1030 nm−structured electrode exhibited the best performance, with a Tafel slope of ∼85 mV dec−1, over fourfold higher electrochemically active surface area than untreated Ni, the lowest charge-transfer resistance, and excellent stability at 100 mA cm−2. Although the formation of ripples alone accounts for an estimated 23% increase in geometric surface area, the substantially larger enhancement in electrochemically surface area (ESCA) indicates that the superimposed nanoscale features create a hierarchical morphology crucial for the improved HER performance.</w:t>
      </w:r>
    </w:p>
    <w:p>
      <w:pPr>
        <w:spacing w:before="120" w:after="120"/>
      </w:pPr>
      <w:r>
        <w:rPr>
          <w:sz w:val="18"/>
        </w:rPr>
        <w:t>——————————————————————————————————————————————————————————————————————</w:t>
      </w:r>
    </w:p>
    <w:p>
      <w:pPr>
        <w:spacing w:before="160" w:after="40" w:line="240" w:lineRule="auto"/>
      </w:pPr>
      <w:r>
        <w:rPr>
          <w:b/>
        </w:rPr>
        <w:t xml:space="preserve">[36] </w:t>
      </w:r>
      <w:hyperlink r:id="rId402">
        <w:r>
          <w:rPr>
            <w:color w:val="1155CC"/>
            <w:u w:val="single"/>
          </w:rPr>
          <w:t>极化曲线的意义 - 60 节聚合物电解质水电解堆的分析</w:t>
        </w:r>
      </w:hyperlink>
    </w:p>
    <w:p>
      <w:pPr>
        <w:spacing w:before="0" w:after="80"/>
      </w:pPr>
      <w:r>
        <w:rPr>
          <w:i/>
          <w:sz w:val="20"/>
        </w:rPr>
        <w:t>EN: The significance of a polarization curve - analysis of a 60-cell polymer electrolyte water electrolysis stack</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403">
        <w:r>
          <w:rPr>
            <w:color w:val="1155CC"/>
            <w:u w:val="single"/>
          </w:rPr>
          <w:t>10.1016/j.apenergy.2026.128538</w:t>
        </w:r>
      </w:hyperlink>
    </w:p>
    <w:p>
      <w:pPr>
        <w:spacing w:before="0" w:after="120"/>
      </w:pPr>
      <w:r>
        <w:rPr>
          <w:b/>
        </w:rPr>
        <w:t xml:space="preserve">Notes: </w:t>
      </w:r>
      <w:r>
        <w:t>abstract_source=openalex</w:t>
      </w:r>
    </w:p>
    <w:p>
      <w:pPr>
        <w:spacing w:before="0" w:after="80" w:lineRule="auto" w:line="276"/>
      </w:pPr>
      <w:r>
        <w:rPr>
          <w:b/>
        </w:rPr>
        <w:t xml:space="preserve">摘要（ZH）: </w:t>
      </w:r>
      <w:r>
        <w:t>本研究的目的是证明极化曲线及其操作边界条件中封装的信息的多样性。为此，构建并表征了包含60个电池、有效电池面积为1024cm 2 的聚合物电解质膜水电解堆。从极化曲线中提取了性能数据，例如在最大施加电流密度 3 A cm - 2 下的平均电池电压为 1.88 V（η L H V = 66.6 %），在部分负载的标准条件（0.6 A cm - 2，η L H V = 77.5 %）下的最小比功率要求为 4.01 kWh m N , H 2 - 3 。此外，还可以确定电流相关的单电池电压分布、阳极和阴极侧的压力和温度差，以及法拉第和电压效率。记录的最大法拉第效率为 97.6%。一个重要的发现是在 0.6 A cm - 2 下测量到 O 2 中的 H 2 浓度为 0.11 % vol ，这远低于 4 % vol 的临界浓度。堆栈参数和寿命开始状态是根据极化曲线和支持传感器确定的。</w:t>
      </w:r>
    </w:p>
    <w:p>
      <w:pPr>
        <w:spacing w:before="0" w:after="200" w:lineRule="auto" w:line="276"/>
      </w:pPr>
      <w:r>
        <w:rPr>
          <w:b/>
        </w:rPr>
        <w:t xml:space="preserve">Abstract (EN): </w:t>
      </w:r>
      <w:r>
        <w:t>The objective of this study is to demonstrate the diversity of information encapsulated within a polarization curve and its operational boundary conditions. To this end, a polymer electrolyte membrane water electrolysis stack comprising 60 cells with an active cell area of 1024 cm 2 has been constructed and characterized. The performance data such as the average cell voltage of 1.88 V ( η L H V = 66.6 % ) at the maximum applied current density of 3 A cm − 2 and a minimum specific power requirement of 4.01 kWh m N , H 2 − 3 at standard conditions at partial load ( 0.6 A cm − 2 , η L H V = 77.5 % ) were extracted from the polarization curve. In addition, the current-dependent single cell voltage distributions, the pressure and temperature differences for the anode and cathode sides could be determined, as well as the Faraday and voltage efficiency. The maximum Faraday efficiency recorded, was 97.6 % . A significant finding was the measurement of an H 2 in O 2 concentration of 0.11 % vol at 0.6 A cm − 2 which is far below the critical concentration of 4 % vol . Stack parameters and the begin-of-life state are determined based on the polarization curve and the supporting sensors.</w:t>
      </w:r>
    </w:p>
    <w:p>
      <w:pPr>
        <w:spacing w:before="120" w:after="120"/>
      </w:pPr>
      <w:r>
        <w:rPr>
          <w:sz w:val="18"/>
        </w:rPr>
        <w:t>——————————————————————————————————————————————————————————————————————</w:t>
      </w:r>
    </w:p>
    <w:p>
      <w:pPr>
        <w:spacing w:before="160" w:after="40" w:line="240" w:lineRule="auto"/>
      </w:pPr>
      <w:r>
        <w:rPr>
          <w:b/>
        </w:rPr>
        <w:t xml:space="preserve">[37] </w:t>
      </w:r>
      <w:hyperlink r:id="rId404">
        <w:r>
          <w:rPr>
            <w:color w:val="1155CC"/>
            <w:u w:val="single"/>
          </w:rPr>
          <w:t>在金上种子介导的铜生长过程中，原子水平上发生了什么？</w:t>
        </w:r>
      </w:hyperlink>
    </w:p>
    <w:p>
      <w:pPr>
        <w:spacing w:before="0" w:after="80"/>
      </w:pPr>
      <w:r>
        <w:rPr>
          <w:i/>
          <w:sz w:val="20"/>
        </w:rPr>
        <w:t>EN: What is happening at the atomic level during the seed-mediated growth of copper on gold?</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405">
        <w:r>
          <w:rPr>
            <w:color w:val="1155CC"/>
            <w:u w:val="single"/>
          </w:rPr>
          <w:t>10.1126/sciadv.aee8346</w:t>
        </w:r>
      </w:hyperlink>
    </w:p>
    <w:p>
      <w:pPr>
        <w:spacing w:before="0" w:after="120"/>
      </w:pPr>
      <w:r>
        <w:rPr>
          <w:b/>
        </w:rPr>
        <w:t xml:space="preserve">Notes: </w:t>
      </w:r>
      <w:r>
        <w:t>abstract_source=crossref</w:t>
      </w:r>
    </w:p>
    <w:p>
      <w:pPr>
        <w:spacing w:before="0" w:after="80" w:lineRule="auto" w:line="276"/>
      </w:pPr>
      <w:r>
        <w:rPr>
          <w:b/>
        </w:rPr>
        <w:t xml:space="preserve">摘要（ZH）: </w:t>
      </w:r>
      <w:r>
        <w:t>通过种子介导的生长获得的双金属纳米晶体通常使用传统的电子显微镜进行分析，并且经常会错过原子水平上的许多有趣的特征。在这里，我们报道了铜（Cu）在金（Au）纳米球上的种子介导生长，用于合成由有序金属间相和无序合金组成的Janus表面包围的Au-Cu双金属纳米晶体。最初，丰富的 Cu(II) 前驱体能够实现均匀的 Cu 沉积，然后通过相互扩散生成由金属间化合物 Au 制成的超薄壳</w:t>
      </w:r>
      <w:r>
        <w:rPr>
          <w:vertAlign w:val="subscript"/>
        </w:rPr>
        <w:t>1</w:t>
      </w:r>
      <w:r>
        <w:t>铜</w:t>
      </w:r>
      <w:r>
        <w:rPr>
          <w:vertAlign w:val="subscript"/>
        </w:rPr>
        <w:t>1</w:t>
      </w:r>
      <w:r>
        <w:t>。随后生长演变成一种不对称模式，其中铜沉积优先在一个激活位点进行，生成金</w:t>
      </w:r>
      <w:r>
        <w:t xml:space="preserve"> </w:t>
      </w:r>
      <w:r>
        <w:t>x</w:t>
      </w:r>
      <w:r>
        <w:t xml:space="preserve"> </w:t>
      </w:r>
      <w:r>
        <w:t>铜</w:t>
      </w:r>
      <w:r>
        <w:t xml:space="preserve"> </w:t>
      </w:r>
      <w:r>
        <w:t>y</w:t>
      </w:r>
      <w:r>
        <w:t xml:space="preserve"> </w:t>
      </w:r>
      <w:r>
        <w:t>具有梯度成分的合金。在进行硝酸盐还原测试时，Janus 纳米晶体在较宽的电位范围内表现出 100% 的法拉第效率和高氨产率。</w:t>
      </w:r>
    </w:p>
    <w:p>
      <w:pPr>
        <w:spacing w:before="0" w:after="200" w:lineRule="auto" w:line="276"/>
      </w:pPr>
      <w:r>
        <w:rPr>
          <w:b/>
        </w:rPr>
        <w:t xml:space="preserve">Abstract (EN): </w:t>
      </w:r>
      <w:r>
        <w:t>Bimetallic nanocrystals obtained via seed-mediated growth are typically analyzed using conventional electron microscopy and many interesting features at the atomic level are often missed. Here we report the seed-mediated growth of copper (Cu) on gold (Au) nanospheres for the synthesis of Au-Cu bimetallic nanocrystals enclosed by a Janus surface comprised of an ordered intermetallic phase and a disordered alloy. Initially, the abundant Cu(II) precursor enables uniform Cu deposition, followed by inter-diffusion to generate an ultrathin shell made of intermetallic Au</w:t>
      </w:r>
      <w:r>
        <w:rPr>
          <w:vertAlign w:val="subscript"/>
        </w:rPr>
        <w:t>1</w:t>
      </w:r>
      <w:r>
        <w:t>Cu</w:t>
      </w:r>
      <w:r>
        <w:rPr>
          <w:vertAlign w:val="subscript"/>
        </w:rPr>
        <w:t>1</w:t>
      </w:r>
      <w:r>
        <w:t>. The growth subsequently evolves into an asymmetric mode, where Cu deposition preferentially proceeds at one activated site to generate Au</w:t>
      </w:r>
      <w:r>
        <w:t xml:space="preserve"> </w:t>
      </w:r>
      <w:r>
        <w:t>x</w:t>
      </w:r>
      <w:r>
        <w:t xml:space="preserve"> </w:t>
      </w:r>
      <w:r>
        <w:t>Cu</w:t>
      </w:r>
      <w:r>
        <w:t xml:space="preserve"> </w:t>
      </w:r>
      <w:r>
        <w:t>y</w:t>
      </w:r>
      <w:r>
        <w:t xml:space="preserve"> </w:t>
      </w:r>
      <w:r>
        <w:t>alloy with a graded composition. When tested for nitrate reduction, the Janus nanocrystals show 100% Faradaic efficiency across a wide potential range and a high ammonia yield rate.</w:t>
      </w:r>
    </w:p>
    <w:p>
      <w:pPr>
        <w:spacing w:before="120" w:after="120"/>
      </w:pPr>
      <w:r>
        <w:rPr>
          <w:sz w:val="18"/>
        </w:rPr>
        <w:t>——————————————————————————————————————————————————————————————————————</w:t>
      </w:r>
    </w:p>
    <w:p>
      <w:pPr>
        <w:spacing w:before="160" w:after="40" w:line="240" w:lineRule="auto"/>
      </w:pPr>
      <w:r>
        <w:rPr>
          <w:b/>
        </w:rPr>
        <w:t xml:space="preserve">[38] </w:t>
      </w:r>
      <w:hyperlink r:id="rId406">
        <w:r>
          <w:rPr>
            <w:color w:val="1155CC"/>
            <w:u w:val="single"/>
          </w:rPr>
          <w:t>VOx负载的IrSn合金中触发电荷重新分布诱导的氧溢出机制用于工业水电解</w:t>
        </w:r>
      </w:hyperlink>
    </w:p>
    <w:p>
      <w:pPr>
        <w:spacing w:before="0" w:after="80"/>
      </w:pPr>
      <w:r>
        <w:rPr>
          <w:i/>
          <w:sz w:val="20"/>
        </w:rPr>
        <w:t>EN: Triggering charge redistribution–induced oxygen spillover mechanism in VOx-supported IrSn alloy toward industrial water electrolysis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407">
        <w:r>
          <w:rPr>
            <w:color w:val="1155CC"/>
            <w:u w:val="single"/>
          </w:rPr>
          <w:t>10.1126/sciadv.aef7481</w:t>
        </w:r>
      </w:hyperlink>
    </w:p>
    <w:p>
      <w:pPr>
        <w:spacing w:before="0" w:after="120"/>
      </w:pPr>
      <w:r>
        <w:rPr>
          <w:b/>
        </w:rPr>
        <w:t xml:space="preserve">Notes: </w:t>
      </w:r>
      <w:r>
        <w:t>abstract_source=crossref</w:t>
      </w:r>
    </w:p>
    <w:p>
      <w:pPr>
        <w:spacing w:before="0" w:after="80" w:lineRule="auto" w:line="276"/>
      </w:pPr>
      <w:r>
        <w:rPr>
          <w:b/>
        </w:rPr>
        <w:t xml:space="preserve">摘要（ZH）: </w:t>
      </w:r>
      <w:r>
        <w:t>开发先进的铱 (Ir) 基析氧反应 (OER) 催化剂对于质子交换膜水电解槽 (PEMWE) 至关重要。不幸的是，传统的吸附质演化机制（AEM）和晶格氧机制（LOM）途径面临活性与稳定性的权衡，给催化剂设计带来了巨大的挑战。在这里，我们通过设计非晶 VO 报告了一种电荷重新分布诱导氧 (O) 溢出策略</w:t>
      </w:r>
      <w:r>
        <w:t xml:space="preserve"> </w:t>
      </w:r>
      <w:r>
        <w:t>x</w:t>
      </w:r>
      <w:r>
        <w:t xml:space="preserve"> </w:t>
      </w:r>
      <w:r>
        <w:t>-负载型铱锡（IrSn）合金OER催化剂，可有效转移中毒的含氧中间体，并在动态OER过程中保持Ir价态稳定性（+2.5），从而增强活性和稳定性。特别是，IrSn-VO</w:t>
      </w:r>
      <w:r>
        <w:t xml:space="preserve"> </w:t>
      </w:r>
      <w:r>
        <w:t>x</w:t>
      </w:r>
      <w:r>
        <w:t xml:space="preserve"> </w:t>
      </w:r>
      <w:r>
        <w:t>基于 PEMWE 的阳极可以在 1.798 伏电压下提供每平方厘米 3.0 安培的电流密度（每平方厘米 0.4 毫克铂和铱），超过了美国能源部 (DOE) 2026 年的目标。 25 平方厘米的 PEMWE 在工业电流（≥25 安培）下可稳定运行 5000 小时，降解率极低，为每小时 5.6 微伏，代表了实际 PEMWE 报道的最佳 OER 催化剂之一。理论计算预测 IrSn-VO 内的电荷重新分布</w:t>
      </w:r>
      <w:r>
        <w:t xml:space="preserve"> </w:t>
      </w:r>
      <w:r>
        <w:t>x</w:t>
      </w:r>
      <w:r>
        <w:t xml:space="preserve"> </w:t>
      </w:r>
      <w:r>
        <w:t>可以减少 *O 溢出的动能垒（从 Ir 到 VO</w:t>
      </w:r>
    </w:p>
    <w:p>
      <w:pPr>
        <w:spacing w:before="0" w:after="200" w:lineRule="auto" w:line="276"/>
      </w:pPr>
      <w:r>
        <w:rPr>
          <w:b/>
        </w:rPr>
        <w:t xml:space="preserve">Abstract (EN): </w:t>
      </w:r>
      <w:r>
        <w:t>Developing advanced iridium (Ir)–based oxygen evolution reaction (OER) catalysts is critical for proton exchange membrane water electrolyzers (PEMWEs). Unfortunately, conventional adsorbate evolution mechanism (AEM) and lattice oxygen mechanism (LOM) pathways suffer from an activity-stability trade-off, posing substantial challenges for catalyst design. Here, we report a charge-redistribution-induced oxygen (O) spillover strategy by designing amorphous VO</w:t>
      </w:r>
      <w:r>
        <w:t xml:space="preserve"> </w:t>
      </w:r>
      <w:r>
        <w:t>x</w:t>
      </w:r>
      <w:r>
        <w:t xml:space="preserve"> </w:t>
      </w:r>
      <w:r>
        <w:t>-supported iridium-tin (IrSn) alloy OER catalysts, which can effectively transfer the poisoning oxygenated intermediates and maintain Ir valence stability (+2.5) during the dynamic OER to enhance activity and stability. In particular, the IrSn-VO</w:t>
      </w:r>
      <w:r>
        <w:t xml:space="preserve"> </w:t>
      </w:r>
      <w:r>
        <w:t>x</w:t>
      </w:r>
      <w:r>
        <w:t xml:space="preserve"> </w:t>
      </w:r>
      <w:r>
        <w:t>–based PEMWE anode can deliver a current density of 3.0 amperes per square centimeter @ 1.798 volts (0.4 milligrams of platinum and Ir per square centimeter), surpassing the US Department of Energy (DOE) 2026 targets. A 25–square centimeter PEMWE operates stably for 5000 hours at industrial currents (≥25 amperes) with an exceptionally low degradation rate of 5.6 microvolts per hour, representing one of the best OER catalysts reported for practical PEMWEs. Theoretical calculations predict that the charge redistribution within IrSn-VO</w:t>
      </w:r>
      <w:r>
        <w:t xml:space="preserve"> </w:t>
      </w:r>
      <w:r>
        <w:t>x</w:t>
      </w:r>
      <w:r>
        <w:t xml:space="preserve"> </w:t>
      </w:r>
      <w:r>
        <w:t>could reduce the kinetic energy barrier for *O spillover (from Ir to VO</w:t>
      </w:r>
      <w:r>
        <w:t xml:space="preserve"> </w:t>
      </w:r>
      <w:r>
        <w:t>x</w:t>
      </w:r>
      <w:r>
        <w:t xml:space="preserve"> </w:t>
      </w:r>
      <w:r>
        <w:t>) by 69% relative to O-O coupling, thus triggering the O spillover against the Ir overoxidation/dissolution. Consequently, IrSn–VO</w:t>
      </w:r>
      <w:r>
        <w:t xml:space="preserve"> </w:t>
      </w:r>
      <w:r>
        <w:t>x</w:t>
      </w:r>
      <w:r>
        <w:t xml:space="preserve"> </w:t>
      </w:r>
      <w:r>
        <w:t>follows a support-involved LOM pathway with a reduced rate-determining-step barrier (0.37 electron volts) relative to IrSn following AEM (0.66 electron volts). In addition, Sn doping in IrSn-VO</w:t>
      </w:r>
      <w:r>
        <w:t xml:space="preserve"> </w:t>
      </w:r>
      <w:r>
        <w:t>x</w:t>
      </w:r>
      <w:r>
        <w:t xml:space="preserve"> </w:t>
      </w:r>
      <w:r>
        <w:t>can further promote the regeneration of VO</w:t>
      </w:r>
      <w:r>
        <w:t xml:space="preserve"> </w:t>
      </w:r>
      <w:r>
        <w:t>x</w:t>
      </w:r>
      <w:r>
        <w:t xml:space="preserve"> </w:t>
      </w:r>
      <w:r>
        <w:t>lattice O and improve stability.</w:t>
      </w:r>
    </w:p>
    <w:p>
      <w:pPr>
        <w:spacing w:before="120" w:after="120"/>
      </w:pPr>
      <w:r>
        <w:rPr>
          <w:sz w:val="18"/>
        </w:rPr>
        <w:t>——————————————————————————————————————————————————————————————————————</w:t>
      </w:r>
    </w:p>
    <w:p>
      <w:pPr>
        <w:spacing w:before="160" w:after="40" w:line="240" w:lineRule="auto"/>
      </w:pPr>
      <w:r>
        <w:rPr>
          <w:b/>
        </w:rPr>
        <w:t xml:space="preserve">[39] </w:t>
      </w:r>
      <w:hyperlink r:id="rId408">
        <w:r>
          <w:rPr>
            <w:color w:val="1155CC"/>
            <w:u w:val="single"/>
          </w:rPr>
          <w:t>动态激活惰性 Ti4+ 位点以将析氧途径转向实用 PEM 水电解</w:t>
        </w:r>
      </w:hyperlink>
    </w:p>
    <w:p>
      <w:pPr>
        <w:spacing w:before="0" w:after="80"/>
      </w:pPr>
      <w:r>
        <w:rPr>
          <w:i/>
          <w:sz w:val="20"/>
        </w:rPr>
        <w:t>EN: Dynamically Activating Inert Ti4+ Sites to Redirect the Oxygen Evolution Pathway Toward Practical PEM Water Electrolysis</w:t>
      </w:r>
    </w:p>
    <w:p>
      <w:pPr>
        <w:spacing w:before="0" w:after="120"/>
      </w:pPr>
      <w:r>
        <w:rPr>
          <w:b/>
        </w:rPr>
        <w:t xml:space="preserve">Source: </w:t>
      </w:r>
      <w:r>
        <w:t>Wiley: Advanced Materials: Table of Contents</w:t>
      </w:r>
      <w:r>
        <w:t xml:space="preserve">    </w:t>
      </w:r>
      <w:r>
        <w:rPr>
          <w:b/>
        </w:rPr>
        <w:t xml:space="preserve">Pub date: </w:t>
      </w:r>
      <w:r>
        <w:t>2026-08-05 09:33:04+00:00</w:t>
      </w:r>
      <w:r>
        <w:t xml:space="preserve">    </w:t>
      </w:r>
      <w:r>
        <w:rPr>
          <w:b/>
        </w:rPr>
        <w:t xml:space="preserve">DOI: </w:t>
      </w:r>
      <w:hyperlink r:id="rId409">
        <w:r>
          <w:rPr>
            <w:color w:val="1155CC"/>
            <w:u w:val="single"/>
          </w:rPr>
          <w:t>10.1002/adma.74457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开发用于酸性析氧反应（OER）的高活性和耐用的非铱电催化剂对于可扩展的质子交换膜水电解槽（PEMWE）至关重要。在这里，我们报告了一种酸溶解反掺杂策略来合成 Ti 掺杂 RuO</w:t>
      </w:r>
      <w:r>
        <w:rPr>
          <w:vertAlign w:val="subscript"/>
        </w:rPr>
        <w:t>2</w:t>
      </w:r>
      <w:r>
        <w:t>(Ti-RuO</w:t>
      </w:r>
      <w:r>
        <w:rPr>
          <w:vertAlign w:val="subscript"/>
        </w:rPr>
        <w:t>2</w:t>
      </w:r>
      <w:r>
        <w:t>）具有原子级均匀性。这会引起压缩晶格应变和独特的 3d-2p-4d 轨道杂化，动态激活传统惰性 Ti</w:t>
      </w:r>
      <w:r>
        <w:t xml:space="preserve"> </w:t>
      </w:r>
      <w:r>
        <w:t>4+</w:t>
      </w:r>
      <w:r>
        <w:t xml:space="preserve"> </w:t>
      </w:r>
      <w:r>
        <w:t>位点进入高活性中心，直接激活水分子，同时降低速率决定步骤障碍。原位光谱和理论计算揭示了Ti和Ru位点之间通过Ti-O-O-Ru桥接中间体的协同相互作用，将该机制从传统的吸附质演化机制（AEM）转变为Ti-Ru双位点氧化物路径机制（OPM）。此外，活化的Ti位点优化了界面水结构，加速质子转移并抑制晶格氧氧化，从而增强催化剂的稳定性。因此，Ti-RuO</w:t>
      </w:r>
      <w:r>
        <w:rPr>
          <w:vertAlign w:val="subscript"/>
        </w:rPr>
        <w:t>2</w:t>
      </w:r>
      <w:r>
        <w:t>在 10 mA cm 时实现 218 mV 的过电势</w:t>
      </w:r>
      <w:r>
        <w:t xml:space="preserve"> </w:t>
      </w:r>
      <w:r>
        <w:t>−2</w:t>
      </w:r>
      <w:r>
        <w:t xml:space="preserve"> </w:t>
      </w:r>
      <w:r>
        <w:t>稳定运行800小时以上。在实用的 PEMWE 设备中，它提供 3 A cm</w:t>
      </w:r>
      <w:r>
        <w:t xml:space="preserve"> </w:t>
      </w:r>
      <w:r>
        <w:t>−2</w:t>
      </w:r>
      <w:r>
        <w:t xml:space="preserve"> </w:t>
      </w:r>
      <w:r>
        <w:t>电压为 1.787 V，超过美国能源部 2026 年目标，并在 1 A cm 下运行超过 400 小时</w:t>
      </w:r>
      <w:r>
        <w:t xml:space="preserve"> </w:t>
      </w:r>
      <w:r>
        <w:t>−2</w:t>
      </w:r>
    </w:p>
    <w:p>
      <w:pPr>
        <w:spacing w:before="0" w:after="200" w:lineRule="auto" w:line="276"/>
      </w:pPr>
      <w:r>
        <w:rPr>
          <w:b/>
        </w:rPr>
        <w:t xml:space="preserve">Abstract (EN): </w:t>
      </w:r>
      <w:r>
        <w:t>Developing highly active and durable non‐iridium electrocatalysts for the acidic oxygen evolution reaction (OER) is critical for scalable proton exchange membrane water electrolyzers (PEMWE). Here, we report an acid‐dissolution inverse‐doping strategy to synthesize Ti‐doped RuO</w:t>
      </w:r>
      <w:r>
        <w:rPr>
          <w:vertAlign w:val="subscript"/>
        </w:rPr>
        <w:t>2</w:t>
      </w:r>
      <w:r>
        <w:t>(Ti‐RuO</w:t>
      </w:r>
      <w:r>
        <w:rPr>
          <w:vertAlign w:val="subscript"/>
        </w:rPr>
        <w:t>2</w:t>
      </w:r>
      <w:r>
        <w:t>) with atomic‐level uniformity. This induces compressive lattice strain and a unique 3d–2p–4d orbital hybridization, dynamically activating traditionally inert Ti</w:t>
      </w:r>
      <w:r>
        <w:t xml:space="preserve"> </w:t>
      </w:r>
      <w:r>
        <w:t>4+</w:t>
      </w:r>
      <w:r>
        <w:t xml:space="preserve"> </w:t>
      </w:r>
      <w:r>
        <w:t>sites into highly active centers for direct water molecule activation while lowering the rate‐determining step barrier. Operando spectroscopy and theoretical calculations reveal a cooperative interaction between Ti and Ru sites via a Ti–O–O–Ru bridged intermediate, shifting the mechanism from the conventional adsorbate evolution mechanism (AEM) to a Ti–Ru dual‐site oxide path mechanism (OPM). Furthermore, activated Ti sites optimize interfacial water structure, accelerating proton transfer and suppressing lattice oxygen oxidation, thereby enhancing the catalyst's stability. Consequently, Ti‐RuO</w:t>
      </w:r>
      <w:r>
        <w:rPr>
          <w:vertAlign w:val="subscript"/>
        </w:rPr>
        <w:t>2</w:t>
      </w:r>
      <w:r>
        <w:t>achieves an overpotential of 218 mV at 10 mA cm</w:t>
      </w:r>
      <w:r>
        <w:t xml:space="preserve"> </w:t>
      </w:r>
      <w:r>
        <w:t>−2</w:t>
      </w:r>
      <w:r>
        <w:t xml:space="preserve"> </w:t>
      </w:r>
      <w:r>
        <w:t>and operates stably for over 800 h. In a practical PEMWE device, it delivers 3 A cm</w:t>
      </w:r>
      <w:r>
        <w:t xml:space="preserve"> </w:t>
      </w:r>
      <w:r>
        <w:t>−2</w:t>
      </w:r>
      <w:r>
        <w:t xml:space="preserve"> </w:t>
      </w:r>
      <w:r>
        <w:t>at 1.787 V, exceeding the US DOE 2026 target, and operates over 400 h at 1 A cm</w:t>
      </w:r>
      <w:r>
        <w:t xml:space="preserve"> </w:t>
      </w:r>
      <w:r>
        <w:t>−2</w:t>
      </w:r>
      <w:r>
        <w:t xml:space="preserve"> </w:t>
      </w:r>
      <w:r>
        <w:t>with a minimal voltage degradation. This work introduces a promising non‐iridium catalyst and a general strategy for dynamic dopant activation.</w:t>
      </w:r>
    </w:p>
    <w:p>
      <w:pPr>
        <w:spacing w:before="120" w:after="120"/>
      </w:pPr>
      <w:r>
        <w:rPr>
          <w:sz w:val="18"/>
        </w:rPr>
        <w:t>——————————————————————————————————————————————————————————————————————</w:t>
      </w:r>
    </w:p>
    <w:p>
      <w:pPr>
        <w:spacing w:before="160" w:after="40" w:line="240" w:lineRule="auto"/>
      </w:pPr>
      <w:r>
        <w:rPr>
          <w:b/>
        </w:rPr>
        <w:t xml:space="preserve">[40] </w:t>
      </w:r>
      <w:hyperlink r:id="rId410">
        <w:r>
          <w:rPr>
            <w:color w:val="1155CC"/>
            <w:u w:val="single"/>
          </w:rPr>
          <w:t>用于氧还原的具有高指数面的非常规相 Pd20Te7 八面体</w:t>
        </w:r>
      </w:hyperlink>
    </w:p>
    <w:p>
      <w:pPr>
        <w:spacing w:before="0" w:after="80"/>
      </w:pPr>
      <w:r>
        <w:rPr>
          <w:i/>
          <w:sz w:val="20"/>
        </w:rPr>
        <w:t>EN: Unconventional‐Phase Pd20Te7 Octahedra With High‐Index Facets for Oxygen Reduction</w:t>
      </w:r>
    </w:p>
    <w:p>
      <w:pPr>
        <w:spacing w:before="0" w:after="120"/>
      </w:pPr>
      <w:r>
        <w:rPr>
          <w:b/>
        </w:rPr>
        <w:t xml:space="preserve">Source: </w:t>
      </w:r>
      <w:r>
        <w:t>Wiley: Angewandte Chemie International Edition: Table of Contents</w:t>
      </w:r>
      <w:r>
        <w:t xml:space="preserve">    </w:t>
      </w:r>
      <w:r>
        <w:rPr>
          <w:b/>
        </w:rPr>
        <w:t xml:space="preserve">Pub date: </w:t>
      </w:r>
      <w:r>
        <w:t>2026-08-05 13:18:39+00:00</w:t>
      </w:r>
      <w:r>
        <w:t xml:space="preserve">    </w:t>
      </w:r>
      <w:r>
        <w:rPr>
          <w:b/>
        </w:rPr>
        <w:t xml:space="preserve">DOI: </w:t>
      </w:r>
      <w:hyperlink r:id="rId411">
        <w:r>
          <w:rPr>
            <w:color w:val="1155CC"/>
            <w:u w:val="single"/>
          </w:rPr>
          <w:t>10.1002/anie.9215475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高表面能给高折射率多面纳米材料的化学合成带来了重大挑战。然而，具有高折射率晶面的非常规相钯（Pd）基纳米晶体的制备在很大程度上尚未被探索。在这里，我们引入乙二醇作为非常规相 Pd 的形貌和尺寸控制剂</w:t>
      </w:r>
      <w:r>
        <w:rPr>
          <w:vertAlign w:val="subscript"/>
        </w:rPr>
        <w:t>20</w:t>
      </w:r>
      <w:r>
        <w:t>碲</w:t>
      </w:r>
      <w:r>
        <w:rPr>
          <w:vertAlign w:val="subscript"/>
        </w:rPr>
        <w:t>7</w:t>
      </w:r>
      <w:r>
        <w:t>纳米八面体 (NO) 由 {300}、{20} 和 {23} 高指数面包围。这些面赋予 Pd</w:t>
      </w:r>
      <w:r>
        <w:rPr>
          <w:vertAlign w:val="subscript"/>
        </w:rPr>
        <w:t>20</w:t>
      </w:r>
      <w:r>
        <w:t>碲</w:t>
      </w:r>
      <w:r>
        <w:rPr>
          <w:vertAlign w:val="subscript"/>
        </w:rPr>
        <w:t>7</w:t>
      </w:r>
      <w:r>
        <w:t>NOs对碱性氧还原反应具有优异的电催化活性。其质量活性高达 1.91 A mg</w:t>
      </w:r>
      <w:r>
        <w:t xml:space="preserve"> </w:t>
      </w:r>
      <w:r>
        <w:t>钯</w:t>
      </w:r>
      <w:r>
        <w:t xml:space="preserve"> </w:t>
      </w:r>
      <w:r>
        <w:t>−1</w:t>
      </w:r>
      <w:r>
        <w:t xml:space="preserve"> </w:t>
      </w:r>
      <w:r>
        <w:t>在 0.90 V（相对于 RHE）下表现出相对于 Pd 的 1.89 倍增强</w:t>
      </w:r>
      <w:r>
        <w:rPr>
          <w:vertAlign w:val="subscript"/>
        </w:rPr>
        <w:t>20</w:t>
      </w:r>
      <w:r>
        <w:t>碲</w:t>
      </w:r>
      <w:r>
        <w:rPr>
          <w:vertAlign w:val="subscript"/>
        </w:rPr>
        <w:t>7</w:t>
      </w:r>
      <w:r>
        <w:t>纳米颗粒（NP）。更重要的是，Pd</w:t>
      </w:r>
      <w:r>
        <w:rPr>
          <w:vertAlign w:val="subscript"/>
        </w:rPr>
        <w:t>20</w:t>
      </w:r>
      <w:r>
        <w:t>碲</w:t>
      </w:r>
      <w:r>
        <w:rPr>
          <w:vertAlign w:val="subscript"/>
        </w:rPr>
        <w:t>7</w:t>
      </w:r>
      <w:r>
        <w:t>基于 NO 的膜电极组件 (MEA) 实现了 0.59 W cm 的峰值功率密度</w:t>
      </w:r>
      <w:r>
        <w:t xml:space="preserve"> </w:t>
      </w:r>
      <w:r>
        <w:t>−2</w:t>
      </w:r>
      <w:r>
        <w:t xml:space="preserve"> </w:t>
      </w:r>
      <w:r>
        <w:t>质量活度为 14.33 A mg</w:t>
      </w:r>
      <w:r>
        <w:t xml:space="preserve"> </w:t>
      </w:r>
      <w:r>
        <w:t>铂族金属</w:t>
      </w:r>
      <w:r>
        <w:t xml:space="preserve"> </w:t>
      </w:r>
      <w:r>
        <w:t>−1</w:t>
      </w:r>
      <w:r>
        <w:t xml:space="preserve"> </w:t>
      </w:r>
      <w:r>
        <w:t>（PGM：铂族金属），以 H 为单位测量</w:t>
      </w:r>
      <w:r>
        <w:rPr>
          <w:vertAlign w:val="subscript"/>
        </w:rPr>
        <w:t>2</w:t>
      </w:r>
      <w:r>
        <w:t>‐O</w:t>
      </w:r>
      <w:r>
        <w:rPr>
          <w:vertAlign w:val="subscript"/>
        </w:rPr>
        <w:t>2</w:t>
      </w:r>
      <w:r>
        <w:t>燃料电池的内阻校正电压为 0.65 V，对应于 1</w:t>
      </w:r>
    </w:p>
    <w:p>
      <w:pPr>
        <w:spacing w:before="0" w:after="200" w:lineRule="auto" w:line="276"/>
      </w:pPr>
      <w:r>
        <w:rPr>
          <w:b/>
        </w:rPr>
        <w:t xml:space="preserve">Abstract (EN): </w:t>
      </w:r>
      <w:r>
        <w:t>The high surface energy leads to a significant challenge in the chemical synthesis of high‐index faceted nanomaterials. While the preparation of unconventional‐phase palladium (Pd)‐based nanocrystals with high‐index facets is largely unexplored. Herein, we introduce ethylene glycol as the morphology and size controller for unconventional‐phase Pd</w:t>
      </w:r>
      <w:r>
        <w:rPr>
          <w:vertAlign w:val="subscript"/>
        </w:rPr>
        <w:t>20</w:t>
      </w:r>
      <w:r>
        <w:t>Te</w:t>
      </w:r>
      <w:r>
        <w:rPr>
          <w:vertAlign w:val="subscript"/>
        </w:rPr>
        <w:t>7</w:t>
      </w:r>
      <w:r>
        <w:t>nano‐octahedra (NOs) enclosed by {300}, {20}, and {23} high‐index facets. These facets endow Pd</w:t>
      </w:r>
      <w:r>
        <w:rPr>
          <w:vertAlign w:val="subscript"/>
        </w:rPr>
        <w:t>20</w:t>
      </w:r>
      <w:r>
        <w:t>Te</w:t>
      </w:r>
      <w:r>
        <w:rPr>
          <w:vertAlign w:val="subscript"/>
        </w:rPr>
        <w:t>7</w:t>
      </w:r>
      <w:r>
        <w:t>NOs with excellent electrocatalytic activity for alkaline oxygen reduction reaction. Their high mass activity of 1.91 A mg</w:t>
      </w:r>
      <w:r>
        <w:t xml:space="preserve"> </w:t>
      </w:r>
      <w:r>
        <w:t>Pd</w:t>
      </w:r>
      <w:r>
        <w:t xml:space="preserve"> </w:t>
      </w:r>
      <w:r>
        <w:t>−1</w:t>
      </w:r>
      <w:r>
        <w:t xml:space="preserve"> </w:t>
      </w:r>
      <w:r>
        <w:t>at 0.90 V (vs. RHE) demonstrates a 1.89‐fold enhancement relative to Pd</w:t>
      </w:r>
      <w:r>
        <w:rPr>
          <w:vertAlign w:val="subscript"/>
        </w:rPr>
        <w:t>20</w:t>
      </w:r>
      <w:r>
        <w:t>Te</w:t>
      </w:r>
      <w:r>
        <w:rPr>
          <w:vertAlign w:val="subscript"/>
        </w:rPr>
        <w:t>7</w:t>
      </w:r>
      <w:r>
        <w:t>nanoparticles (NPs). More importantly, the Pd</w:t>
      </w:r>
      <w:r>
        <w:rPr>
          <w:vertAlign w:val="subscript"/>
        </w:rPr>
        <w:t>20</w:t>
      </w:r>
      <w:r>
        <w:t>Te</w:t>
      </w:r>
      <w:r>
        <w:rPr>
          <w:vertAlign w:val="subscript"/>
        </w:rPr>
        <w:t>7</w:t>
      </w:r>
      <w:r>
        <w:t>NOs‐based membrane electrode assembly (MEA) achieves a peak power density of 0.59 W cm</w:t>
      </w:r>
      <w:r>
        <w:t xml:space="preserve"> </w:t>
      </w:r>
      <w:r>
        <w:t>−2</w:t>
      </w:r>
      <w:r>
        <w:t xml:space="preserve"> </w:t>
      </w:r>
      <w:r>
        <w:t>and a mass activity of 14.33 A mg</w:t>
      </w:r>
      <w:r>
        <w:t xml:space="preserve"> </w:t>
      </w:r>
      <w:r>
        <w:t>PGM</w:t>
      </w:r>
      <w:r>
        <w:t xml:space="preserve"> </w:t>
      </w:r>
      <w:r>
        <w:t>−1</w:t>
      </w:r>
      <w:r>
        <w:t xml:space="preserve"> </w:t>
      </w:r>
      <w:r>
        <w:t>(PGM: platinum group metals), measured in H</w:t>
      </w:r>
      <w:r>
        <w:rPr>
          <w:vertAlign w:val="subscript"/>
        </w:rPr>
        <w:t>2</w:t>
      </w:r>
      <w:r>
        <w:t>‐O</w:t>
      </w:r>
      <w:r>
        <w:rPr>
          <w:vertAlign w:val="subscript"/>
        </w:rPr>
        <w:t>2</w:t>
      </w:r>
      <w:r>
        <w:t>fuel cells at an internal resistance‐corrected voltage of 0.65 V, corresponding to a 1.22‐fold and 2.47‐fold enhancement compared to Pd</w:t>
      </w:r>
      <w:r>
        <w:rPr>
          <w:vertAlign w:val="subscript"/>
        </w:rPr>
        <w:t>20</w:t>
      </w:r>
      <w:r>
        <w:t>Te</w:t>
      </w:r>
      <w:r>
        <w:rPr>
          <w:vertAlign w:val="subscript"/>
        </w:rPr>
        <w:t>7</w:t>
      </w:r>
      <w:r>
        <w:t>NPs (0.49 W cm</w:t>
      </w:r>
      <w:r>
        <w:t xml:space="preserve"> </w:t>
      </w:r>
      <w:r>
        <w:t>−2</w:t>
      </w:r>
      <w:r>
        <w:t xml:space="preserve"> </w:t>
      </w:r>
      <w:r>
        <w:t>and 5.81 A mg</w:t>
      </w:r>
      <w:r>
        <w:t xml:space="preserve"> </w:t>
      </w:r>
      <w:r>
        <w:t>PGM</w:t>
      </w:r>
      <w:r>
        <w:t xml:space="preserve"> </w:t>
      </w:r>
      <w:r>
        <w:t>−1</w:t>
      </w:r>
      <w:r>
        <w:t xml:space="preserve"> </w:t>
      </w:r>
      <w:r>
        <w:t>). Furthermore, the Pd</w:t>
      </w:r>
      <w:r>
        <w:rPr>
          <w:vertAlign w:val="subscript"/>
        </w:rPr>
        <w:t>20</w:t>
      </w:r>
      <w:r>
        <w:t>Te</w:t>
      </w:r>
      <w:r>
        <w:rPr>
          <w:vertAlign w:val="subscript"/>
        </w:rPr>
        <w:t>7</w:t>
      </w:r>
      <w:r>
        <w:t>NOs‐based MEA demonstrates stable operation at 0.4 A cm</w:t>
      </w:r>
      <w:r>
        <w:t xml:space="preserve"> </w:t>
      </w:r>
      <w:r>
        <w:t>−2</w:t>
      </w:r>
      <w:r>
        <w:t xml:space="preserve"> </w:t>
      </w:r>
      <w:r>
        <w:t>for nearly 1440 min under an ultralow Pd loading of 0.022 mg cm</w:t>
      </w:r>
      <w:r>
        <w:t xml:space="preserve"> </w:t>
      </w:r>
      <w:r>
        <w:t>−2</w:t>
      </w:r>
      <w:r>
        <w:t xml:space="preserve"> </w:t>
      </w:r>
      <w:r>
        <w:t>on the cathode. This work offers a new avenue to rationally design and construct high‐index faceted nanocrystals for high‐efficiency catalytic applications.</w:t>
      </w:r>
    </w:p>
    <w:p>
      <w:pPr>
        <w:spacing w:before="120" w:after="120"/>
      </w:pPr>
      <w:r>
        <w:rPr>
          <w:sz w:val="18"/>
        </w:rPr>
        <w:t>——————————————————————————————————————————————————————————————————————</w:t>
      </w:r>
    </w:p>
    <w:p>
      <w:pPr>
        <w:spacing w:before="160" w:after="40" w:line="240" w:lineRule="auto"/>
      </w:pPr>
      <w:r>
        <w:rPr>
          <w:b/>
        </w:rPr>
        <w:t xml:space="preserve">[41] </w:t>
      </w:r>
      <w:hyperlink r:id="rId412">
        <w:r>
          <w:rPr>
            <w:color w:val="1155CC"/>
            <w:u w:val="single"/>
          </w:rPr>
          <w:t>自然光红外驱动的 Cu/Fe2O3 生物乙醇高效合成乙醛</w:t>
        </w:r>
      </w:hyperlink>
    </w:p>
    <w:p>
      <w:pPr>
        <w:spacing w:before="0" w:after="80"/>
      </w:pPr>
      <w:r>
        <w:rPr>
          <w:i/>
          <w:sz w:val="20"/>
        </w:rPr>
        <w:t>EN: Natural Sunlight IR‐Driven Highly Efficient Synthesis of Acetaldehyde From Bioethanol Over Cu/Fe2O3</w:t>
      </w:r>
    </w:p>
    <w:p>
      <w:pPr>
        <w:spacing w:before="0" w:after="120"/>
      </w:pPr>
      <w:r>
        <w:rPr>
          <w:b/>
        </w:rPr>
        <w:t xml:space="preserve">Source: </w:t>
      </w:r>
      <w:r>
        <w:t>Wiley: Angewandte Chemie International Edition: Table of Contents</w:t>
      </w:r>
      <w:r>
        <w:t xml:space="preserve">    </w:t>
      </w:r>
      <w:r>
        <w:rPr>
          <w:b/>
        </w:rPr>
        <w:t xml:space="preserve">Pub date: </w:t>
      </w:r>
      <w:r>
        <w:t>2026-08-05 13:30:51+00:00</w:t>
      </w:r>
      <w:r>
        <w:t xml:space="preserve">    </w:t>
      </w:r>
      <w:r>
        <w:rPr>
          <w:b/>
        </w:rPr>
        <w:t xml:space="preserve">DOI: </w:t>
      </w:r>
      <w:hyperlink r:id="rId413">
        <w:r>
          <w:rPr>
            <w:color w:val="1155CC"/>
            <w:u w:val="single"/>
          </w:rPr>
          <w:t>10.1002/anie.9513626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利用可再生生物质合成有价值的化学品可以减少对化石燃料的依赖并实现碳中和。在这里，首次采用红外光驱动的催化剂，Cu/Fe</w:t>
      </w:r>
      <w:r>
        <w:rPr>
          <w:vertAlign w:val="subscript"/>
        </w:rPr>
        <w:t>2</w:t>
      </w:r>
      <w:r>
        <w:t>氧</w:t>
      </w:r>
      <w:r>
        <w:rPr>
          <w:vertAlign w:val="subscript"/>
        </w:rPr>
        <w:t>3</w:t>
      </w:r>
      <w:r>
        <w:t>，旨在在室内红外光和自然阳光下将生物乙醇转化为有价值的乙醛，并伴随副产品绿色氢气。乙醛初始产量为 237 mmol g</w:t>
      </w:r>
      <w:r>
        <w:t xml:space="preserve"> </w:t>
      </w:r>
      <w:r>
        <w:t>−1</w:t>
      </w:r>
      <w:r>
        <w:t xml:space="preserve"> </w:t>
      </w:r>
      <w:r>
        <w:t>小时</w:t>
      </w:r>
      <w:r>
        <w:t xml:space="preserve"> </w:t>
      </w:r>
      <w:r>
        <w:t>−1</w:t>
      </w:r>
      <w:r>
        <w:t xml:space="preserve"> </w:t>
      </w:r>
      <w:r>
        <w:t>室内红外辐射和205 mmol g</w:t>
      </w:r>
      <w:r>
        <w:t xml:space="preserve"> </w:t>
      </w:r>
      <w:r>
        <w:t>−1</w:t>
      </w:r>
      <w:r>
        <w:t xml:space="preserve"> </w:t>
      </w:r>
      <w:r>
        <w:t>小时</w:t>
      </w:r>
      <w:r>
        <w:t xml:space="preserve"> </w:t>
      </w:r>
      <w:r>
        <w:t>−1</w:t>
      </w:r>
      <w:r>
        <w:t xml:space="preserve"> </w:t>
      </w:r>
      <w:r>
        <w:t>在真实阳光下，具有卓越的选择性 (97.7%) 和接近化学计量的 H</w:t>
      </w:r>
      <w:r>
        <w:rPr>
          <w:vertAlign w:val="subscript"/>
        </w:rPr>
        <w:t>2</w:t>
      </w:r>
      <w:r>
        <w:t>副产品生产。值得注意的是，周转数和初始周转频率超过红外驱动系统至少一个数量级，并且与运行温度高达 573 K 的领先能源密集型紫外可见光驱动和热催化乙醇转化工艺相比具有竞争力。这种高性能归因于：i）在皮秒时间尺度内构建高效的红外光子到声子能量转换通道以驱动局部热催化； ii) 对原位形成的 Cu/Fe 的协同效应</w:t>
      </w:r>
      <w:r>
        <w:rPr>
          <w:vertAlign w:val="subscript"/>
        </w:rPr>
        <w:t>2</w:t>
      </w:r>
      <w:r>
        <w:t>氧</w:t>
      </w:r>
      <w:r>
        <w:rPr>
          <w:vertAlign w:val="subscript"/>
        </w:rPr>
        <w:t>3</w:t>
      </w:r>
      <w:r>
        <w:t>界面，其中 Fe</w:t>
      </w:r>
      <w:r>
        <w:t xml:space="preserve"> </w:t>
      </w:r>
      <w:r>
        <w:t>3+</w:t>
      </w:r>
      <w:r>
        <w:t xml:space="preserve"> </w:t>
      </w:r>
      <w:r>
        <w:t>网站促进解离性电子</w:t>
      </w:r>
    </w:p>
    <w:p>
      <w:pPr>
        <w:spacing w:before="0" w:after="200" w:lineRule="auto" w:line="276"/>
      </w:pPr>
      <w:r>
        <w:rPr>
          <w:b/>
        </w:rPr>
        <w:t xml:space="preserve">Abstract (EN): </w:t>
      </w:r>
      <w:r>
        <w:t>Using renewable biomass to synthesize valuable chemicals can reduce fossil fuel dependence and achieve carbon neutrality. Here, for the first time an infrared light‐driven catalyst, Cu/Fe</w:t>
      </w:r>
      <w:r>
        <w:rPr>
          <w:vertAlign w:val="subscript"/>
        </w:rPr>
        <w:t>2</w:t>
      </w:r>
      <w:r>
        <w:t>O</w:t>
      </w:r>
      <w:r>
        <w:rPr>
          <w:vertAlign w:val="subscript"/>
        </w:rPr>
        <w:t>3</w:t>
      </w:r>
      <w:r>
        <w:t>, was designed to convert bioethanol to valuable acetaldehyde, accompanied by green hydrogen as a by‐product, under both indoor IR light and natural sunlight. It achieves an initial acetaldehyde yield of 237 mmol g</w:t>
      </w:r>
      <w:r>
        <w:t xml:space="preserve"> </w:t>
      </w:r>
      <w:r>
        <w:t>−1</w:t>
      </w:r>
      <w:r>
        <w:t xml:space="preserve"> </w:t>
      </w:r>
      <w:r>
        <w:t>h</w:t>
      </w:r>
      <w:r>
        <w:t xml:space="preserve"> </w:t>
      </w:r>
      <w:r>
        <w:t>−1</w:t>
      </w:r>
      <w:r>
        <w:t xml:space="preserve"> </w:t>
      </w:r>
      <w:r>
        <w:t>under indoor IR irradiation and 205 mmol g</w:t>
      </w:r>
      <w:r>
        <w:t xml:space="preserve"> </w:t>
      </w:r>
      <w:r>
        <w:t>−1</w:t>
      </w:r>
      <w:r>
        <w:t xml:space="preserve"> </w:t>
      </w:r>
      <w:r>
        <w:t>h</w:t>
      </w:r>
      <w:r>
        <w:t xml:space="preserve"> </w:t>
      </w:r>
      <w:r>
        <w:t>−1</w:t>
      </w:r>
      <w:r>
        <w:t xml:space="preserve"> </w:t>
      </w:r>
      <w:r>
        <w:t>under real sunlight, with exceptional selectivity (97.7%) and nearly stoichiometric H</w:t>
      </w:r>
      <w:r>
        <w:rPr>
          <w:vertAlign w:val="subscript"/>
        </w:rPr>
        <w:t>2</w:t>
      </w:r>
      <w:r>
        <w:t>byproduct production. Notably, the turnover number and initial turnover frequency surpass those of IR‐driven systems by at least one order of magnitude and perform competitively with leading energy‐intensive UV–vis‐driven and thermocatalytic ethanol conversion processes operated up to 573 K. This high performance is attributed to: i) the construction of an efficient IR photons‐to‐phonons energy conversion channel within the ps timescale to drive localized thermocatalysis; and ii) the synergistic effect on the in situ formed of Cu/Fe</w:t>
      </w:r>
      <w:r>
        <w:rPr>
          <w:vertAlign w:val="subscript"/>
        </w:rPr>
        <w:t>2</w:t>
      </w:r>
      <w:r>
        <w:t>O</w:t>
      </w:r>
      <w:r>
        <w:rPr>
          <w:vertAlign w:val="subscript"/>
        </w:rPr>
        <w:t>3</w:t>
      </w:r>
      <w:r>
        <w:t>interface, where Fe</w:t>
      </w:r>
      <w:r>
        <w:t xml:space="preserve"> </w:t>
      </w:r>
      <w:r>
        <w:t>3+</w:t>
      </w:r>
      <w:r>
        <w:t xml:space="preserve"> </w:t>
      </w:r>
      <w:r>
        <w:t>sites promote dissociative ethanol adsorption, and Cu</w:t>
      </w:r>
      <w:r>
        <w:rPr>
          <w:vertAlign w:val="subscript"/>
        </w:rPr>
        <w:t>0</w:t>
      </w:r>
      <w:r>
        <w:t>sites facilitates C─H bond cleavage.</w:t>
      </w:r>
    </w:p>
    <w:p>
      <w:pPr>
        <w:spacing w:before="120" w:after="120"/>
      </w:pPr>
      <w:r>
        <w:rPr>
          <w:sz w:val="18"/>
        </w:rPr>
        <w:t>——————————————————————————————————————————————————————————————————————</w:t>
      </w:r>
    </w:p>
    <w:p>
      <w:pPr>
        <w:spacing w:before="160" w:after="40" w:line="240" w:lineRule="auto"/>
      </w:pPr>
      <w:r>
        <w:rPr>
          <w:b/>
        </w:rPr>
        <w:t xml:space="preserve">[42] </w:t>
      </w:r>
      <w:hyperlink r:id="rId414">
        <w:r>
          <w:rPr>
            <w:color w:val="1155CC"/>
            <w:u w:val="single"/>
          </w:rPr>
          <w:t>CO2 合成甲醇铜基催化剂活性和选择性的关键驱动因素：来自原子分散促进剂的见解</w:t>
        </w:r>
      </w:hyperlink>
    </w:p>
    <w:p>
      <w:pPr>
        <w:spacing w:before="0" w:after="80"/>
      </w:pPr>
      <w:r>
        <w:rPr>
          <w:i/>
          <w:sz w:val="20"/>
        </w:rPr>
        <w:t>EN: Key Drivers of Activity and Selectivity in Cu‐Based Catalysts for Methanol Synthesis From CO2: Insights From Atomically Dispersed Promoters</w:t>
      </w:r>
    </w:p>
    <w:p>
      <w:pPr>
        <w:spacing w:before="0" w:after="120"/>
      </w:pPr>
      <w:r>
        <w:rPr>
          <w:b/>
        </w:rPr>
        <w:t xml:space="preserve">Source: </w:t>
      </w:r>
      <w:r>
        <w:t>Wiley: Angewandte Chemie International Edition: Table of Contents</w:t>
      </w:r>
      <w:r>
        <w:t xml:space="preserve">    </w:t>
      </w:r>
      <w:r>
        <w:rPr>
          <w:b/>
        </w:rPr>
        <w:t xml:space="preserve">Pub date: </w:t>
      </w:r>
      <w:r>
        <w:t>2026-08-05 14:04:01+00:00</w:t>
      </w:r>
      <w:r>
        <w:t xml:space="preserve">    </w:t>
      </w:r>
      <w:r>
        <w:rPr>
          <w:b/>
        </w:rPr>
        <w:t xml:space="preserve">DOI: </w:t>
      </w:r>
      <w:hyperlink r:id="rId415">
        <w:r>
          <w:rPr>
            <w:color w:val="1155CC"/>
            <w:u w:val="single"/>
          </w:rPr>
          <w:t>10.1002/anie.2693293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协同Cu-金属氧化物（Cu-MO</w:t>
      </w:r>
      <w:r>
        <w:t xml:space="preserve"> </w:t>
      </w:r>
      <w:r>
        <w:t>x</w:t>
      </w:r>
      <w:r>
        <w:t xml:space="preserve"> </w:t>
      </w:r>
      <w:r>
        <w:t>) 界面对于选择性 CO 至关重要</w:t>
      </w:r>
      <w:r>
        <w:rPr>
          <w:vertAlign w:val="subscript"/>
        </w:rPr>
        <w:t>2</w:t>
      </w:r>
      <w:r>
        <w:t>加氢生成甲醇，但其机械功能是工业 Cu/ZnO/Al 的长期争论的核心特征</w:t>
      </w:r>
      <w:r>
        <w:rPr>
          <w:vertAlign w:val="subscript"/>
        </w:rPr>
        <w:t>2</w:t>
      </w:r>
      <w:r>
        <w:t>氧</w:t>
      </w:r>
      <w:r>
        <w:rPr>
          <w:vertAlign w:val="subscript"/>
        </w:rPr>
        <w:t>3</w:t>
      </w:r>
      <w:r>
        <w:t>，仍然含糊不清。使用</w:t>
      </w:r>
      <w:r>
        <w:t xml:space="preserve"> </w:t>
      </w:r>
      <w:r>
        <w:t>操作</w:t>
      </w:r>
      <w:r>
        <w:t xml:space="preserve"> </w:t>
      </w:r>
      <w:r>
        <w:t>瞬态 DRIFTS-SSITKA，我们阐明了 M 的作用</w:t>
      </w:r>
      <w:r>
        <w:t xml:space="preserve"> </w:t>
      </w:r>
      <w:r>
        <w:t>+</w:t>
      </w:r>
      <w:r>
        <w:t xml:space="preserve"> </w:t>
      </w:r>
      <w:r>
        <w:t>位点（锌</w:t>
      </w:r>
      <w:r>
        <w:t xml:space="preserve"> </w:t>
      </w:r>
      <w:r>
        <w:t>2+</w:t>
      </w:r>
      <w:r>
        <w:t xml:space="preserve"> </w:t>
      </w:r>
      <w:r>
        <w:t>, 镓</w:t>
      </w:r>
      <w:r>
        <w:t xml:space="preserve"> </w:t>
      </w:r>
      <w:r>
        <w:t>3+</w:t>
      </w:r>
      <w:r>
        <w:t xml:space="preserve"> </w:t>
      </w:r>
      <w:r>
        <w:t>, 和 在</w:t>
      </w:r>
      <w:r>
        <w:t xml:space="preserve"> </w:t>
      </w:r>
      <w:r>
        <w:t>3+</w:t>
      </w:r>
      <w:r>
        <w:t xml:space="preserve"> </w:t>
      </w:r>
      <w:r>
        <w:t>) 型号 Cu─M/SiO</w:t>
      </w:r>
      <w:r>
        <w:rPr>
          <w:vertAlign w:val="subscript"/>
        </w:rPr>
        <w:t>2</w:t>
      </w:r>
      <w:r>
        <w:t>通过表面有机金属化学（SOMC）制备的催化剂。 X射线吸收光谱表明，这些促进剂在反应条件下在界面处还原为阳离子物质后从合金重组。我们发现促进剂对甲酸酯键强度的电子效应为活性和选择性提供了定量描述符。所有催化剂都遵循共同的甲酸盐溢出机制，以甲氧基氢化/解吸作为限速步骤。内在CH</w:t>
      </w:r>
      <w:r>
        <w:rPr>
          <w:vertAlign w:val="subscript"/>
        </w:rPr>
        <w:t>3</w:t>
      </w:r>
      <w:r>
        <w:t>OH 的形成速率遵循具有 C─O 键强度的萨巴蒂尔型火山，而选择性与 C─H 键强度（甲酸盐分解势垒的代表）线性相关。铜─镓/二氧化硅</w:t>
      </w:r>
      <w:r>
        <w:rPr>
          <w:vertAlign w:val="subscript"/>
        </w:rPr>
        <w:t>2</w:t>
      </w:r>
      <w:r>
        <w:t>显示最快的 SPI</w:t>
      </w:r>
    </w:p>
    <w:p>
      <w:pPr>
        <w:spacing w:before="0" w:after="200" w:lineRule="auto" w:line="276"/>
      </w:pPr>
      <w:r>
        <w:rPr>
          <w:b/>
        </w:rPr>
        <w:t xml:space="preserve">Abstract (EN): </w:t>
      </w:r>
      <w:r>
        <w:t>The synergistic Cu–metal oxide (Cu–MO</w:t>
      </w:r>
      <w:r>
        <w:t xml:space="preserve"> </w:t>
      </w:r>
      <w:r>
        <w:t>x</w:t>
      </w:r>
      <w:r>
        <w:t xml:space="preserve"> </w:t>
      </w:r>
      <w:r>
        <w:t>) interface is critical for selective CO</w:t>
      </w:r>
      <w:r>
        <w:rPr>
          <w:vertAlign w:val="subscript"/>
        </w:rPr>
        <w:t>2</w:t>
      </w:r>
      <w:r>
        <w:t>hydrogenation to methanol, yet its mechanistic function, the central, long‐debated feature of industrial Cu/ZnO/Al</w:t>
      </w:r>
      <w:r>
        <w:rPr>
          <w:vertAlign w:val="subscript"/>
        </w:rPr>
        <w:t>2</w:t>
      </w:r>
      <w:r>
        <w:t>O</w:t>
      </w:r>
      <w:r>
        <w:rPr>
          <w:vertAlign w:val="subscript"/>
        </w:rPr>
        <w:t>3</w:t>
      </w:r>
      <w:r>
        <w:t>, remains ambiguous. Using</w:t>
      </w:r>
      <w:r>
        <w:t xml:space="preserve"> </w:t>
      </w:r>
      <w:r>
        <w:t>operando</w:t>
      </w:r>
      <w:r>
        <w:t xml:space="preserve"> </w:t>
      </w:r>
      <w:r>
        <w:t>transient DRIFTS‐SSITKA, we elucidate the roles of M</w:t>
      </w:r>
      <w:r>
        <w:t xml:space="preserve"> </w:t>
      </w:r>
      <w:r>
        <w:t>+</w:t>
      </w:r>
      <w:r>
        <w:t xml:space="preserve"> </w:t>
      </w:r>
      <w:r>
        <w:t>sites (Zn</w:t>
      </w:r>
      <w:r>
        <w:t xml:space="preserve"> </w:t>
      </w:r>
      <w:r>
        <w:t>2+</w:t>
      </w:r>
      <w:r>
        <w:t xml:space="preserve"> </w:t>
      </w:r>
      <w:r>
        <w:t>, Ga</w:t>
      </w:r>
      <w:r>
        <w:t xml:space="preserve"> </w:t>
      </w:r>
      <w:r>
        <w:t>3+</w:t>
      </w:r>
      <w:r>
        <w:t xml:space="preserve"> </w:t>
      </w:r>
      <w:r>
        <w:t>, and In</w:t>
      </w:r>
      <w:r>
        <w:t xml:space="preserve"> </w:t>
      </w:r>
      <w:r>
        <w:t>3+</w:t>
      </w:r>
      <w:r>
        <w:t xml:space="preserve"> </w:t>
      </w:r>
      <w:r>
        <w:t>) on model Cu─M/SiO</w:t>
      </w:r>
      <w:r>
        <w:rPr>
          <w:vertAlign w:val="subscript"/>
        </w:rPr>
        <w:t>2</w:t>
      </w:r>
      <w:r>
        <w:t>catalysts prepared by surface organometallic chemistry (SOMC). X‐ray absorption spectroscopy reveals that these promoters restructure from alloys after reduction to cationic species at the interface under reaction conditions. We find the promoter's electronic effect on formate bond strengths provides quantitative descriptors for both activity and selectivity. All catalysts follow a common formate spillover mechanism, with methoxy hydrogenation/desorption as the rate‐limiting step. The intrinsic CH</w:t>
      </w:r>
      <w:r>
        <w:rPr>
          <w:vertAlign w:val="subscript"/>
        </w:rPr>
        <w:t>3</w:t>
      </w:r>
      <w:r>
        <w:t>OH formation rate follows a Sabatier‐type volcano with C─O bond strength, while selectivity correlates linearly with C─H bond strength (a proxy for the formate decomposition barrier). Cu─Ga/SiO</w:t>
      </w:r>
      <w:r>
        <w:rPr>
          <w:vertAlign w:val="subscript"/>
        </w:rPr>
        <w:t>2</w:t>
      </w:r>
      <w:r>
        <w:t>shows the fastest spillover, suppressing CO formation and yielding the highest selectivity; Cu─Zn/SiO</w:t>
      </w:r>
      <w:r>
        <w:rPr>
          <w:vertAlign w:val="subscript"/>
        </w:rPr>
        <w:t>2</w:t>
      </w:r>
      <w:r>
        <w:t>has optimal binding for the highest activity; In</w:t>
      </w:r>
      <w:r>
        <w:t xml:space="preserve"> </w:t>
      </w:r>
      <w:r>
        <w:t>3+</w:t>
      </w:r>
      <w:r>
        <w:t xml:space="preserve"> </w:t>
      </w:r>
      <w:r>
        <w:t>binds formate too strongly, creating a kinetic trap on the strong‐binding side of the volcano. These findings bring mechanistic clarity to the debated Cu─Zn(O) synergy, showing selectivity is governed by a balance of electronic stabilization and spillover dynamics.</w:t>
      </w:r>
    </w:p>
    <w:p>
      <w:pPr>
        <w:spacing w:before="120" w:after="120"/>
      </w:pPr>
      <w:r>
        <w:rPr>
          <w:sz w:val="18"/>
        </w:rPr>
        <w:t>——————————————————————————————————————————————————————————————————————</w:t>
      </w:r>
    </w:p>
    <w:p>
      <w:pPr>
        <w:spacing w:before="160" w:after="40" w:line="240" w:lineRule="auto"/>
      </w:pPr>
      <w:r>
        <w:rPr>
          <w:b/>
        </w:rPr>
        <w:t xml:space="preserve">[43] </w:t>
      </w:r>
      <w:hyperlink r:id="rId416">
        <w:r>
          <w:rPr>
            <w:color w:val="1155CC"/>
            <w:u w:val="single"/>
          </w:rPr>
          <w:t>调节单原子催化剂的局域配位：从基本概念到电催化的新兴突破</w:t>
        </w:r>
      </w:hyperlink>
    </w:p>
    <w:p>
      <w:pPr>
        <w:spacing w:before="0" w:after="80"/>
      </w:pPr>
      <w:r>
        <w:rPr>
          <w:i/>
          <w:sz w:val="20"/>
        </w:rPr>
        <w:t>EN: Modulating Local Coordination in Single‐Atom Catalysts: From Fundamental Concepts to Emerging Breakthroughs in Electrocatalysis</w:t>
      </w:r>
    </w:p>
    <w:p>
      <w:pPr>
        <w:spacing w:before="0" w:after="120"/>
      </w:pPr>
      <w:r>
        <w:rPr>
          <w:b/>
        </w:rPr>
        <w:t xml:space="preserve">Source: </w:t>
      </w:r>
      <w:r>
        <w:t>Wiley: Angewandte Chemie International Edition: Table of Contents</w:t>
      </w:r>
      <w:r>
        <w:t xml:space="preserve">    </w:t>
      </w:r>
      <w:r>
        <w:rPr>
          <w:b/>
        </w:rPr>
        <w:t xml:space="preserve">Pub date: </w:t>
      </w:r>
      <w:r>
        <w:t>2026-08-05 14:08:16+00:00</w:t>
      </w:r>
      <w:r>
        <w:t xml:space="preserve">    </w:t>
      </w:r>
      <w:r>
        <w:rPr>
          <w:b/>
        </w:rPr>
        <w:t xml:space="preserve">DOI: </w:t>
      </w:r>
      <w:hyperlink r:id="rId417">
        <w:r>
          <w:rPr>
            <w:color w:val="1155CC"/>
            <w:u w:val="single"/>
          </w:rPr>
          <w:t>10.1002/anie.3059499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SAC）因其最大的原子效率、结构精度和独特的催化性能而引起了人们的极大兴趣。虽然SAC中的中心金属原子作为主要活性位点，但其催化行为受到周围环境的强烈影响。局部配位层在调节电子结构和反应途径中发挥着关键作用，从而控制SAC的整体活性、选择性和稳定性。因此，通过合理的工程策略精确调节这种协调环境对于优化 SAC 的性能至关重要。尽管人们的兴趣日益浓厚，但与以合成/应用为中心的综述不同，通过电子描述符系统分析局部配位环境和金属支撑相互作用的综合综述仍然很少。在这篇综述文章中，我们提供了原子级、描述符驱动的配位效应对 SAC 电催化性能的分析，强调了中心金属原子及其配位球之间在激活水分解和氧气/二氧化碳还原等反应中的关键中间体方面的协同相互作用。我们还强调了 SAC 先进合成策略的独特特征，以及光谱和显微技术在阐明结构-活性关系中的关键作用，特别注重整合操作研究和理论计算。最后，最近的进展、仍然存在的挑战、</w:t>
      </w:r>
    </w:p>
    <w:p>
      <w:pPr>
        <w:spacing w:before="0" w:after="200" w:lineRule="auto" w:line="276"/>
      </w:pPr>
      <w:r>
        <w:rPr>
          <w:b/>
        </w:rPr>
        <w:t xml:space="preserve">Abstract (EN): </w:t>
      </w:r>
      <w:r>
        <w:t>Single‐atom catalysts (SACs) have attracted significant interest due to their maximized atom efficiency, structural precision, and unique catalytic properties. While the central metal atom in SACs serves as the primary active site, its catalytic behavior is strongly influenced by the surrounding environment. The local coordination sphere plays a critical role in modulating the electronic structure and reaction pathway, thereby governing the overall activity, selectivity, and stability of SACs. Consequently, precise regulation of this coordination environment through rational engineering strategies is essential for optimizing the performance of SACs. Despite growing interest, comprehensive reviews systematically analyzing local coordination environments and metal‐support interactions via electronic descriptors remain scarce, unlike synthesis/application‐focused ones. In this review article, we provide an atomic‐level, descriptor‐driven analysis of coordination effects on the electrocatalytic performance of SACs, emphasizing the synergistic interplay between central metal atoms and their coordination spheres in activating key intermediates in reactions such as water splitting and oxygen/carbon dioxide reduction. We also highlight the unique features of advanced synthetic strategies for SACs, alongside the critical role of spectroscopic and microscopic techniques in elucidating structure–activity relationships, with particular focus on integrating operando investigations and theoretical calculations. Finally, recent advances, remaining challenges, and future opportunities in coordination‐regulated SAC electrocatalysis are discussed.</w:t>
      </w:r>
    </w:p>
    <w:p>
      <w:pPr>
        <w:spacing w:before="120" w:after="120"/>
      </w:pPr>
      <w:r>
        <w:rPr>
          <w:sz w:val="18"/>
        </w:rPr>
        <w:t>——————————————————————————————————————————————————————————————————————</w:t>
      </w:r>
    </w:p>
    <w:p>
      <w:pPr>
        <w:spacing w:before="160" w:after="40" w:line="240" w:lineRule="auto"/>
      </w:pPr>
      <w:r>
        <w:rPr>
          <w:b/>
        </w:rPr>
        <w:t xml:space="preserve">[44] </w:t>
      </w:r>
      <w:hyperlink r:id="rId418">
        <w:r>
          <w:rPr>
            <w:color w:val="1155CC"/>
            <w:u w:val="single"/>
          </w:rPr>
          <w:t>电子几何预补偿使金属间 RhSb 双金属烯能够实现高效的亚硝酸盐电还原</w:t>
        </w:r>
      </w:hyperlink>
    </w:p>
    <w:p>
      <w:pPr>
        <w:spacing w:before="0" w:after="80"/>
      </w:pPr>
      <w:r>
        <w:rPr>
          <w:i/>
          <w:sz w:val="20"/>
        </w:rPr>
        <w:t>EN: Electronic‐Geometric Pre‐Compensation Enables Intermetallic RhSb Bimetallenes for Efficient Nitrite Electroreduction</w:t>
      </w:r>
    </w:p>
    <w:p>
      <w:pPr>
        <w:spacing w:before="0" w:after="120"/>
      </w:pPr>
      <w:r>
        <w:rPr>
          <w:b/>
        </w:rPr>
        <w:t xml:space="preserve">Source: </w:t>
      </w:r>
      <w:r>
        <w:t>Wiley: Angewandte Chemie International Edition: Table of Contents</w:t>
      </w:r>
      <w:r>
        <w:t xml:space="preserve">    </w:t>
      </w:r>
      <w:r>
        <w:rPr>
          <w:b/>
        </w:rPr>
        <w:t xml:space="preserve">Pub date: </w:t>
      </w:r>
      <w:r>
        <w:t>2026-08-05 14:29:34+00:00</w:t>
      </w:r>
      <w:r>
        <w:t xml:space="preserve">    </w:t>
      </w:r>
      <w:r>
        <w:rPr>
          <w:b/>
        </w:rPr>
        <w:t xml:space="preserve">DOI: </w:t>
      </w:r>
      <w:hyperlink r:id="rId419">
        <w:r>
          <w:rPr>
            <w:color w:val="1155CC"/>
            <w:u w:val="single"/>
          </w:rPr>
          <w:t>10.1002/anie.9586956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持续电化学合成旨在在温和条件下生产高价值化学品，但其进展受到有毒中间体强烈吸附导致的电催化剂失活的阻碍。通过削弱中毒中间体的吸附来减轻失活的策略受到吸附能的线性比例关系的限制，这同时减少了其他关键活性物质的结合，导致催化性能不足或反应条件苛刻。在本研究中，我们提出并验证了电子结构和几何结构之间的预补偿策略，专门针对 Rh 活性位点，以减轻亚硝酸盐电还原反应中的 *NO 中毒（NO</w:t>
      </w:r>
      <w:r>
        <w:rPr>
          <w:vertAlign w:val="subscript"/>
        </w:rPr>
        <w:t>2</w:t>
      </w:r>
      <w:r>
        <w:t>错误）。在所制造的金属间化合物 RhSb 双金属烯 (RhSb IMM) 中，Sb 通过调节电子结构来提高 Rh 对反应物的吸附能力，补偿有序合金结构所带来的几何约束弱吸附构型。因此，RhSb IMM 可稳定运行超过 880 小时，在 -0.3 V（相对于 RHE）下具有超过 90% 的出色法拉第效率，并实现平均氨 (NH</w:t>
      </w:r>
      <w:r>
        <w:rPr>
          <w:vertAlign w:val="subscript"/>
        </w:rPr>
        <w:t>3</w:t>
      </w:r>
      <w:r>
        <w:t>) 产量为 107.5 g h</w:t>
      </w:r>
      <w:r>
        <w:t xml:space="preserve"> </w:t>
      </w:r>
      <w:r>
        <w:t>−1</w:t>
      </w:r>
      <w:r>
        <w:t xml:space="preserve"> </w:t>
      </w:r>
      <w:r>
        <w:t>克</w:t>
      </w:r>
      <w:r>
        <w:t xml:space="preserve"> </w:t>
      </w:r>
      <w:r>
        <w:t>猫</w:t>
      </w:r>
      <w:r>
        <w:t xml:space="preserve"> </w:t>
      </w:r>
      <w:r>
        <w:t>−1</w:t>
      </w:r>
      <w:r>
        <w:t xml:space="preserve"> </w:t>
      </w:r>
      <w:r>
        <w:t>对于NO</w:t>
      </w:r>
      <w:r>
        <w:rPr>
          <w:vertAlign w:val="subscript"/>
        </w:rPr>
        <w:t>2</w:t>
      </w:r>
      <w:r>
        <w:t>电流密度超过 0.45 A cm 时的 ERR</w:t>
      </w:r>
      <w:r>
        <w:t xml:space="preserve"> </w:t>
      </w:r>
      <w:r>
        <w:t>−2</w:t>
      </w:r>
    </w:p>
    <w:p>
      <w:pPr>
        <w:spacing w:before="0" w:after="200" w:lineRule="auto" w:line="276"/>
      </w:pPr>
      <w:r>
        <w:rPr>
          <w:b/>
        </w:rPr>
        <w:t xml:space="preserve">Abstract (EN): </w:t>
      </w:r>
      <w:r>
        <w:t>Sustainable electrochemical synthesis aims to produce high‐value chemicals under mild conditions, but its advancement is hindered by electrocatalyst deactivation caused by the strong adsorption of poisoning intermediates. Strategies that mitigate deactivation by weakening the adsorption of poisoning intermediates are constrained by the linear scaling relationships of adsorption energies, which simultaneously reduce the binding of other key reactive species, leading to insufficient catalytic performance or demanding reaction conditions. In this study, we propose and validate a pre‐compensation strategy between electronic structure and geometric structure specifically toward Rh active sites to mitigate *NO poisoning in the nitrite electroreduction reaction (NO</w:t>
      </w:r>
      <w:r>
        <w:rPr>
          <w:vertAlign w:val="subscript"/>
        </w:rPr>
        <w:t>2</w:t>
      </w:r>
      <w:r>
        <w:t>ERR). In the fabricated intermetallic RhSb bimetallenes (RhSb IMMs), Sb boosts the adsorption capacity of Rh toward reactants by modulating the electronic structure, compensating for the geometrically constrained weak adsorption configuration imposed by the ordered alloy structure. Consequently, RhSb IMMs operate stably for over 880 h with an outstanding Faradaic efficiency of over 90% at −0.3 V (vs. RHE) and achieve an average ammonia (NH</w:t>
      </w:r>
      <w:r>
        <w:rPr>
          <w:vertAlign w:val="subscript"/>
        </w:rPr>
        <w:t>3</w:t>
      </w:r>
      <w:r>
        <w:t>) yield rate of 107.5 g h</w:t>
      </w:r>
      <w:r>
        <w:t xml:space="preserve"> </w:t>
      </w:r>
      <w:r>
        <w:t>−1</w:t>
      </w:r>
      <w:r>
        <w:t xml:space="preserve"> </w:t>
      </w:r>
      <w:r>
        <w:t>g</w:t>
      </w:r>
      <w:r>
        <w:t xml:space="preserve"> </w:t>
      </w:r>
      <w:r>
        <w:t>cat</w:t>
      </w:r>
      <w:r>
        <w:t xml:space="preserve"> </w:t>
      </w:r>
      <w:r>
        <w:t>−1</w:t>
      </w:r>
      <w:r>
        <w:t xml:space="preserve"> </w:t>
      </w:r>
      <w:r>
        <w:t>for NO</w:t>
      </w:r>
      <w:r>
        <w:rPr>
          <w:vertAlign w:val="subscript"/>
        </w:rPr>
        <w:t>2</w:t>
      </w:r>
      <w:r>
        <w:t>ERR at a current density exceeding 0.45 A cm</w:t>
      </w:r>
      <w:r>
        <w:t xml:space="preserve"> </w:t>
      </w:r>
      <w:r>
        <w:t>−2</w:t>
      </w:r>
      <w:r>
        <w:t xml:space="preserve"> </w:t>
      </w:r>
      <w:r>
        <w:t>. This compensation strategy provides a rational design principle for reconciling fundamental trade‐offs in catalysis and beyond.</w:t>
      </w:r>
    </w:p>
    <w:p>
      <w:pPr>
        <w:spacing w:before="120" w:after="120"/>
      </w:pPr>
      <w:r>
        <w:rPr>
          <w:sz w:val="18"/>
        </w:rPr>
        <w:t>——————————————————————————————————————————————————————————————————————</w:t>
      </w:r>
    </w:p>
    <w:p>
      <w:pPr>
        <w:spacing w:before="160" w:after="40" w:line="240" w:lineRule="auto"/>
      </w:pPr>
      <w:r>
        <w:rPr>
          <w:b/>
        </w:rPr>
        <w:t xml:space="preserve">[45] </w:t>
      </w:r>
      <w:hyperlink r:id="rId420">
        <w:r>
          <w:rPr>
            <w:color w:val="1155CC"/>
            <w:u w:val="single"/>
          </w:rPr>
          <w:t>原位爆炸诱导“应力+缺陷”结构增强析氢反应</w:t>
        </w:r>
      </w:hyperlink>
    </w:p>
    <w:p>
      <w:pPr>
        <w:spacing w:before="0" w:after="80"/>
      </w:pPr>
      <w:r>
        <w:rPr>
          <w:i/>
          <w:sz w:val="20"/>
        </w:rPr>
        <w:t>EN: In Situ Explosion Induced “Stress + Defect” Structure for Enhanced Hydrogen Evolution Reaction</w:t>
      </w:r>
    </w:p>
    <w:p>
      <w:pPr>
        <w:spacing w:before="0" w:after="120"/>
      </w:pPr>
      <w:r>
        <w:rPr>
          <w:b/>
        </w:rPr>
        <w:t xml:space="preserve">Source: </w:t>
      </w:r>
      <w:r>
        <w:t>Wiley: Angewandte Chemie International Edition: Table of Contents</w:t>
      </w:r>
      <w:r>
        <w:t xml:space="preserve">    </w:t>
      </w:r>
      <w:r>
        <w:rPr>
          <w:b/>
        </w:rPr>
        <w:t xml:space="preserve">Pub date: </w:t>
      </w:r>
      <w:r>
        <w:t>2026-08-05 15:04:52+00:00</w:t>
      </w:r>
      <w:r>
        <w:t xml:space="preserve">    </w:t>
      </w:r>
      <w:r>
        <w:rPr>
          <w:b/>
        </w:rPr>
        <w:t xml:space="preserve">DOI: </w:t>
      </w:r>
      <w:hyperlink r:id="rId421">
        <w:r>
          <w:rPr>
            <w:color w:val="1155CC"/>
            <w:u w:val="single"/>
          </w:rPr>
          <w:t>10.1002/anie.4584169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晶格应变和载流子缺陷的合理结合为调整多相催化剂的电子结构提供了策略，但在合成上仍然存在困难。我们提出了一种爆炸驱动的方法来构建 Pt 纳米粒子装饰的 UiO-66（Pt</w:t>
      </w:r>
      <w:r>
        <w:t xml:space="preserve"> </w:t>
      </w:r>
      <w:r>
        <w:t>NP</w:t>
      </w:r>
      <w:r>
        <w:t xml:space="preserve"> </w:t>
      </w:r>
      <w:r>
        <w:t>/UiO-66）具有可调拉伸晶格应变和缺陷工程金属-MOF 界面的催化剂。通过精确控制爆炸剂量，原位产生不同程度（0.229 nm）晶格应变的 Pt 纳米颗粒并锚定在富含缺陷的 UiO-66 上，从而形成界面肖特基结。选择酸性 HER 作为代表性模型系统来阐明结构与催化活性之间的相关性。所得催化剂中，Pt</w:t>
      </w:r>
      <w:r>
        <w:t xml:space="preserve"> </w:t>
      </w:r>
      <w:r>
        <w:t>NP-10</w:t>
      </w:r>
      <w:r>
        <w:t xml:space="preserve"> </w:t>
      </w:r>
      <w:r>
        <w:t>/UiO-66 具有最高的晶格拉伸应变，可提供 16 mV 的过电势。原位 X 射线吸收精细结构 (XAFS) 测量揭示了 Pt 局部配位结构在整个 HER 过程中的连续变化。互补光谱表征与密度泛函理论 (DFT) 计算相结合进一步表明，爆炸引起的晶格应变系统地调节了 H* 中间体的吸附强度。</w:t>
      </w:r>
    </w:p>
    <w:p>
      <w:pPr>
        <w:spacing w:before="0" w:after="200" w:lineRule="auto" w:line="276"/>
      </w:pPr>
      <w:r>
        <w:rPr>
          <w:b/>
        </w:rPr>
        <w:t xml:space="preserve">Abstract (EN): </w:t>
      </w:r>
      <w:r>
        <w:t>The rational integration of lattice strain and carrier defect offers strategy to adjust the electronic structure of heterogeneous catalysts, yet remains synthetically difficult. We present an explosive‐driven approach to construct Pt nanoparticle–decorated UiO‐66 (Pt</w:t>
      </w:r>
      <w:r>
        <w:t xml:space="preserve"> </w:t>
      </w:r>
      <w:r>
        <w:t>NP</w:t>
      </w:r>
      <w:r>
        <w:t xml:space="preserve"> </w:t>
      </w:r>
      <w:r>
        <w:t>/UiO‐66) catalysts with tunable tensile lattice strain and defect‐engineered metal–MOF interfaces. By precisely controlling the explosive dosage, Pt nanoparticle with different degrees(0.229 nm) of lattice strain are generated in situ and anchored onto defect‐rich UiO‐66, leading to the formation of interfacial Schottky junctions. The acidic HER is selected as a representative model system to elucidate the correlation between structure and catalytic activity. Among the obtained catalysts, Pt</w:t>
      </w:r>
      <w:r>
        <w:t xml:space="preserve"> </w:t>
      </w:r>
      <w:r>
        <w:t>NP‐10</w:t>
      </w:r>
      <w:r>
        <w:t xml:space="preserve"> </w:t>
      </w:r>
      <w:r>
        <w:t>/UiO‐66, possessing the highest lattice tensile strain, delivers an overpotential of 16 mV. In situ x‐ray absorption fine structure (XAFS) measurements reveal the continuous variation of the local coordination structure of Pt throughout the HER process. Complementary spectroscopic characterizations combined with density functional theory (DFT) calculations further show that explosive‐induced lattice strain systematically modulates the adsorption strength of the H* intermediate.</w:t>
      </w:r>
    </w:p>
    <w:p>
      <w:pPr>
        <w:spacing w:before="120" w:after="120"/>
      </w:pPr>
      <w:r>
        <w:rPr>
          <w:sz w:val="18"/>
        </w:rPr>
        <w:t>——————————————————————————————————————————————————————————————————————</w:t>
      </w:r>
    </w:p>
    <w:p>
      <w:pPr>
        <w:spacing w:before="160" w:after="40" w:line="240" w:lineRule="auto"/>
      </w:pPr>
      <w:r>
        <w:rPr>
          <w:b/>
        </w:rPr>
        <w:t xml:space="preserve">[46] </w:t>
      </w:r>
      <w:hyperlink r:id="rId422">
        <w:r>
          <w:rPr>
            <w:color w:val="1155CC"/>
            <w:u w:val="single"/>
          </w:rPr>
          <w:t>非平衡诱导的富含缺陷的双功能异质结用于甲酸铵的高选择性配对电合成</w:t>
        </w:r>
      </w:hyperlink>
    </w:p>
    <w:p>
      <w:pPr>
        <w:spacing w:before="0" w:after="80"/>
      </w:pPr>
      <w:r>
        <w:rPr>
          <w:i/>
          <w:sz w:val="20"/>
        </w:rPr>
        <w:t>EN: Nonequilibrium-Induced Defect-Rich Bifunctional Heterojunctions for Highly Selective Paired Electrosynthesis of Ammonium Formate</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423">
        <w:r>
          <w:rPr>
            <w:color w:val="1155CC"/>
            <w:u w:val="single"/>
          </w:rPr>
          <w:t>10.1021/jacs.6c08564</w:t>
        </w:r>
      </w:hyperlink>
    </w:p>
    <w:p>
      <w:pPr>
        <w:spacing w:before="0" w:after="120"/>
      </w:pPr>
      <w:r>
        <w:rPr>
          <w:b/>
        </w:rPr>
        <w:t xml:space="preserve">Notes: </w:t>
      </w:r>
      <w:r>
        <w:t>abstract_source=crossref</w:t>
      </w:r>
    </w:p>
    <w:p>
      <w:pPr>
        <w:spacing w:before="0" w:after="80" w:lineRule="auto" w:line="276"/>
      </w:pPr>
      <w:r>
        <w:rPr>
          <w:b/>
        </w:rPr>
        <w:t xml:space="preserve">摘要（ZH）: </w:t>
      </w:r>
      <w:r>
        <w:t>摘要：将硝酸盐电还原 (NO3RR) 与聚对苯二甲酸乙二醇酯 (PET) 升级循环耦合的配对电合成为闭合氮和碳循环提供了一条有前途的途径，但由于缺乏能够在高电流条件下高效运行的双功能催化剂，其实施受到阻碍。在这里，我们报告了一种通过闪蒸焦耳加热合成的缺陷工程LD-VO-CoO/Co3O4@C异质结催化剂，这是一种非平衡策略，可以在动力学上稳定大量的氧空位和明显的晶格畸变。 LD-VO-CoO/Co3O4@C 实现了 78.94 mg h–1 cm–2 的出色氨产率，法拉第效率 (FE) 为 97.14%，在 300 小时内具有优异的稳定性，超越了所有报道的单金属钴基催化剂，并且可以有效地将乙二醇氧化为甲酸盐（FE 的 98%）。在集成配置中，双功能 LD-VO-CoO/Co3O4@C 催化剂可实现稳定的安培级配对合成（2 A cm–2 @1.86 V，180 h at 1 A cm–2）。首次提出了原位下游延伸策略，通过阳极和阴极产物的直接混合来生产甲酸铵，并展示了可扩展的高电流配对电合成平台。技术经济评价显示，该配置的整体利润率惊人（75.7%），同时碳足迹大幅减少，从而扭转了氨电合成长期负利润的困境。</w:t>
      </w:r>
    </w:p>
    <w:p>
      <w:pPr>
        <w:spacing w:before="0" w:after="200" w:lineRule="auto" w:line="276"/>
      </w:pPr>
      <w:r>
        <w:rPr>
          <w:b/>
        </w:rPr>
        <w:t xml:space="preserve">Abstract (EN): </w:t>
      </w:r>
      <w:r>
        <w:t>Paired electrosynthesis that couples nitrate electroreduction (NO3RR) with polyethylene terephthalate (PET) upcycling offers a promising route to close nitrogen and carbon cycles, yet its implementation is hindered by the lack of bifunctional catalysts capable of operating efficiently under high-current conditions. Here, we report a defect-engineered LD-VO-CoO/Co3O4@C heterojunction catalyst synthesized via flash Joule heating, a nonequilibrium strategy that kinetically stabilizes abundant oxygen vacancies and pronounced lattice distortion. LD-VO-CoO/Co3O4@C achieves an outstanding ammonia yield rate of 78.94 mg h–1 cm–2 with a Faradaic efficiency (FE) of 97.14%, together with excellent stability over 300 h, surpassing all reported monometallic cobalt-based catalysts, as well as efficient oxidation of ethylene glycol to formate (98% of FE). In an integrated configuration, the bifunctional LD-VO-CoO/Co3O4@C catalyst enables stable ampere-level paired synthesis (2 A cm–2 @1.86 V, 180 h at 1 A cm–2). An in situ downstream extension strategy is proposed for the first time, enabling ammonium formate production via direct mixing of anodic and cathodic products, and demonstrating a scalable, high-current paired electrosynthesis platform. Techno-economic evaluation highlights a striking overall profit margin of this configuration (75.7%), along with a substantial reduction in carbon footprint, thereby reversing the long-term dilemma of negative profits for ammonia electrosynthesis.</w:t>
      </w:r>
    </w:p>
    <w:p>
      <w:pPr>
        <w:spacing w:before="120" w:after="120"/>
      </w:pPr>
      <w:r>
        <w:rPr>
          <w:sz w:val="18"/>
        </w:rPr>
        <w:t>——————————————————————————————————————————————————————————————————————</w:t>
      </w:r>
    </w:p>
    <w:p>
      <w:pPr>
        <w:spacing w:before="160" w:after="40" w:line="240" w:lineRule="auto"/>
      </w:pPr>
      <w:r>
        <w:rPr>
          <w:b/>
        </w:rPr>
        <w:t xml:space="preserve">[47] </w:t>
      </w:r>
      <w:hyperlink r:id="rId424">
        <w:r>
          <w:rPr>
            <w:color w:val="1155CC"/>
            <w:u w:val="single"/>
          </w:rPr>
          <w:t>过去十年微生物氢技术的评估：它是面向未来的技术吗？</w:t>
        </w:r>
      </w:hyperlink>
    </w:p>
    <w:p>
      <w:pPr>
        <w:spacing w:before="0" w:after="80"/>
      </w:pPr>
      <w:r>
        <w:rPr>
          <w:i/>
          <w:sz w:val="20"/>
        </w:rPr>
        <w:t>EN: Assessment of microbial hydrogen technologies over the last decade: is it a future-ready technology?</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425">
        <w:r>
          <w:rPr>
            <w:color w:val="1155CC"/>
            <w:u w:val="single"/>
          </w:rPr>
          <w:t>10.1016/j.apenergy.2026.128510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426">
        <w:r>
          <w:rPr>
            <w:color w:val="1155CC"/>
            <w:u w:val="single"/>
          </w:rPr>
          <w:t>径向纳米通道阵列碳可实现高性能金属间燃料电池催化剂</w:t>
        </w:r>
      </w:hyperlink>
    </w:p>
    <w:p>
      <w:pPr>
        <w:spacing w:before="0" w:after="80"/>
      </w:pPr>
      <w:r>
        <w:rPr>
          <w:i/>
          <w:sz w:val="20"/>
        </w:rPr>
        <w:t>EN: Radial nanochannel-array carbon enables high-performance intermetallic fuel cell catalysts</w:t>
      </w:r>
    </w:p>
    <w:p>
      <w:pPr>
        <w:spacing w:before="0" w:after="120"/>
      </w:pPr>
      <w:r>
        <w:rPr>
          <w:b/>
        </w:rPr>
        <w:t xml:space="preserve">Source: </w:t>
      </w:r>
      <w:r>
        <w:t>Nature Nanotechnology</w:t>
      </w:r>
      <w:r>
        <w:t xml:space="preserve">    </w:t>
      </w:r>
      <w:r>
        <w:rPr>
          <w:b/>
        </w:rPr>
        <w:t xml:space="preserve">Pub date: </w:t>
      </w:r>
      <w:r>
        <w:t>2026-08-06 00:00:00+00:00</w:t>
      </w:r>
      <w:r>
        <w:t xml:space="preserve">    </w:t>
      </w:r>
      <w:r>
        <w:rPr>
          <w:b/>
        </w:rPr>
        <w:t xml:space="preserve">DOI: </w:t>
      </w:r>
      <w:hyperlink r:id="rId427">
        <w:r>
          <w:rPr>
            <w:color w:val="1155CC"/>
            <w:u w:val="single"/>
          </w:rPr>
          <w:t>10.1038/s41565-026-02244-8</w:t>
        </w:r>
      </w:hyperlink>
    </w:p>
    <w:p>
      <w:pPr>
        <w:spacing w:before="0" w:after="120"/>
      </w:pPr>
      <w:r>
        <w:rPr>
          <w:b/>
        </w:rPr>
        <w:t xml:space="preserve">Notes: </w:t>
      </w:r>
      <w:r>
        <w:t>abstract_source=rss_nature</w:t>
      </w:r>
    </w:p>
    <w:p>
      <w:pPr>
        <w:spacing w:before="0" w:after="80" w:lineRule="auto" w:line="276"/>
      </w:pPr>
      <w:r>
        <w:rPr>
          <w:b/>
        </w:rPr>
        <w:t xml:space="preserve">摘要（ZH）: </w:t>
      </w:r>
      <w:r>
        <w:t>含有有序径向纳米通道阵列的中空纳米碳球被用作设计高性能金属间纳米颗粒燃料电池催化剂的载体。它们克服了金属间相的有序程度和纳米粒子分散度之间的权衡。</w:t>
      </w:r>
    </w:p>
    <w:p>
      <w:pPr>
        <w:spacing w:before="0" w:after="200" w:lineRule="auto" w:line="276"/>
      </w:pPr>
      <w:r>
        <w:rPr>
          <w:b/>
        </w:rPr>
        <w:t xml:space="preserve">Abstract (EN): </w:t>
      </w:r>
      <w:r>
        <w:t>Hollow nanocarbon spheres containing an ordered radial nanochannel array were used as supports to design high-performance intermetallic nanoparticle fuel cell catalysts. They overcome the trade-off between the degree of ordering in the intermetallic phase and nanoparticle dispersion.</w:t>
      </w:r>
    </w:p>
    <w:p>
      <w:pPr>
        <w:spacing w:before="120" w:after="120"/>
      </w:pPr>
      <w:r>
        <w:rPr>
          <w:sz w:val="18"/>
        </w:rPr>
        <w:t>——————————————————————————————————————————————————————————————————————</w:t>
      </w:r>
    </w:p>
    <w:p>
      <w:pPr>
        <w:spacing w:before="160" w:after="40" w:line="240" w:lineRule="auto"/>
      </w:pPr>
      <w:r>
        <w:rPr>
          <w:b/>
        </w:rPr>
        <w:t xml:space="preserve">[49] </w:t>
      </w:r>
      <w:hyperlink r:id="rId262">
        <w:r>
          <w:rPr>
            <w:color w:val="1155CC"/>
            <w:u w:val="single"/>
          </w:rPr>
          <w:t>氢和电池存储电网互动混合能源系统的分层协调优化</w:t>
        </w:r>
      </w:hyperlink>
    </w:p>
    <w:p>
      <w:pPr>
        <w:spacing w:before="0" w:after="80"/>
      </w:pPr>
      <w:r>
        <w:rPr>
          <w:i/>
          <w:sz w:val="20"/>
        </w:rPr>
        <w:t>EN: Hierarchical coordination optimization for grid-interactive hybrid energy systems with hydrogen and battery storage</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263">
        <w:r>
          <w:rPr>
            <w:color w:val="1155CC"/>
            <w:u w:val="single"/>
          </w:rPr>
          <w:t>10.1016/j.apenergy.2026.128529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428">
        <w:r>
          <w:rPr>
            <w:color w:val="1155CC"/>
            <w:u w:val="single"/>
          </w:rPr>
          <w:t>实现无碳能源系统的途径：技术进步、政策障碍和综合脱碳战略</w:t>
        </w:r>
      </w:hyperlink>
    </w:p>
    <w:p>
      <w:pPr>
        <w:spacing w:before="0" w:after="80"/>
      </w:pPr>
      <w:r>
        <w:rPr>
          <w:i/>
          <w:sz w:val="20"/>
        </w:rPr>
        <w:t>EN: Pathways towards a carbon-free energy system: Technological advances, policy barriers, and integrated decarbonization strategies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429">
        <w:r>
          <w:rPr>
            <w:color w:val="1155CC"/>
            <w:u w:val="single"/>
          </w:rPr>
          <w:t>10.1016/j.apenergy.2026.128548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430">
        <w:r>
          <w:rPr>
            <w:color w:val="1155CC"/>
            <w:u w:val="single"/>
          </w:rPr>
          <w:t>TPIC：时空价格驱动的电动货运卡车路线、装载和（卸载）充电综合协调框架</w:t>
        </w:r>
      </w:hyperlink>
    </w:p>
    <w:p>
      <w:pPr>
        <w:spacing w:before="0" w:after="80"/>
      </w:pPr>
      <w:r>
        <w:rPr>
          <w:i/>
          <w:sz w:val="20"/>
        </w:rPr>
        <w:t>EN: TPIC: A temporal–spatial price-driven integrated coordination framework for routing, loading, and (dis)charging of electric freight trucks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431">
        <w:r>
          <w:rPr>
            <w:color w:val="1155CC"/>
            <w:u w:val="single"/>
          </w:rPr>
          <w:t>10.1016/j.apenergy.2026.128517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32">
        <w:r>
          <w:rPr>
            <w:color w:val="1155CC"/>
            <w:u w:val="single"/>
          </w:rPr>
          <w:t>探索建筑脱碳的社会宏观经济影响，包括效率和反弹效应</w:t>
        </w:r>
      </w:hyperlink>
    </w:p>
    <w:p>
      <w:pPr>
        <w:spacing w:before="0" w:after="80"/>
      </w:pPr>
      <w:r>
        <w:rPr>
          <w:i/>
          <w:sz w:val="20"/>
        </w:rPr>
        <w:t>EN: Exploring the socio-macroeconomic impacts of buildings decarbonisation including efficiency and rebound effects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433">
        <w:r>
          <w:rPr>
            <w:color w:val="1155CC"/>
            <w:u w:val="single"/>
          </w:rPr>
          <w:t>10.1016/j.apenergy.2026.128391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34">
        <w:r>
          <w:rPr>
            <w:color w:val="1155CC"/>
            <w:u w:val="single"/>
          </w:rPr>
          <w:t>缩小高温差距：通过综合能源系统实现工业电力和工艺热的共同脱碳</w:t>
        </w:r>
      </w:hyperlink>
    </w:p>
    <w:p>
      <w:pPr>
        <w:spacing w:before="0" w:after="80"/>
      </w:pPr>
      <w:r>
        <w:rPr>
          <w:i/>
          <w:sz w:val="20"/>
        </w:rPr>
        <w:t>EN: Bridging the high-temperature gap: Co-decarbonizing industrial electricity and process heat via integrated energy systems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435">
        <w:r>
          <w:rPr>
            <w:color w:val="1155CC"/>
            <w:u w:val="single"/>
          </w:rPr>
          <w:t>10.1016/j.apenergy.2026.128470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436">
        <w:r>
          <w:rPr>
            <w:color w:val="1155CC"/>
            <w:u w:val="single"/>
          </w:rPr>
          <w:t>电机系统优化的能源和非能源成本效益评估：基于回顾和案例研究的框架</w:t>
        </w:r>
      </w:hyperlink>
    </w:p>
    <w:p>
      <w:pPr>
        <w:spacing w:before="0" w:after="80"/>
      </w:pPr>
      <w:r>
        <w:rPr>
          <w:i/>
          <w:sz w:val="20"/>
        </w:rPr>
        <w:t>EN: Energy and non-energy cost-benefit assessment of motor system optimization: A review and case study–based framework</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437">
        <w:r>
          <w:rPr>
            <w:color w:val="1155CC"/>
            <w:u w:val="single"/>
          </w:rPr>
          <w:t>10.1016/j.apenergy.2026.128474</w:t>
        </w:r>
      </w:hyperlink>
    </w:p>
    <w:p>
      <w:pPr>
        <w:spacing w:before="0" w:after="120"/>
      </w:pPr>
      <w:r>
        <w:rPr>
          <w:b/>
        </w:rPr>
        <w:t xml:space="preserve">Notes: </w:t>
      </w:r>
      <w:r>
        <w:t>abstract_source=openalex</w:t>
      </w:r>
    </w:p>
    <w:p>
      <w:pPr>
        <w:spacing w:before="0" w:after="80" w:lineRule="auto" w:line="276"/>
      </w:pPr>
      <w:r>
        <w:rPr>
          <w:b/>
        </w:rPr>
        <w:t xml:space="preserve">摘要（ZH）: </w:t>
      </w:r>
      <w:r>
        <w:t>工业和商业电机驱动系统占电力消耗的很大一部分，是节能、降低成本和脱碳的重大机遇。然而，电机系统优化的投资决策通常主要基于直接节电，而诸如减少停机时间、降低维护成本、提高可靠性、提高生产率、增强安全性和降低噪音等非能源效益经常被忽略或定性对待。本研究旨在开发一个结构化的成本效益评估框架，整合能源效益和非能源效益，以支持电机系统优化和投资决策。该方法结合了文献综述、案例研究综合、电机系统优化技术分类、非能源效益货币化指数的制定、子行业技术权重因子、保守比例因子和敏感性分析。拟议的框架适用于工业和商业子行业和技术，包括高效电机、变速驱动器、同步磁阻电机和永磁电机系统。结果表明，电机系统优化可以节省电力，在应用中通常可以节省 30% 以上的电力，特别是在实施变速驱动器和改进控制等系统级措施时。当保守假设下包含非能源效益时，项目总效益将大幅增加，预计投资回收期平均会缩短</w:t>
      </w:r>
    </w:p>
    <w:p>
      <w:pPr>
        <w:spacing w:before="0" w:after="200" w:lineRule="auto" w:line="276"/>
      </w:pPr>
      <w:r>
        <w:rPr>
          <w:b/>
        </w:rPr>
        <w:t xml:space="preserve">Abstract (EN): </w:t>
      </w:r>
      <w:r>
        <w:t>Industrial and commercial motor-driven systems account for a large share of electricity consumption and represent a major opportunity for energy savings, cost reduction, and decarbonization. However, investment decisions for motor system optimization are often based mainly on direct electricity savings, while non-energy benefits such as reduced downtime, lower maintenance costs, improved reliability, higher productivity, enhanced safety, and reduced noise are frequently omitted or treated qualitatively. This study aims to develop a structured cost–benefit evaluation framework that integrates energy benefits and non-energy benefits to support motor system optimization and investment decisions. The methodology combines a literature review, case-study synthesis, classification of motor-system optimization technologies, development of a non-energy benefit monetization index, subsector–technology weighting factors, conservative scaling factors, and sensitivity analysis. The proposed framework is applied across industrial and commercial subsectors and technologies, including premium-efficiency motors, variable speed drives, synchronous reluctance motors, and permanent-magnet motor systems. The results show that motor system optimization can deliver electricity savings, commonly exceeding 30% in applications, particularly when system-level measures such as variable speed drives and improved controls are implemented. When non-energy benefits are included under conservative assumptions, total project benefits increase substantially and estimated payback periods be reduced on average by approximately 50%, considering a large variety of case-studies. The findings demonstrate that excluding non-energy benefits can significantly underestimate the economic attractiveness of motor system optimization. The proposed framework provides decision-makers with an approach for comparing technology options, adapting benefit weights to site-specific conditions, and prioritizing investments based on combined energy, operational, financial, and environmental benefits.</w:t>
      </w:r>
    </w:p>
    <w:p>
      <w:pPr>
        <w:spacing w:before="120" w:after="120"/>
      </w:pPr>
      <w:r>
        <w:rPr>
          <w:sz w:val="18"/>
        </w:rPr>
        <w:t>——————————————————————————————————————————————————————————————————————</w:t>
      </w:r>
    </w:p>
    <w:p>
      <w:pPr>
        <w:spacing w:before="160" w:after="40" w:line="240" w:lineRule="auto"/>
      </w:pPr>
      <w:r>
        <w:rPr>
          <w:b/>
        </w:rPr>
        <w:t xml:space="preserve">[6] </w:t>
      </w:r>
      <w:hyperlink r:id="rId438">
        <w:r>
          <w:rPr>
            <w:color w:val="1155CC"/>
            <w:u w:val="single"/>
          </w:rPr>
          <w:t>利用智能交通系统实现交通脱碳：对机制、约束和部署路径的系统回顾</w:t>
        </w:r>
      </w:hyperlink>
    </w:p>
    <w:p>
      <w:pPr>
        <w:spacing w:before="0" w:after="80"/>
      </w:pPr>
      <w:r>
        <w:rPr>
          <w:i/>
          <w:sz w:val="20"/>
        </w:rPr>
        <w:t>EN: Decarbonizing transportation with intelligent transportation systems: a systematic review of mechanisms, constraints and deployment pathways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439">
        <w:r>
          <w:rPr>
            <w:color w:val="1155CC"/>
            <w:u w:val="single"/>
          </w:rPr>
          <w:t>10.1016/j.apenergy.2026.128493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440">
        <w:r>
          <w:rPr>
            <w:color w:val="1155CC"/>
            <w:u w:val="single"/>
          </w:rPr>
          <w:t>成长型企业和碳强度：环境税收政策和绿色技术创新生态系统重要吗？</w:t>
        </w:r>
      </w:hyperlink>
    </w:p>
    <w:p>
      <w:pPr>
        <w:spacing w:before="0" w:after="80"/>
      </w:pPr>
      <w:r>
        <w:rPr>
          <w:i/>
          <w:sz w:val="20"/>
        </w:rPr>
        <w:t>EN: Growing firms and carbon intensity: Do environmental taxation policy and green technological innovation ecosystems matter?</w:t>
      </w:r>
    </w:p>
    <w:p>
      <w:pPr>
        <w:spacing w:before="0" w:after="120"/>
      </w:pPr>
      <w:r>
        <w:rPr>
          <w:b/>
        </w:rPr>
        <w:t xml:space="preserve">Source: </w:t>
      </w:r>
      <w:r>
        <w:t>ScienceDirect Publication: Energy Policy</w:t>
      </w:r>
      <w:r>
        <w:t xml:space="preserve">    </w:t>
      </w:r>
      <w:r>
        <w:rPr>
          <w:b/>
        </w:rPr>
        <w:t xml:space="preserve">Pub date: </w:t>
      </w:r>
      <w:r>
        <w:t>2026-07-31 00:00:00+00:00</w:t>
      </w:r>
      <w:r>
        <w:t xml:space="preserve">    </w:t>
      </w:r>
      <w:r>
        <w:rPr>
          <w:b/>
        </w:rPr>
        <w:t xml:space="preserve">DOI: </w:t>
      </w:r>
      <w:hyperlink r:id="rId441">
        <w:r>
          <w:rPr>
            <w:color w:val="1155CC"/>
            <w:u w:val="single"/>
          </w:rPr>
          <w:t>10.1016/j.enpol.2026.115508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442">
        <w:r>
          <w:rPr>
            <w:color w:val="1155CC"/>
            <w:u w:val="single"/>
          </w:rPr>
          <w:t>通过双界面金属-氧键将 Zn1O1 单体与氧化物载体配对，实现合成气稳定转化为轻质烯烃</w:t>
        </w:r>
      </w:hyperlink>
    </w:p>
    <w:p>
      <w:pPr>
        <w:spacing w:before="0" w:after="80"/>
      </w:pPr>
      <w:r>
        <w:rPr>
          <w:i/>
          <w:sz w:val="20"/>
        </w:rPr>
        <w:t>EN: Pairing a Zn1O1 Monomer With Oxide Supports via Dual Interfacial Metal–Oxygen Bonding for Stable Conversion of Syngas to Light Olefins</w:t>
      </w:r>
    </w:p>
    <w:p>
      <w:pPr>
        <w:spacing w:before="0" w:after="120"/>
      </w:pPr>
      <w:r>
        <w:rPr>
          <w:b/>
        </w:rPr>
        <w:t xml:space="preserve">Source: </w:t>
      </w:r>
      <w:r>
        <w:t>Wiley: Angewandte Chemie International Edition: Table of Contents</w:t>
      </w:r>
      <w:r>
        <w:t xml:space="preserve">    </w:t>
      </w:r>
      <w:r>
        <w:rPr>
          <w:b/>
        </w:rPr>
        <w:t xml:space="preserve">Pub date: </w:t>
      </w:r>
      <w:r>
        <w:t>2026-07-31 08:06:21+00:00</w:t>
      </w:r>
      <w:r>
        <w:t xml:space="preserve">    </w:t>
      </w:r>
      <w:r>
        <w:rPr>
          <w:b/>
        </w:rPr>
        <w:t xml:space="preserve">DOI: </w:t>
      </w:r>
      <w:hyperlink r:id="rId443">
        <w:r>
          <w:rPr>
            <w:color w:val="1155CC"/>
            <w:u w:val="single"/>
          </w:rPr>
          <w:t>10.1002/anie.3069256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氧化物载体上原子分散的金属氧化物因其优异的催化活性和选择性而受到广泛关注，但其实际应用往往因稳定性差而受到限制。在这里，我们证明了与氧化物载体上孤立的金属原子不同，氧化物单体（例如 Zn</w:t>
      </w:r>
      <w:r>
        <w:rPr>
          <w:vertAlign w:val="subscript"/>
        </w:rPr>
        <w:t>1</w:t>
      </w:r>
      <w:r>
        <w:t>氧</w:t>
      </w:r>
      <w:r>
        <w:rPr>
          <w:vertAlign w:val="subscript"/>
        </w:rPr>
        <w:t>1</w:t>
      </w:r>
      <w:r>
        <w:t>，氧化物载体（M'O'）上各种（脱）氢反应的原型基序）</w:t>
      </w:r>
      <w:r>
        <w:t xml:space="preserve"> </w:t>
      </w:r>
      <w:r>
        <w:t>x</w:t>
      </w:r>
      <w:r>
        <w:t xml:space="preserve"> </w:t>
      </w:r>
      <w:r>
        <w:t>）紧密依赖于两种界面键的微妙配对：Zn-O' 和 O-M'。氧空位形成能过低的载体（</w:t>
      </w:r>
      <w:r>
        <w:t xml:space="preserve"> </w:t>
      </w:r>
      <w:r>
        <w:t>乙</w:t>
      </w:r>
      <w:r>
        <w:t xml:space="preserve"> </w:t>
      </w:r>
      <w:r>
        <w:t>v</w:t>
      </w:r>
      <w:r>
        <w:t xml:space="preserve"> </w:t>
      </w:r>
      <w:r>
        <w:t>) 未能将 O 阴离子牢固地锚定在 Zn 中</w:t>
      </w:r>
      <w:r>
        <w:rPr>
          <w:vertAlign w:val="subscript"/>
        </w:rPr>
        <w:t>1</w:t>
      </w:r>
      <w:r>
        <w:t>氧</w:t>
      </w:r>
      <w:r>
        <w:rPr>
          <w:vertAlign w:val="subscript"/>
        </w:rPr>
        <w:t>1</w:t>
      </w:r>
      <w:r>
        <w:t>，而那些过高的</w:t>
      </w:r>
      <w:r>
        <w:t xml:space="preserve"> </w:t>
      </w:r>
      <w:r>
        <w:t>乙</w:t>
      </w:r>
      <w:r>
        <w:t xml:space="preserve"> </w:t>
      </w:r>
      <w:r>
        <w:t>v</w:t>
      </w:r>
      <w:r>
        <w:t xml:space="preserve"> </w:t>
      </w:r>
      <w:r>
        <w:t>与阳离子 Zn 的结合较弱。四方氧化锆</w:t>
      </w:r>
      <w:r>
        <w:rPr>
          <w:vertAlign w:val="subscript"/>
        </w:rPr>
        <w:t>2</w:t>
      </w:r>
      <w:r>
        <w:t>（100），具有中等</w:t>
      </w:r>
      <w:r>
        <w:t xml:space="preserve"> </w:t>
      </w:r>
      <w:r>
        <w:t>乙</w:t>
      </w:r>
      <w:r>
        <w:t xml:space="preserve"> </w:t>
      </w:r>
      <w:r>
        <w:t>v</w:t>
      </w:r>
      <w:r>
        <w:t xml:space="preserve"> </w:t>
      </w:r>
      <w:r>
        <w:t>，从理论上进行了筛选，以实现双界面键合的同时优化，并通过高密度 Zn 的锚定进行了实验验证</w:t>
      </w:r>
      <w:r>
        <w:rPr>
          <w:vertAlign w:val="subscript"/>
        </w:rPr>
        <w:t>1</w:t>
      </w:r>
      <w:r>
        <w:t>含氧单体 (1.5 Zn·nm</w:t>
      </w:r>
      <w:r>
        <w:t xml:space="preserve"> </w:t>
      </w:r>
      <w:r>
        <w:t>−2</w:t>
      </w:r>
      <w:r>
        <w:t xml:space="preserve"> </w:t>
      </w:r>
      <w:r>
        <w:t>）在以下条件下具有出色的抗聚集性和抗挥发性</w:t>
      </w:r>
    </w:p>
    <w:p>
      <w:pPr>
        <w:spacing w:before="0" w:after="200" w:lineRule="auto" w:line="276"/>
      </w:pPr>
      <w:r>
        <w:rPr>
          <w:b/>
        </w:rPr>
        <w:t xml:space="preserve">Abstract (EN): </w:t>
      </w:r>
      <w:r>
        <w:t>Atomically dispersed metal oxides on oxide supports have garnered significant attention for their exceptional catalytic activity and selectivity, yet their practical application is often limited by poor stability. Here, we demonstrate that unlike isolated metal atoms on oxide supports, the stability of oxide monomers (e.g., Zn</w:t>
      </w:r>
      <w:r>
        <w:rPr>
          <w:vertAlign w:val="subscript"/>
        </w:rPr>
        <w:t>1</w:t>
      </w:r>
      <w:r>
        <w:t>O</w:t>
      </w:r>
      <w:r>
        <w:rPr>
          <w:vertAlign w:val="subscript"/>
        </w:rPr>
        <w:t>1</w:t>
      </w:r>
      <w:r>
        <w:t>, a prototype motif for a variety of (de)hydrogenation reactions) on oxide supports (M'O'</w:t>
      </w:r>
      <w:r>
        <w:t xml:space="preserve"> </w:t>
      </w:r>
      <w:r>
        <w:t>x</w:t>
      </w:r>
      <w:r>
        <w:t xml:space="preserve"> </w:t>
      </w:r>
      <w:r>
        <w:t>) tightly relies on delicate pairing of two interfacial bonds: Zn–O' and O–M'. Supports with too low oxygen vacancy formation energy (</w:t>
      </w:r>
      <w:r>
        <w:t xml:space="preserve"> </w:t>
      </w:r>
      <w:r>
        <w:t>E</w:t>
      </w:r>
      <w:r>
        <w:t xml:space="preserve"> </w:t>
      </w:r>
      <w:r>
        <w:t>v</w:t>
      </w:r>
      <w:r>
        <w:t xml:space="preserve"> </w:t>
      </w:r>
      <w:r>
        <w:t>) fail to firmly anchor the O anion in Zn</w:t>
      </w:r>
      <w:r>
        <w:rPr>
          <w:vertAlign w:val="subscript"/>
        </w:rPr>
        <w:t>1</w:t>
      </w:r>
      <w:r>
        <w:t>O</w:t>
      </w:r>
      <w:r>
        <w:rPr>
          <w:vertAlign w:val="subscript"/>
        </w:rPr>
        <w:t>1</w:t>
      </w:r>
      <w:r>
        <w:t>, whereas those with excessively high</w:t>
      </w:r>
      <w:r>
        <w:t xml:space="preserve"> </w:t>
      </w:r>
      <w:r>
        <w:t>E</w:t>
      </w:r>
      <w:r>
        <w:t xml:space="preserve"> </w:t>
      </w:r>
      <w:r>
        <w:t>v</w:t>
      </w:r>
      <w:r>
        <w:t xml:space="preserve"> </w:t>
      </w:r>
      <w:r>
        <w:t>bind weakly to the cationic Zn. Tetragonal ZrO</w:t>
      </w:r>
      <w:r>
        <w:rPr>
          <w:vertAlign w:val="subscript"/>
        </w:rPr>
        <w:t>2</w:t>
      </w:r>
      <w:r>
        <w:t>(100), possessing a moderate</w:t>
      </w:r>
      <w:r>
        <w:t xml:space="preserve"> </w:t>
      </w:r>
      <w:r>
        <w:t>E</w:t>
      </w:r>
      <w:r>
        <w:t xml:space="preserve"> </w:t>
      </w:r>
      <w:r>
        <w:t>v</w:t>
      </w:r>
      <w:r>
        <w:t xml:space="preserve"> </w:t>
      </w:r>
      <w:r>
        <w:t>, was theoretically screened to enable simultaneous optimization of the dual interfacial bonding and was experimentally verified through the anchoring of high‐density Zn</w:t>
      </w:r>
      <w:r>
        <w:rPr>
          <w:vertAlign w:val="subscript"/>
        </w:rPr>
        <w:t>1</w:t>
      </w:r>
      <w:r>
        <w:t>oxo monomers (1.5 Zn·nm</w:t>
      </w:r>
      <w:r>
        <w:t xml:space="preserve"> </w:t>
      </w:r>
      <w:r>
        <w:t>−2</w:t>
      </w:r>
      <w:r>
        <w:t xml:space="preserve"> </w:t>
      </w:r>
      <w:r>
        <w:t>) with exceptional resistance to aggregation and volatilization under harsh reductive conditions. When integrated with SAPO‐34 zeolite for syngas conversion, this bifunctional catalyst achieves an unprecedented light olefins production rate (25.6 mmol·g</w:t>
      </w:r>
      <w:r>
        <w:t xml:space="preserve"> </w:t>
      </w:r>
      <w:r>
        <w:t>cat</w:t>
      </w:r>
      <w:r>
        <w:t xml:space="preserve"> </w:t>
      </w:r>
      <w:r>
        <w:t>−1</w:t>
      </w:r>
      <w:r>
        <w:t xml:space="preserve"> </w:t>
      </w:r>
      <w:r>
        <w:t>·h</w:t>
      </w:r>
      <w:r>
        <w:t xml:space="preserve"> </w:t>
      </w:r>
      <w:r>
        <w:t>−1</w:t>
      </w:r>
      <w:r>
        <w:t xml:space="preserve"> </w:t>
      </w:r>
      <w:r>
        <w:t>) and sustains remarkable stability for over 200 h at 400 °C, outperforming all previously reported catalysts. The interfacial pairing principle provides a foundational guideline for designing highly stable and active atomically dispersed metal oxo catalysts.</w:t>
      </w:r>
    </w:p>
    <w:p>
      <w:pPr>
        <w:spacing w:before="120" w:after="120"/>
      </w:pPr>
      <w:r>
        <w:rPr>
          <w:sz w:val="18"/>
        </w:rPr>
        <w:t>——————————————————————————————————————————————————————————————————————</w:t>
      </w:r>
    </w:p>
    <w:p>
      <w:pPr>
        <w:spacing w:before="160" w:after="40" w:line="240" w:lineRule="auto"/>
      </w:pPr>
      <w:r>
        <w:rPr>
          <w:b/>
        </w:rPr>
        <w:t xml:space="preserve">[9] </w:t>
      </w:r>
      <w:hyperlink r:id="rId444">
        <w:r>
          <w:rPr>
            <w:color w:val="1155CC"/>
            <w:u w:val="single"/>
          </w:rPr>
          <w:t>欧洲绿色新政中能源多元化和环境可持续性的关键挑战：来自欧洲国家的经验证据</w:t>
        </w:r>
      </w:hyperlink>
    </w:p>
    <w:p>
      <w:pPr>
        <w:spacing w:before="0" w:after="80"/>
      </w:pPr>
      <w:r>
        <w:rPr>
          <w:i/>
          <w:sz w:val="20"/>
        </w:rPr>
        <w:t>EN: The critical challenges of energy diversification and environmental sustainability in the European Green Deal: Empirical evidence from European countries</w:t>
      </w:r>
    </w:p>
    <w:p>
      <w:pPr>
        <w:spacing w:before="0" w:after="120"/>
      </w:pPr>
      <w:r>
        <w:rPr>
          <w:b/>
        </w:rPr>
        <w:t xml:space="preserve">Source: </w:t>
      </w:r>
      <w:r>
        <w:t>ScienceDirect Publication: Energy Policy</w:t>
      </w:r>
      <w:r>
        <w:t xml:space="preserve">    </w:t>
      </w:r>
      <w:r>
        <w:rPr>
          <w:b/>
        </w:rPr>
        <w:t xml:space="preserve">Pub date: </w:t>
      </w:r>
      <w:r>
        <w:t>2026-08-01 00:00:00+00:00</w:t>
      </w:r>
      <w:r>
        <w:t xml:space="preserve">    </w:t>
      </w:r>
      <w:r>
        <w:rPr>
          <w:b/>
        </w:rPr>
        <w:t xml:space="preserve">DOI: </w:t>
      </w:r>
      <w:hyperlink r:id="rId445">
        <w:r>
          <w:rPr>
            <w:color w:val="1155CC"/>
            <w:u w:val="single"/>
          </w:rPr>
          <w:t>10.1016/j.enpol.2026.115517</w:t>
        </w:r>
      </w:hyperlink>
    </w:p>
    <w:p>
      <w:pPr>
        <w:spacing w:before="0" w:after="120"/>
      </w:pPr>
      <w:r>
        <w:rPr>
          <w:b/>
        </w:rPr>
        <w:t xml:space="preserve">Notes: </w:t>
      </w:r>
      <w:r>
        <w:t>abstract_source=openalex</w:t>
      </w:r>
    </w:p>
    <w:p>
      <w:pPr>
        <w:spacing w:before="0" w:after="80" w:lineRule="auto" w:line="276"/>
      </w:pPr>
      <w:r>
        <w:rPr>
          <w:b/>
        </w:rPr>
        <w:t xml:space="preserve">摘要（ZH）: </w:t>
      </w:r>
      <w:r>
        <w:t>《欧洲绿色协议》将能源多样化和环境可持续性确定为实现安全、有弹性和气候中性的能源系统的两个核心支柱。尽管之前的研究分别考察了环境可持续性和能源转型的决定因素，但关于能源多样化、全球化、金融发展、自然资本和结构变革如何在欧洲绿色新政框架内共同塑造环境可持续性的证据有限。本研究通过调查 1995 年至 2023 年期间 26 个欧洲国家环境可持续性的宏观经济决定因素来弥补这一差距。该分析采用动态系统 GMM 作为主要估计方法，并辅以 CS-ARDL 来检查长期关系，并采用具有 SHAP 可解释性的机器学习模型来评估解释变量的相对重要性。结果表明，随着时间的推移，环境可持续性具有很强的持久性。结构变化是唯一重要的短期决定因素，而能源多样化和政治全球化则表现出显着的负面长期影响，而金融发展和自然资本对环境可持续性没有表现出强大的长期影响。这些发现表明，除非有可再生能源部署、技术创新和有效的环境治理的支持，否则单靠能源多样化并不能保证环境的可持续性。通过将动态计量经济学技术与可解释的机器学习相结合</w:t>
      </w:r>
    </w:p>
    <w:p>
      <w:pPr>
        <w:spacing w:before="0" w:after="200" w:lineRule="auto" w:line="276"/>
      </w:pPr>
      <w:r>
        <w:rPr>
          <w:b/>
        </w:rPr>
        <w:t xml:space="preserve">Abstract (EN): </w:t>
      </w:r>
      <w:r>
        <w:t>The European Green Deal identifies energy diversification and environmental sustainability as two central pillars for achieving a secure, resilient, and climate-neutral energy system. Although previous studies have examined the determinants of environmental sustainability and the energy transition separately, limited evidence exists on how energy diversification, globalization, financial development, natural capital, and structural change jointly shape environmental sustainability within the European Green Deal framework. This study addresses this gap by investigating the macroeconomic determinants of environmental sustainability across 26 European countries during 1995-2023. The analysis employs dynamic System GMM as the primary estimation method, complemented by CS-ARDL to examine long-run relationships and machine-learning models with SHAP explainability to assess the relative importance of the explanatory variables. The results reveal strong persistence in environmental sustainability over time. Structural change is the only significant short-run determinant, while energy diversification and political globalization exhibit significant negative long-run effects, whereas financial development and natural capital show no robust long-run influence on environmental sustainability. These findings suggest that energy diversification alone does not guarantee environmental sustainability unless supported by renewable energy deployment, technological innovation, and effective environmental governance. By integrating dynamic econometric techniques with explainable machine learning, this study provides new evidence on the macroeconomic drivers of environmental sustainability and offers policy insights for implementing the European Green Deal more effectively.</w:t>
      </w:r>
    </w:p>
    <w:p>
      <w:pPr>
        <w:spacing w:before="120" w:after="120"/>
      </w:pPr>
      <w:r>
        <w:rPr>
          <w:sz w:val="18"/>
        </w:rPr>
        <w:t>——————————————————————————————————————————————————————————————————————</w:t>
      </w:r>
    </w:p>
    <w:p>
      <w:pPr>
        <w:spacing w:before="160" w:after="40" w:line="240" w:lineRule="auto"/>
      </w:pPr>
      <w:r>
        <w:rPr>
          <w:b/>
        </w:rPr>
        <w:t xml:space="preserve">[10] </w:t>
      </w:r>
      <w:hyperlink r:id="rId270">
        <w:r>
          <w:rPr>
            <w:color w:val="1155CC"/>
            <w:u w:val="single"/>
          </w:rPr>
          <w:t>用于热能和能量转换系统的值得信赖的数字孪生：基于物理的建模、不确定性感知预测和运营决策支持</w:t>
        </w:r>
      </w:hyperlink>
    </w:p>
    <w:p>
      <w:pPr>
        <w:spacing w:before="0" w:after="80"/>
      </w:pPr>
      <w:r>
        <w:rPr>
          <w:i/>
          <w:sz w:val="20"/>
        </w:rPr>
        <w:t>EN: Trustworthy digital twins for thermal and energy conversion systems: physics-grounded modeling, uncertainty-aware prediction, and operational decision support</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271">
        <w:r>
          <w:rPr>
            <w:color w:val="1155CC"/>
            <w:u w:val="single"/>
          </w:rPr>
          <w:t>10.1016/j.apenergy.2026.128575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446">
        <w:r>
          <w:rPr>
            <w:color w:val="1155CC"/>
            <w:u w:val="single"/>
          </w:rPr>
          <w:t>动态负载条件下近零能耗建筑混合可再生能源系统自下而上的能源-经济-环境-可靠性优化框架</w:t>
        </w:r>
      </w:hyperlink>
    </w:p>
    <w:p>
      <w:pPr>
        <w:spacing w:before="0" w:after="80"/>
      </w:pPr>
      <w:r>
        <w:rPr>
          <w:i/>
          <w:sz w:val="20"/>
        </w:rPr>
        <w:t>EN: A bottom-up energy-economic-environmental-reliability optimization framework for hybrid renewable energy systems in near-zero energy buildings under dynamic load conditions</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447">
        <w:r>
          <w:rPr>
            <w:color w:val="1155CC"/>
            <w:u w:val="single"/>
          </w:rPr>
          <w:t>10.1016/j.apenergy.2026.128535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72">
        <w:r>
          <w:rPr>
            <w:color w:val="1155CC"/>
            <w:u w:val="single"/>
          </w:rPr>
          <w:t>用于多区域建筑节能 HVAC 控制的因果推理多智能体强化学习</w:t>
        </w:r>
      </w:hyperlink>
    </w:p>
    <w:p>
      <w:pPr>
        <w:spacing w:before="0" w:after="80"/>
      </w:pPr>
      <w:r>
        <w:rPr>
          <w:i/>
          <w:sz w:val="20"/>
        </w:rPr>
        <w:t>EN: Causal inference multi-agent reinforcement learning for energy-efficient HVAC control in multi-zone buildings</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273">
        <w:r>
          <w:rPr>
            <w:color w:val="1155CC"/>
            <w:u w:val="single"/>
          </w:rPr>
          <w:t>10.1016/j.apenergy.2026.128569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74">
        <w:r>
          <w:rPr>
            <w:color w:val="1155CC"/>
            <w:u w:val="single"/>
          </w:rPr>
          <w:t>数据中心室内系统时空异构图建模与温度预测</w:t>
        </w:r>
      </w:hyperlink>
    </w:p>
    <w:p>
      <w:pPr>
        <w:spacing w:before="0" w:after="80"/>
      </w:pPr>
      <w:r>
        <w:rPr>
          <w:i/>
          <w:sz w:val="20"/>
        </w:rPr>
        <w:t>EN: Spatio-temporal heterogeneous graph-based modeling and temperature prediction for data center indoor system</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275">
        <w:r>
          <w:rPr>
            <w:color w:val="1155CC"/>
            <w:u w:val="single"/>
          </w:rPr>
          <w:t>10.1016/j.apenergy.2026.128536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448">
        <w:r>
          <w:rPr>
            <w:color w:val="1155CC"/>
            <w:u w:val="single"/>
          </w:rPr>
          <w:t>排名引导学习加速自动化酶工程</w:t>
        </w:r>
      </w:hyperlink>
    </w:p>
    <w:p>
      <w:pPr>
        <w:spacing w:before="0" w:after="80"/>
      </w:pPr>
      <w:r>
        <w:rPr>
          <w:i/>
          <w:sz w:val="20"/>
        </w:rPr>
        <w:t>EN: Rank-guided learning accelerates automated enzyme engineering</w:t>
      </w:r>
    </w:p>
    <w:p>
      <w:pPr>
        <w:spacing w:before="0" w:after="120"/>
      </w:pPr>
      <w:r>
        <w:rPr>
          <w:b/>
        </w:rPr>
        <w:t xml:space="preserve">Source: </w:t>
      </w:r>
      <w:r>
        <w:t>Biological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酶催化已成为现代合成的基石，为结构复杂的分子提供了可持续的途径。然而，崎岖的适应环境和从稀疏数据中学习的模型能力有限限制了生物催化剂的发展。在这里，我们提出了自动酶重编程（REAP）的排序引导探索，这是一个闭环平台，它将人工智能与机器人实验相结合，以加速酶工程。 REAP 的核心由 RankReg 提供支持，RankReg 是一种混合损失函数，可联合优化排名保真度和定量准确性，从而直接从实验反馈中实现自适应循环学习。这种排名回归框架使 REAP 能够识别催化中心和先前未充分探索的远端区域的功能热点，并逐步将模型引导的探索从单一突变扩展到生产性组合变体。将 REAP 应用于细胞色素 P450 BM3，在 5 个周期内将所需活性提高了 57 倍，并进一步将金黄色葡萄球菌分选酶 A (SaSrtA) 增强了 104 倍。通过将算法创新与自动化相结合，REAP 建立了一个可扩展和通用的框架，用于加速生物催化剂的发现并扩大酶合成的范围。</w:t>
      </w:r>
    </w:p>
    <w:p>
      <w:pPr>
        <w:spacing w:before="0" w:after="200" w:lineRule="auto" w:line="276"/>
      </w:pPr>
      <w:r>
        <w:rPr>
          <w:b/>
        </w:rPr>
        <w:t xml:space="preserve">Abstract (EN): </w:t>
      </w:r>
      <w:r>
        <w:t>Enzyme catalysis has become a cornerstone of modern synthesis, offering sustainable routes to structurally complex molecules. However, the rugged fitness landscape and limited model capacity to learn from sparse data constrain the development of biocatalysts. Here, we present Rank-guided Exploration for Automated enzyme reProgramming (REAP), a closed-loop platform that combines artificial intelligence with robotic experimentation to accelerate enzyme engineering. At its core, REAP is powered by RankReg, a hybrid loss function that jointly optimizes ranking fidelity and quantitative accuracy, enabling adaptive in-loop learning directly from experimental feedback. This ranking-regression framework allows REAP to identify functional hotspots across both catalytic centers and previously underexplored distal regions, and to progressively extend model-guided exploration from single mutations to productive combinatorial variants. Applied to cytochrome P450 BM3, REAP achieved a 57-fold improvement in desired activity within five cycles, and further produced up to 104-fold enhancement in Staphylococcus aureus Sortase A (SaSrtA). By coupling algorithmic innovation with automation, REAP establishes a scalable and generalizable framework for accelerating biocatalyst discovery and expanding the scope of enzyme-enabled synthesis.</w:t>
      </w:r>
    </w:p>
    <w:p>
      <w:pPr>
        <w:spacing w:before="120" w:after="120"/>
      </w:pPr>
      <w:r>
        <w:rPr>
          <w:sz w:val="18"/>
        </w:rPr>
        <w:t>——————————————————————————————————————————————————————————————————————</w:t>
      </w:r>
    </w:p>
    <w:p>
      <w:pPr>
        <w:spacing w:before="160" w:after="40" w:line="240" w:lineRule="auto"/>
      </w:pPr>
      <w:r>
        <w:rPr>
          <w:b/>
        </w:rPr>
        <w:t xml:space="preserve">[15] </w:t>
      </w:r>
      <w:hyperlink r:id="rId449">
        <w:r>
          <w:rPr>
            <w:color w:val="1155CC"/>
            <w:u w:val="single"/>
          </w:rPr>
          <w:t>通过匹配阴极-阳极局部 pH 值耦合电合成甲酰胺，碳氮选择性约为 100%</w:t>
        </w:r>
      </w:hyperlink>
    </w:p>
    <w:p>
      <w:pPr>
        <w:spacing w:before="0" w:after="80"/>
      </w:pPr>
      <w:r>
        <w:rPr>
          <w:i/>
          <w:sz w:val="20"/>
        </w:rPr>
        <w:t>EN: Coupled electrosynthesis of formamide with ~100% carbon and nitrogen selectivity via matching cathode‒anode local pH</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由丰富的含碳和含氮小分子电化学构建C-N键对于酰胺的绿色合成至关重要。然而，没有C-N耦合的单一转换和对电极处的低值水分解是不可避免的，导致选择性和法拉第效率低。在这里，我们提出了一种耦合电合成策略，在阴极和阳极同时制备甲酰胺，其中副产物被重新用作对电极的原料。我们设计并采用自支撑铜纳米片阵列（Cu NAs）和铂覆盖钛片（Pt 片）分别作为阴极和阳极，以匹配共还原（碱性）和共氧化（中性）的电解环境。 Cu NA 丰富的微通道在阴极表面形成强碱性微区 (0 ~ 100 nm)，保证在中性本体条件下两个电极同时发生 C-N 耦合。我们实现了甲酰胺的合成，碳和氮选择性约为 100%。</w:t>
      </w:r>
    </w:p>
    <w:p>
      <w:pPr>
        <w:spacing w:before="0" w:after="200" w:lineRule="auto" w:line="276"/>
      </w:pPr>
      <w:r>
        <w:rPr>
          <w:b/>
        </w:rPr>
        <w:t xml:space="preserve">Abstract (EN): </w:t>
      </w:r>
      <w:r>
        <w:t>The electrochemical construction of C–N bonds from abundant carbon-containing and nitrogen-containing small molecules is critical for the green synthesis of amides. However, the sole conversion without C–N coupling and low-value water splitting at the counter electrode are inevitable, leading to low selectivity and faradic efficiency. Herein, we propose a coupled electrosynthesis strategy to simultaneously prepare formamide at both the cathode and anode, in which the byproducts are reused as feedstocks in the counter electrode. We design and adopt the self-supported Cu nanosheet arrays (Cu NAs) and the Pt-covered Ti sheet (Pt sheet) as cathode and anode, respectively, to match the electrolytic environments for coreduction (alkaline) and cooxidation (neutral). The abundant microchannels of the Cu NAs creates a strong alkaline microzone (0 ~ 100 nm) on the surface of the cathode, guaranteeing concurrent C–N coupling at both electrodes under neutral bulk conditions. We achieve the synthesis of formamide with ~100% carbon and nitrogen selectivity.</w:t>
      </w:r>
    </w:p>
    <w:p>
      <w:pPr>
        <w:spacing w:before="120" w:after="120"/>
      </w:pPr>
      <w:r>
        <w:rPr>
          <w:sz w:val="18"/>
        </w:rPr>
        <w:t>——————————————————————————————————————————————————————————————————————</w:t>
      </w:r>
    </w:p>
    <w:p>
      <w:pPr>
        <w:spacing w:before="160" w:after="40" w:line="240" w:lineRule="auto"/>
      </w:pPr>
      <w:r>
        <w:rPr>
          <w:b/>
        </w:rPr>
        <w:t xml:space="preserve">[16] </w:t>
      </w:r>
      <w:hyperlink r:id="rId450">
        <w:r>
          <w:rPr>
            <w:color w:val="1155CC"/>
            <w:u w:val="single"/>
          </w:rPr>
          <w:t>具有水触发致密域的超分子聚合物，具有机械鲁棒性、可编程性和耐候性</w:t>
        </w:r>
      </w:hyperlink>
    </w:p>
    <w:p>
      <w:pPr>
        <w:spacing w:before="0" w:after="80"/>
      </w:pPr>
      <w:r>
        <w:rPr>
          <w:i/>
          <w:sz w:val="20"/>
        </w:rPr>
        <w:t>EN: Supramolecular polymers with water-triggered dense domains enabling mechanical robustness programmability and weather resistance</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聚合物在我们的日常生活中发挥着至关重要的作用；然而，在机械性能、耐高温和低温以及温和成型之间实现平衡仍然具有挑战性。在这里，我们报道了一种由纤维素和聚甲基丙烯酸甲酯组成的水触发超分子聚合物。水诱导可拉伸超分子网络转变为致密交联域后，所得聚合物的拉伸强度显着增加，从 2.7 MPa 增加到 61.7 MPa，提高了 22 倍以上，弯曲强度达到 97 MPa，同时在 -196 °C 至 200 °C 的温度范围内保持结构完整性。此外，即使在海水、表面活性剂废水和染料废水中，该聚合物也能实现可扩展的水介导成型和增强，同时保持高机械性能。经济分析和回收评估表明，这种聚合物适合规模化生产，并具有巨大的市场潜力。这项研究为高性能超分子聚合物的制造提供了一种仿生配方，并拓宽了其在不同领域的潜在应用。</w:t>
      </w:r>
    </w:p>
    <w:p>
      <w:pPr>
        <w:spacing w:before="0" w:after="200" w:lineRule="auto" w:line="276"/>
      </w:pPr>
      <w:r>
        <w:rPr>
          <w:b/>
        </w:rPr>
        <w:t xml:space="preserve">Abstract (EN): </w:t>
      </w:r>
      <w:r>
        <w:t>Polymers play a crucial role in our daily lives; however, achieving a balance among mechanical performance, resistance to high and low temperatures, and mild shaping remains challenging. Here, we report a water-triggered supramolecular polymer composed of cellulose and polymethyl methacrylate. Following water-induced transformation of a stretchable supramolecular network into a densified cross-linked domain, the resulting polymer exhibits a remarkable increase in tensile strength from 2.7 MPa to 61.7 MPa, representing more than a 22-fold enhancement, and a flexural strength of 97 MPa, while maintaining structural integrity across a temperature range of −196 °C to 200 °C. In addition, the polymer enables scalable water-mediated shaping and reinforcement even in seawater, surfactant wastewater, and dye wastewater, while retaining high mechanical performance. Economic analysis and recycling assessment demonstrate that this polymer is amenable to scalable production and has considerable market potential. This study provides a biomimetic formulation for the fabrication of high-performance supramolecular polymers and broadens their potential applications across diverse fields.</w:t>
      </w:r>
    </w:p>
    <w:p>
      <w:pPr>
        <w:spacing w:before="120" w:after="120"/>
      </w:pPr>
      <w:r>
        <w:rPr>
          <w:sz w:val="18"/>
        </w:rPr>
        <w:t>——————————————————————————————————————————————————————————————————————</w:t>
      </w:r>
    </w:p>
    <w:p>
      <w:pPr>
        <w:spacing w:before="160" w:after="40" w:line="240" w:lineRule="auto"/>
      </w:pPr>
      <w:r>
        <w:rPr>
          <w:b/>
        </w:rPr>
        <w:t xml:space="preserve">[17] </w:t>
      </w:r>
      <w:hyperlink r:id="rId451">
        <w:r>
          <w:rPr>
            <w:color w:val="1155CC"/>
            <w:u w:val="single"/>
          </w:rPr>
          <w:t>由混合价铁簇构建的氢键有机框架，用于高效 H2O2 光合作用</w:t>
        </w:r>
      </w:hyperlink>
    </w:p>
    <w:p>
      <w:pPr>
        <w:spacing w:before="0" w:after="80"/>
      </w:pPr>
      <w:r>
        <w:rPr>
          <w:i/>
          <w:sz w:val="20"/>
        </w:rPr>
        <w:t>EN: A Hydrogen Bonded Organic Framework Constructed from Mixed Valence Fe Clusters for Efficient H2O2 Photosynthesis</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光催化 H2O2 生产的一个关键瓶颈不仅在于增强光吸收引起的严重非辐射能量损失，而且还在于基本的质子-电子动力学不平衡。在这里，我们介绍了一种光-热-质子耦合策略，该策略利用耗散的光热能来激活质子从羧酸中解离，从而为氧化还原催化创造高效的驱动力。通过金属配体方法构建了包含混合价 Fe2+/Fe3+ 簇的氢键有机框架 (HOF-FJU-200)。这些团簇内的间隔电荷转移跃迁产生强烈的光热转换，同时将光吸收扩展到 NIR-II 区域（约 2500 nm）。产生的热能激活质子从不成对的羧酸基团解离，使质子释放与光诱导电子转移同步。这种协同机制有效地将非辐射热转化为催化功能，在没有牺牲剂的情况下实现了 10657 μmol·g−1·h−1 的 H2O2 生产率。通过在单一框架内直接耦合光、热和质子动力学，这项工作建立了利用非辐射能调节质子驱动的光催化反应的通用范例。</w:t>
      </w:r>
    </w:p>
    <w:p>
      <w:pPr>
        <w:spacing w:before="0" w:after="200" w:lineRule="auto" w:line="276"/>
      </w:pPr>
      <w:r>
        <w:rPr>
          <w:b/>
        </w:rPr>
        <w:t xml:space="preserve">Abstract (EN): </w:t>
      </w:r>
      <w:r>
        <w:t>A critical bottleneck in photocatalytic H2O2 production lies not only in the severe non-radiative energy losses incurred from enhancing light absorption, but also in a fundamental proton-electron kinetic imbalance. Here we introduce a light–heat–proton coupling strategy that harnesses the dissipated photothermal energy to activate proton dissociation from carboxylic acids, thereby creating a productive driving force for redox catalysis. A hydrogen-bonded organic framework (HOF-FJU-200) incorporating mixed-valence Fe2+/Fe3+ clusters is constructed via a metalloligand approach. The intervalence charge transfer transitions within these clusters generate strong photothermal conversion while extending light absorption to the NIR-II region ( ~ 2500 nm). The resulting thermal energy activates proton dissociation from unpaired carboxylic acid groups, synchronizing proton release with photoinduced electron transfer. This cooperative mechanism effectively channels non-radiative heat into catalytic function, achieving an H2O2 production rate of 10657 μmol·g−1·h−1 without sacrificial agents. By directly coupling light, heat, and proton dynamics within a single framework, this work establishes a general paradigm for utilizing non-radiative energy to regulate proton-driven photocatalytic reactions.</w:t>
      </w:r>
    </w:p>
    <w:p>
      <w:pPr>
        <w:spacing w:before="120" w:after="120"/>
      </w:pPr>
      <w:r>
        <w:rPr>
          <w:sz w:val="18"/>
        </w:rPr>
        <w:t>——————————————————————————————————————————————————————————————————————</w:t>
      </w:r>
    </w:p>
    <w:p>
      <w:pPr>
        <w:spacing w:before="160" w:after="40" w:line="240" w:lineRule="auto"/>
      </w:pPr>
      <w:r>
        <w:rPr>
          <w:b/>
        </w:rPr>
        <w:t xml:space="preserve">[18] </w:t>
      </w:r>
      <w:hyperlink r:id="rId367">
        <w:r>
          <w:rPr>
            <w:color w:val="1155CC"/>
            <w:u w:val="single"/>
          </w:rPr>
          <w:t>通过石墨二炔 Mo-Cu-C=C 界面从硝酸盐废水中可持续合成氨</w:t>
        </w:r>
      </w:hyperlink>
    </w:p>
    <w:p>
      <w:pPr>
        <w:spacing w:before="0" w:after="80"/>
      </w:pPr>
      <w:r>
        <w:rPr>
          <w:i/>
          <w:sz w:val="20"/>
        </w:rPr>
        <w:t>EN: Sustainable ammonia synthesis from nitrate wastewater via graphdiyne Mo–Cu–C≡C interfaces</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使用可再生电力进行电化学绿色氨（NH3）生产是可持续的，但在工业条件下会面临选择性-活性-稳定性的权衡。在这里，我们报告了一种原子界面工程策略，能够在钼-铜氧化物上原位组装和偶联六乙炔基苯，形成 sp 杂化 Mo/Cu-C≡C 异质界面。它具有双d轨道杂化（Mo 4d-C 2p和Cu 3d-C 2p），使N-O键减弱36.85%，活化势垒降低0.43 eV，可逆电子缓冲促进质子耦合电子转移，以及金属原子和-C≡C-原子线之间的自调节电荷补偿，共同赋予高活性和近乎完全的析氢反应抑制。所得催化剂在环境条件下实现了高 NH3 产率（YNH3，2.45 mmol h−1 cm−2）和法拉第效率（~100%）。使用该催化剂运行的原型流动电解槽可在 NH3 浓度为 3.64 mmol h−1 cm−2 的情况下维持 500 mA cm−2 的工业电流密度 300 小时。</w:t>
      </w:r>
    </w:p>
    <w:p>
      <w:pPr>
        <w:spacing w:before="0" w:after="200" w:lineRule="auto" w:line="276"/>
      </w:pPr>
      <w:r>
        <w:rPr>
          <w:b/>
        </w:rPr>
        <w:t xml:space="preserve">Abstract (EN): </w:t>
      </w:r>
      <w:r>
        <w:t>Electrochemical green ammonia (NH3) production using renewable electricity is sustainable but suffers from selectivity-activity-stability trade-off under industrial conditions. Here we report an atomic interface engineering strategy enabling in-situ assembly and coupling of hexaethynylbenzenes on molybdenum-copper oxidesto form an sp-hybridized Mo/Cu-C≡C heterointerface. It features dual d-orbital hybridization (Mo 4d-C 2p and Cu 3d-C 2p) weakening N–O bond by 36.85% and lowering activation barrier by 0.43 eV, reversible electron-buffer facilitating proton-coupled electron transfer, and self-regulated charge compensation between metal atoms and -C≡C- atomic wires, collectively endowing high activity and near-complete hydrogen evolution reaction suppression. The resulting catalyst achieves high NH3 yielding rate (YNH3, 2.45 mmol h−1 cm−2) and Faradaic efficiency (~100%) under ambient conditions. A prototype flow electrolyzer operating with this catalyst sustains industrial-current densities of 500 mA cm−2 for 300 hours with NH3 of 3.64 mmol h−1 cm−2.</w:t>
      </w:r>
    </w:p>
    <w:p>
      <w:pPr>
        <w:spacing w:before="120" w:after="120"/>
      </w:pPr>
      <w:r>
        <w:rPr>
          <w:sz w:val="18"/>
        </w:rPr>
        <w:t>——————————————————————————————————————————————————————————————————————</w:t>
      </w:r>
    </w:p>
    <w:p>
      <w:pPr>
        <w:spacing w:before="160" w:after="40" w:line="240" w:lineRule="auto"/>
      </w:pPr>
      <w:r>
        <w:rPr>
          <w:b/>
        </w:rPr>
        <w:t xml:space="preserve">[19] </w:t>
      </w:r>
      <w:hyperlink r:id="rId233">
        <w:r>
          <w:rPr>
            <w:color w:val="1155CC"/>
            <w:u w:val="single"/>
          </w:rPr>
          <w:t>自愈和可回收摩擦层构造的棉织物直流摩擦伏纳米发电机实现持久和可持续的机械能收集</w:t>
        </w:r>
      </w:hyperlink>
    </w:p>
    <w:p>
      <w:pPr>
        <w:spacing w:before="0" w:after="80"/>
      </w:pPr>
      <w:r>
        <w:rPr>
          <w:i/>
          <w:sz w:val="20"/>
        </w:rPr>
        <w:t>EN: Self-Healing and Recyclable Tribolayer Constructed Cotton-Fabric-Based Direct-Current Tribovoltaic Nanogenerator toward Durable and Sustainable Mechanical Energy Harvesting</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34">
        <w:r>
          <w:rPr>
            <w:color w:val="1155CC"/>
            <w:u w:val="single"/>
          </w:rPr>
          <w:t>10.1021/acsami.6c09247</w:t>
        </w:r>
      </w:hyperlink>
    </w:p>
    <w:p>
      <w:pPr>
        <w:spacing w:before="0" w:after="120"/>
      </w:pPr>
      <w:r>
        <w:rPr>
          <w:b/>
        </w:rPr>
        <w:t xml:space="preserve">Notes: </w:t>
      </w:r>
      <w:r>
        <w:t>abstract_source=crossref</w:t>
      </w:r>
    </w:p>
    <w:p>
      <w:pPr>
        <w:spacing w:before="0" w:after="80" w:lineRule="auto" w:line="276"/>
      </w:pPr>
      <w:r>
        <w:rPr>
          <w:b/>
        </w:rPr>
        <w:t xml:space="preserve">摘要（ZH）: </w:t>
      </w:r>
      <w:r>
        <w:t>摘要：将可再生棉花和可回收摩擦层相结合来构建耐用的直流摩擦伏纳米发电机（TVNG），在解决电子废物问题方面展现出巨大的潜力。然而，为 TVNG 开发同时具有长期耐用性和可回收功能以延长使用寿命的可持续摩擦层仍然是一项重大挑战。在此，我们展示了一种简便的方法来制造基于棉织物的可持续TVNG，该TVNG具有自修复和可回收的摩擦层，该摩擦层由生物相容性聚乙烯醇骨架与半导体填料和铝滑动层相结合制成。由此产生的 TVNG 的最大开路电压为 1.08 V，峰值电流为 0.72 mA。基于可逆的动态氢键相互作用，断裂的摩擦层可以自主修复并进一步改善其摩擦电行为，达到原始值的 90%。此外，TVNG中废弃的摩擦层可以通过热水溶解去除并重新涂覆在棉织物上，构建可重复使用的TVNG，其可保留80%以上的原始价值。我们还对 TVNG 进行了稳定性测试以及拉伸机械和负载阻力分析。这项工作提出了一种基于天然棉织物上自愈摩擦层涂层的可持续TVNG，为可再生材料在纳米发电机领域的应用提供了一种可持续的方法。</w:t>
      </w:r>
    </w:p>
    <w:p>
      <w:pPr>
        <w:spacing w:before="0" w:after="200" w:lineRule="auto" w:line="276"/>
      </w:pPr>
      <w:r>
        <w:rPr>
          <w:b/>
        </w:rPr>
        <w:t xml:space="preserve">Abstract (EN): </w:t>
      </w:r>
      <w:r>
        <w:t>The combination of renewable cotton and recyclable tribolayer to construct durable direct-current tribovoltaic nanogenerators (TVNGs) demonstrates significant potential for addressing the issue of electronic waste. However, developing sustainable tribolayers for TVNGs that simultaneously possess long-term durability and recyclable functionality to extend service life remains a major challenge. Herein, we demonstrate a facile method to fabricate sustainable cotton-fabric-based TVNGs with a self-healing and recyclable tribolayer made of a biocompatible polyvinyl alcohol skeleton combined with semiconductor fillers and an aluminum sliding layer. The resultant TVNG exhibits a maximum open-circuit voltage of 1.08 V and a peak current of 0.72 mA. Based on reversible dynamic hydrogen-bond interactions, the fractured tribolayer can autonomously repair and further improve its triboelectric behavior, achieving up to 90% of the original values. Furthermore, the discarded tribolayer in TVNGs can be removed through hot water dissolution and recoating on cotton fabric to construct reused TVNGs, which can retain over 80% of the original value. We have also conducted stability tests and tensile mechanical and load resistance analysis for the TVNG. This work proposes a sustainable TVNG based on the coating of a self-healing tribolayer on natural cotton fabric, which provides a sustainable approach toward the application of renewable materials in the nanogenerator field.</w:t>
      </w:r>
    </w:p>
    <w:p>
      <w:pPr>
        <w:spacing w:before="120" w:after="120"/>
      </w:pPr>
      <w:r>
        <w:rPr>
          <w:sz w:val="18"/>
        </w:rPr>
        <w:t>——————————————————————————————————————————————————————————————————————</w:t>
      </w:r>
    </w:p>
    <w:p>
      <w:pPr>
        <w:spacing w:before="160" w:after="40" w:line="240" w:lineRule="auto"/>
      </w:pPr>
      <w:r>
        <w:rPr>
          <w:b/>
        </w:rPr>
        <w:t xml:space="preserve">[20] </w:t>
      </w:r>
      <w:hyperlink r:id="rId368">
        <w:r>
          <w:rPr>
            <w:color w:val="1155CC"/>
            <w:u w:val="single"/>
          </w:rPr>
          <w:t>超低电位肼氧化节能制氢：调节界面OH-动力学实现碱性条件下N2H4的快速脱氢</w:t>
        </w:r>
      </w:hyperlink>
    </w:p>
    <w:p>
      <w:pPr>
        <w:spacing w:before="0" w:after="80"/>
      </w:pPr>
      <w:r>
        <w:rPr>
          <w:i/>
          <w:sz w:val="20"/>
        </w:rPr>
        <w:t>EN: Ultralow-Potential Hydrazine Oxidation for Energy-Saving Hydrogen Production: Regulating Interfacial OH– Dynamics Achieves Fast Dehydrogenation of N2H4 in Alkaline</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369">
        <w:r>
          <w:rPr>
            <w:color w:val="1155CC"/>
            <w:u w:val="single"/>
          </w:rPr>
          <w:t>10.1021/acsami.6c09619</w:t>
        </w:r>
      </w:hyperlink>
    </w:p>
    <w:p>
      <w:pPr>
        <w:spacing w:before="0" w:after="120"/>
      </w:pPr>
      <w:r>
        <w:rPr>
          <w:b/>
        </w:rPr>
        <w:t xml:space="preserve">Notes: </w:t>
      </w:r>
      <w:r>
        <w:t>abstract_source=crossref</w:t>
      </w:r>
    </w:p>
    <w:p>
      <w:pPr>
        <w:spacing w:before="0" w:after="80" w:lineRule="auto" w:line="276"/>
      </w:pPr>
      <w:r>
        <w:rPr>
          <w:b/>
        </w:rPr>
        <w:t xml:space="preserve">摘要（ZH）: </w:t>
      </w:r>
      <w:r>
        <w:t>摘要 联氨辅助水电解为制氢提供了一种有前途的节能途径，但其效率常常受到碱性介质中 OH- 和 N2H4 之间的竞争吸附的阻碍。在这里，我们的目标是调节界面 OH- 动力学以加速肼脱氢。构建了 Ru/WO3/NF 异质结构，其中亲氧性 WO3 作为 OH- 缓冲剂，将羟基物质重新分布到远离 Ru 活性位点的位置，并为 N2H4 吸附和活化创造有利的界面微环境。实验测量和理论计算均证实，该策略在 400 mA cm-2 下将肼氧化电位降低至 0.11 V vs RHE，提供 26 mV dec-1 的塔菲尔斜率，并在 200 mA cm-2 下保持稳定运行 120 小时。当应用于肼辅助整体水分解的膜电极组件中时，仅需 0.548 V 即可达到 200 mA cm–2。这项工作强调了界面 OH- 调节作为高效实用氢气生产的强大设计原则。</w:t>
      </w:r>
    </w:p>
    <w:p>
      <w:pPr>
        <w:spacing w:before="0" w:after="200" w:lineRule="auto" w:line="276"/>
      </w:pPr>
      <w:r>
        <w:rPr>
          <w:b/>
        </w:rPr>
        <w:t xml:space="preserve">Abstract (EN): </w:t>
      </w:r>
      <w:r>
        <w:t>Hydrazine-assisted water electrolysis offers a promising energy-saving route for hydrogen production, yet its efficiency is often hindered by competitive adsorption between OH– and N2H4 in alkaline media. Here, we aim to regulate interfacial OH– dynamics to accelerate hydrazine dehydrogenation. A Ru/WO3/NF heterostructure was constructed, in which oxophilic WO3 acts as an OH– buffer to redistribute hydroxyl species away from Ru active sites and create a favorable interfacial microenvironment for N2H4 adsorption and activation. Both experimental measurements and theoretical calculations confirm that this strategy lowers the hydrazine oxidation potential to 0.11 V vs RHE at 400 mA cm–2, delivers a Tafel slope of 26 mV dec–1, and maintains stable operation for 120 h at 200 mA cm–2. When applied in a membrane electrode assembly for hydrazine-assisted overall water splitting, only 0.548 V is required to reach 200 mA cm–2. This work highlights interfacial OH– regulation as a powerful design principle for efficient and practical hydrogen production.</w:t>
      </w:r>
    </w:p>
    <w:p>
      <w:pPr>
        <w:spacing w:before="120" w:after="120"/>
      </w:pPr>
      <w:r>
        <w:rPr>
          <w:sz w:val="18"/>
        </w:rPr>
        <w:t>——————————————————————————————————————————————————————————————————————</w:t>
      </w:r>
    </w:p>
    <w:p>
      <w:pPr>
        <w:spacing w:before="160" w:after="40" w:line="240" w:lineRule="auto"/>
      </w:pPr>
      <w:r>
        <w:rPr>
          <w:b/>
        </w:rPr>
        <w:t xml:space="preserve">[21] </w:t>
      </w:r>
      <w:hyperlink r:id="rId452">
        <w:r>
          <w:rPr>
            <w:color w:val="1155CC"/>
            <w:u w:val="single"/>
          </w:rPr>
          <w:t>不同区域治理机制实现全球生物多样性框架目标的潜力</w:t>
        </w:r>
      </w:hyperlink>
    </w:p>
    <w:p>
      <w:pPr>
        <w:spacing w:before="0" w:after="80"/>
      </w:pPr>
      <w:r>
        <w:rPr>
          <w:i/>
          <w:sz w:val="20"/>
        </w:rPr>
        <w:t>EN: Potential of different area-based governance mechanisms for achieving Global Biodiversity Framework goals</w:t>
      </w:r>
    </w:p>
    <w:p>
      <w:pPr>
        <w:spacing w:before="0" w:after="120"/>
      </w:pPr>
      <w:r>
        <w:rPr>
          <w:b/>
        </w:rPr>
        <w:t xml:space="preserve">Source: </w:t>
      </w:r>
      <w:r>
        <w:t>Earth and environmental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昆明-蒙特利尔全球生物多样性框架 (GBF) 包括到 2030 年保护 30% 土地的目标，并确定其他有效的区域保护措施 (OECM) 作为保护区 (PA) 的补充。然而，它们对保护成果的贡献仍然不确定。在这里，我们展示了全球 OECM 网络的人类压力水平，并评估了 2005 年至 2021 年秘鲁亚马逊地区不同治理机制对森林砍伐和相关碳排放的影响。我们使用统计匹配评估土著土地 (IL)、非木材林产品特许权 (NTC)、伐木特许权 (LC)、采矿特许权 (MC) 和 PA。在全球范围内，OECM 比受严格保护的 PA 表现出更高的人力压力，但与保护不那么严格的 PA 的水平相似。在秘鲁亚马逊地区，保护区在减少森林砍伐方面最有效（避免了 49-53%），其次是 NTC 和 IL（分别为 33% 和 20%）。相比之下，LC 和 MC 与森林砍伐增加有关（13% 和 24%）。这些发现强调了OECM的互补作用以及不同治理机制在减少森林砍伐和碳排放方面的有效性，为实现全球生物多样性目标的努力提供了信息。</w:t>
      </w:r>
    </w:p>
    <w:p>
      <w:pPr>
        <w:spacing w:before="0" w:after="200" w:lineRule="auto" w:line="276"/>
      </w:pPr>
      <w:r>
        <w:rPr>
          <w:b/>
        </w:rPr>
        <w:t xml:space="preserve">Abstract (EN): </w:t>
      </w:r>
      <w:r>
        <w:t>The Kunming–Montreal Global Biodiversity Framework (GBF) includes a target to protect 30% of land by 2030, identifying other effective area-based conservation measures (OECMs) as complementary to Protected Areas (PAs). However, their contribution to conservation outcomes remains uncertain. Here we show the level of human pressure across the global OECM network and assess the impact of different governance mechanisms on deforestation and associated carbon emissions in the Peruvian Amazon from 2005 to 2021. We evaluate Indigenous Lands (ILs), Non-Timber Forest Product Concessions (NTCs), Logging Concessions (LCs), Mining Concessions (MCs), and PAs using statistical matching. Globally, OECMs show higher human pressure than strictly protected PAs, but similar levels to less strictly protected PAs. In the Peruvian Amazon, PAs are most effective at reducing deforestation (49–53% avoided), followed by NTCs and ILs (33% and 20%, respectively). In contrast, LCs and MCs are associated with increased deforestation (13% and 24%). These findings highlight the complementary role of OECMs and the effectiveness of different governance mechanisms in reducing deforestation and carbon emissions, informing efforts to achieve global biodiversity targets.</w:t>
      </w:r>
    </w:p>
    <w:p>
      <w:pPr>
        <w:spacing w:before="120" w:after="120"/>
      </w:pPr>
      <w:r>
        <w:rPr>
          <w:sz w:val="18"/>
        </w:rPr>
        <w:t>——————————————————————————————————————————————————————————————————————</w:t>
      </w:r>
    </w:p>
    <w:p>
      <w:pPr>
        <w:spacing w:before="160" w:after="40" w:line="240" w:lineRule="auto"/>
      </w:pPr>
      <w:r>
        <w:rPr>
          <w:b/>
        </w:rPr>
        <w:t xml:space="preserve">[22] </w:t>
      </w:r>
      <w:hyperlink r:id="rId284">
        <w:r>
          <w:rPr>
            <w:color w:val="1155CC"/>
            <w:u w:val="single"/>
          </w:rPr>
          <w:t>基于纤维素的分层多孔膜集成了温度适应性和超疏水自清洁功能，适用于全季节被动辐射冷却</w:t>
        </w:r>
      </w:hyperlink>
    </w:p>
    <w:p>
      <w:pPr>
        <w:spacing w:before="0" w:after="80"/>
      </w:pPr>
      <w:r>
        <w:rPr>
          <w:i/>
          <w:sz w:val="20"/>
        </w:rPr>
        <w:t>EN: Cellulose-Based Hierarchical Porous Membranes Integrating Temperature-Adaptability and Superhydrophobic Self-Cleaning for All-Season Passive Radiative Cooling</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85">
        <w:r>
          <w:rPr>
            <w:color w:val="1155CC"/>
            <w:u w:val="single"/>
          </w:rPr>
          <w:t>10.1021/acsami.6c08441</w:t>
        </w:r>
      </w:hyperlink>
    </w:p>
    <w:p>
      <w:pPr>
        <w:spacing w:before="0" w:after="120"/>
      </w:pPr>
      <w:r>
        <w:rPr>
          <w:b/>
        </w:rPr>
        <w:t xml:space="preserve">Notes: </w:t>
      </w:r>
      <w:r>
        <w:t>abstract_source=crossref</w:t>
      </w:r>
    </w:p>
    <w:p>
      <w:pPr>
        <w:spacing w:before="0" w:after="80" w:lineRule="auto" w:line="276"/>
      </w:pPr>
      <w:r>
        <w:rPr>
          <w:b/>
        </w:rPr>
        <w:t xml:space="preserve">摘要（ZH）: </w:t>
      </w:r>
      <w:r>
        <w:t>摘要 被动辐射冷却为建筑热管理提供了一条可持续的途径，但其实际部署受到两个关键限制的严重阻碍，即寒冷环境中静态冷却引起的过冷和室外污垢导致的光学退化。在此，我们构建了一种基于纤维素的分层多孔材料，该材料将热致变色切换与超疏水自清洁相结合。具体来说，通过具有可扩展潜力的溶剂模板辅助蒸发诱导相分离策略，将热致变色微胶囊（TMC）集成到定制的醋酸纤维素多孔网络结构中。至关重要的是，这种结构不仅产生广泛的米氏散射位点以最大限度地提高太阳反射率，而且还将 TMC 机械固定在结构内，从而减轻通常在高填充复合材料中观察到的脆化。因此，即使在 30 wt% 的高 TMC 负载量下，所得膜也表现出优异的机械性能，拉伸强度为 21.9 MPa，断裂伸长率为 34.3%。同时，该薄膜实现了自主光学切换，将太阳反射率从热态的96.2%调节到冷态的80.8%，同时保持95.0%的高红外发射率。现场测试表明，该膜具有优异的气候适应性，即在强烈的太阳辐照下可实现12.3℃的制冷，并在寒冷环境下比静态辐射制冷膜保持6.6℃的热优势，有效抑制过冷。进一步</w:t>
      </w:r>
    </w:p>
    <w:p>
      <w:pPr>
        <w:spacing w:before="0" w:after="200" w:lineRule="auto" w:line="276"/>
      </w:pPr>
      <w:r>
        <w:rPr>
          <w:b/>
        </w:rPr>
        <w:t xml:space="preserve">Abstract (EN): </w:t>
      </w:r>
      <w:r>
        <w:t>Passive radiative cooling offers a sustainable pathway for building thermal management, yet its practical deployment is severely hindered by two critical limitations, namely, static cooling-induced overcooling in cold environments and optical deterioration due to outdoor fouling. Herein, we construct a cellulose-based hierarchically porous material that integrates thermochromic switching with superhydrophobic self-cleaning. Specifically, thermochromic microcapsules (TMCs) are integrated into a tailored cellulose acetate porous network structure via a solvent-template-assisted evaporation-induced phase separation strategy with scalable potential. Crucially, this architecture not only generates extensive Mie-scattering sites to maximize solar reflectance but also mechanically anchors the TMCs within the structure, thereby mitigating the embrittlement typically observed in highly filled composites. Consequently, the resulting membrane exhibits excellent mechanical properties even at a high TMC loading of 30 wt %, achieving a tensile strength of 21.9 MPa and an elongation at break of 34.3%. Meanwhile, the membrane achieves autonomous optical switching, modulating solar reflectance from 96.2% in the hot state to 80.8% in the cold state, while maintaining a high infrared emissivity of 95.0%. Field tests demonstrate superior climate adaptability, i.e., the membrane yields a cooling of 12.3 °C under intense solar irradiance and effectively suppresses overcooling by maintaining a 6.6 °C thermal advantage over the static radiative cooling film in cold environments. Furthermore, to ensure long-term fidelity, a superhydrophobic feature is introduced (contact angle ∼152°), endowing the surface with exceptional self-cleaning capabilities that preserve optical performance against dust accumulation. This work synergizes adaptive thermoregulation with environmental durability, offering a scalable, eco-friendly solution for next-generation smart building envelopes.</w:t>
      </w:r>
    </w:p>
    <w:p>
      <w:pPr>
        <w:spacing w:before="120" w:after="120"/>
      </w:pPr>
      <w:r>
        <w:rPr>
          <w:sz w:val="18"/>
        </w:rPr>
        <w:t>——————————————————————————————————————————————————————————————————————</w:t>
      </w:r>
    </w:p>
    <w:p>
      <w:pPr>
        <w:spacing w:before="160" w:after="40" w:line="240" w:lineRule="auto"/>
      </w:pPr>
      <w:r>
        <w:rPr>
          <w:b/>
        </w:rPr>
        <w:t xml:space="preserve">[23] </w:t>
      </w:r>
      <w:hyperlink r:id="rId453">
        <w:r>
          <w:rPr>
            <w:color w:val="1155CC"/>
            <w:u w:val="single"/>
          </w:rPr>
          <w:t>量化氮基作物重组的环境协同效益及其对印度州际贸易网络的影响</w:t>
        </w:r>
      </w:hyperlink>
    </w:p>
    <w:p>
      <w:pPr>
        <w:spacing w:before="0" w:after="80"/>
      </w:pPr>
      <w:r>
        <w:rPr>
          <w:i/>
          <w:sz w:val="20"/>
        </w:rPr>
        <w:t>EN: Quantifying environmental co-benefits of nitrogen-based crop restructuring and its implications on India’s interstate trade network</w:t>
      </w:r>
    </w:p>
    <w:p>
      <w:pPr>
        <w:spacing w:before="0" w:after="120"/>
      </w:pPr>
      <w:r>
        <w:rPr>
          <w:b/>
        </w:rPr>
        <w:t xml:space="preserve">Source: </w:t>
      </w:r>
      <w:r>
        <w:t>Earth and environmental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由于粮食系统具有多方面的性质，解决粮食系统内的可持续性问题具有挑战性。在这里，我们通过整合养分、水、温室气体、经济和州际贸易网络核算来评估印度农业系统的作物重组路径。我们发现，以氮为主的作物结构调整策略将氮过剩减少了 13.4%，用水量减少了 18.6%。这种方法维持了基准卡路里产量，缩小了基准谷物净回报赤字，并将温室气体排放量减少了 8.7%。相对于以水为重点的重组，以氮为重点的战略可带来约 4.6 倍的互惠协同效益，从而使与氮污染相关的社会环境成本减少约 11.9 亿美元。由此产生的农业重组大大扩大了州际贸易网络中的替代谷物贸易。总体而言，我们的分析表明，将养分管理纳入作物重组战略可以支持印度和其他资源有限的农业系统的粮食系统可持续性。</w:t>
      </w:r>
    </w:p>
    <w:p>
      <w:pPr>
        <w:spacing w:before="0" w:after="200" w:lineRule="auto" w:line="276"/>
      </w:pPr>
      <w:r>
        <w:rPr>
          <w:b/>
        </w:rPr>
        <w:t xml:space="preserve">Abstract (EN): </w:t>
      </w:r>
      <w:r>
        <w:t>Addressing sustainability within food systems is challenging due to their multifaceted nature. Here, we evaluate crop-restructuring pathways for Indian agricultural system by integrating nutrient, water, greenhouse gas, economic, and interstate trade-network accounting. We show that the nitrogen-focused crop restructuring strategy reduces nitrogen surplus by 13.4% and water use by 18.6%. This approach maintains baseline calorie production, narrows the benchmarked cereal net-return deficit, and mitigates greenhouse gas emissions by 8.7%. Relative to water-focused restructuring, the nitrogen-focused strategy delivers larger reciprocal co-benefits by about 4.6-fold, resulting in a decrease in socio-environmental costs associated with nitrogen pollution of around $1.19 billion USD. The resulting agricultural restructuring substantially expands alternative-cereal trade in the interstate trade network. Overall, our analysis shows that integrating nutrient management into crop-restructuring strategies can support food-system sustainability in India and other resource-constrained agricultural systems.</w:t>
      </w:r>
    </w:p>
    <w:p>
      <w:pPr>
        <w:spacing w:before="120" w:after="120"/>
      </w:pPr>
      <w:r>
        <w:rPr>
          <w:sz w:val="18"/>
        </w:rPr>
        <w:t>——————————————————————————————————————————————————————————————————————</w:t>
      </w:r>
    </w:p>
    <w:p>
      <w:pPr>
        <w:spacing w:before="160" w:after="40" w:line="240" w:lineRule="auto"/>
      </w:pPr>
      <w:r>
        <w:rPr>
          <w:b/>
        </w:rPr>
        <w:t xml:space="preserve">[24] </w:t>
      </w:r>
      <w:hyperlink r:id="rId454">
        <w:r>
          <w:rPr>
            <w:color w:val="1155CC"/>
            <w:u w:val="single"/>
          </w:rPr>
          <w:t>协调电动汽车充电模式和能源系统规划揭示了整个欧洲的储蓄不均衡</w:t>
        </w:r>
      </w:hyperlink>
    </w:p>
    <w:p>
      <w:pPr>
        <w:spacing w:before="0" w:after="80"/>
      </w:pPr>
      <w:r>
        <w:rPr>
          <w:i/>
          <w:sz w:val="20"/>
        </w:rPr>
        <w:t>EN: Coordinating EV charging modes and energy system planning reveals uneven savings across Europe</w:t>
      </w:r>
    </w:p>
    <w:p>
      <w:pPr>
        <w:spacing w:before="0" w:after="120"/>
      </w:pPr>
      <w:r>
        <w:rPr>
          <w:b/>
        </w:rPr>
        <w:t xml:space="preserve">Source: </w:t>
      </w:r>
      <w:r>
        <w:t>Nature Energy</w:t>
      </w:r>
      <w:r>
        <w:t xml:space="preserve">    </w:t>
      </w:r>
      <w:r>
        <w:rPr>
          <w:b/>
        </w:rPr>
        <w:t xml:space="preserve">Pub date: </w:t>
      </w:r>
      <w:r>
        <w:t>2026-08-04 00:00:00+00:00</w:t>
      </w:r>
      <w:r>
        <w:t xml:space="preserve">    </w:t>
      </w:r>
      <w:r>
        <w:rPr>
          <w:b/>
        </w:rPr>
        <w:t xml:space="preserve">DOI: </w:t>
      </w:r>
      <w:hyperlink r:id="rId455">
        <w:r>
          <w:rPr>
            <w:color w:val="1155CC"/>
            <w:u w:val="single"/>
          </w:rPr>
          <w:t>10.1038/s41560-026-02121-7</w:t>
        </w:r>
      </w:hyperlink>
    </w:p>
    <w:p>
      <w:pPr>
        <w:spacing w:before="0" w:after="120"/>
      </w:pPr>
      <w:r>
        <w:rPr>
          <w:b/>
        </w:rPr>
        <w:t xml:space="preserve">Notes: </w:t>
      </w:r>
      <w:r>
        <w:t>abstract_source=rss_nature</w:t>
      </w:r>
    </w:p>
    <w:p>
      <w:pPr>
        <w:spacing w:before="0" w:after="80" w:lineRule="auto" w:line="276"/>
      </w:pPr>
      <w:r>
        <w:rPr>
          <w:b/>
        </w:rPr>
        <w:t xml:space="preserve">摘要（ZH）: </w:t>
      </w:r>
      <w:r>
        <w:t>将充电基础设施的成本纳入欧洲能源系统模型表明，单向智能充电每年可节省高达 4.5% 的系统成本，而双向充电技术在太阳能主导的系统中可带来可观的市场收入。因此，充电基础设施目标应考虑不同国家能源系统之间的差异。</w:t>
      </w:r>
    </w:p>
    <w:p>
      <w:pPr>
        <w:spacing w:before="0" w:after="200" w:lineRule="auto" w:line="276"/>
      </w:pPr>
      <w:r>
        <w:rPr>
          <w:b/>
        </w:rPr>
        <w:t xml:space="preserve">Abstract (EN): </w:t>
      </w:r>
      <w:r>
        <w:t>Including the costs of charging infrastructure in a European energy system model reveals that unidirectional smart charging delivers up to 4.5% in annual system cost savings, whereas bidirectional charging technology generates substantial market revenues in solar-dominated systems. Thus, charging infrastructure targets should account for differences across diverse national energy systems.</w:t>
      </w:r>
    </w:p>
    <w:p>
      <w:pPr>
        <w:spacing w:before="120" w:after="120"/>
      </w:pPr>
      <w:r>
        <w:rPr>
          <w:sz w:val="18"/>
        </w:rPr>
        <w:t>——————————————————————————————————————————————————————————————————————</w:t>
      </w:r>
    </w:p>
    <w:p>
      <w:pPr>
        <w:spacing w:before="160" w:after="40" w:line="240" w:lineRule="auto"/>
      </w:pPr>
      <w:r>
        <w:rPr>
          <w:b/>
        </w:rPr>
        <w:t xml:space="preserve">[25] </w:t>
      </w:r>
      <w:hyperlink r:id="rId456">
        <w:r>
          <w:rPr>
            <w:color w:val="1155CC"/>
            <w:u w:val="single"/>
          </w:rPr>
          <w:t>Platron 介导的直接 H2O2 合成</w:t>
        </w:r>
      </w:hyperlink>
    </w:p>
    <w:p>
      <w:pPr>
        <w:spacing w:before="0" w:after="80"/>
      </w:pPr>
      <w:r>
        <w:rPr>
          <w:i/>
          <w:sz w:val="20"/>
        </w:rPr>
        <w:t>EN: Plastron-mediated direct H2O2 synthesis</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气-液-固催化反应在化学工业和环境化学中普遍存在。这些反应的功效受到气体在液体中固有的低溶解度以及反应物/产物到/从催化剂表面的传质不良的限制。我们表明，疏水催化剂（腹甲）上捕获的气体层大大丰富了局部气体浓度，减轻了传质限制​​并加快了反应速率。使用金-钯催化剂直接合成过氧化氢作为模型，疏水性有机二氧化硅上的氢/空气腹膜的产率可提高 20 倍，无需低于环境温度、高压或醇共溶剂。结合金-钯纳米颗粒上丁硫醇的选择性吸附，腹甲通过从催化中心排斥水，进一步抑制过氧化氢的不良分解途径，从而消除了对酸和卤化物促进剂的需要。该策略作为一种新型的气-液-固反应多相催化剂，为降低成本和碳足迹的化学过程提供了一条途径。</w:t>
      </w:r>
    </w:p>
    <w:p>
      <w:pPr>
        <w:spacing w:before="0" w:after="200" w:lineRule="auto" w:line="276"/>
      </w:pPr>
      <w:r>
        <w:rPr>
          <w:b/>
        </w:rPr>
        <w:t xml:space="preserve">Abstract (EN): </w:t>
      </w:r>
      <w:r>
        <w:t>Gas-liquid-solid catalytic reactions are ubiquitous in the chemical industry and environmental chemistry. The efficacy of these reactions is constrained by the inherently low solubility of gases in liquids and poor mass transfer of reactants/products to/from the catalyst surface. We show that a gas layer trapped on a hydrophobic catalyst (plastron) substantially enriches local gas concentration, alleviating mass-transfer limitations and accelerating reaction rates. Using gold-palladium catalyst for direct hydrogen peroxide synthesis as a model, hydrogen/air plastrons on hydrophobic organosilica yield up to a 20-fold rate enhancement without sub-ambient temperatures, high pressures, or alcohol co-solvents. Combined with selective adsorption of butanethiol on gold-palladium nanoparticles, plastrons further inhibit undesirable decomposition pathways of hydrogen peroxide by repelling water from the catalytic center, eliminating the need for acid and halide promoters. This strategy serves as a new class of heterogeneous catalysts for gas-liquid-solid reactions, offering a route to chemical processes with reduced cost and carbon footprint.</w:t>
      </w:r>
    </w:p>
    <w:p>
      <w:pPr>
        <w:spacing w:before="120" w:after="120"/>
      </w:pPr>
      <w:r>
        <w:rPr>
          <w:sz w:val="18"/>
        </w:rPr>
        <w:t>——————————————————————————————————————————————————————————————————————</w:t>
      </w:r>
    </w:p>
    <w:p>
      <w:pPr>
        <w:spacing w:before="160" w:after="40" w:line="240" w:lineRule="auto"/>
      </w:pPr>
      <w:r>
        <w:rPr>
          <w:b/>
        </w:rPr>
        <w:t xml:space="preserve">[26] </w:t>
      </w:r>
      <w:hyperlink r:id="rId457">
        <w:r>
          <w:rPr>
            <w:color w:val="1155CC"/>
            <w:u w:val="single"/>
          </w:rPr>
          <w:t>双电机耦合动力总成电动商用车行驶工况特征驱动协同能量转换与管理策略</w:t>
        </w:r>
      </w:hyperlink>
    </w:p>
    <w:p>
      <w:pPr>
        <w:spacing w:before="0" w:after="80"/>
      </w:pPr>
      <w:r>
        <w:rPr>
          <w:i/>
          <w:sz w:val="20"/>
        </w:rPr>
        <w:t>EN: Driving condition feature driven collaborative energy conversion and management strategy for electric commercial vehicles with the dual-motor coupled powertrain system</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458">
        <w:r>
          <w:rPr>
            <w:color w:val="1155CC"/>
            <w:u w:val="single"/>
          </w:rPr>
          <w:t>10.1016/j.apenergy.2026.128592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459">
        <w:r>
          <w:rPr>
            <w:color w:val="1155CC"/>
            <w:u w:val="single"/>
          </w:rPr>
          <w:t>混合动力船舶的可持续能源管理：多能源架构、生命周期退化、MVDC 稳定性和部署路径</w:t>
        </w:r>
      </w:hyperlink>
    </w:p>
    <w:p>
      <w:pPr>
        <w:spacing w:before="0" w:after="80"/>
      </w:pPr>
      <w:r>
        <w:rPr>
          <w:i/>
          <w:sz w:val="20"/>
        </w:rPr>
        <w:t>EN: Sustainable energy management for hybrid electric ships: Multi-energy architectures, lifecycle degradation, MVDC stability, and deployment pathways</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460">
        <w:r>
          <w:rPr>
            <w:color w:val="1155CC"/>
            <w:u w:val="single"/>
          </w:rPr>
          <w:t>10.1016/j.apenergy.2026.128503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398">
        <w:r>
          <w:rPr>
            <w:color w:val="1155CC"/>
            <w:u w:val="single"/>
          </w:rPr>
          <w:t>通过光热催化控制甲烷转化为含氧化合物的反应途径，实现零二氧化碳产生</w:t>
        </w:r>
      </w:hyperlink>
    </w:p>
    <w:p>
      <w:pPr>
        <w:spacing w:before="0" w:after="80"/>
      </w:pPr>
      <w:r>
        <w:rPr>
          <w:i/>
          <w:sz w:val="20"/>
        </w:rPr>
        <w:t>EN: Steering the reaction pathway of methane-to-oxygenates with zero CO2 production via photo–thermal catalysis</w:t>
      </w:r>
    </w:p>
    <w:p>
      <w:pPr>
        <w:spacing w:before="0" w:after="120"/>
      </w:pPr>
      <w:r>
        <w:rPr>
          <w:b/>
        </w:rPr>
        <w:t xml:space="preserve">Source: </w:t>
      </w:r>
      <w:r>
        <w:t>National Science Review Advance Access</w:t>
      </w:r>
      <w:r>
        <w:t xml:space="preserve">    </w:t>
      </w:r>
      <w:r>
        <w:rPr>
          <w:b/>
        </w:rPr>
        <w:t xml:space="preserve">Pub date: </w:t>
      </w:r>
      <w:r>
        <w:t>2026-08-05 00:00:00+00:00</w:t>
      </w:r>
      <w:r>
        <w:t xml:space="preserve">    </w:t>
      </w:r>
      <w:r>
        <w:rPr>
          <w:b/>
        </w:rPr>
        <w:t xml:space="preserve">DOI: </w:t>
      </w:r>
      <w:hyperlink r:id="rId399">
        <w:r>
          <w:rPr>
            <w:color w:val="1155CC"/>
            <w:u w:val="single"/>
          </w:rPr>
          <w:t>10.1093/nsr/nwag472</w:t>
        </w:r>
      </w:hyperlink>
    </w:p>
    <w:p>
      <w:pPr>
        <w:spacing w:before="0" w:after="120"/>
      </w:pPr>
      <w:r>
        <w:rPr>
          <w:b/>
        </w:rPr>
        <w:t xml:space="preserve">Notes: </w:t>
      </w:r>
      <w:r>
        <w:t>abstract_source=rss_oup</w:t>
      </w:r>
    </w:p>
    <w:p>
      <w:pPr>
        <w:spacing w:before="0" w:after="80" w:lineRule="auto" w:line="276"/>
      </w:pPr>
      <w:r>
        <w:rPr>
          <w:b/>
        </w:rPr>
        <w:t xml:space="preserve">摘要（ZH）: </w:t>
      </w:r>
      <w:r>
        <w:t>由于目标产物容易过度氧化，通过多相催化将 CH4 直接转化为液态含氧化合物非常具有挑战性。在此，我们提出了一种潜在的 Ag 修饰的 In2O3 光热催化剂，该催化剂能够在温和条件下（150°C，氙灯照射）使用分子 O2 将 CH4 选择性氧化为 CH3OH 和 HCHO。优化后的Ag-3/In2O3催化剂表现出卓越的性能，对液态含氧化合物实现100%选择性，完全抑制CO2的形成，并具有6544 μmol·g−1·h−1的高产率，是25°C下纯光催化的2.6倍。机理研究表明，光生空穴促进C-H键活化形成·CH3自由基，而O2在富电子Ag位点选择性还原生成·OH物质。同时，它表明Ag-10/In2O3对比催化剂上过量·OH的生成促进了HCHO过氧化为CO2，突出了·OH调节在确定Ag-3/In2O3催化剂上的产物选择性方面的重要性。此外，结合实验和DFT计算，表明具有合适能带结构的In2O3对CH3OH和HCHO表现出较弱的吸附亲和力，同时也为该催化过程中CO2零排放提供了深入的了解。这项工作表明，热催化和光催化途径的战略耦合增强了载流子利用率，并促进选择性自由基化学，以实现有效的 CH4 增值。</w:t>
      </w:r>
    </w:p>
    <w:p>
      <w:pPr>
        <w:spacing w:before="0" w:after="200" w:lineRule="auto" w:line="276"/>
      </w:pPr>
      <w:r>
        <w:rPr>
          <w:b/>
        </w:rPr>
        <w:t xml:space="preserve">Abstract (EN): </w:t>
      </w:r>
      <w:r>
        <w:t>The direct conversion of CH4 into liquid oxygenates via heterogeneous catalysis is highly challenging due to the facile overoxidation of target products. Herein, we present a potential Ag-modified In2O3 photo–thermal catalyst that enables the selective oxidation of CH4 to CH3OH and HCHO using molecular O2 under mild conditions (150°C, Xe lamp irradiation). The optimized Ag-3/In2O3 catalyst exhibits remarkable performance, achieving 100% selectivity toward liquid oxygenates with complete suppression of CO2 formation, and delivers a high production rate of 6544 μmol·g−1·h−1, 2.6 times greater than that under pure photocatalysis at 25°C. Mechanistic studies reveal that photogenerated holes facilitate C–H bond activation to form ·CH3 radicals, while O2 is selectively reduced at electron-rich Ag sites to generate ·OH species. Meanwhile, it demonstrates that excessive ·OH generation on the Ag-10/In2O3 contrast catalyst promotes HCHO overoxidation to CO2, highlighting the importance of ·OH regulation in determining product selectivity over the Ag-3/In2O3 catalyst. Moreover, combined with the experiments and DFT calculations, demonstrates that In2O3 with a suitable band structure exhibits weak adsorption affinity toward CH3OH and HCHO, while also supplying an in-depth understanding of the zero CO2 emissions in this catalysis process. The work illustrates that the strategic coupling of thermal and photocatalytic pathways enhances charge-carrier utilization and promotes selective radical chemistry for efficient CH4 valorization.</w:t>
      </w:r>
    </w:p>
    <w:p>
      <w:pPr>
        <w:spacing w:before="120" w:after="120"/>
      </w:pPr>
      <w:r>
        <w:rPr>
          <w:sz w:val="18"/>
        </w:rPr>
        <w:t>——————————————————————————————————————————————————————————————————————</w:t>
      </w:r>
    </w:p>
    <w:p>
      <w:pPr>
        <w:spacing w:before="160" w:after="40" w:line="240" w:lineRule="auto"/>
      </w:pPr>
      <w:r>
        <w:rPr>
          <w:b/>
        </w:rPr>
        <w:t xml:space="preserve">[29] </w:t>
      </w:r>
      <w:hyperlink r:id="rId461">
        <w:r>
          <w:rPr>
            <w:color w:val="1155CC"/>
            <w:u w:val="single"/>
          </w:rPr>
          <w:t>MnOx-Fe2O3 上原子分散的 Ti 调整 O 2p 轨道以实现 CO 氧化和 H2O/SO2 抗性</w:t>
        </w:r>
      </w:hyperlink>
    </w:p>
    <w:p>
      <w:pPr>
        <w:spacing w:before="0" w:after="80"/>
      </w:pPr>
      <w:r>
        <w:rPr>
          <w:i/>
          <w:sz w:val="20"/>
        </w:rPr>
        <w:t>EN: Atomically dispersed Ti on MnOx-Fe2O3 tailors O 2p orbitals for CO oxidation and H2O/SO2 resistance</w:t>
      </w:r>
    </w:p>
    <w:p>
      <w:pPr>
        <w:spacing w:before="0" w:after="120"/>
      </w:pPr>
      <w:r>
        <w:rPr>
          <w:b/>
        </w:rPr>
        <w:t xml:space="preserve">Source: </w:t>
      </w:r>
      <w:r>
        <w:t>Earth and environmental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过渡金属氧化物为环境催化提供了贵金属的低成本替代品，但由于快速中毒，在潮湿和含硫条件下的二氧化碳氧化仍然具有挑战性。在此，我们报道了一种 Ti 修饰的 MnOx-Fe2O3 催化剂的原子分散体，该催化剂具有高活性和显着的 H2O/SO2 抗性。原子分散的 Ti 提供来自 O 2p 轨道的电子接受 3d 态，重新分布并稳定选定的 O 2p 态，同时修改它们与相邻 Mn/Fe 3d 轨道的杂化。局域电子重组增强了CO吸附，并通过类Mars-van Krevelen (MvK)机制促进晶格氧活化，将表观活化能降低至64.59 kJ/mol。同时，Ti-O-Fe界面削弱了SO2吸附（从-1.96 eV到-0.19 eV）并抑制了H2O竞争，在10 vol% H2O和10 ppm SO2下保留了&gt;55%的CO转化率，远远超过了母体氧化物（</w:t>
      </w:r>
    </w:p>
    <w:p>
      <w:pPr>
        <w:spacing w:before="0" w:after="200" w:lineRule="auto" w:line="276"/>
      </w:pPr>
      <w:r>
        <w:rPr>
          <w:b/>
        </w:rPr>
        <w:t xml:space="preserve">Abstract (EN): </w:t>
      </w:r>
      <w:r>
        <w:t>Transition-metal oxides offer a low-cost alternative to precious metals for environmental catalysis, yet CO oxidation under humid and sulfur-laden conditions remains challenging due to rapid poisoning. Herein, we report an atomic dispersion of Ti‑decorated MnOx-Fe2O3 catalyst that achieves high activity and remarkable H2O/SO2 resistance. Atomically dispersed Ti provides electron-accepting 3d states from O 2p orbitals, which redistributes and stabilizes selected O 2p states while modifying their hybridization with neighboring Mn/Fe 3d orbitals. The localized electronic restructuring strengthens CO adsorption and facilitates lattice oxygen activation via a Mars-van Krevelen (MvK)-like mechanism, lowering the apparent activation energy to 64.59 kJ/mol. Simultaneously, Ti-O-Fe interfaces weaken SO2 adsorption (from −1.96 eV to −0.19 eV) and suppress H2O competition, retaining &gt;55% CO conversion under 10 vol% H2O and 10 ppm SO2, far surpassing the parent oxide (</w:t>
      </w:r>
    </w:p>
    <w:p>
      <w:pPr>
        <w:spacing w:before="120" w:after="120"/>
      </w:pPr>
      <w:r>
        <w:rPr>
          <w:sz w:val="18"/>
        </w:rPr>
        <w:t>——————————————————————————————————————————————————————————————————————</w:t>
      </w:r>
    </w:p>
    <w:p>
      <w:pPr>
        <w:spacing w:before="160" w:after="40" w:line="240" w:lineRule="auto"/>
      </w:pPr>
      <w:r>
        <w:rPr>
          <w:b/>
        </w:rPr>
        <w:t xml:space="preserve">[30] </w:t>
      </w:r>
      <w:hyperlink r:id="rId462">
        <w:r>
          <w:rPr>
            <w:color w:val="1155CC"/>
            <w:u w:val="single"/>
          </w:rPr>
          <w:t>动态氯配位使得 FeN2O2 单原子催化剂上的 4-氯苯酚选择性脉冲电催化升级循环成为可能</w:t>
        </w:r>
      </w:hyperlink>
    </w:p>
    <w:p>
      <w:pPr>
        <w:spacing w:before="0" w:after="80"/>
      </w:pPr>
      <w:r>
        <w:rPr>
          <w:i/>
          <w:sz w:val="20"/>
        </w:rPr>
        <w:t>EN: Dynamic chloride coordination enables selective pulsed electrocatalytic upcycling of 4-chlorophenol on FeN2O2 single-atom catalyst</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将卤化污染物电催化升级改造为增值化学品是一个可持续的前沿领域，但精确的转化途径仍然具有挑战性。在这里，我们报告了一种脉冲电催化策略，利用时间调制来实现动态配位机制，使得4-氯苯酚（4-CP）在N、O-双配位Fe单原子催化剂（FeN2O2 SAC）上顺序转化为对苯醌（p-BQ）。与传统的连续电解不同，脉冲催化在时空上解耦阴极脱氯和阳极氧化，对瞬态中间体进行精确控制。原位光谱学和密度泛函理论揭示脉冲极化驱动 Fe 中心的动态氯配位过程。这种瞬态配体场调制优化了吸附能量并降低了热力学势垒。因此，FeN2O2 SAC 的 4-CP 转化率为 94.8%，p-BQ 产率为 62.6%，优于 FeN4 架构。该系统展示了流动电解槽的长期耐用性以及减少的碳足迹。通过将脉冲电催化与动态配位化学相结合，这项工作建立了“污染物到产品”转化的范例，为循环化学经济提供了可扩展的蓝图。</w:t>
      </w:r>
    </w:p>
    <w:p>
      <w:pPr>
        <w:spacing w:before="0" w:after="200" w:lineRule="auto" w:line="276"/>
      </w:pPr>
      <w:r>
        <w:rPr>
          <w:b/>
        </w:rPr>
        <w:t xml:space="preserve">Abstract (EN): </w:t>
      </w:r>
      <w:r>
        <w:t>The electrocatalytic upcycling of halogenated pollutants into value-added chemicals presents a sustainable frontier, yet precise transformation pathways remain challenging. Here, we report a pulsed electrocatalytic strategy that exploits a temporal modulation to realize a dynamic coordination mechanism, enabling the sequential conversion of 4-chlorophenol (4-CP) to para-benzoquinone (p-BQ) over an N, O-dual coordinated Fe single-atom catalyst (FeN2O2 SAC). Diverging from conventional continuous electrolysis, pulsed catalysis spatiotemporally decouples cathodic dechlorination and anodic oxidation, exerting precise control over transient intermediate populations. In situ spectroscopy and density functional theory reveal that pulse polarization drives a dynamic chloride-coordination process at the Fe center. This transient ligand-field modulation optimizes the adsorption energetics and lowers the thermodynamic barrier. Consequently, the FeN2O2 SAC achieves a 4-CP conversion of 94.8% and a p-BQ yield of 62.6%, outperforming the FeN4 architecture. This system demonstrates long-term durability in flow electrolyzers alongside a reduced carbon footprint. By coupling pulsed electrocatalysis with dynamic coordination chemistry, this work establishes a paradigm for “pollutant-to-product” conversion, offering a scalable blueprint for circular chemical economies.</w:t>
      </w:r>
    </w:p>
    <w:p>
      <w:pPr>
        <w:spacing w:before="120" w:after="120"/>
      </w:pPr>
      <w:r>
        <w:rPr>
          <w:sz w:val="18"/>
        </w:rPr>
        <w:t>——————————————————————————————————————————————————————————————————————</w:t>
      </w:r>
    </w:p>
    <w:p>
      <w:pPr>
        <w:spacing w:before="160" w:after="40" w:line="240" w:lineRule="auto"/>
      </w:pPr>
      <w:r>
        <w:rPr>
          <w:b/>
        </w:rPr>
        <w:t xml:space="preserve">[31] </w:t>
      </w:r>
      <w:hyperlink r:id="rId66">
        <w:r>
          <w:rPr>
            <w:color w:val="1155CC"/>
            <w:u w:val="single"/>
          </w:rPr>
          <w:t>文化遗产作为屋顶太阳能部署的结构调节剂：受遗产限制的城市脱碳的建筑级框架</w:t>
        </w:r>
      </w:hyperlink>
    </w:p>
    <w:p>
      <w:pPr>
        <w:spacing w:before="0" w:after="80"/>
      </w:pPr>
      <w:r>
        <w:rPr>
          <w:i/>
          <w:sz w:val="20"/>
        </w:rPr>
        <w:t>EN: Cultural heritage as a structural modifier of rooftop solar deployment: A building-level framework for heritage-constrained urban decarbonisation</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67">
        <w:r>
          <w:rPr>
            <w:color w:val="1155CC"/>
            <w:u w:val="single"/>
          </w:rPr>
          <w:t>10.1016/j.apenergy.2026.128610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215">
        <w:r>
          <w:rPr>
            <w:color w:val="1155CC"/>
            <w:u w:val="single"/>
          </w:rPr>
          <w:t>考虑可再生微电网相互作用的电动公交车运行和电池充电联合优化</w:t>
        </w:r>
      </w:hyperlink>
    </w:p>
    <w:p>
      <w:pPr>
        <w:spacing w:before="0" w:after="80"/>
      </w:pPr>
      <w:r>
        <w:rPr>
          <w:i/>
          <w:sz w:val="20"/>
        </w:rPr>
        <w:t>EN: Joint optimization of electric bus operation and battery charging considering renewable microgrid interactions</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216">
        <w:r>
          <w:rPr>
            <w:color w:val="1155CC"/>
            <w:u w:val="single"/>
          </w:rPr>
          <w:t>10.1016/j.apenergy.2026.128588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412">
        <w:r>
          <w:rPr>
            <w:color w:val="1155CC"/>
            <w:u w:val="single"/>
          </w:rPr>
          <w:t>自然光红外驱动的 Cu/Fe2O3 生物乙醇高效合成乙醛</w:t>
        </w:r>
      </w:hyperlink>
    </w:p>
    <w:p>
      <w:pPr>
        <w:spacing w:before="0" w:after="80"/>
      </w:pPr>
      <w:r>
        <w:rPr>
          <w:i/>
          <w:sz w:val="20"/>
        </w:rPr>
        <w:t>EN: Natural Sunlight IR‐Driven Highly Efficient Synthesis of Acetaldehyde From Bioethanol Over Cu/Fe2O3</w:t>
      </w:r>
    </w:p>
    <w:p>
      <w:pPr>
        <w:spacing w:before="0" w:after="120"/>
      </w:pPr>
      <w:r>
        <w:rPr>
          <w:b/>
        </w:rPr>
        <w:t xml:space="preserve">Source: </w:t>
      </w:r>
      <w:r>
        <w:t>Wiley: Angewandte Chemie International Edition: Table of Contents</w:t>
      </w:r>
      <w:r>
        <w:t xml:space="preserve">    </w:t>
      </w:r>
      <w:r>
        <w:rPr>
          <w:b/>
        </w:rPr>
        <w:t xml:space="preserve">Pub date: </w:t>
      </w:r>
      <w:r>
        <w:t>2026-08-05 13:30:51+00:00</w:t>
      </w:r>
      <w:r>
        <w:t xml:space="preserve">    </w:t>
      </w:r>
      <w:r>
        <w:rPr>
          <w:b/>
        </w:rPr>
        <w:t xml:space="preserve">DOI: </w:t>
      </w:r>
      <w:hyperlink r:id="rId413">
        <w:r>
          <w:rPr>
            <w:color w:val="1155CC"/>
            <w:u w:val="single"/>
          </w:rPr>
          <w:t>10.1002/anie.9513626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利用可再生生物质合成有价值的化学品可以减少对化石燃料的依赖并实现碳中和。在这里，首次采用红外光驱动的催化剂，Cu/Fe</w:t>
      </w:r>
      <w:r>
        <w:rPr>
          <w:vertAlign w:val="subscript"/>
        </w:rPr>
        <w:t>2</w:t>
      </w:r>
      <w:r>
        <w:t>氧</w:t>
      </w:r>
      <w:r>
        <w:rPr>
          <w:vertAlign w:val="subscript"/>
        </w:rPr>
        <w:t>3</w:t>
      </w:r>
      <w:r>
        <w:t>，旨在在室内红外光和自然阳光下将生物乙醇转化为有价值的乙醛，并伴随副产品绿色氢气。乙醛初始产量为 237 mmol g</w:t>
      </w:r>
      <w:r>
        <w:t xml:space="preserve"> </w:t>
      </w:r>
      <w:r>
        <w:t>−1</w:t>
      </w:r>
      <w:r>
        <w:t xml:space="preserve"> </w:t>
      </w:r>
      <w:r>
        <w:t>小时</w:t>
      </w:r>
      <w:r>
        <w:t xml:space="preserve"> </w:t>
      </w:r>
      <w:r>
        <w:t>−1</w:t>
      </w:r>
      <w:r>
        <w:t xml:space="preserve"> </w:t>
      </w:r>
      <w:r>
        <w:t>室内红外辐射和205 mmol g</w:t>
      </w:r>
      <w:r>
        <w:t xml:space="preserve"> </w:t>
      </w:r>
      <w:r>
        <w:t>−1</w:t>
      </w:r>
      <w:r>
        <w:t xml:space="preserve"> </w:t>
      </w:r>
      <w:r>
        <w:t>小时</w:t>
      </w:r>
      <w:r>
        <w:t xml:space="preserve"> </w:t>
      </w:r>
      <w:r>
        <w:t>−1</w:t>
      </w:r>
      <w:r>
        <w:t xml:space="preserve"> </w:t>
      </w:r>
      <w:r>
        <w:t>在真实阳光下，具有卓越的选择性 (97.7%) 和接近化学计量的 H</w:t>
      </w:r>
      <w:r>
        <w:rPr>
          <w:vertAlign w:val="subscript"/>
        </w:rPr>
        <w:t>2</w:t>
      </w:r>
      <w:r>
        <w:t>副产品生产。值得注意的是，周转数和初始周转频率超过红外驱动系统至少一个数量级，并且与运行温度高达 573 K 的领先能源密集型紫外可见光驱动和热催化乙醇转化工艺相比具有竞争力。这种高性能归因于：i）在皮秒时间尺度内构建高效的红外光子到声子能量转换通道以驱动局部热催化； ii) 对原位形成的 Cu/Fe 的协同效应</w:t>
      </w:r>
      <w:r>
        <w:rPr>
          <w:vertAlign w:val="subscript"/>
        </w:rPr>
        <w:t>2</w:t>
      </w:r>
      <w:r>
        <w:t>氧</w:t>
      </w:r>
      <w:r>
        <w:rPr>
          <w:vertAlign w:val="subscript"/>
        </w:rPr>
        <w:t>3</w:t>
      </w:r>
      <w:r>
        <w:t>界面，其中 Fe</w:t>
      </w:r>
      <w:r>
        <w:t xml:space="preserve"> </w:t>
      </w:r>
      <w:r>
        <w:t>3+</w:t>
      </w:r>
      <w:r>
        <w:t xml:space="preserve"> </w:t>
      </w:r>
      <w:r>
        <w:t>网站促进解离性电子</w:t>
      </w:r>
    </w:p>
    <w:p>
      <w:pPr>
        <w:spacing w:before="0" w:after="200" w:lineRule="auto" w:line="276"/>
      </w:pPr>
      <w:r>
        <w:rPr>
          <w:b/>
        </w:rPr>
        <w:t xml:space="preserve">Abstract (EN): </w:t>
      </w:r>
      <w:r>
        <w:t>Using renewable biomass to synthesize valuable chemicals can reduce fossil fuel dependence and achieve carbon neutrality. Here, for the first time an infrared light‐driven catalyst, Cu/Fe</w:t>
      </w:r>
      <w:r>
        <w:rPr>
          <w:vertAlign w:val="subscript"/>
        </w:rPr>
        <w:t>2</w:t>
      </w:r>
      <w:r>
        <w:t>O</w:t>
      </w:r>
      <w:r>
        <w:rPr>
          <w:vertAlign w:val="subscript"/>
        </w:rPr>
        <w:t>3</w:t>
      </w:r>
      <w:r>
        <w:t>, was designed to convert bioethanol to valuable acetaldehyde, accompanied by green hydrogen as a by‐product, under both indoor IR light and natural sunlight. It achieves an initial acetaldehyde yield of 237 mmol g</w:t>
      </w:r>
      <w:r>
        <w:t xml:space="preserve"> </w:t>
      </w:r>
      <w:r>
        <w:t>−1</w:t>
      </w:r>
      <w:r>
        <w:t xml:space="preserve"> </w:t>
      </w:r>
      <w:r>
        <w:t>h</w:t>
      </w:r>
      <w:r>
        <w:t xml:space="preserve"> </w:t>
      </w:r>
      <w:r>
        <w:t>−1</w:t>
      </w:r>
      <w:r>
        <w:t xml:space="preserve"> </w:t>
      </w:r>
      <w:r>
        <w:t>under indoor IR irradiation and 205 mmol g</w:t>
      </w:r>
      <w:r>
        <w:t xml:space="preserve"> </w:t>
      </w:r>
      <w:r>
        <w:t>−1</w:t>
      </w:r>
      <w:r>
        <w:t xml:space="preserve"> </w:t>
      </w:r>
      <w:r>
        <w:t>h</w:t>
      </w:r>
      <w:r>
        <w:t xml:space="preserve"> </w:t>
      </w:r>
      <w:r>
        <w:t>−1</w:t>
      </w:r>
      <w:r>
        <w:t xml:space="preserve"> </w:t>
      </w:r>
      <w:r>
        <w:t>under real sunlight, with exceptional selectivity (97.7%) and nearly stoichiometric H</w:t>
      </w:r>
      <w:r>
        <w:rPr>
          <w:vertAlign w:val="subscript"/>
        </w:rPr>
        <w:t>2</w:t>
      </w:r>
      <w:r>
        <w:t>byproduct production. Notably, the turnover number and initial turnover frequency surpass those of IR‐driven systems by at least one order of magnitude and perform competitively with leading energy‐intensive UV–vis‐driven and thermocatalytic ethanol conversion processes operated up to 573 K. This high performance is attributed to: i) the construction of an efficient IR photons‐to‐phonons energy conversion channel within the ps timescale to drive localized thermocatalysis; and ii) the synergistic effect on the in situ formed of Cu/Fe</w:t>
      </w:r>
      <w:r>
        <w:rPr>
          <w:vertAlign w:val="subscript"/>
        </w:rPr>
        <w:t>2</w:t>
      </w:r>
      <w:r>
        <w:t>O</w:t>
      </w:r>
      <w:r>
        <w:rPr>
          <w:vertAlign w:val="subscript"/>
        </w:rPr>
        <w:t>3</w:t>
      </w:r>
      <w:r>
        <w:t>interface, where Fe</w:t>
      </w:r>
      <w:r>
        <w:t xml:space="preserve"> </w:t>
      </w:r>
      <w:r>
        <w:t>3+</w:t>
      </w:r>
      <w:r>
        <w:t xml:space="preserve"> </w:t>
      </w:r>
      <w:r>
        <w:t>sites promote dissociative ethanol adsorption, and Cu</w:t>
      </w:r>
      <w:r>
        <w:rPr>
          <w:vertAlign w:val="subscript"/>
        </w:rPr>
        <w:t>0</w:t>
      </w:r>
      <w:r>
        <w:t>sites facilitates C─H bond cleavage.</w:t>
      </w:r>
    </w:p>
    <w:p>
      <w:pPr>
        <w:spacing w:before="120" w:after="120"/>
      </w:pPr>
      <w:r>
        <w:rPr>
          <w:sz w:val="18"/>
        </w:rPr>
        <w:t>——————————————————————————————————————————————————————————————————————</w:t>
      </w:r>
    </w:p>
    <w:p>
      <w:pPr>
        <w:spacing w:before="160" w:after="40" w:line="240" w:lineRule="auto"/>
      </w:pPr>
      <w:r>
        <w:rPr>
          <w:b/>
        </w:rPr>
        <w:t xml:space="preserve">[34] </w:t>
      </w:r>
      <w:hyperlink r:id="rId463">
        <w:r>
          <w:rPr>
            <w:color w:val="1155CC"/>
            <w:u w:val="single"/>
          </w:rPr>
          <w:t>分子片段重组策略与逆合成分析相结合，用于设计烷基酚聚氧乙烯醚的可持续替代品</w:t>
        </w:r>
      </w:hyperlink>
    </w:p>
    <w:p>
      <w:pPr>
        <w:spacing w:before="0" w:after="80"/>
      </w:pPr>
      <w:r>
        <w:rPr>
          <w:i/>
          <w:sz w:val="20"/>
        </w:rPr>
        <w:t>EN: Molecular Segments Reorganization Strategy Coupled With Retrosynthetic Analysis for Designing Sustainable Alternatives to Alkylphenol Ethoxylates</w:t>
      </w:r>
    </w:p>
    <w:p>
      <w:pPr>
        <w:spacing w:before="0" w:after="120"/>
      </w:pPr>
      <w:r>
        <w:rPr>
          <w:b/>
        </w:rPr>
        <w:t xml:space="preserve">Source: </w:t>
      </w:r>
      <w:r>
        <w:t>Wiley: Angewandte Chemie International Edition: Table of Contents</w:t>
      </w:r>
      <w:r>
        <w:t xml:space="preserve">    </w:t>
      </w:r>
      <w:r>
        <w:rPr>
          <w:b/>
        </w:rPr>
        <w:t xml:space="preserve">Pub date: </w:t>
      </w:r>
      <w:r>
        <w:t>2026-08-05 14:44:21+00:00</w:t>
      </w:r>
      <w:r>
        <w:t xml:space="preserve">    </w:t>
      </w:r>
      <w:r>
        <w:rPr>
          <w:b/>
        </w:rPr>
        <w:t xml:space="preserve">DOI: </w:t>
      </w:r>
      <w:hyperlink r:id="rId464">
        <w:r>
          <w:rPr>
            <w:color w:val="1155CC"/>
            <w:u w:val="single"/>
          </w:rPr>
          <w:t>10.1002/anie.2280699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烷基酚聚氧乙烯醚是一种重要的精细化学品，已用于工业清洁、纺织品制造和乳液聚合。然而，它们的石化来源和不良健康影响，特别是异源雌激素活性，对可持续性构成了挑战，并且几乎在全球范围内被禁止。在此，我们报道了一种新型生物基环己基脂肪醇乙氧基化物（CyCC</w:t>
      </w:r>
      <w:r>
        <w:t xml:space="preserve"> </w:t>
      </w:r>
      <w:r>
        <w:t>n</w:t>
      </w:r>
      <w:r>
        <w:t xml:space="preserve"> </w:t>
      </w:r>
      <w:r>
        <w:t>乙</w:t>
      </w:r>
      <w:r>
        <w:rPr>
          <w:vertAlign w:val="subscript"/>
        </w:rPr>
        <w:t>9</w:t>
      </w:r>
      <w:r>
        <w:t>）通过应用分子片段重组策略和逆合成分析方法。通过构建酸碱双功能锌基单原子催化剂，实现了CyCC的高效合成</w:t>
      </w:r>
      <w:r>
        <w:t xml:space="preserve"> </w:t>
      </w:r>
      <w:r>
        <w:t>n</w:t>
      </w:r>
      <w:r>
        <w:t xml:space="preserve"> </w:t>
      </w:r>
      <w:r>
        <w:t>乙</w:t>
      </w:r>
      <w:r>
        <w:rPr>
          <w:vertAlign w:val="subscript"/>
        </w:rPr>
        <w:t>9</w:t>
      </w:r>
      <w:r>
        <w:t>。这些生物基 CyCC</w:t>
      </w:r>
      <w:r>
        <w:t xml:space="preserve"> </w:t>
      </w:r>
      <w:r>
        <w:t>n</w:t>
      </w:r>
      <w:r>
        <w:t xml:space="preserve"> </w:t>
      </w:r>
      <w:r>
        <w:t>乙</w:t>
      </w:r>
      <w:r>
        <w:rPr>
          <w:vertAlign w:val="subscript"/>
        </w:rPr>
        <w:t>9</w:t>
      </w:r>
      <w:r>
        <w:t>表现出优异的消泡能力、超润湿性和较好的乳化能力。更令人兴奋的是，CyCC的初级降解产物</w:t>
      </w:r>
      <w:r>
        <w:t xml:space="preserve"> </w:t>
      </w:r>
      <w:r>
        <w:t>n</w:t>
      </w:r>
      <w:r>
        <w:t xml:space="preserve"> </w:t>
      </w:r>
      <w:r>
        <w:t>乙</w:t>
      </w:r>
      <w:r>
        <w:rPr>
          <w:vertAlign w:val="subscript"/>
        </w:rPr>
        <w:t>9</w:t>
      </w:r>
      <w:r>
        <w:t>对斑马鱼胚胎和幼虫的毒性显着降低，表明其具有优异的生物相容性。塞浦路斯商会</w:t>
      </w:r>
      <w:r>
        <w:t xml:space="preserve"> </w:t>
      </w:r>
      <w:r>
        <w:t>n</w:t>
      </w:r>
      <w:r>
        <w:t xml:space="preserve"> </w:t>
      </w:r>
      <w:r>
        <w:t>乙</w:t>
      </w:r>
      <w:r>
        <w:rPr>
          <w:vertAlign w:val="subscript"/>
        </w:rPr>
        <w:t>9</w:t>
      </w:r>
    </w:p>
    <w:p>
      <w:pPr>
        <w:spacing w:before="0" w:after="200" w:lineRule="auto" w:line="276"/>
      </w:pPr>
      <w:r>
        <w:rPr>
          <w:b/>
        </w:rPr>
        <w:t xml:space="preserve">Abstract (EN): </w:t>
      </w:r>
      <w:r>
        <w:t>Alkylphenol ethoxylates is an important fine chemical that has been used in industrial cleaning, textile manufacture, and emulsion polymerization. However, their petrochemical origin and adverse health effects, particularly xeno‐oestrogenic activity, pose a challenge for sustainability and have been almost banned globally. Herein, we report a novel bio‐based cyclohexyl fatty alcohol ethoxylates (CyCC</w:t>
      </w:r>
      <w:r>
        <w:t xml:space="preserve"> </w:t>
      </w:r>
      <w:r>
        <w:t>n</w:t>
      </w:r>
      <w:r>
        <w:t xml:space="preserve"> </w:t>
      </w:r>
      <w:r>
        <w:t>E</w:t>
      </w:r>
      <w:r>
        <w:rPr>
          <w:vertAlign w:val="subscript"/>
        </w:rPr>
        <w:t>9</w:t>
      </w:r>
      <w:r>
        <w:t>) by applying molecular segments reorganization strategy and retrosynthetic analysis method. By constructing acid‐base bifunctional Zn‐based single‐atom catalyst, we achieved efficient synthesis of CyCC</w:t>
      </w:r>
      <w:r>
        <w:t xml:space="preserve"> </w:t>
      </w:r>
      <w:r>
        <w:t>n</w:t>
      </w:r>
      <w:r>
        <w:t xml:space="preserve"> </w:t>
      </w:r>
      <w:r>
        <w:t>E</w:t>
      </w:r>
      <w:r>
        <w:rPr>
          <w:vertAlign w:val="subscript"/>
        </w:rPr>
        <w:t>9</w:t>
      </w:r>
      <w:r>
        <w:t>. These bio‐based CyCC</w:t>
      </w:r>
      <w:r>
        <w:t xml:space="preserve"> </w:t>
      </w:r>
      <w:r>
        <w:t>n</w:t>
      </w:r>
      <w:r>
        <w:t xml:space="preserve"> </w:t>
      </w:r>
      <w:r>
        <w:t>E</w:t>
      </w:r>
      <w:r>
        <w:rPr>
          <w:vertAlign w:val="subscript"/>
        </w:rPr>
        <w:t>9</w:t>
      </w:r>
      <w:r>
        <w:t>displayed outstanding defoaming ability, super‐wettability, and better emulsification ability. More excitingly, the primary degradation products of CyCC</w:t>
      </w:r>
      <w:r>
        <w:t xml:space="preserve"> </w:t>
      </w:r>
      <w:r>
        <w:t>n</w:t>
      </w:r>
      <w:r>
        <w:t xml:space="preserve"> </w:t>
      </w:r>
      <w:r>
        <w:t>E</w:t>
      </w:r>
      <w:r>
        <w:rPr>
          <w:vertAlign w:val="subscript"/>
        </w:rPr>
        <w:t>9</w:t>
      </w:r>
      <w:r>
        <w:t>demonstrated markedly reduced toxicity toward zebrafish embryos and larvae, suggesting superior biocompatibility. The CyCC</w:t>
      </w:r>
      <w:r>
        <w:t xml:space="preserve"> </w:t>
      </w:r>
      <w:r>
        <w:t>n</w:t>
      </w:r>
      <w:r>
        <w:t xml:space="preserve"> </w:t>
      </w:r>
      <w:r>
        <w:t>E</w:t>
      </w:r>
      <w:r>
        <w:rPr>
          <w:vertAlign w:val="subscript"/>
        </w:rPr>
        <w:t>9</w:t>
      </w:r>
      <w:r>
        <w:t>showed excellent low‐temperature cleaning performance toward stains of various metallic surfaces. This work paves new ways to create sustainable alternative of alkylphenol ethoxylates using renewable biomass resources, as well as provide inspiring insights for the transformative revolution of other petroleum‐based restricted products.</w:t>
      </w:r>
    </w:p>
    <w:p>
      <w:pPr>
        <w:spacing w:before="120" w:after="120"/>
      </w:pPr>
      <w:r>
        <w:rPr>
          <w:sz w:val="18"/>
        </w:rPr>
        <w:t>——————————————————————————————————————————————————————————————————————</w:t>
      </w:r>
    </w:p>
    <w:p>
      <w:pPr>
        <w:spacing w:before="160" w:after="40" w:line="240" w:lineRule="auto"/>
      </w:pPr>
      <w:r>
        <w:rPr>
          <w:b/>
        </w:rPr>
        <w:t xml:space="preserve">[35] </w:t>
      </w:r>
      <w:hyperlink r:id="rId465">
        <w:r>
          <w:rPr>
            <w:color w:val="1155CC"/>
            <w:u w:val="single"/>
          </w:rPr>
          <w:t>氧吸附的诱导拟合：具有自适应 H2O2 光合作用活性位点的柔性共轭微孔聚合物</w:t>
        </w:r>
      </w:hyperlink>
    </w:p>
    <w:p>
      <w:pPr>
        <w:spacing w:before="0" w:after="80"/>
      </w:pPr>
      <w:r>
        <w:rPr>
          <w:i/>
          <w:sz w:val="20"/>
        </w:rPr>
        <w:t>EN: Induced‐Fit for Oxygen Adsorption: Flexible Conjugated Microporous Polymers With Self‐Adaptive Active Sites for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2026-08-05 14:53:12+00:00</w:t>
      </w:r>
      <w:r>
        <w:t xml:space="preserve">    </w:t>
      </w:r>
      <w:r>
        <w:rPr>
          <w:b/>
        </w:rPr>
        <w:t xml:space="preserve">DOI: </w:t>
      </w:r>
      <w:hyperlink r:id="rId466">
        <w:r>
          <w:rPr>
            <w:color w:val="1155CC"/>
            <w:u w:val="single"/>
          </w:rPr>
          <w:t>10.1002/anie.5802081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光催化过氧化氢（H</w:t>
      </w:r>
      <w:r>
        <w:rPr>
          <w:vertAlign w:val="subscript"/>
        </w:rPr>
        <w:t>2</w:t>
      </w:r>
      <w:r>
        <w:t>氧</w:t>
      </w:r>
      <w:r>
        <w:rPr>
          <w:vertAlign w:val="subscript"/>
        </w:rPr>
        <w:t>2</w:t>
      </w:r>
      <w:r>
        <w:t>）通过氧还原反应（ORR）合成为能源密集型蒽醌工艺提供了可持续的替代方案。然而，其效率受到通过两步双电子（2e</w:t>
      </w:r>
      <w:r>
        <w:t xml:space="preserve"> </w:t>
      </w:r>
      <w:r>
        <w:t>-</w:t>
      </w:r>
      <w:r>
        <w:t>）路线。在此，受酶“诱导契合”机制的启发，提出了一种利用非平面连接单元设计的柔性共轭聚合物进行自适应活性位点调节的策略。柔性共轭微孔聚合物促进了O的转变</w:t>
      </w:r>
      <w:r>
        <w:rPr>
          <w:vertAlign w:val="subscript"/>
        </w:rPr>
        <w:t>2</w:t>
      </w:r>
      <w:r>
        <w:t>吸附从鲍林型吸附到耶格尔型吸附。在设计的聚合物中，CMP-B4由4,4'位耦合联吡啶单元构成，表现出最佳的O几何匹配能力</w:t>
      </w:r>
      <w:r>
        <w:rPr>
          <w:vertAlign w:val="subscript"/>
        </w:rPr>
        <w:t>2</w:t>
      </w:r>
      <w:r>
        <w:t>激活。具体来说，当 O 接近时</w:t>
      </w:r>
      <w:r>
        <w:rPr>
          <w:vertAlign w:val="subscript"/>
        </w:rPr>
        <w:t>2</w:t>
      </w:r>
      <w:r>
        <w:t>，柔性联吡啶单元中氮原子的孤对电子与O的π*轨道之间的相互作用</w:t>
      </w:r>
      <w:r>
        <w:rPr>
          <w:vertAlign w:val="subscript"/>
        </w:rPr>
        <w:t>2</w:t>
      </w:r>
      <w:r>
        <w:t>引起二面角旋转（例如，CMP-B4 中大约 10°），在促进单步 2e 中发挥关键作用</w:t>
      </w:r>
      <w:r>
        <w:t xml:space="preserve"> </w:t>
      </w:r>
      <w:r>
        <w:t>-</w:t>
      </w:r>
      <w:r>
        <w:t>ORR途径，从而克服了对不同O适应性差的限制</w:t>
      </w:r>
      <w:r>
        <w:rPr>
          <w:vertAlign w:val="subscript"/>
        </w:rPr>
        <w:t>2</w:t>
      </w:r>
      <w:r>
        <w:t>吸附</w:t>
      </w:r>
    </w:p>
    <w:p>
      <w:pPr>
        <w:spacing w:before="0" w:after="200" w:lineRule="auto" w:line="276"/>
      </w:pPr>
      <w:r>
        <w:rPr>
          <w:b/>
        </w:rPr>
        <w:t xml:space="preserve">Abstract (EN): </w:t>
      </w:r>
      <w:r>
        <w:t>Photocatalytic hydrogen peroxide (H</w:t>
      </w:r>
      <w:r>
        <w:rPr>
          <w:vertAlign w:val="subscript"/>
        </w:rPr>
        <w:t>2</w:t>
      </w:r>
      <w:r>
        <w:t>O</w:t>
      </w:r>
      <w:r>
        <w:rPr>
          <w:vertAlign w:val="subscript"/>
        </w:rPr>
        <w:t>2</w:t>
      </w:r>
      <w:r>
        <w:t>) synthesis via oxygen reduction reaction (ORR) offers a sustainable alternative to energy‐intensive anthraquinone processes. However, its efficiency is hindered by poor selectivity and instability stemming from reactive superoxide intermediates through the two‐step two‐electron (2e</w:t>
      </w:r>
      <w:r>
        <w:t xml:space="preserve"> </w:t>
      </w:r>
      <w:r>
        <w:t>−</w:t>
      </w:r>
      <w:r>
        <w:t>) route. Herein, inspired by the “induced‐fit” mechanism of enzymes, a strategy of self‐adaptive active sites modulation using flexible conjugated polymers engineered with nonplanar linking units was proposed. The flexible conjugated microporous polymers facilitated a transition of O</w:t>
      </w:r>
      <w:r>
        <w:rPr>
          <w:vertAlign w:val="subscript"/>
        </w:rPr>
        <w:t>2</w:t>
      </w:r>
      <w:r>
        <w:t>adsorption from Pauling‐type to Yeager‐type. Among the designed polymers, CMP‐B4, which was constructed from 4,4′‐position‐coupled bipyridine units, exhibited optimal geometric matching capability for O</w:t>
      </w:r>
      <w:r>
        <w:rPr>
          <w:vertAlign w:val="subscript"/>
        </w:rPr>
        <w:t>2</w:t>
      </w:r>
      <w:r>
        <w:t>activation. Specifically, upon the approach of O</w:t>
      </w:r>
      <w:r>
        <w:rPr>
          <w:vertAlign w:val="subscript"/>
        </w:rPr>
        <w:t>2</w:t>
      </w:r>
      <w:r>
        <w:t>, the interaction between the lone‐pair electrons of nitrogen atoms in flexible bipyridine unit and π* orbitals of O</w:t>
      </w:r>
      <w:r>
        <w:rPr>
          <w:vertAlign w:val="subscript"/>
        </w:rPr>
        <w:t>2</w:t>
      </w:r>
      <w:r>
        <w:t>induced a dihedral rotation (e.g., approximately 10° in CMP‐B4), playing a key role in promoting the one‐step 2e</w:t>
      </w:r>
      <w:r>
        <w:t xml:space="preserve"> </w:t>
      </w:r>
      <w:r>
        <w:t>−</w:t>
      </w:r>
      <w:r>
        <w:t>ORR pathway, thus overcoming the limitations of poor adaptability to diverse O</w:t>
      </w:r>
      <w:r>
        <w:rPr>
          <w:vertAlign w:val="subscript"/>
        </w:rPr>
        <w:t>2</w:t>
      </w:r>
      <w:r>
        <w:t>adsorption modes and restricted versatility of dual‐nitrogen units in the rigid nitrogen‐rich polymers. Such configuration of CMP‐B4 suppressed the formation of *OOH intermediates and achieved an excellent photocatalytic H</w:t>
      </w:r>
      <w:r>
        <w:rPr>
          <w:vertAlign w:val="subscript"/>
        </w:rPr>
        <w:t>2</w:t>
      </w:r>
      <w:r>
        <w:t>O</w:t>
      </w:r>
      <w:r>
        <w:rPr>
          <w:vertAlign w:val="subscript"/>
        </w:rPr>
        <w:t>2</w:t>
      </w:r>
      <w:r>
        <w:t>production rate of 6.21 mmol g</w:t>
      </w:r>
      <w:r>
        <w:t xml:space="preserve"> </w:t>
      </w:r>
      <w:r>
        <w:t>−1</w:t>
      </w:r>
      <w:r>
        <w:t xml:space="preserve"> </w:t>
      </w:r>
      <w:r>
        <w:t>h</w:t>
      </w:r>
      <w:r>
        <w:t xml:space="preserve"> </w:t>
      </w:r>
      <w:r>
        <w:t>−1</w:t>
      </w:r>
      <w:r>
        <w:t xml:space="preserve"> </w:t>
      </w:r>
      <w:r>
        <w:t>under continuous‐flow photocatalytic conditions over 24 h.</w:t>
      </w:r>
    </w:p>
    <w:p>
      <w:pPr>
        <w:spacing w:before="120" w:after="120"/>
      </w:pPr>
      <w:r>
        <w:rPr>
          <w:sz w:val="18"/>
        </w:rPr>
        <w:t>——————————————————————————————————————————————————————————————————————</w:t>
      </w:r>
    </w:p>
    <w:p>
      <w:pPr>
        <w:spacing w:before="160" w:after="40" w:line="240" w:lineRule="auto"/>
      </w:pPr>
      <w:r>
        <w:rPr>
          <w:b/>
        </w:rPr>
        <w:t xml:space="preserve">[36] </w:t>
      </w:r>
      <w:hyperlink r:id="rId467">
        <w:r>
          <w:rPr>
            <w:color w:val="1155CC"/>
            <w:u w:val="single"/>
          </w:rPr>
          <w:t>中国光伏厂商在全球能源转型中脱碳贡献的战略时机</w:t>
        </w:r>
      </w:hyperlink>
    </w:p>
    <w:p>
      <w:pPr>
        <w:spacing w:before="0" w:after="80"/>
      </w:pPr>
      <w:r>
        <w:rPr>
          <w:i/>
          <w:sz w:val="20"/>
        </w:rPr>
        <w:t>EN: Strategic timing for the decarbonization contributions by China’s photovoltaic manufacturers in global energy transition</w:t>
      </w:r>
    </w:p>
    <w:p>
      <w:pPr>
        <w:spacing w:before="0" w:after="120"/>
      </w:pPr>
      <w:r>
        <w:rPr>
          <w:b/>
        </w:rPr>
        <w:t xml:space="preserve">Source: </w:t>
      </w:r>
      <w:r>
        <w:t>Earth and environmental sciences : Nature Communications subject feeds</w:t>
      </w:r>
      <w:r>
        <w:t xml:space="preserve">    </w:t>
      </w:r>
      <w:r>
        <w:rPr>
          <w:b/>
        </w:rPr>
        <w:t xml:space="preserve">Pub date: </w:t>
      </w:r>
      <w:r>
        <w:t>2026-08-06 00:00:00+00:00</w:t>
      </w:r>
    </w:p>
    <w:p>
      <w:pPr>
        <w:spacing w:before="0" w:after="120"/>
      </w:pPr>
      <w:r>
        <w:rPr>
          <w:b/>
        </w:rPr>
        <w:t xml:space="preserve">Notes: </w:t>
      </w:r>
      <w:r>
        <w:t>abstract_source=nature_html</w:t>
      </w:r>
    </w:p>
    <w:p>
      <w:pPr>
        <w:spacing w:before="0" w:after="80" w:lineRule="auto" w:line="276"/>
      </w:pPr>
      <w:r>
        <w:rPr>
          <w:b/>
        </w:rPr>
        <w:t xml:space="preserve">摘要（ZH）: </w:t>
      </w:r>
      <w:r>
        <w:t>光伏（PV）技术是清洁电力和可持续发展目标的核心。然而，占全球产能近三分之二的中国光伏制造业却经常因其高碳排放而受到诟病。现有的研究通常将排放责任分配给制造商，同时将脱碳效益归因于发电，而忽视了上游生产商的贡献。在这里，我们提出了一个生产者脱碳贡献框架，以在国家和全球范围内量化这些长期被忽视的贡献。我们发现，中国光伏制造商占中国光伏脱碳总量的31.4%-73.8%，占全球光伏脱碳总量的27.9%-45.4%。我们进一步确定了一个战略时机，定义为光伏发电脱碳贡献达到最大的时间点，在已宣布的承诺情景下，中国发生在2035年左右，在国际能源署提出的净零排放情景下，全球发生在2030年左右。这些研究结果表明，在2035年之前维持对中国的支持性政策，同时在2030年之后在全球范围内采取更严格的措施以避免生产过剩。拟议的支持适应性产业政策设计的框架可以扩展到其他可再生能源技术。</w:t>
      </w:r>
    </w:p>
    <w:p>
      <w:pPr>
        <w:spacing w:before="0" w:after="200" w:lineRule="auto" w:line="276"/>
      </w:pPr>
      <w:r>
        <w:rPr>
          <w:b/>
        </w:rPr>
        <w:t xml:space="preserve">Abstract (EN): </w:t>
      </w:r>
      <w:r>
        <w:t>Photovoltaic (PV) technology is central to clean electricity and the Sustainable Development Goals. However, China’s PV manufacturing industry, which accounts for nearly two-thirds of global capacity, is often criticized for its high carbon emissions. Existing studies typically assign emission responsibility to manufacturers while attributing decarbonization benefits to power generation, overlooking upstream producers’ contributions. Here we propose a Producer Decarbonization Contribution framework to quantify these long-overlooked contributions at national and global scales. We show that China’s PV manufacturers contribute 31.4%-73.8% of total PV decarbonization in China and 27.9%-45.4% globally. We further identify a strategic timing, defined as the point at which the PV’s decarbonization contributions reach their maximum, occurring around 2035 in China under the Announced Pledges Scenario and 2030 globally under the Net Zero Emissions Scenario proposed by the International Energy Agency. These findings suggest maintaining supportive policies for China before 2035, while adopting more stringent measures globally after 2030 to avoid overproduction. The proposed framework that enables adaptive industrial policy design can be extended to other renewable energy technologies.</w:t>
      </w:r>
    </w:p>
    <w:p>
      <w:pPr>
        <w:spacing w:before="120" w:after="120"/>
      </w:pPr>
      <w:r>
        <w:rPr>
          <w:sz w:val="18"/>
        </w:rPr>
        <w:t>——————————————————————————————————————————————————————————————————————</w:t>
      </w:r>
    </w:p>
    <w:p>
      <w:pPr>
        <w:spacing w:before="160" w:after="40" w:line="240" w:lineRule="auto"/>
      </w:pPr>
      <w:r>
        <w:rPr>
          <w:b/>
        </w:rPr>
        <w:t xml:space="preserve">[37] </w:t>
      </w:r>
      <w:hyperlink r:id="rId468">
        <w:r>
          <w:rPr>
            <w:color w:val="1155CC"/>
            <w:u w:val="single"/>
          </w:rPr>
          <w:t>通过长尾感知成本敏感的集成学习对纯电动汽车进行出行前能耗预测</w:t>
        </w:r>
      </w:hyperlink>
    </w:p>
    <w:p>
      <w:pPr>
        <w:spacing w:before="0" w:after="80"/>
      </w:pPr>
      <w:r>
        <w:rPr>
          <w:i/>
          <w:sz w:val="20"/>
        </w:rPr>
        <w:t>EN: Pre-trip energy consumption prediction for battery electric vehicles via long-tail-aware cost-sensitive ensemble learning</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469">
        <w:r>
          <w:rPr>
            <w:color w:val="1155CC"/>
            <w:u w:val="single"/>
          </w:rPr>
          <w:t>10.1016/j.apenergy.2026.128616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470">
        <w:r>
          <w:rPr>
            <w:color w:val="1155CC"/>
            <w:u w:val="single"/>
          </w:rPr>
          <w:t>通过配电扩展规划中的最优负荷优先级减少微电网孤岛运行模式下未供应的能量</w:t>
        </w:r>
      </w:hyperlink>
    </w:p>
    <w:p>
      <w:pPr>
        <w:spacing w:before="0" w:after="80"/>
      </w:pPr>
      <w:r>
        <w:rPr>
          <w:i/>
          <w:sz w:val="20"/>
        </w:rPr>
        <w:t>EN: Reducing energy not supplied in islanded operation mode of microgrids via optimal load prioritization in distribution expansion planning</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471">
        <w:r>
          <w:rPr>
            <w:color w:val="1155CC"/>
            <w:u w:val="single"/>
          </w:rPr>
          <w:t>10.1016/j.apenergy.2026.128549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472">
        <w:r>
          <w:rPr>
            <w:color w:val="1155CC"/>
            <w:u w:val="single"/>
          </w:rPr>
          <w:t>用于交流最优潮流的自监督约束嵌入神经网络</w:t>
        </w:r>
      </w:hyperlink>
    </w:p>
    <w:p>
      <w:pPr>
        <w:spacing w:before="0" w:after="80"/>
      </w:pPr>
      <w:r>
        <w:rPr>
          <w:i/>
          <w:sz w:val="20"/>
        </w:rPr>
        <w:t>EN: A self-supervised constraint-embedded neural network for AC optimal power flow</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473">
        <w:r>
          <w:rPr>
            <w:color w:val="1155CC"/>
            <w:u w:val="single"/>
          </w:rPr>
          <w:t>10.1016/j.apenergy.2026.128584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474">
        <w:r>
          <w:rPr>
            <w:color w:val="1155CC"/>
            <w:u w:val="single"/>
          </w:rPr>
          <w:t>利用虚拟电厂对受台风影响的配电系统进行弹性量化和增强</w:t>
        </w:r>
      </w:hyperlink>
    </w:p>
    <w:p>
      <w:pPr>
        <w:spacing w:before="0" w:after="80"/>
      </w:pPr>
      <w:r>
        <w:rPr>
          <w:i/>
          <w:sz w:val="20"/>
        </w:rPr>
        <w:t>EN: Resilience quantification and enhancement of typhoon-affected distribution system with virtual power plant</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475">
        <w:r>
          <w:rPr>
            <w:color w:val="1155CC"/>
            <w:u w:val="single"/>
          </w:rPr>
          <w:t>10.1016/j.apenergy.2026.128603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476">
        <w:r>
          <w:rPr>
            <w:color w:val="1155CC"/>
            <w:u w:val="single"/>
          </w:rPr>
          <w:t>基于 Huber-CVaR 的分布式鲁棒双层优化，用于集成异构灵活性资源的能源中心</w:t>
        </w:r>
      </w:hyperlink>
    </w:p>
    <w:p>
      <w:pPr>
        <w:spacing w:before="0" w:after="80"/>
      </w:pPr>
      <w:r>
        <w:rPr>
          <w:i/>
          <w:sz w:val="20"/>
        </w:rPr>
        <w:t>EN: Huber-CVaR-based distributionally robust bilevel optimization for energy hubs integrating heterogeneous flexibility resources</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477">
        <w:r>
          <w:rPr>
            <w:color w:val="1155CC"/>
            <w:u w:val="single"/>
          </w:rPr>
          <w:t>10.1016/j.apenergy.2026.128587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478">
        <w:r>
          <w:rPr>
            <w:color w:val="1155CC"/>
            <w:u w:val="single"/>
          </w:rPr>
          <w:t>欧盟的脱碳潜力和电子燃料政策的局限性</w:t>
        </w:r>
      </w:hyperlink>
    </w:p>
    <w:p>
      <w:pPr>
        <w:spacing w:before="0" w:after="80"/>
      </w:pPr>
      <w:r>
        <w:rPr>
          <w:i/>
          <w:sz w:val="20"/>
        </w:rPr>
        <w:t>EN: Decarbonization potential and limits of e-fuel policies in the EU</w:t>
      </w:r>
    </w:p>
    <w:p>
      <w:pPr>
        <w:spacing w:before="0" w:after="120"/>
      </w:pPr>
      <w:r>
        <w:rPr>
          <w:b/>
        </w:rPr>
        <w:t xml:space="preserve">Source: </w:t>
      </w:r>
      <w:r>
        <w:t>ScienceDirect Publication: Energy Policy</w:t>
      </w:r>
      <w:r>
        <w:t xml:space="preserve">    </w:t>
      </w:r>
      <w:r>
        <w:rPr>
          <w:b/>
        </w:rPr>
        <w:t xml:space="preserve">Pub date: </w:t>
      </w:r>
      <w:r>
        <w:t>2026-08-06 00:00:00+00:00</w:t>
      </w:r>
      <w:r>
        <w:t xml:space="preserve">    </w:t>
      </w:r>
      <w:r>
        <w:rPr>
          <w:b/>
        </w:rPr>
        <w:t xml:space="preserve">DOI: </w:t>
      </w:r>
      <w:hyperlink r:id="rId479">
        <w:r>
          <w:rPr>
            <w:color w:val="1155CC"/>
            <w:u w:val="single"/>
          </w:rPr>
          <w:t>10.1016/j.enpol.2026.115529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480">
        <w:r>
          <w:rPr>
            <w:color w:val="1155CC"/>
            <w:u w:val="single"/>
          </w:rPr>
          <w:t>意大利可以在不增加账单的情况下脱碳吗？对 2035 年电力系统成本可再生能源、灵活性和充足性政策进行基于情景的评估</w:t>
        </w:r>
      </w:hyperlink>
    </w:p>
    <w:p>
      <w:pPr>
        <w:spacing w:before="0" w:after="80"/>
      </w:pPr>
      <w:r>
        <w:rPr>
          <w:i/>
          <w:sz w:val="20"/>
        </w:rPr>
        <w:t>EN: Can Italy decarbonise without raising bills? A scenario-based assessment of renewable, flexibility and adequacy policies on power system costs through 2035</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481">
        <w:r>
          <w:rPr>
            <w:color w:val="1155CC"/>
            <w:u w:val="single"/>
          </w:rPr>
          <w:t>10.1016/j.apenergy.2026.128552</w:t>
        </w:r>
      </w:hyperlink>
    </w:p>
    <w:p>
      <w:pPr>
        <w:spacing w:before="0" w:after="120"/>
      </w:pPr>
      <w:r>
        <w:rPr>
          <w:b/>
        </w:rPr>
        <w:t xml:space="preserve">Notes: </w:t>
      </w:r>
      <w:r>
        <w:t>abstract_source=openalex</w:t>
      </w:r>
    </w:p>
    <w:p>
      <w:pPr>
        <w:spacing w:before="0" w:after="80" w:lineRule="auto" w:line="276"/>
      </w:pPr>
      <w:r>
        <w:rPr>
          <w:b/>
        </w:rPr>
        <w:t xml:space="preserve">摘要（ZH）: </w:t>
      </w:r>
      <w:r>
        <w:t>本文评估了意大利电力市场在两种替代政策配置下的潜在演变：反映近期改革的长期差价合约（CfD），以及系统边际定价（SMP）制度下的纯商业投资。受近期能源价格波动和投资不确定性的推动，我们调查意大利的政策转变是否能够实现关键目标：支持脱碳、增强能源安全和确保负担能力。我们采用 NET 模型——一个根据国家数据和政策目标校准的系统动力学框架——扩展到包含 CfD 拍卖、MACSE 存储采购机制、容量补偿工具和 Terna 计划的电网升级。我们使用 12 年蒙特卡罗模拟（2024-2035），比较可再生能源部署、系统成本效率和消费者价格动态方面的结果，并通过敏感性分析测试稳健性。我们的研究结果表明，可再生能源减少了消费者账单并缩小了未来价格波动，但 CfD 和 SMP 都无法单独满足国家能源和气候计划的 2030 年脱碳目标——这是由于 CfD 拍卖上限较低和 SMP 下温和的化石燃料价格预测造成的。虽然两个市场设计之间的电价差异仍然不大，超出了一定的可再生能源渗透率阈值，但 CfD 在遏制价格飙升方面更有效，而 SMP 通过加速可再生能源投资，促进了长期价格更快下降。这些发现意味着政策制定者应定期重新调整差价合约</w:t>
      </w:r>
    </w:p>
    <w:p>
      <w:pPr>
        <w:spacing w:before="0" w:after="200" w:lineRule="auto" w:line="276"/>
      </w:pPr>
      <w:r>
        <w:rPr>
          <w:b/>
        </w:rPr>
        <w:t xml:space="preserve">Abstract (EN): </w:t>
      </w:r>
      <w:r>
        <w:t>This paper assesses the potential evolution of the Italian electricity market under two alternative policy configurations: long-term Contracts for Difference (CfD), reflecting recent reforms, and pure merchant investment under the System Marginal Pricing (SMP) regime. Motivated by recent energy price volatility and investment uncertainty, we investigate whether Italy’s policy shift can achieve key objectives: supporting decarbonisation, enhancing energy security and ensuring affordability. We employ the NET model — a system-dynamics framework calibrated on national data and policy targets — extended to incorporate CfD auctions, the MACSE storage-procurement mechanism, capacity-remuneration tools and Terna’s planned grid upgrades. Using 12-year Monte Carlo simulations (2024–2035), we compare outcomes in terms of renewable energy deployment, system-cost efficiency and consumer-price dynamics, and test robustness via sensitivity analyses. Our results demonstrate that renewables reduce consumer bills and narrow future price volatility, yet neither CfD nor SMP alone meets the National Energy and Climate Plan’s 2030 decarbonisation target — a shortfall driven by low ceiling prices in CfD auctions and moderate fossil-fuel price forecasts under SMP. While electricity price differences between the two market designs remain modest, beyond a certain RES penetration threshold, CfD is more effective at containing price spikes, whereas SMP facilitates faster long-term price declines via accelerated RES investment. These findings imply that policymakers should periodically recalibrate CfD auction parameters — particularly ceiling prices — to maintain alignment with evolving market conditions. Conversely, relying solely on merchant initiatives risks subjecting policy targets to uncontrolled fossil-fuel price fluctuations.</w:t>
      </w:r>
    </w:p>
    <w:p>
      <w:pPr>
        <w:spacing w:before="120" w:after="120"/>
      </w:pPr>
      <w:r>
        <w:rPr>
          <w:sz w:val="18"/>
        </w:rPr>
        <w:t>——————————————————————————————————————————————————————————————————————</w:t>
      </w:r>
    </w:p>
    <w:p>
      <w:pPr>
        <w:spacing w:before="160" w:after="40" w:line="240" w:lineRule="auto"/>
      </w:pPr>
      <w:r>
        <w:rPr>
          <w:b/>
        </w:rPr>
        <w:t xml:space="preserve">[44] </w:t>
      </w:r>
      <w:hyperlink r:id="rId306">
        <w:r>
          <w:rPr>
            <w:color w:val="1155CC"/>
            <w:u w:val="single"/>
          </w:rPr>
          <w:t>城市建筑太阳能分布式低碳能源系统：设计和多目标优化以获得良好的3E性能</w:t>
        </w:r>
      </w:hyperlink>
    </w:p>
    <w:p>
      <w:pPr>
        <w:spacing w:before="0" w:after="80"/>
      </w:pPr>
      <w:r>
        <w:rPr>
          <w:i/>
          <w:sz w:val="20"/>
        </w:rPr>
        <w:t>EN: A solar distributed low-carbon energy system for urban buildings: design and multi-objective optimization for favorable 3E performance</w:t>
      </w:r>
    </w:p>
    <w:p>
      <w:pPr>
        <w:spacing w:before="0" w:after="120"/>
      </w:pPr>
      <w:r>
        <w:rPr>
          <w:b/>
        </w:rPr>
        <w:t xml:space="preserve">Source: </w:t>
      </w:r>
      <w:r>
        <w:t>ScienceDirect Publication: Applied Energy</w:t>
      </w:r>
      <w:r>
        <w:t xml:space="preserve">    </w:t>
      </w:r>
      <w:r>
        <w:rPr>
          <w:b/>
        </w:rPr>
        <w:t xml:space="preserve">Pub date: </w:t>
      </w:r>
      <w:r>
        <w:t>2026-08-06 00:00:00+00:00</w:t>
      </w:r>
      <w:r>
        <w:t xml:space="preserve">    </w:t>
      </w:r>
      <w:r>
        <w:rPr>
          <w:b/>
        </w:rPr>
        <w:t xml:space="preserve">DOI: </w:t>
      </w:r>
      <w:hyperlink r:id="rId307">
        <w:r>
          <w:rPr>
            <w:color w:val="1155CC"/>
            <w:u w:val="single"/>
          </w:rPr>
          <w:t>10.1016/j.apenergy.2026.128563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482">
        <w:r>
          <w:rPr>
            <w:color w:val="1155CC"/>
            <w:u w:val="single"/>
          </w:rPr>
          <w:t>地球牺牲之地的痛苦之旅</w:t>
        </w:r>
      </w:hyperlink>
    </w:p>
    <w:p>
      <w:pPr>
        <w:spacing w:before="0" w:after="80"/>
      </w:pPr>
      <w:r>
        <w:rPr>
          <w:i/>
          <w:sz w:val="20"/>
        </w:rPr>
        <w:t>EN: A harrowing tour of Earth’s sacrificial lands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483">
        <w:r>
          <w:rPr>
            <w:color w:val="1155CC"/>
            <w:u w:val="single"/>
          </w:rPr>
          <w:t>10.1126/science.aei8513</w:t>
        </w:r>
      </w:hyperlink>
    </w:p>
    <w:p>
      <w:pPr>
        <w:spacing w:before="0" w:after="120"/>
      </w:pPr>
      <w:r>
        <w:rPr>
          <w:b/>
        </w:rPr>
        <w:t xml:space="preserve">Notes: </w:t>
      </w:r>
      <w:r>
        <w:t>abstract_source=crossref</w:t>
      </w:r>
    </w:p>
    <w:p>
      <w:pPr>
        <w:spacing w:before="0" w:after="80" w:lineRule="auto" w:line="276"/>
      </w:pPr>
      <w:r>
        <w:rPr>
          <w:b/>
        </w:rPr>
        <w:t xml:space="preserve">摘要（ZH）: </w:t>
      </w:r>
      <w:r>
        <w:t>环境危害的极端例子在一位作家对工业开采的控诉中占据突出地位</w:t>
      </w:r>
    </w:p>
    <w:p>
      <w:pPr>
        <w:spacing w:before="0" w:after="200" w:lineRule="auto" w:line="276"/>
      </w:pPr>
      <w:r>
        <w:rPr>
          <w:b/>
        </w:rPr>
        <w:t xml:space="preserve">Abstract (EN): </w:t>
      </w:r>
      <w:r>
        <w:t>Extreme examples of environmental harm feature prominently in a writer’s indictment of industrial extraction</w:t>
      </w:r>
    </w:p>
    <w:p>
      <w:pPr>
        <w:spacing w:before="120" w:after="120"/>
      </w:pPr>
      <w:r>
        <w:rPr>
          <w:sz w:val="18"/>
        </w:rPr>
        <w:t>——————————————————————————————————————————————————————————————————————</w:t>
      </w:r>
    </w:p>
    <w:p>
      <w:pPr>
        <w:spacing w:before="160" w:after="40" w:line="240" w:lineRule="auto"/>
      </w:pPr>
      <w:r>
        <w:rPr>
          <w:b/>
        </w:rPr>
        <w:t xml:space="preserve">[46] </w:t>
      </w:r>
      <w:hyperlink r:id="rId484">
        <w:r>
          <w:rPr>
            <w:color w:val="1155CC"/>
            <w:u w:val="single"/>
          </w:rPr>
          <w:t>退役全面运行的内燃机汽车的气候效益</w:t>
        </w:r>
      </w:hyperlink>
    </w:p>
    <w:p>
      <w:pPr>
        <w:spacing w:before="0" w:after="80"/>
      </w:pPr>
      <w:r>
        <w:rPr>
          <w:i/>
          <w:sz w:val="20"/>
        </w:rPr>
        <w:t>EN: The climate benefits of retiring a fully operational internal combustion engine vehicle</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485">
        <w:r>
          <w:rPr>
            <w:color w:val="1155CC"/>
            <w:u w:val="single"/>
          </w:rPr>
          <w:t>10.1126/science.adv5441</w:t>
        </w:r>
      </w:hyperlink>
    </w:p>
    <w:p>
      <w:pPr>
        <w:spacing w:before="0" w:after="120"/>
      </w:pPr>
      <w:r>
        <w:rPr>
          <w:b/>
        </w:rPr>
        <w:t xml:space="preserve">Notes: </w:t>
      </w:r>
      <w:r>
        <w:t>abstract_source=crossref</w:t>
      </w:r>
    </w:p>
    <w:p>
      <w:pPr>
        <w:spacing w:before="0" w:after="80" w:lineRule="auto" w:line="276"/>
      </w:pPr>
      <w:r>
        <w:rPr>
          <w:b/>
        </w:rPr>
        <w:t xml:space="preserve">摘要（ZH）: </w:t>
      </w:r>
      <w:r>
        <w:t>内燃机 (ICE) 车辆是大多数美国家庭二氧化碳排放的最大来源。尽管纯电动汽车 (BEV) 大大减少了使用阶段的排放，但这种转变带来了基本的生命周期优化挑战：在功能性内燃机汽车使用寿命结束之前退役是否会带来净气候效益？退役一辆正常运行的内燃机汽车需要在纯电动汽车制造排放和减少车辆运行排放之间进行根本性的权衡。在这项研究中，我们评估了各种退役情景中的这种权衡，发现报废和更换在大多数情况下都能产生一致的减排效果，包括新内燃机车辆的退役。尽管在当前市场条件下报废功能性资产在经济上仍然令人望而却步，但这些结果表明了政策干预的重大缓解潜力，例如加强报废补贴，以解决日益耐用的内燃机车队的排放问题。</w:t>
      </w:r>
    </w:p>
    <w:p>
      <w:pPr>
        <w:spacing w:before="0" w:after="200" w:lineRule="auto" w:line="276"/>
      </w:pPr>
      <w:r>
        <w:rPr>
          <w:b/>
        </w:rPr>
        <w:t xml:space="preserve">Abstract (EN): </w:t>
      </w:r>
      <w:r>
        <w:t>Internal combustion engine (ICE) vehicles represent the single largest source of carbon dioxide emissions for most US households. Although battery electric vehicles (BEVs) considerably reduce use-phase emissions, the transition poses a fundamental life cycle optimization challenge: Is there a net climate benefit to retiring a functional ICE vehicle before its end of life? Retiring a functioning ICE vehicle incurs a fundamental trade-off between BEV manufacturing emissions and decreased vehicle operation emissions. In this study, we evaluated this trade-off across a comprehensive range of retirement scenarios and found that scrappage-and-replacement yields consistent emissions reductions across most contexts, including the retirement of new ICE vehicles. Although scrapping a functional asset remains economically prohibitive under current market conditions, these results demonstrate a major mitigation potential for policy interventions, such as enhanced scrappage subsidies, to address the emissions of an increasingly durable ICE fleet.</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486">
        <w:r>
          <w:rPr>
            <w:color w:val="1155CC"/>
            <w:u w:val="single"/>
          </w:rPr>
          <w:t>用于 CO2/H2 可切换分离的刺激响应金属有机多面体水凝胶膜</w:t>
        </w:r>
      </w:hyperlink>
    </w:p>
    <w:p>
      <w:pPr>
        <w:spacing w:before="0" w:after="80"/>
      </w:pPr>
      <w:r>
        <w:rPr>
          <w:i/>
          <w:sz w:val="20"/>
        </w:rPr>
        <w:t>EN: Stimuli-responsive metal-organic polyhedra–based hydrogel membrane for switchable separations toward CO2/H2</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487">
        <w:r>
          <w:rPr>
            <w:color w:val="1155CC"/>
            <w:u w:val="single"/>
          </w:rPr>
          <w:t>10.1126/sciadv.aef4345</w:t>
        </w:r>
      </w:hyperlink>
    </w:p>
    <w:p>
      <w:pPr>
        <w:spacing w:before="0" w:after="120"/>
      </w:pPr>
      <w:r>
        <w:rPr>
          <w:b/>
        </w:rPr>
        <w:t xml:space="preserve">Notes: </w:t>
      </w:r>
      <w:r>
        <w:t>abstract_source=crossref</w:t>
      </w:r>
    </w:p>
    <w:p>
      <w:pPr>
        <w:spacing w:before="0" w:after="80" w:lineRule="auto" w:line="276"/>
      </w:pPr>
      <w:r>
        <w:rPr>
          <w:b/>
        </w:rPr>
        <w:t xml:space="preserve">摘要（ZH）: </w:t>
      </w:r>
      <w:r>
        <w:t>碳捕获对于生产蓝氢和合成气至关重要。然而，设计具有双 CO2 的单膜</w:t>
      </w:r>
      <w:r>
        <w:rPr>
          <w:vertAlign w:val="subscript"/>
        </w:rPr>
        <w:t>2</w:t>
      </w:r>
      <w:r>
        <w:t>-选择性和H</w:t>
      </w:r>
      <w:r>
        <w:rPr>
          <w:vertAlign w:val="subscript"/>
        </w:rPr>
        <w:t>2</w:t>
      </w:r>
      <w:r>
        <w:t>-选择性分离长期以来被认为是不切实际的，因为这些模式依赖于根本不同的机制。我们报告了一种刺激响应膜，它通过整合两种功能材料克服了这一限制。通过分步分子级共混和聚合策略制备了锆金属有机多面体（Zr-MOP）聚合水凝胶膜，实现了优异的填料分散性、强的界面相容性和良好的溶液加工性能。 Zr-MOP笼增强了水凝胶氢键网络，实现了高CO2</w:t>
      </w:r>
      <w:r>
        <w:rPr>
          <w:vertAlign w:val="subscript"/>
        </w:rPr>
        <w:t>2</w:t>
      </w:r>
      <w:r>
        <w:t>- 与 CO 的热情表演</w:t>
      </w:r>
      <w:r>
        <w:rPr>
          <w:vertAlign w:val="subscript"/>
        </w:rPr>
        <w:t>2</w:t>
      </w:r>
      <w:r>
        <w:t>/H</w:t>
      </w:r>
      <w:r>
        <w:rPr>
          <w:vertAlign w:val="subscript"/>
        </w:rPr>
        <w:t>2</w:t>
      </w:r>
      <w:r>
        <w:t>44和CO的分离因子</w:t>
      </w:r>
      <w:r>
        <w:rPr>
          <w:vertAlign w:val="subscript"/>
        </w:rPr>
        <w:t>2</w:t>
      </w:r>
      <w:r>
        <w:t>7025 Barrer 的渗透性。脱水时，膜收缩引起笼重排和分子筛窗暴露，将分离行为切换为高 H</w:t>
      </w:r>
      <w:r>
        <w:rPr>
          <w:vertAlign w:val="subscript"/>
        </w:rPr>
        <w:t>2</w:t>
      </w:r>
      <w:r>
        <w:t>- 带 H 的选择性模式</w:t>
      </w:r>
      <w:r>
        <w:rPr>
          <w:vertAlign w:val="subscript"/>
        </w:rPr>
        <w:t>2</w:t>
      </w:r>
      <w:r>
        <w:t>/CO</w:t>
      </w:r>
      <w:r>
        <w:rPr>
          <w:vertAlign w:val="subscript"/>
        </w:rPr>
        <w:t>2</w:t>
      </w:r>
      <w:r>
        <w:t>分离因子为 798。这种转变是可逆的，并且可以通过 pH 刺激进一步调节。这项工作介绍了一种具有可切换和反向分离功能的膜策略。</w:t>
      </w:r>
    </w:p>
    <w:p>
      <w:pPr>
        <w:spacing w:before="0" w:after="200" w:lineRule="auto" w:line="276"/>
      </w:pPr>
      <w:r>
        <w:rPr>
          <w:b/>
        </w:rPr>
        <w:t xml:space="preserve">Abstract (EN): </w:t>
      </w:r>
      <w:r>
        <w:t>Carbon capture is essential for producing blue hydrogen and syngas. However, designing a single membrane with dual CO</w:t>
      </w:r>
      <w:r>
        <w:rPr>
          <w:vertAlign w:val="subscript"/>
        </w:rPr>
        <w:t>2</w:t>
      </w:r>
      <w:r>
        <w:t>-selective and H</w:t>
      </w:r>
      <w:r>
        <w:rPr>
          <w:vertAlign w:val="subscript"/>
        </w:rPr>
        <w:t>2</w:t>
      </w:r>
      <w:r>
        <w:t>-selective separations has long been considered impractical because these modes rely on fundamentally different mechanisms. We report a stimuli-responsive membrane that overcomes this limitation by integrating two functional materials. A zirconium metal-organic polyhedron (Zr-MOP) polymerized hydrogel membrane was fabricated via a stepwise molecular-level blending and polymerization strategy, achieving excellent filler dispersion, strong interfacial compatibility, and good solution processability. The Zr-MOP cages reinforce the hydrogel hydrogen-bond network, enabling high CO</w:t>
      </w:r>
      <w:r>
        <w:rPr>
          <w:vertAlign w:val="subscript"/>
        </w:rPr>
        <w:t>2</w:t>
      </w:r>
      <w:r>
        <w:t>-philic performance with a CO</w:t>
      </w:r>
      <w:r>
        <w:rPr>
          <w:vertAlign w:val="subscript"/>
        </w:rPr>
        <w:t>2</w:t>
      </w:r>
      <w:r>
        <w:t>/H</w:t>
      </w:r>
      <w:r>
        <w:rPr>
          <w:vertAlign w:val="subscript"/>
        </w:rPr>
        <w:t>2</w:t>
      </w:r>
      <w:r>
        <w:t>separation factor of 44 and CO</w:t>
      </w:r>
      <w:r>
        <w:rPr>
          <w:vertAlign w:val="subscript"/>
        </w:rPr>
        <w:t>2</w:t>
      </w:r>
      <w:r>
        <w:t>permeability of 7025 Barrer. Upon dehydration, membrane shrinkage induces cage rearrangement and exposure of molecular sieving windows, switching the separation behavior to a highly H</w:t>
      </w:r>
      <w:r>
        <w:rPr>
          <w:vertAlign w:val="subscript"/>
        </w:rPr>
        <w:t>2</w:t>
      </w:r>
      <w:r>
        <w:t>-selective mode with an H</w:t>
      </w:r>
      <w:r>
        <w:rPr>
          <w:vertAlign w:val="subscript"/>
        </w:rPr>
        <w:t>2</w:t>
      </w:r>
      <w:r>
        <w:t>/CO</w:t>
      </w:r>
      <w:r>
        <w:rPr>
          <w:vertAlign w:val="subscript"/>
        </w:rPr>
        <w:t>2</w:t>
      </w:r>
      <w:r>
        <w:t>separation factor of 798. This transition is reversible and can be further regulated by pH stimuli. This work introduces a strategy for membranes with switchable and inverted separation functions.</w:t>
      </w:r>
    </w:p>
    <w:p>
      <w:pPr>
        <w:spacing w:before="120" w:after="120"/>
      </w:pPr>
      <w:r>
        <w:rPr>
          <w:sz w:val="18"/>
        </w:rPr>
        <w:t>——————————————————————————————————————————————————————————————————————</w:t>
      </w:r>
    </w:p>
    <w:p>
      <w:pPr>
        <w:spacing w:before="160" w:after="40" w:line="240" w:lineRule="auto"/>
      </w:pPr>
      <w:r>
        <w:rPr>
          <w:b/>
        </w:rPr>
        <w:t xml:space="preserve">[2] </w:t>
      </w:r>
      <w:hyperlink r:id="rId488">
        <w:r>
          <w:rPr>
            <w:color w:val="1155CC"/>
            <w:u w:val="single"/>
          </w:rPr>
          <w:t>卫星观测揭示非洲和中东二氧化碳排放量被低估</w:t>
        </w:r>
      </w:hyperlink>
    </w:p>
    <w:p>
      <w:pPr>
        <w:spacing w:before="0" w:after="80"/>
      </w:pPr>
      <w:r>
        <w:rPr>
          <w:i/>
          <w:sz w:val="20"/>
        </w:rPr>
        <w:t>EN: Satellite observations reveal underestimation of CO2 emissions in Africa and the Middle East</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489">
        <w:r>
          <w:rPr>
            <w:color w:val="1155CC"/>
            <w:u w:val="single"/>
          </w:rPr>
          <w:t>10.1126/sciadv.aee1447</w:t>
        </w:r>
      </w:hyperlink>
    </w:p>
    <w:p>
      <w:pPr>
        <w:spacing w:before="0" w:after="120"/>
      </w:pPr>
      <w:r>
        <w:rPr>
          <w:b/>
        </w:rPr>
        <w:t xml:space="preserve">Notes: </w:t>
      </w:r>
      <w:r>
        <w:t>abstract_source=crossref</w:t>
      </w:r>
    </w:p>
    <w:p>
      <w:pPr>
        <w:spacing w:before="0" w:after="80" w:lineRule="auto" w:line="276"/>
      </w:pPr>
      <w:r>
        <w:rPr>
          <w:b/>
        </w:rPr>
        <w:t xml:space="preserve">摘要（ZH）: </w:t>
      </w:r>
      <w:r>
        <w:t>非洲和中东对全球化石燃料生产做出了巨大贡献，但这些开采和加工活动产生的相关碳排放仍未得到充分报告。目前的报告不仅滞后，而且严重依赖于难以核实的能源消耗统计数据。在这里，我们介绍了一种间接推断和绘制人为二氧化碳（CO</w:t>
      </w:r>
      <w:r>
        <w:rPr>
          <w:vertAlign w:val="subscript"/>
        </w:rPr>
        <w:t>2</w:t>
      </w:r>
      <w:r>
        <w:t>）使用共同排放的氮氧化物（NO</w:t>
      </w:r>
      <w:r>
        <w:t xml:space="preserve"> </w:t>
      </w:r>
      <w:r>
        <w:t>x</w:t>
      </w:r>
      <w:r>
        <w:t xml:space="preserve"> </w:t>
      </w:r>
      <w:r>
        <w:t>) 来自 TROPOMI 卫星观测的排放。我们发现当前的全球库存低估了二氧化碳总量</w:t>
      </w:r>
      <w:r>
        <w:rPr>
          <w:vertAlign w:val="subscript"/>
        </w:rPr>
        <w:t>2</w:t>
      </w:r>
      <w:r>
        <w:t>非洲和中东的排放量减少约30%。大约 35% 的低估与新发现的 CO 有关</w:t>
      </w:r>
      <w:r>
        <w:rPr>
          <w:vertAlign w:val="subscript"/>
        </w:rPr>
        <w:t>2</w:t>
      </w:r>
      <w:r>
        <w:t>排放源，主要来自石油和天然气基础设施。分析显示，这些被低估的排放量可能导致非洲和中东实现 2030 年国家自主贡献目标的时间延迟约 5 年。该研究为构建基于卫星观测的独立碳排放核算框架提供了有效工具，并为指导气候行动提供了科学数据库。</w:t>
      </w:r>
    </w:p>
    <w:p>
      <w:pPr>
        <w:spacing w:before="0" w:after="200" w:lineRule="auto" w:line="276"/>
      </w:pPr>
      <w:r>
        <w:rPr>
          <w:b/>
        </w:rPr>
        <w:t xml:space="preserve">Abstract (EN): </w:t>
      </w:r>
      <w:r>
        <w:t>Africa and the Middle East contribute significantly to global fossil fuel production, yet the associated carbon emissions from these extraction and processing activities remain insufficiently reported. The current reporting is not only delayed but also heavily reliant on energy consumption statistics that are difficult to verify. Here, we introduce an alternative approach to indirectly infer and map anthropogenic carbon dioxide (CO</w:t>
      </w:r>
      <w:r>
        <w:rPr>
          <w:vertAlign w:val="subscript"/>
        </w:rPr>
        <w:t>2</w:t>
      </w:r>
      <w:r>
        <w:t>) emissions using the coemitted nitrogen oxides (NO</w:t>
      </w:r>
      <w:r>
        <w:t xml:space="preserve"> </w:t>
      </w:r>
      <w:r>
        <w:t>x</w:t>
      </w:r>
      <w:r>
        <w:t xml:space="preserve"> </w:t>
      </w:r>
      <w:r>
        <w:t>) emissions derived from TROPOMI satellite observations. We find that current global inventories underestimate total CO</w:t>
      </w:r>
      <w:r>
        <w:rPr>
          <w:vertAlign w:val="subscript"/>
        </w:rPr>
        <w:t>2</w:t>
      </w:r>
      <w:r>
        <w:t>emissions by about 30% for Africa and the Middle East. About 35% of this underestimation is related to newly identified CO</w:t>
      </w:r>
      <w:r>
        <w:rPr>
          <w:vertAlign w:val="subscript"/>
        </w:rPr>
        <w:t>2</w:t>
      </w:r>
      <w:r>
        <w:t>emission sources, which are mainly attributable to oil and gas infrastructure. The analysis reveals that these underestimated emissions could lead to a delay of ∼5 years in achieving the 2030 Nationally Determined Contribution targets in Africa and the Middle East. This study provides an effective tool for constructing an independent carbon emission accounting framework based on satellite observations and offers a scientific database for guiding climate action.</w:t>
      </w:r>
    </w:p>
    <w:p>
      <w:pPr>
        <w:spacing w:before="120" w:after="120"/>
      </w:pPr>
      <w:r>
        <w:rPr>
          <w:sz w:val="18"/>
        </w:rPr>
        <w:t>——————————————————————————————————————————————————————————————————————</w:t>
      </w:r>
    </w:p>
    <w:p>
      <w:pPr>
        <w:spacing w:before="160" w:after="40" w:line="240" w:lineRule="auto"/>
      </w:pPr>
      <w:r>
        <w:rPr>
          <w:b/>
        </w:rPr>
        <w:t xml:space="preserve">[3] </w:t>
      </w:r>
      <w:hyperlink r:id="rId356">
        <w:r>
          <w:rPr>
            <w:color w:val="1155CC"/>
            <w:u w:val="single"/>
          </w:rPr>
          <w:t>双钙钛矿上超细 Ru 纳米颗粒的相干溶出通过强金属支撑相互作用促进 CO2 和 H2O 电解</w:t>
        </w:r>
      </w:hyperlink>
    </w:p>
    <w:p>
      <w:pPr>
        <w:spacing w:before="0" w:after="80"/>
      </w:pPr>
      <w:r>
        <w:rPr>
          <w:i/>
          <w:sz w:val="20"/>
        </w:rPr>
        <w:t>EN: Coherent Exsolution of Ultrafine Ru Nanoparticles on Double Perovskite Boosts CO2 and H2O Electrolysis via Strong Metal‐Support Interactions</w:t>
      </w:r>
    </w:p>
    <w:p>
      <w:pPr>
        <w:spacing w:before="0" w:after="120"/>
      </w:pPr>
      <w:r>
        <w:rPr>
          <w:b/>
        </w:rPr>
        <w:t xml:space="preserve">Source: </w:t>
      </w:r>
      <w:r>
        <w:t>Wiley: Advanced Energy Materials: Table of Contents</w:t>
      </w:r>
      <w:r>
        <w:t xml:space="preserve">    </w:t>
      </w:r>
      <w:r>
        <w:rPr>
          <w:b/>
        </w:rPr>
        <w:t xml:space="preserve">Pub date: </w:t>
      </w:r>
      <w:r>
        <w:t>2026-07-31 07:15:46+00:00</w:t>
      </w:r>
      <w:r>
        <w:t xml:space="preserve">    </w:t>
      </w:r>
      <w:r>
        <w:rPr>
          <w:b/>
        </w:rPr>
        <w:t xml:space="preserve">DOI: </w:t>
      </w:r>
      <w:hyperlink r:id="rId357">
        <w:r>
          <w:rPr>
            <w:color w:val="1155CC"/>
            <w:u w:val="single"/>
          </w:rPr>
          <w:t>10.1002/aenm.71314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固体氧化物电解池 (SOEC) 在高效、高速转化 CO 方面具有巨大潜力</w:t>
      </w:r>
      <w:r>
        <w:rPr>
          <w:vertAlign w:val="subscript"/>
        </w:rPr>
        <w:t>2</w:t>
      </w:r>
      <w:r>
        <w:t>和H</w:t>
      </w:r>
      <w:r>
        <w:rPr>
          <w:vertAlign w:val="subscript"/>
        </w:rPr>
        <w:t>2</w:t>
      </w:r>
      <w:r>
        <w:t>O转化为由可再生电力驱动的合成气。然而，SOEC 的性能往往受到缺乏将 CO 的高活性与结构稳定性结合在一起的燃料电极材料的限制。</w:t>
      </w:r>
      <w:r>
        <w:rPr>
          <w:vertAlign w:val="subscript"/>
        </w:rPr>
        <w:t>2</w:t>
      </w:r>
      <w:r>
        <w:t>和H</w:t>
      </w:r>
      <w:r>
        <w:rPr>
          <w:vertAlign w:val="subscript"/>
        </w:rPr>
        <w:t>2</w:t>
      </w:r>
      <w:r>
        <w:t>O电化学还原。在这里，我们开发了一种设计合理的燃料电极，Sr</w:t>
      </w:r>
      <w:r>
        <w:t xml:space="preserve"> </w:t>
      </w:r>
      <w:r>
        <w:t>1.95</w:t>
      </w:r>
      <w:r>
        <w:t xml:space="preserve"> </w:t>
      </w:r>
      <w:r>
        <w:t>铁镁</w:t>
      </w:r>
      <w:r>
        <w:t xml:space="preserve"> </w:t>
      </w:r>
      <w:r>
        <w:t>0.3</w:t>
      </w:r>
      <w:r>
        <w:t xml:space="preserve"> </w:t>
      </w:r>
      <w:r>
        <w:t>莫</w:t>
      </w:r>
      <w:r>
        <w:t xml:space="preserve"> </w:t>
      </w:r>
      <w:r>
        <w:t>0.6</w:t>
      </w:r>
      <w:r>
        <w:t xml:space="preserve"> </w:t>
      </w:r>
      <w:r>
        <w:t>汝</w:t>
      </w:r>
      <w:r>
        <w:t xml:space="preserve"> </w:t>
      </w:r>
      <w:r>
        <w:t>0.1</w:t>
      </w:r>
      <w:r>
        <w:t xml:space="preserve"> </w:t>
      </w:r>
      <w:r>
        <w:t>氧</w:t>
      </w:r>
      <w:r>
        <w:t xml:space="preserve"> </w:t>
      </w:r>
      <w:r>
        <w:t>6-δ</w:t>
      </w:r>
      <w:r>
        <w:t xml:space="preserve"> </w:t>
      </w:r>
      <w:r>
        <w:t>(SFMMRu)，它表现出超小 Ru 纳米颗粒 (1-5 nm) 的相干溶出，具有极高的表面数密度 (∼2.7 × 10</w:t>
      </w:r>
      <w:r>
        <w:rPr>
          <w:vertAlign w:val="subscript"/>
        </w:rPr>
        <w:t>4</w:t>
      </w:r>
      <w:r>
        <w:t>颗粒微米</w:t>
      </w:r>
      <w:r>
        <w:t xml:space="preserve"> </w:t>
      </w:r>
      <w:r>
        <w:t>−2</w:t>
      </w:r>
      <w:r>
        <w:t xml:space="preserve"> </w:t>
      </w:r>
      <w:r>
        <w:t>）。由此产生的高密度稳定金属氧化物界面显着增强了CO</w:t>
      </w:r>
      <w:r>
        <w:rPr>
          <w:vertAlign w:val="subscript"/>
        </w:rPr>
        <w:t>2</w:t>
      </w:r>
      <w:r>
        <w:t>和H</w:t>
      </w:r>
      <w:r>
        <w:rPr>
          <w:vertAlign w:val="subscript"/>
        </w:rPr>
        <w:t>2</w:t>
      </w:r>
      <w:r>
        <w:t>O 电还原动力学。因此，SFMMRu 表现出 0.254 Ω cm 的低极化电阻</w:t>
      </w:r>
      <w:r>
        <w:rPr>
          <w:vertAlign w:val="subscript"/>
        </w:rPr>
        <w:t>2</w:t>
      </w:r>
      <w:r>
        <w:t>50% CO2/CO2 中</w:t>
      </w:r>
      <w:r>
        <w:rPr>
          <w:vertAlign w:val="subscript"/>
        </w:rPr>
        <w:t>2</w:t>
      </w:r>
      <w:r>
        <w:t>和 0.143 Ω 厘米</w:t>
      </w:r>
      <w:r>
        <w:rPr>
          <w:vertAlign w:val="subscript"/>
        </w:rPr>
        <w:t>2</w:t>
      </w:r>
      <w:r>
        <w:t>在 40% H 中</w:t>
      </w:r>
      <w:r>
        <w:rPr>
          <w:vertAlign w:val="subscript"/>
        </w:rPr>
        <w:t>2</w:t>
      </w:r>
      <w:r>
        <w:t>氧/氢</w:t>
      </w:r>
    </w:p>
    <w:p>
      <w:pPr>
        <w:spacing w:before="0" w:after="200" w:lineRule="auto" w:line="276"/>
      </w:pPr>
      <w:r>
        <w:rPr>
          <w:b/>
        </w:rPr>
        <w:t xml:space="preserve">Abstract (EN): </w:t>
      </w:r>
      <w:r>
        <w:t>Solid oxide electrolysis cells (SOECs) hold significant potential for efficient, high‑rate conversion of CO</w:t>
      </w:r>
      <w:r>
        <w:rPr>
          <w:vertAlign w:val="subscript"/>
        </w:rPr>
        <w:t>2</w:t>
      </w:r>
      <w:r>
        <w:t>and H</w:t>
      </w:r>
      <w:r>
        <w:rPr>
          <w:vertAlign w:val="subscript"/>
        </w:rPr>
        <w:t>2</w:t>
      </w:r>
      <w:r>
        <w:t>O into syngas driven by renewable electricity. However, SOEC performance is often constrained by the scarcity of fuel electrode materials that combine high activity with structural stability for CO</w:t>
      </w:r>
      <w:r>
        <w:rPr>
          <w:vertAlign w:val="subscript"/>
        </w:rPr>
        <w:t>2</w:t>
      </w:r>
      <w:r>
        <w:t>and H</w:t>
      </w:r>
      <w:r>
        <w:rPr>
          <w:vertAlign w:val="subscript"/>
        </w:rPr>
        <w:t>2</w:t>
      </w:r>
      <w:r>
        <w:t>O electrochemical reduction. Here, we develop a rationally designed fuel electrode, Sr</w:t>
      </w:r>
      <w:r>
        <w:t xml:space="preserve"> </w:t>
      </w:r>
      <w:r>
        <w:t>1.95</w:t>
      </w:r>
      <w:r>
        <w:t xml:space="preserve"> </w:t>
      </w:r>
      <w:r>
        <w:t>FeMg</w:t>
      </w:r>
      <w:r>
        <w:t xml:space="preserve"> </w:t>
      </w:r>
      <w:r>
        <w:t>0.3</w:t>
      </w:r>
      <w:r>
        <w:t xml:space="preserve"> </w:t>
      </w:r>
      <w:r>
        <w:t>Mo</w:t>
      </w:r>
      <w:r>
        <w:t xml:space="preserve"> </w:t>
      </w:r>
      <w:r>
        <w:t>0.6</w:t>
      </w:r>
      <w:r>
        <w:t xml:space="preserve"> </w:t>
      </w:r>
      <w:r>
        <w:t>Ru</w:t>
      </w:r>
      <w:r>
        <w:t xml:space="preserve"> </w:t>
      </w:r>
      <w:r>
        <w:t>0.1</w:t>
      </w:r>
      <w:r>
        <w:t xml:space="preserve"> </w:t>
      </w:r>
      <w:r>
        <w:t>O</w:t>
      </w:r>
      <w:r>
        <w:t xml:space="preserve"> </w:t>
      </w:r>
      <w:r>
        <w:t>6‐δ</w:t>
      </w:r>
      <w:r>
        <w:t xml:space="preserve"> </w:t>
      </w:r>
      <w:r>
        <w:t>(SFMMRu), that exhibits coherent exsolution of ultrasmall Ru nanoparticles (1‐5 nm) with an exceptionally high surface number density (∼2.7 × 10</w:t>
      </w:r>
      <w:r>
        <w:rPr>
          <w:vertAlign w:val="subscript"/>
        </w:rPr>
        <w:t>4</w:t>
      </w:r>
      <w:r>
        <w:t>particles µm</w:t>
      </w:r>
      <w:r>
        <w:t xml:space="preserve"> </w:t>
      </w:r>
      <w:r>
        <w:t>−2</w:t>
      </w:r>
      <w:r>
        <w:t xml:space="preserve"> </w:t>
      </w:r>
      <w:r>
        <w:t>). The resulting high density of stable metal‐oxide interfaces markedly enhances CO</w:t>
      </w:r>
      <w:r>
        <w:rPr>
          <w:vertAlign w:val="subscript"/>
        </w:rPr>
        <w:t>2</w:t>
      </w:r>
      <w:r>
        <w:t>and H</w:t>
      </w:r>
      <w:r>
        <w:rPr>
          <w:vertAlign w:val="subscript"/>
        </w:rPr>
        <w:t>2</w:t>
      </w:r>
      <w:r>
        <w:t>O electroreduction kinetics. As a result, the SFMMRu exhibits low polarization resistances of 0.254 Ω cm</w:t>
      </w:r>
      <w:r>
        <w:rPr>
          <w:vertAlign w:val="subscript"/>
        </w:rPr>
        <w:t>2</w:t>
      </w:r>
      <w:r>
        <w:t>in 50% CO/CO</w:t>
      </w:r>
      <w:r>
        <w:rPr>
          <w:vertAlign w:val="subscript"/>
        </w:rPr>
        <w:t>2</w:t>
      </w:r>
      <w:r>
        <w:t>and 0.143 Ω cm</w:t>
      </w:r>
      <w:r>
        <w:rPr>
          <w:vertAlign w:val="subscript"/>
        </w:rPr>
        <w:t>2</w:t>
      </w:r>
      <w:r>
        <w:t>in 40% H</w:t>
      </w:r>
      <w:r>
        <w:rPr>
          <w:vertAlign w:val="subscript"/>
        </w:rPr>
        <w:t>2</w:t>
      </w:r>
      <w:r>
        <w:t>O/H</w:t>
      </w:r>
      <w:r>
        <w:rPr>
          <w:vertAlign w:val="subscript"/>
        </w:rPr>
        <w:t>2</w:t>
      </w:r>
      <w:r>
        <w:t>at 800°C. In SOEC operation at 1.5 V, high current densities of 2.24 A cm</w:t>
      </w:r>
      <w:r>
        <w:t xml:space="preserve"> </w:t>
      </w:r>
      <w:r>
        <w:t>−2</w:t>
      </w:r>
      <w:r>
        <w:t xml:space="preserve"> </w:t>
      </w:r>
      <w:r>
        <w:t>and 2.88 A cm</w:t>
      </w:r>
      <w:r>
        <w:t xml:space="preserve"> </w:t>
      </w:r>
      <w:r>
        <w:t>−2</w:t>
      </w:r>
      <w:r>
        <w:t xml:space="preserve"> </w:t>
      </w:r>
      <w:r>
        <w:t>are achieved for CO</w:t>
      </w:r>
      <w:r>
        <w:rPr>
          <w:vertAlign w:val="subscript"/>
        </w:rPr>
        <w:t>2</w:t>
      </w:r>
      <w:r>
        <w:t>and H</w:t>
      </w:r>
      <w:r>
        <w:rPr>
          <w:vertAlign w:val="subscript"/>
        </w:rPr>
        <w:t>2</w:t>
      </w:r>
      <w:r>
        <w:t>O electrolysis, respectively. Long‐term operation exceeding 200 h at 1 A cm</w:t>
      </w:r>
      <w:r>
        <w:t xml:space="preserve"> </w:t>
      </w:r>
      <w:r>
        <w:t>−2</w:t>
      </w:r>
      <w:r>
        <w:t xml:space="preserve"> </w:t>
      </w:r>
      <w:r>
        <w:t>in pure CO</w:t>
      </w:r>
      <w:r>
        <w:rPr>
          <w:vertAlign w:val="subscript"/>
        </w:rPr>
        <w:t>2</w:t>
      </w:r>
      <w:r>
        <w:t>demonstrates the high durability of the fuel electrode. Advanced electron microscopy combined with density functional theory calculations indicate that the formation of ultrasmall, densely distributed Ru nanoparticles stems from strong metal‐support interactions between the Ru phase and the perovskite substrate.</w:t>
      </w:r>
    </w:p>
    <w:p>
      <w:pPr>
        <w:spacing w:before="120" w:after="120"/>
      </w:pPr>
      <w:r>
        <w:rPr>
          <w:sz w:val="18"/>
        </w:rPr>
        <w:t>——————————————————————————————————————————————————————————————————————</w:t>
      </w:r>
    </w:p>
    <w:p>
      <w:pPr>
        <w:spacing w:before="160" w:after="40" w:line="240" w:lineRule="auto"/>
      </w:pPr>
      <w:r>
        <w:rPr>
          <w:b/>
        </w:rPr>
        <w:t xml:space="preserve">[4] </w:t>
      </w:r>
      <w:hyperlink r:id="rId490">
        <w:r>
          <w:rPr>
            <w:color w:val="1155CC"/>
            <w:u w:val="single"/>
          </w:rPr>
          <w:t>通过单元素 Sn 取代同时电子和晶体调制 Cs3Bi2Br9 以增强 CO2 光还原</w:t>
        </w:r>
      </w:hyperlink>
    </w:p>
    <w:p>
      <w:pPr>
        <w:spacing w:before="0" w:after="80"/>
      </w:pPr>
      <w:r>
        <w:rPr>
          <w:i/>
          <w:sz w:val="20"/>
        </w:rPr>
        <w:t>EN: Simultaneous Electronic and Crystallographic Modulation of Cs3Bi2Br9 by Single‐Element Sn Substitution for Enhanced CO2 Photoreduction</w:t>
      </w:r>
    </w:p>
    <w:p>
      <w:pPr>
        <w:spacing w:before="0" w:after="120"/>
      </w:pPr>
      <w:r>
        <w:rPr>
          <w:b/>
        </w:rPr>
        <w:t xml:space="preserve">Source: </w:t>
      </w:r>
      <w:r>
        <w:t>Wiley: Advanced Energy Materials: Table of Contents</w:t>
      </w:r>
      <w:r>
        <w:t xml:space="preserve">    </w:t>
      </w:r>
      <w:r>
        <w:rPr>
          <w:b/>
        </w:rPr>
        <w:t xml:space="preserve">Pub date: </w:t>
      </w:r>
      <w:r>
        <w:t>2026-07-31 14:52:54+00:00</w:t>
      </w:r>
      <w:r>
        <w:t xml:space="preserve">    </w:t>
      </w:r>
      <w:r>
        <w:rPr>
          <w:b/>
        </w:rPr>
        <w:t xml:space="preserve">DOI: </w:t>
      </w:r>
      <w:hyperlink r:id="rId491">
        <w:r>
          <w:rPr>
            <w:color w:val="1155CC"/>
            <w:u w:val="single"/>
          </w:rPr>
          <w:t>10.1002/aenm.71365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CO光催化转化</w:t>
      </w:r>
      <w:r>
        <w:rPr>
          <w:vertAlign w:val="subscript"/>
        </w:rPr>
        <w:t>2</w:t>
      </w:r>
      <w:r>
        <w:t>转化为增值燃料提供了一条在储存太阳能的同时减少碳排放的可持续途径。无铅卤化物钙钛矿由于其高度可调的电子结构和强大的光捕获能力，最近成为有前途的光催化剂。然而，它们的性能通常受到低效的电荷分离和转移的限制。在此，我们证明了异价 Sn</w:t>
      </w:r>
      <w:r>
        <w:t xml:space="preserve"> </w:t>
      </w:r>
      <w:r>
        <w:t>2+</w:t>
      </w:r>
      <w:r>
        <w:t xml:space="preserve"> </w:t>
      </w:r>
      <w:r>
        <w:t>替换为层状铯</w:t>
      </w:r>
      <w:r>
        <w:rPr>
          <w:vertAlign w:val="subscript"/>
        </w:rPr>
        <w:t>3</w:t>
      </w:r>
      <w:r>
        <w:t>毕</w:t>
      </w:r>
      <w:r>
        <w:rPr>
          <w:vertAlign w:val="subscript"/>
        </w:rPr>
        <w:t>2</w:t>
      </w:r>
      <w:r>
        <w:t>溴</w:t>
      </w:r>
      <w:r>
        <w:rPr>
          <w:vertAlign w:val="subscript"/>
        </w:rPr>
        <w:t>9</w:t>
      </w:r>
      <w:r>
        <w:t>能够同时调制晶体结构和电子结构。结合实验表征和模拟研究表明 Sn</w:t>
      </w:r>
      <w:r>
        <w:t xml:space="preserve"> </w:t>
      </w:r>
      <w:r>
        <w:t>2+</w:t>
      </w:r>
      <w:r>
        <w:t xml:space="preserve"> </w:t>
      </w:r>
      <w:r>
        <w:t>取代引起晶格收缩并促进溴空位形成作为电荷补偿机制。这些并发的结构变化驱动电子重新分布并引入浅陷阱态，从而改善载流子动力学。由于这些协同效应，优化的 Sn</w:t>
      </w:r>
      <w:r>
        <w:t xml:space="preserve"> </w:t>
      </w:r>
      <w:r>
        <w:t>2+</w:t>
      </w:r>
      <w:r>
        <w:t xml:space="preserve"> </w:t>
      </w:r>
      <w:r>
        <w:t>‐掺杂铯</w:t>
      </w:r>
      <w:r>
        <w:rPr>
          <w:vertAlign w:val="subscript"/>
        </w:rPr>
        <w:t>3</w:t>
      </w:r>
      <w:r>
        <w:t>毕</w:t>
      </w:r>
      <w:r>
        <w:rPr>
          <w:vertAlign w:val="subscript"/>
        </w:rPr>
        <w:t>2</w:t>
      </w:r>
      <w:r>
        <w:t>溴</w:t>
      </w:r>
      <w:r>
        <w:rPr>
          <w:vertAlign w:val="subscript"/>
        </w:rPr>
        <w:t>9</w:t>
      </w:r>
      <w:r>
        <w:t>CH 表现出 3.4 倍增强</w:t>
      </w:r>
      <w:r>
        <w:rPr>
          <w:vertAlign w:val="subscript"/>
        </w:rPr>
        <w:t>4</w:t>
      </w:r>
      <w:r>
        <w:t>与原始材料相比，产量达到 8.91 µmo</w:t>
      </w:r>
    </w:p>
    <w:p>
      <w:pPr>
        <w:spacing w:before="0" w:after="200" w:lineRule="auto" w:line="276"/>
      </w:pPr>
      <w:r>
        <w:rPr>
          <w:b/>
        </w:rPr>
        <w:t xml:space="preserve">Abstract (EN): </w:t>
      </w:r>
      <w:r>
        <w:t>The photocatalytic conversion of CO</w:t>
      </w:r>
      <w:r>
        <w:rPr>
          <w:vertAlign w:val="subscript"/>
        </w:rPr>
        <w:t>2</w:t>
      </w:r>
      <w:r>
        <w:t>into value‐added fuels offers a sustainable route to mitigate carbon emissions while storing solar energy. Lead‐free halide perovskites have recently emerged as promising photocatalysts due to their highly tunable electronic structures and strong light‐harvesting capabilities. However, their performance is often limited by inefficient charge separation and transfer. Herein, we demonstrate that aliovalent Sn</w:t>
      </w:r>
      <w:r>
        <w:t xml:space="preserve"> </w:t>
      </w:r>
      <w:r>
        <w:t>2+</w:t>
      </w:r>
      <w:r>
        <w:t xml:space="preserve"> </w:t>
      </w:r>
      <w:r>
        <w:t>substitution into layered Cs</w:t>
      </w:r>
      <w:r>
        <w:rPr>
          <w:vertAlign w:val="subscript"/>
        </w:rPr>
        <w:t>3</w:t>
      </w:r>
      <w:r>
        <w:t>Bi</w:t>
      </w:r>
      <w:r>
        <w:rPr>
          <w:vertAlign w:val="subscript"/>
        </w:rPr>
        <w:t>2</w:t>
      </w:r>
      <w:r>
        <w:t>Br</w:t>
      </w:r>
      <w:r>
        <w:rPr>
          <w:vertAlign w:val="subscript"/>
        </w:rPr>
        <w:t>9</w:t>
      </w:r>
      <w:r>
        <w:t>enables simultaneous modulation of the crystallographic and electronic structure. Combined experimental characterizations and simulation studies reveal that Sn</w:t>
      </w:r>
      <w:r>
        <w:t xml:space="preserve"> </w:t>
      </w:r>
      <w:r>
        <w:t>2+</w:t>
      </w:r>
      <w:r>
        <w:t xml:space="preserve"> </w:t>
      </w:r>
      <w:r>
        <w:t>substitution induces lattice contraction and promotes bromine vacancy formation as a charge‐compensation mechanism. These concurrent structural changes drive electronic redistribution and introduce shallow trap states, thereby improving charge carrier dynamics. As a result of these synergistic effects, the optimized Sn</w:t>
      </w:r>
      <w:r>
        <w:t xml:space="preserve"> </w:t>
      </w:r>
      <w:r>
        <w:t>2+</w:t>
      </w:r>
      <w:r>
        <w:t xml:space="preserve"> </w:t>
      </w:r>
      <w:r>
        <w:t>‐doped Cs</w:t>
      </w:r>
      <w:r>
        <w:rPr>
          <w:vertAlign w:val="subscript"/>
        </w:rPr>
        <w:t>3</w:t>
      </w:r>
      <w:r>
        <w:t>Bi</w:t>
      </w:r>
      <w:r>
        <w:rPr>
          <w:vertAlign w:val="subscript"/>
        </w:rPr>
        <w:t>2</w:t>
      </w:r>
      <w:r>
        <w:t>Br</w:t>
      </w:r>
      <w:r>
        <w:rPr>
          <w:vertAlign w:val="subscript"/>
        </w:rPr>
        <w:t>9</w:t>
      </w:r>
      <w:r>
        <w:t>exhibits a 3.4‐fold enhancement in CH</w:t>
      </w:r>
      <w:r>
        <w:rPr>
          <w:vertAlign w:val="subscript"/>
        </w:rPr>
        <w:t>4</w:t>
      </w:r>
      <w:r>
        <w:t>yield compared to the pristine material, achieving a yield of 8.91 µmol·g</w:t>
      </w:r>
      <w:r>
        <w:t xml:space="preserve"> </w:t>
      </w:r>
      <w:r>
        <w:t>−1</w:t>
      </w:r>
      <w:r>
        <w:t xml:space="preserve"> </w:t>
      </w:r>
      <w:r>
        <w:t>under continuous visible‐light irradiation for 4 h. This work demonstrates that aliovalent B‐site substitution is an effective strategy for engineering lattice distortion and vacancy chemistry to enhance charge utilization and photocatalytic selectivity in lead‐free halide perovskites.</w:t>
      </w:r>
    </w:p>
    <w:p>
      <w:pPr>
        <w:spacing w:before="120" w:after="120"/>
      </w:pPr>
      <w:r>
        <w:rPr>
          <w:sz w:val="18"/>
        </w:rPr>
        <w:t>——————————————————————————————————————————————————————————————————————</w:t>
      </w:r>
    </w:p>
    <w:p>
      <w:pPr>
        <w:spacing w:before="160" w:after="40" w:line="240" w:lineRule="auto"/>
      </w:pPr>
      <w:r>
        <w:rPr>
          <w:b/>
        </w:rPr>
        <w:t xml:space="preserve">[5] </w:t>
      </w:r>
      <w:hyperlink r:id="rId362">
        <w:r>
          <w:rPr>
            <w:color w:val="1155CC"/>
            <w:u w:val="single"/>
          </w:rPr>
          <w:t>ZrO2 上反应诱导的表面/次表面铟物种形成，用于增强 CO2 加氢生成甲醇</w:t>
        </w:r>
      </w:hyperlink>
    </w:p>
    <w:p>
      <w:pPr>
        <w:spacing w:before="0" w:after="80"/>
      </w:pPr>
      <w:r>
        <w:rPr>
          <w:i/>
          <w:sz w:val="20"/>
        </w:rPr>
        <w:t>EN: Reaction-induced surface/subsurface indium species formation on ZrO2 for enhanced CO2 hydrogenation to methanol</w:t>
      </w:r>
    </w:p>
    <w:p>
      <w:pPr>
        <w:spacing w:before="0" w:after="120"/>
      </w:pPr>
      <w:r>
        <w:rPr>
          <w:b/>
        </w:rPr>
        <w:t xml:space="preserve">Source: </w:t>
      </w:r>
      <w:r>
        <w:t>Physical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CO2 加氢过程中氧化物催化剂复杂的结构演变为优化催化性能带来了挑战和机遇。这项研究证明了 In2O3 颗粒通过反应诱导转化为 InOx 纳米层和 ZrO2 上的亚表面 In-Zr-O 固溶体（表示为 In-ZrO2@InOx），从而显着提高了甲醇合成效率。在CO2/H2反应条件下，H2还原产生的移动金属In0驱动In2O3重新分散到表面InOx纳米层中，而随后In0和Zr(CO3)2之间的相互扩散导致形成次表面In-Zr-O固溶体。通过精确控制温度、压力和气体成分，我们实现了三种不同 In 物种的最佳分布：In2O3 纳米颗粒、表面 InOx 纳米层和次表面 In-Zr-O 固溶体。工程化的In-ZrO2@InOx催化剂的甲醇时空产率为1.1 gmethanol/gcat/h，并且在300°C下超过600小时具有显着的稳定性。我们的研究结果强调了表面和次表面氧化物在氧化物催化反应中的关键作用，并证明了反应驱动的重组策略对于催化剂优化的有效性。</w:t>
      </w:r>
    </w:p>
    <w:p>
      <w:pPr>
        <w:spacing w:before="0" w:after="200" w:lineRule="auto" w:line="276"/>
      </w:pPr>
      <w:r>
        <w:rPr>
          <w:b/>
        </w:rPr>
        <w:t xml:space="preserve">Abstract (EN): </w:t>
      </w:r>
      <w:r>
        <w:t>The complex structural evolution of oxide catalysts during CO2 hydrogenation presents both challenges and opportunities for optimizing catalytic performance. This study demonstrates reaction-induced transformation of In2O3 particles into InOx nanolayers and subsurface In-Zr-O solid solutions on ZrO2 (denoted as In-ZrO2@InOx), significantly enhancing methanol synthesis efficiency. Under CO2/H2 reaction conditions, mobile metallic In0 generated from H2 reduction drives redispersion of In2O3 into surface InOx nanolayers, while subsequent inter-diffusion between In0 and Zr(CO3)2 leads to the formation of subsurface In–Zr–O solid solutions. Through precise control of temperature, pressure, and gas composition, we achieve optimal distribution of three distinct In species: In2O3 nanoparticles, surface InOx nanolayers, and subsurface In-Zr-O solid solutions. The engineered In-ZrO2@InOx catalyst exhibits a methanol space-time yield of 1.1 gmethanol/gcat/h with remarkable stability over 600 hours at 300 °C. Our findings highlight the crucial role of both surface and subsurface oxide species in oxide-catalyzed reactions and demonstrate the effectiveness of reaction-driven restructuring strategies for catalyst optimization.</w:t>
      </w:r>
    </w:p>
    <w:p>
      <w:pPr>
        <w:spacing w:before="120" w:after="120"/>
      </w:pPr>
      <w:r>
        <w:rPr>
          <w:sz w:val="18"/>
        </w:rPr>
        <w:t>——————————————————————————————————————————————————————————————————————</w:t>
      </w:r>
    </w:p>
    <w:p>
      <w:pPr>
        <w:spacing w:before="160" w:after="40" w:line="240" w:lineRule="auto"/>
      </w:pPr>
      <w:r>
        <w:rPr>
          <w:b/>
        </w:rPr>
        <w:t xml:space="preserve">[6] </w:t>
      </w:r>
      <w:hyperlink r:id="rId492">
        <w:r>
          <w:rPr>
            <w:color w:val="1155CC"/>
            <w:u w:val="single"/>
          </w:rPr>
          <w:t>通过定制的偶联反应途径从 CO2 定向合成杜烯</w:t>
        </w:r>
      </w:hyperlink>
    </w:p>
    <w:p>
      <w:pPr>
        <w:spacing w:before="0" w:after="80"/>
      </w:pPr>
      <w:r>
        <w:rPr>
          <w:i/>
          <w:sz w:val="20"/>
        </w:rPr>
        <w:t>EN: Targeted Synthesis of Durene from CO2 via a Tailored Coupling Reaction Pathway</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493">
        <w:r>
          <w:rPr>
            <w:color w:val="1155CC"/>
            <w:u w:val="single"/>
          </w:rPr>
          <w:t>10.1021/jacs.6c02583</w:t>
        </w:r>
      </w:hyperlink>
    </w:p>
    <w:p>
      <w:pPr>
        <w:spacing w:before="0" w:after="120"/>
      </w:pPr>
      <w:r>
        <w:rPr>
          <w:b/>
        </w:rPr>
        <w:t xml:space="preserve">Notes: </w:t>
      </w:r>
      <w:r>
        <w:t>abstract_source=crossref</w:t>
      </w:r>
    </w:p>
    <w:p>
      <w:pPr>
        <w:spacing w:before="0" w:after="80" w:lineRule="auto" w:line="276"/>
      </w:pPr>
      <w:r>
        <w:rPr>
          <w:b/>
        </w:rPr>
        <w:t xml:space="preserve">摘要（ZH）: </w:t>
      </w:r>
      <w:r>
        <w:t>摘要 在合理设计的多功能氧化物沸石催化剂上开发了一条精确设计的偶联反应途径，用于将 CO2 高选择性转化为高附加值芳香族化合物都烯（1,2,4,5-四甲基苯，称为 1,2,4,5-TeMB）。通过原位漫反射红外傅里叶变换光谱（DRIFTS）、共振俄歇电子能谱（RAS）、原位X射线吸收精细结构光谱（XAFS）和密度泛函理论（DFT）计算揭示了催化剂的详细反应路径和动态结构演化。开发了一种具有四方 InZrOx 固溶体结构的最佳氧化物催化剂，以匹配 CO2 制芳烃反应的热力学特性。它表现出 CO2 吸附和 H2 活化之间的空间协同作用，因此在较低温度下通过 HCOO* 途径促进 CO2 加氢，这在热力学上对于沸石上 TeMB 的形成至关重要。为了控制几种 TeMB 异构体之间的选择性，对 b 轴尺寸为亚百纳米的 ZSM-5 纳米片沸石进行了优化。这些 ZSM-5 纳米片中存在丰富的表面酸位点和孔口限制，增强了孔口形状选择性甲基化，并精确地将甲基取代基定位在苯环上。 InZrOx/ZSM-5催化剂通过低温CO2加氢、芳构化和沸石孔口形状选择性甲基化反应过程的高效耦合，大幅窄化了C6–C12芳族范围</w:t>
      </w:r>
    </w:p>
    <w:p>
      <w:pPr>
        <w:spacing w:before="0" w:after="200" w:lineRule="auto" w:line="276"/>
      </w:pPr>
      <w:r>
        <w:rPr>
          <w:b/>
        </w:rPr>
        <w:t xml:space="preserve">Abstract (EN): </w:t>
      </w:r>
      <w:r>
        <w:t>A precisely engineered coupling reaction pathway was developed over a rationally designed multifunctional oxide-zeolite catalyst for the highly selective transformation of CO2 to durene (1,2,4,5-tetramethylbenzene, termed 1,2,4,5-TeMB), a high-value-added aromatic compound. The detailed reaction pathway and dynamic structure evolution of the catalyst were unveiled through in situ diffuse reflectance infrared Fourier transform spectroscopy (DRIFTS), resonant Auger electron spectroscopy (RAS), in situ X-ray absorption fine structure spectroscopy (XAFS), and density functional theory (DFT) calculations. An optimal oxide catalyst featuring the tetragonal InZrOx solid solution structure was developed to match the thermodynamic characteristics of the CO2-to-aromatics reaction. It exhibits a spatial synergy between CO2 adsorption and H2 activation, therefore promoting CO2 hydrogenation via the HCOO* pathway at lower temperatures, which is thermodynamically essential for the formation of TeMBs over zeolites. For the selectivity control among several TeMB isomers, a ZSM-5 nanosheet zeolite with a b-axis dimension of subhundred nanometers was optimized. The presence of abundant surface acid sites and pore mouth confinement in these ZSM-5 nanosheets reinforces the pore mouth shape-selective methylation and precisely positions methyl substituents on benzene rings. Through efficiently coupling reaction processes of low-temperature CO2 hydrogenation, aromatization, and zeolite pore mouth shape-selective methylation, the InZrOx/ZSM-5 catalyst substantially narrows the C6–C12 aromatic distribution and achieves the targeted synthesis of durene, which accounts for 83.3% of the total aromatic products.</w:t>
      </w:r>
    </w:p>
    <w:p>
      <w:pPr>
        <w:spacing w:before="120" w:after="120"/>
      </w:pPr>
      <w:r>
        <w:rPr>
          <w:sz w:val="18"/>
        </w:rPr>
        <w:t>——————————————————————————————————————————————————————————————————————</w:t>
      </w:r>
    </w:p>
    <w:p>
      <w:pPr>
        <w:spacing w:before="160" w:after="40" w:line="240" w:lineRule="auto"/>
      </w:pPr>
      <w:r>
        <w:rPr>
          <w:b/>
        </w:rPr>
        <w:t xml:space="preserve">[7] </w:t>
      </w:r>
      <w:hyperlink r:id="rId449">
        <w:r>
          <w:rPr>
            <w:color w:val="1155CC"/>
            <w:u w:val="single"/>
          </w:rPr>
          <w:t>通过匹配阴极-阳极局部 pH 值耦合电合成甲酰胺，碳氮选择性约为 100%</w:t>
        </w:r>
      </w:hyperlink>
    </w:p>
    <w:p>
      <w:pPr>
        <w:spacing w:before="0" w:after="80"/>
      </w:pPr>
      <w:r>
        <w:rPr>
          <w:i/>
          <w:sz w:val="20"/>
        </w:rPr>
        <w:t>EN: Coupled electrosynthesis of formamide with ~100% carbon and nitrogen selectivity via matching cathode‒anode local pH</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由丰富的含碳和含氮小分子电化学构建C-N键对于酰胺的绿色合成至关重要。然而，没有C-N耦合的单一转换和对电极处的低值水分解是不可避免的，导致选择性和法拉第效率低。在这里，我们提出了一种耦合电合成策略，在阴极和阳极同时制备甲酰胺，其中副产物被重新用作对电极的原料。我们设计并采用自支撑铜纳米片阵列（Cu NAs）和铂覆盖钛片（Pt 片）分别作为阴极和阳极，以匹配共还原（碱性）和共氧化（中性）的电解环境。 Cu NA 丰富的微通道在阴极表面形成强碱性微区 (0 ~ 100 nm)，保证在中性本体条件下两个电极同时发生 C-N 耦合。我们实现了甲酰胺的合成，碳和氮选择性约为 100%。</w:t>
      </w:r>
    </w:p>
    <w:p>
      <w:pPr>
        <w:spacing w:before="0" w:after="200" w:lineRule="auto" w:line="276"/>
      </w:pPr>
      <w:r>
        <w:rPr>
          <w:b/>
        </w:rPr>
        <w:t xml:space="preserve">Abstract (EN): </w:t>
      </w:r>
      <w:r>
        <w:t>The electrochemical construction of C–N bonds from abundant carbon-containing and nitrogen-containing small molecules is critical for the green synthesis of amides. However, the sole conversion without C–N coupling and low-value water splitting at the counter electrode are inevitable, leading to low selectivity and faradic efficiency. Herein, we propose a coupled electrosynthesis strategy to simultaneously prepare formamide at both the cathode and anode, in which the byproducts are reused as feedstocks in the counter electrode. We design and adopt the self-supported Cu nanosheet arrays (Cu NAs) and the Pt-covered Ti sheet (Pt sheet) as cathode and anode, respectively, to match the electrolytic environments for coreduction (alkaline) and cooxidation (neutral). The abundant microchannels of the Cu NAs creates a strong alkaline microzone (0 ~ 100 nm) on the surface of the cathode, guaranteeing concurrent C–N coupling at both electrodes under neutral bulk conditions. We achieve the synthesis of formamide with ~100% carbon and nitrogen selectivity.</w:t>
      </w:r>
    </w:p>
    <w:p>
      <w:pPr>
        <w:spacing w:before="120" w:after="120"/>
      </w:pPr>
      <w:r>
        <w:rPr>
          <w:sz w:val="18"/>
        </w:rPr>
        <w:t>——————————————————————————————————————————————————————————————————————</w:t>
      </w:r>
    </w:p>
    <w:p>
      <w:pPr>
        <w:spacing w:before="160" w:after="40" w:line="240" w:lineRule="auto"/>
      </w:pPr>
      <w:r>
        <w:rPr>
          <w:b/>
        </w:rPr>
        <w:t xml:space="preserve">[8] </w:t>
      </w:r>
      <w:hyperlink r:id="rId494">
        <w:r>
          <w:rPr>
            <w:color w:val="1155CC"/>
            <w:u w:val="single"/>
          </w:rPr>
          <w:t>聚合氮化碳上电子相邻的氧化还原活性位点，用于有效光催化配对选择性 CO2 还原和 5-羟甲基糠醛氧化</w:t>
        </w:r>
      </w:hyperlink>
    </w:p>
    <w:p>
      <w:pPr>
        <w:spacing w:before="0" w:after="80"/>
      </w:pPr>
      <w:r>
        <w:rPr>
          <w:i/>
          <w:sz w:val="20"/>
        </w:rPr>
        <w:t>EN: Electronically neighbored redox active sites on polymeric carbon nitride for efficient photocatalysis pairing selective CO2 reduction and 5-hydroxymethylfurfural oxidation</w:t>
      </w:r>
    </w:p>
    <w:p>
      <w:pPr>
        <w:spacing w:before="0" w:after="120"/>
      </w:pPr>
      <w:r>
        <w:rPr>
          <w:b/>
        </w:rPr>
        <w:t xml:space="preserve">Source: </w:t>
      </w:r>
      <w:r>
        <w:t>National Science Review Advance Access</w:t>
      </w:r>
      <w:r>
        <w:t xml:space="preserve">    </w:t>
      </w:r>
      <w:r>
        <w:rPr>
          <w:b/>
        </w:rPr>
        <w:t xml:space="preserve">Pub date: </w:t>
      </w:r>
      <w:r>
        <w:t>2026-08-03 00:00:00+00:00</w:t>
      </w:r>
      <w:r>
        <w:t xml:space="preserve">    </w:t>
      </w:r>
      <w:r>
        <w:rPr>
          <w:b/>
        </w:rPr>
        <w:t xml:space="preserve">DOI: </w:t>
      </w:r>
      <w:hyperlink r:id="rId495">
        <w:r>
          <w:rPr>
            <w:color w:val="1155CC"/>
            <w:u w:val="single"/>
          </w:rPr>
          <w:t>10.1093/nsr/nwag470</w:t>
        </w:r>
      </w:hyperlink>
    </w:p>
    <w:p>
      <w:pPr>
        <w:spacing w:before="0" w:after="120"/>
      </w:pPr>
      <w:r>
        <w:rPr>
          <w:b/>
        </w:rPr>
        <w:t xml:space="preserve">Notes: </w:t>
      </w:r>
      <w:r>
        <w:t>abstract_source=rss_oup</w:t>
      </w:r>
    </w:p>
    <w:p>
      <w:pPr>
        <w:spacing w:before="0" w:after="80" w:lineRule="auto" w:line="276"/>
      </w:pPr>
      <w:r>
        <w:rPr>
          <w:b/>
        </w:rPr>
        <w:t xml:space="preserve">摘要（ZH）: </w:t>
      </w:r>
      <w:r>
        <w:t>将二氧化碳还原反应（CO2RR）与选择性有机氧化反应相结合，为同时利用光生空穴和电子来实现碳基燃料和增值化学品的生产提供了一个有吸引力的机会。在此，将电子相邻的铜单原子（Cu SA）和超小型缺氧钴氧化物（CoOV）簇的氧化还原活性位点负载到聚合氮化碳（CN）上，用于光催化CO2RR与5-羟甲基糠醛氧化反应（HMFOR）的偶联。所获得的CoOV-CuCN光催化剂以49.6和34.7 μmol g−1 h−1的速率实现了CO和5-羟甲基-2-呋喃甲酸（HMFCA）的高性能生产，分别提供了91.6%和81.6%的高选择性。光谱研究和理论计算表明，CoOV位点会将相邻Cu SA的d带中心向费米能级上移，从而稳定Cu SA上的*COOH中间体，从而促进CO2到CO的转化；此外，氧空位 (OV) 可以触发 CoOV 位点的电荷重新分布，从而实现 HMFCA 生产的有效 HMF 吸附和氧化。该工作为配对氧化还原光催化中具有调制几何和电子构型的表面活性位点的合理设计提供了可靠的策略，也为促进太阳能转换和利用的经济效益和技术升级铺平了一条替代途径。</w:t>
      </w:r>
    </w:p>
    <w:p>
      <w:pPr>
        <w:spacing w:before="0" w:after="200" w:lineRule="auto" w:line="276"/>
      </w:pPr>
      <w:r>
        <w:rPr>
          <w:b/>
        </w:rPr>
        <w:t xml:space="preserve">Abstract (EN): </w:t>
      </w:r>
      <w:r>
        <w:t>Cooperatively integrating CO2 reduction reaction (CO2RR) with selective organic oxidation reaction presents an attractive opportunity to simultaneously utilize photogenerated holes and electrons to realize the production of carbon-based fuels and value-added chemicals. Herein, electronically neighbored redox active sites of Cu single atoms (Cu SAs) and ultrasmall oxygen-deficient cobalt oxide (CoOV) clusters are loaded onto polymeric carbon nitride (CN) for photocatalytic CO2RR coupling with 5-Hydroxymethylfurfural oxidation reaction (HMFOR). The obtained CoOV-CuCN photocatalyst achieves a high performance for CO and 5-hydroxymethyl-2-furancarboxylic acid (HMFCA) production at the rate of 49.6 and 34.7 μmol g−1 h−1, affording the high selectivity of 91.6% and 81.6%, respectively. Spectral investigations and theoretical calculations reveal that the CoOV sites would upshift the d-band center of neighboring Cu SAs towards the Fermi level, which stabilizes the *COOH intermediate on Cu SAs and thereby promotes the CO2-to-CO conversion; moreover, the oxygen vacancies (OV) could trigger the charge redistribution at CoOV sites for efficient HMF adsorption and oxidation for HMFCA production. This work provides a reliable strategy for the rational design of surface active sites with modulated geometric and electronic configurations for paired redox photocatalysis and also paves an alternative way to promote the economic benefits and the technology upgrading of solar energy conversion and utilization.</w:t>
      </w:r>
    </w:p>
    <w:p>
      <w:pPr>
        <w:spacing w:before="120" w:after="120"/>
      </w:pPr>
      <w:r>
        <w:rPr>
          <w:sz w:val="18"/>
        </w:rPr>
        <w:t>——————————————————————————————————————————————————————————————————————</w:t>
      </w:r>
    </w:p>
    <w:p>
      <w:pPr>
        <w:spacing w:before="160" w:after="40" w:line="240" w:lineRule="auto"/>
      </w:pPr>
      <w:r>
        <w:rPr>
          <w:b/>
        </w:rPr>
        <w:t xml:space="preserve">[9] </w:t>
      </w:r>
      <w:hyperlink r:id="rId496">
        <w:r>
          <w:rPr>
            <w:color w:val="1155CC"/>
            <w:u w:val="single"/>
          </w:rPr>
          <w:t>通过串联催化将二氧化碳转化为碳纳米管，规避热力学限制</w:t>
        </w:r>
      </w:hyperlink>
    </w:p>
    <w:p>
      <w:pPr>
        <w:spacing w:before="0" w:after="80"/>
      </w:pPr>
      <w:r>
        <w:rPr>
          <w:i/>
          <w:sz w:val="20"/>
        </w:rPr>
        <w:t>EN: Circumventing thermodynamic limitations in converting carbon dioxide into carbon nanotubes via tandem catalysis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497">
        <w:r>
          <w:rPr>
            <w:color w:val="1155CC"/>
            <w:u w:val="single"/>
          </w:rPr>
          <w:t>10.1073/pnas.2610399123</w:t>
        </w:r>
      </w:hyperlink>
    </w:p>
    <w:p>
      <w:pPr>
        <w:spacing w:before="0" w:after="120"/>
      </w:pPr>
      <w:r>
        <w:rPr>
          <w:b/>
        </w:rPr>
        <w:t xml:space="preserve">Notes: </w:t>
      </w:r>
      <w:r>
        <w:t>abstract_source=crossref</w:t>
      </w:r>
    </w:p>
    <w:p>
      <w:pPr>
        <w:spacing w:before="0" w:after="80" w:lineRule="auto" w:line="276"/>
      </w:pPr>
      <w:r>
        <w:rPr>
          <w:b/>
        </w:rPr>
        <w:t xml:space="preserve">摘要（ZH）: </w:t>
      </w:r>
      <w:r>
        <w:t>碳纳米管（CNT）是电子和结构复合材料的重要材料，但其生产仍然依赖于碳氢化合物化学气相沉积，这是一种能源密集型且依赖化石的过程，受到催化剂快速失活的限制。使用二氧化碳</w:t>
      </w:r>
      <w:r>
        <w:rPr>
          <w:vertAlign w:val="subscript"/>
        </w:rPr>
        <w:t>2</w:t>
      </w:r>
      <w:r>
        <w:t>作为碳原料，为碳纳米管合成提供了一条可持续的途径，但直接二氧化碳</w:t>
      </w:r>
      <w:r>
        <w:rPr>
          <w:vertAlign w:val="subscript"/>
        </w:rPr>
        <w:t>2</w:t>
      </w:r>
      <w:r>
        <w:t>转化为碳纳米管在热力学上是不利的，并且现有的二氧化碳</w:t>
      </w:r>
      <w:r>
        <w:rPr>
          <w:vertAlign w:val="subscript"/>
        </w:rPr>
        <w:t>2</w:t>
      </w:r>
      <w:r>
        <w:t>碳转化途径主要产生无定形或弱石墨化固体。在这里，我们展示了一种克服这些限制的串联电化学热化学（EC-TC）策略。一氧化碳</w:t>
      </w:r>
      <w:r>
        <w:rPr>
          <w:vertAlign w:val="subscript"/>
        </w:rPr>
        <w:t>2</w:t>
      </w:r>
      <w:r>
        <w:t>首先被电化学还原为 C 的可调混合物</w:t>
      </w:r>
      <w:r>
        <w:rPr>
          <w:vertAlign w:val="subscript"/>
        </w:rPr>
        <w:t>2</w:t>
      </w:r>
      <w:r>
        <w:t>H</w:t>
      </w:r>
      <w:r>
        <w:rPr>
          <w:vertAlign w:val="subscript"/>
        </w:rPr>
        <w:t>4</w:t>
      </w:r>
      <w:r>
        <w:t>和 CO，直接送入热化学反应器，并在 750 °C 的 NiFe 催化剂上转化为具有可控形貌和高 CNT 与金属质量比 (~200) 的 CNT。基于原位同步加速器的表征和密度泛函理论计算表明，CO 解离和 C</w:t>
      </w:r>
      <w:r>
        <w:rPr>
          <w:vertAlign w:val="subscript"/>
        </w:rPr>
        <w:t>2</w:t>
      </w:r>
      <w:r>
        <w:t>H</w:t>
      </w:r>
      <w:r>
        <w:rPr>
          <w:vertAlign w:val="subscript"/>
        </w:rPr>
        <w:t>4</w:t>
      </w:r>
      <w:r>
        <w:t>NiFe合金的分解协同促进CNT成核和持续生长。该 EC-TC 策略建立了转化 CO 的模块化路线</w:t>
      </w:r>
      <w:r>
        <w:rPr>
          <w:vertAlign w:val="subscript"/>
        </w:rPr>
        <w:t>2</w:t>
      </w:r>
      <w:r>
        <w:t>转化为高附加值的碳纳米材料。</w:t>
      </w:r>
    </w:p>
    <w:p>
      <w:pPr>
        <w:spacing w:before="0" w:after="200" w:lineRule="auto" w:line="276"/>
      </w:pPr>
      <w:r>
        <w:rPr>
          <w:b/>
        </w:rPr>
        <w:t xml:space="preserve">Abstract (EN): </w:t>
      </w:r>
      <w:r>
        <w:t>Carbon nanotubes (CNTs) are important materials for electronics and structural composites, but their production still relies on hydrocarbon-based chemical vapor deposition, an energy-intensive and fossil-dependent process, limited by rapid catalyst deactivation. Using CO</w:t>
      </w:r>
      <w:r>
        <w:rPr>
          <w:vertAlign w:val="subscript"/>
        </w:rPr>
        <w:t>2</w:t>
      </w:r>
      <w:r>
        <w:t>as a carbon feedstock offers a sustainable route for CNT synthesis, yet direct CO</w:t>
      </w:r>
      <w:r>
        <w:rPr>
          <w:vertAlign w:val="subscript"/>
        </w:rPr>
        <w:t>2</w:t>
      </w:r>
      <w:r>
        <w:t>conversion to CNTs is thermodynamically unfavorable and existing CO</w:t>
      </w:r>
      <w:r>
        <w:rPr>
          <w:vertAlign w:val="subscript"/>
        </w:rPr>
        <w:t>2</w:t>
      </w:r>
      <w:r>
        <w:t>-to-carbon pathways mainly yield amorphous or weakly graphitized solids. Here, we demonstrate a tandem electrochemical–thermochemical (EC-TC) strategy that overcomes these limitations. CO</w:t>
      </w:r>
      <w:r>
        <w:rPr>
          <w:vertAlign w:val="subscript"/>
        </w:rPr>
        <w:t>2</w:t>
      </w:r>
      <w:r>
        <w:t>is first electrochemically reduced to a tunable mixture of C</w:t>
      </w:r>
      <w:r>
        <w:rPr>
          <w:vertAlign w:val="subscript"/>
        </w:rPr>
        <w:t>2</w:t>
      </w:r>
      <w:r>
        <w:t>H</w:t>
      </w:r>
      <w:r>
        <w:rPr>
          <w:vertAlign w:val="subscript"/>
        </w:rPr>
        <w:t>4</w:t>
      </w:r>
      <w:r>
        <w:t>and CO, which is directly fed into a thermochemical reactor and converted into CNTs with controllable morphology and high CNT-to-metal mass ratios (~200) over NiFe catalysts at 750 °C. In situ synchrotron-based characterization and density functional theory calculations reveal that CO dissociation and C</w:t>
      </w:r>
      <w:r>
        <w:rPr>
          <w:vertAlign w:val="subscript"/>
        </w:rPr>
        <w:t>2</w:t>
      </w:r>
      <w:r>
        <w:t>H</w:t>
      </w:r>
      <w:r>
        <w:rPr>
          <w:vertAlign w:val="subscript"/>
        </w:rPr>
        <w:t>4</w:t>
      </w:r>
      <w:r>
        <w:t>decomposition on NiFe alloys cooperatively promote CNT nucleation and sustained growth. This EC-TC strategy establishes a modular route for converting CO</w:t>
      </w:r>
      <w:r>
        <w:rPr>
          <w:vertAlign w:val="subscript"/>
        </w:rPr>
        <w:t>2</w:t>
      </w:r>
      <w:r>
        <w:t>into value-added carbon nanomaterials.</w:t>
      </w:r>
    </w:p>
    <w:p>
      <w:pPr>
        <w:spacing w:before="120" w:after="120"/>
      </w:pPr>
      <w:r>
        <w:rPr>
          <w:sz w:val="18"/>
        </w:rPr>
        <w:t>——————————————————————————————————————————————————————————————————————</w:t>
      </w:r>
    </w:p>
    <w:p>
      <w:pPr>
        <w:spacing w:before="160" w:after="40" w:line="240" w:lineRule="auto"/>
      </w:pPr>
      <w:r>
        <w:rPr>
          <w:b/>
        </w:rPr>
        <w:t xml:space="preserve">[10] </w:t>
      </w:r>
      <w:hyperlink r:id="rId498">
        <w:r>
          <w:rPr>
            <w:color w:val="1155CC"/>
            <w:u w:val="single"/>
          </w:rPr>
          <w:t>用于亚饱和水分驱动二氧化碳捕获的季铵化工程水凝胶</w:t>
        </w:r>
      </w:hyperlink>
    </w:p>
    <w:p>
      <w:pPr>
        <w:spacing w:before="0" w:after="80"/>
      </w:pPr>
      <w:r>
        <w:rPr>
          <w:i/>
          <w:sz w:val="20"/>
        </w:rPr>
        <w:t>EN: Quaternized Engineered Hydrogels for Subsaturated Moisture‐Driven CO2 Capture</w:t>
      </w:r>
    </w:p>
    <w:p>
      <w:pPr>
        <w:spacing w:before="0" w:after="120"/>
      </w:pPr>
      <w:r>
        <w:rPr>
          <w:b/>
        </w:rPr>
        <w:t xml:space="preserve">Source: </w:t>
      </w:r>
      <w:r>
        <w:t>Wiley: Advanced Materials: Table of Contents</w:t>
      </w:r>
      <w:r>
        <w:t xml:space="preserve">    </w:t>
      </w:r>
      <w:r>
        <w:rPr>
          <w:b/>
        </w:rPr>
        <w:t xml:space="preserve">Pub date: </w:t>
      </w:r>
      <w:r>
        <w:t>2026-08-03 14:25:16+00:00</w:t>
      </w:r>
      <w:r>
        <w:t xml:space="preserve">    </w:t>
      </w:r>
      <w:r>
        <w:rPr>
          <w:b/>
        </w:rPr>
        <w:t xml:space="preserve">DOI: </w:t>
      </w:r>
      <w:hyperlink r:id="rId499">
        <w:r>
          <w:rPr>
            <w:color w:val="1155CC"/>
            <w:u w:val="single"/>
          </w:rPr>
          <w:t>10.1002/adma.74495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净零排放需要清除大气中的二氧化碳，以抵消不可避免的排放，同时维持人类的生命。变湿直接空气捕获 (DAC) 利用湿度来再生吸收 CO 的材料</w:t>
      </w:r>
      <w:r>
        <w:rPr>
          <w:vertAlign w:val="subscript"/>
        </w:rPr>
        <w:t>2</w:t>
      </w:r>
      <w:r>
        <w:t>，无需大的热波动或真空即可循环运行。然而，许多报道的系统需要对 CO 进行近饱和加湿</w:t>
      </w:r>
      <w:r>
        <w:rPr>
          <w:vertAlign w:val="subscript"/>
        </w:rPr>
        <w:t>2</w:t>
      </w:r>
      <w:r>
        <w:t>释放，缩小被动操作窗口并增加水管理需求。在这里，我们提出了被动昼夜水分波动水凝胶（PDMH），它在亚饱和相对湿度条件下再生，从而拓宽了被动二氧化碳的气候窗口</w:t>
      </w:r>
      <w:r>
        <w:rPr>
          <w:vertAlign w:val="subscript"/>
        </w:rPr>
        <w:t>2</w:t>
      </w:r>
      <w:r>
        <w:t>捕获。具体来说，我们开发了一种季铵化聚（2-（二乙氨基）乙基甲基丙烯酸酯）（PDEAEMA）水凝胶，它将湿度响应性季铵位点与控制水合行为的相变温度（较低临界溶液温度）相结合。使用含有 400 ppm CO 的空气</w:t>
      </w:r>
      <w:r>
        <w:rPr>
          <w:vertAlign w:val="subscript"/>
        </w:rPr>
        <w:t>2</w:t>
      </w:r>
      <w:r>
        <w:t>, PDMH 实现 CO</w:t>
      </w:r>
      <w:r>
        <w:rPr>
          <w:vertAlign w:val="subscript"/>
        </w:rPr>
        <w:t>2</w:t>
      </w:r>
      <w:r>
        <w:t>摄取 1.06 mmol g</w:t>
      </w:r>
      <w:r>
        <w:t xml:space="preserve"> </w:t>
      </w:r>
      <w:r>
        <w:t>−1</w:t>
      </w:r>
      <w:r>
        <w:t xml:space="preserve"> </w:t>
      </w:r>
      <w:r>
        <w:t>在 40°C 和 30% 相对湿度 (RH) 下。 25°C 的加湿使再生效率在 90% RH 时达到 92%，在 80% RH 时达到 79%。在两步、24 小时昼夜方案下，PDMH 显示 &gt;90% CO</w:t>
      </w:r>
      <w:r>
        <w:rPr>
          <w:vertAlign w:val="subscript"/>
        </w:rPr>
        <w:t>2</w:t>
      </w:r>
      <w:r>
        <w:t>解吸过程中的释放和稳定的工作容量为0.97-1。</w:t>
      </w:r>
    </w:p>
    <w:p>
      <w:pPr>
        <w:spacing w:before="0" w:after="200" w:lineRule="auto" w:line="276"/>
      </w:pPr>
      <w:r>
        <w:rPr>
          <w:b/>
        </w:rPr>
        <w:t xml:space="preserve">Abstract (EN): </w:t>
      </w:r>
      <w:r>
        <w:t>Net zero emissions will require atmospheric carbon dioxide removal to counterbalance unavoidable emissions while sustaining human life. Moisture‐swing direct air capture (DAC) uses humidity for regeneration of a material that absorbs CO</w:t>
      </w:r>
      <w:r>
        <w:rPr>
          <w:vertAlign w:val="subscript"/>
        </w:rPr>
        <w:t>2</w:t>
      </w:r>
      <w:r>
        <w:t>, enabling cyclic operation without large thermal swings or vacuum. However, many reported systems require near‐saturated humidification for CO</w:t>
      </w:r>
      <w:r>
        <w:rPr>
          <w:vertAlign w:val="subscript"/>
        </w:rPr>
        <w:t>2</w:t>
      </w:r>
      <w:r>
        <w:t>release, narrowing the passive operating window and increasing water management demands. Here, we present passive diurnal moisture‐swing hydrogels (PDMHs) that are regenerated under subsaturated RH conditions, thereby broadening the climatic window for passive CO</w:t>
      </w:r>
      <w:r>
        <w:rPr>
          <w:vertAlign w:val="subscript"/>
        </w:rPr>
        <w:t>2</w:t>
      </w:r>
      <w:r>
        <w:t>capture. Specifically, we develop a quaternized poly(2‐(diethylamino)ethyl methacrylate) (PDEAEMA) hydrogel that combines humidity‐responsive quaternary ammonium sites with a phase‐transition temperature (lower critical solution temperature) that governs hydration behavior. Using air containing 400 ppm CO</w:t>
      </w:r>
      <w:r>
        <w:rPr>
          <w:vertAlign w:val="subscript"/>
        </w:rPr>
        <w:t>2</w:t>
      </w:r>
      <w:r>
        <w:t>, PDMH achieves a CO</w:t>
      </w:r>
      <w:r>
        <w:rPr>
          <w:vertAlign w:val="subscript"/>
        </w:rPr>
        <w:t>2</w:t>
      </w:r>
      <w:r>
        <w:t>uptake of 1.06 mmol g</w:t>
      </w:r>
      <w:r>
        <w:t xml:space="preserve"> </w:t>
      </w:r>
      <w:r>
        <w:t>−1</w:t>
      </w:r>
      <w:r>
        <w:t xml:space="preserve"> </w:t>
      </w:r>
      <w:r>
        <w:t>at 40°C and 30% relative humidity (RH). Humidification at 25°C enables regeneration efficiencies of 92% at 90% RH and 79% at 80% RH. Under a two‐step, 24 h diurnal protocol, PDMH shows &amp;gt;90% CO</w:t>
      </w:r>
      <w:r>
        <w:rPr>
          <w:vertAlign w:val="subscript"/>
        </w:rPr>
        <w:t>2</w:t>
      </w:r>
      <w:r>
        <w:t>release during desorption and a stable working capacity of 0.97–1.05 mmol g</w:t>
      </w:r>
      <w:r>
        <w:t xml:space="preserve"> </w:t>
      </w:r>
      <w:r>
        <w:t>−1</w:t>
      </w:r>
      <w:r>
        <w:t xml:space="preserve"> </w:t>
      </w:r>
      <w:r>
        <w:t>over 40 cycles. Comparative energy analysis shows that PDMH outperforms the other sorbents evaluated in terms of energy efficiency.</w:t>
      </w:r>
    </w:p>
    <w:p>
      <w:pPr>
        <w:spacing w:before="120" w:after="120"/>
      </w:pPr>
      <w:r>
        <w:rPr>
          <w:sz w:val="18"/>
        </w:rPr>
        <w:t>——————————————————————————————————————————————————————————————————————</w:t>
      </w:r>
    </w:p>
    <w:p>
      <w:pPr>
        <w:spacing w:before="160" w:after="40" w:line="240" w:lineRule="auto"/>
      </w:pPr>
      <w:r>
        <w:rPr>
          <w:b/>
        </w:rPr>
        <w:t xml:space="preserve">[11] </w:t>
      </w:r>
      <w:hyperlink r:id="rId500">
        <w:r>
          <w:rPr>
            <w:color w:val="1155CC"/>
            <w:u w:val="single"/>
          </w:rPr>
          <w:t>超分子 G-四链体模板可实现光热 CO2 环加成中非晶配位聚合物纳米点的受控生长</w:t>
        </w:r>
      </w:hyperlink>
    </w:p>
    <w:p>
      <w:pPr>
        <w:spacing w:before="0" w:after="80"/>
      </w:pPr>
      <w:r>
        <w:rPr>
          <w:i/>
          <w:sz w:val="20"/>
        </w:rPr>
        <w:t>EN: Supramolecular G-Quadruplex Templating Enables Controlled Growth of Amorphous Coordination Polymer Nanodots for Photothermal CO2 Cycloaddition</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501">
        <w:r>
          <w:rPr>
            <w:color w:val="1155CC"/>
            <w:u w:val="single"/>
          </w:rPr>
          <w:t>10.1021/acsami.6c08251</w:t>
        </w:r>
      </w:hyperlink>
    </w:p>
    <w:p>
      <w:pPr>
        <w:spacing w:before="0" w:after="120"/>
      </w:pPr>
      <w:r>
        <w:rPr>
          <w:b/>
        </w:rPr>
        <w:t xml:space="preserve">Notes: </w:t>
      </w:r>
      <w:r>
        <w:t>abstract_source=crossref</w:t>
      </w:r>
    </w:p>
    <w:p>
      <w:pPr>
        <w:spacing w:before="0" w:after="80" w:lineRule="auto" w:line="276"/>
      </w:pPr>
      <w:r>
        <w:rPr>
          <w:b/>
        </w:rPr>
        <w:t xml:space="preserve">摘要（ZH）: </w:t>
      </w:r>
      <w:r>
        <w:t>摘要 无定形配位聚合物由于其结构灵活性、高密度的可接近配位位点和缺陷容限而比晶体框架具有明显的优势。然而，精确控制它们的纳米级生长和分散仍然是一个根本挑战。在此，我们报告了一种生物分子驱动的超分子模板策略，用于生成无定形配位聚合物纳米点嵌入水凝胶。基于鸟苷单磷酸的 G-四链体超分子结构，与没食子酸共同组装，作为空间限制金属-多酚配位的活性模板。 Fe3+掺入后，这种超分子支架引导超小、均匀分散的配位聚合物纳米点的形成，这与非模板系统中观察到的不受控制的聚集形成鲜明对比。光谱和电化学分析表明，超分子限制可以稳定混合价 Fe2+/Fe3+ 物质，增强配体到金属的电荷转移，从而在可见光照射下实现高效的光热转换。作为概念验证，所得杂化材料被证明是一种有效的光热催化剂，可在环境压力下将 CO2 与环氧化物进行无溶剂环加成，从而高效地生成环状碳酸酯。这项工作将 G-四联体组装建立为一个多功能平台，用于调节配位聚合物的尺寸控制生长，并强调了生物分子限制在可持续催化转化中的功能优势。</w:t>
      </w:r>
    </w:p>
    <w:p>
      <w:pPr>
        <w:spacing w:before="0" w:after="200" w:lineRule="auto" w:line="276"/>
      </w:pPr>
      <w:r>
        <w:rPr>
          <w:b/>
        </w:rPr>
        <w:t xml:space="preserve">Abstract (EN): </w:t>
      </w:r>
      <w:r>
        <w:t>Amorphous coordination polymers offer distinct advantages over crystalline frameworks owing to their structural flexibility, high density of accessible coordination sites, and defect tolerance. Yet precise control over their nanoscale growth and dispersion remains a fundamental challenge. Herein, we report a biomolecule-driven supramolecular templating strategy for the generation of amorphous coordination polymer nanodot-embedded hydrogel. A guanosine monophosphate-based G-quadruplex supramolecular architecture, co-assembled with gallic acid, serves as an active template that spatially confines metal–polyphenol coordination. Upon Fe3+ incorporation, this supramolecular scaffold directs the formation of ultrasmall, uniformly dispersed coordination polymer nanodots, in contrast to the uncontrolled aggregation observed in non-templated systems. Spectroscopic and electrochemical analyses reveal that supramolecular confinement stabilizes mixed-valence Fe2+/Fe3+ species and enhances ligand-to-metal charge transfer, imparting efficient photothermal conversion under visible-light irradiation. As a proof-of-concept, the resulting hybrid material is shown to be an effective photothermal catalyst for solvent-free cycloaddition of CO2 to epoxides under ambient pressure, delivering cyclic carbonates with high efficiency. This work establishes G-quadruplex assembly as a versatile platform for regulating size-controlled growth of coordination polymers and highlights the functional advantages of biomolecular confinement for sustainable catalytic transformations.</w:t>
      </w:r>
    </w:p>
    <w:p>
      <w:pPr>
        <w:spacing w:before="120" w:after="120"/>
      </w:pPr>
      <w:r>
        <w:rPr>
          <w:sz w:val="18"/>
        </w:rPr>
        <w:t>——————————————————————————————————————————————————————————————————————</w:t>
      </w:r>
    </w:p>
    <w:p>
      <w:pPr>
        <w:spacing w:before="160" w:after="40" w:line="240" w:lineRule="auto"/>
      </w:pPr>
      <w:r>
        <w:rPr>
          <w:b/>
        </w:rPr>
        <w:t xml:space="preserve">[12] </w:t>
      </w:r>
      <w:hyperlink r:id="rId502">
        <w:r>
          <w:rPr>
            <w:color w:val="1155CC"/>
            <w:u w:val="single"/>
          </w:rPr>
          <w:t>超临界 CO2 定向暴露 ZnSn(OH)6 中的 {111} 晶面，以增强量子自旋交换和光催化 CO2 还原</w:t>
        </w:r>
      </w:hyperlink>
    </w:p>
    <w:p>
      <w:pPr>
        <w:spacing w:before="0" w:after="80"/>
      </w:pPr>
      <w:r>
        <w:rPr>
          <w:i/>
          <w:sz w:val="20"/>
        </w:rPr>
        <w:t>EN: Supercritical CO2-Directed Exposure of {111} Crystal Facets in ZnSn(OH)6 for Enhanced Quantum Spin Exchange and Photocatalytic CO2 Reduction</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503">
        <w:r>
          <w:rPr>
            <w:color w:val="1155CC"/>
            <w:u w:val="single"/>
          </w:rPr>
          <w:t>10.1021/acsami.6c09895</w:t>
        </w:r>
      </w:hyperlink>
    </w:p>
    <w:p>
      <w:pPr>
        <w:spacing w:before="0" w:after="120"/>
      </w:pPr>
      <w:r>
        <w:rPr>
          <w:b/>
        </w:rPr>
        <w:t xml:space="preserve">Notes: </w:t>
      </w:r>
      <w:r>
        <w:t>abstract_source=crossref</w:t>
      </w:r>
    </w:p>
    <w:p>
      <w:pPr>
        <w:spacing w:before="0" w:after="80" w:lineRule="auto" w:line="276"/>
      </w:pPr>
      <w:r>
        <w:rPr>
          <w:b/>
        </w:rPr>
        <w:t xml:space="preserve">摘要（ZH）: </w:t>
      </w:r>
      <w:r>
        <w:t>摘要 光催化效率的提高受到激子动力学的限制，其中光生电子和空穴由于强库仑吸引力而快速复合。电子自旋的操纵，涉及电子自旋和自旋态的控制，已成为通过自旋极化促进电荷分离来提高光催化性能的有前途的策略。在这项工作中，我们证明了通过用超临界CO2 (SC CO2)处理ZnSn(OH)6 (ZHS)实现了自旋极化效应，加速了激子解离和自旋相关电子迁移，从而提高了光催化CO2还原为CO的效率。机理研究表明，SC CO2处理在ZHS中诱导氧空位，产生自旋极化电子，并选择性地暴露高活性的{111}晶面。实验表明，氧空位与相邻的羟基一起构建了受挫路易斯对（FLP）。通过增强的量子自旋交换相互作用（QSEI），显着抑制光生电荷载流子的复合，从而延长其寿命，同时增强CO2吸附和活化。结果发现，在16 MPa SC CO2处理下，ZHS的CO产率达到144.82 μmol·g–1·h–1，是未处理样品的29.37倍。因此，本研究表明，操纵光催化半导体中的自旋极化电子是提高CO2RR效率的有效策略，为设计提供了新的见解。</w:t>
      </w:r>
    </w:p>
    <w:p>
      <w:pPr>
        <w:spacing w:before="0" w:after="200" w:lineRule="auto" w:line="276"/>
      </w:pPr>
      <w:r>
        <w:rPr>
          <w:b/>
        </w:rPr>
        <w:t xml:space="preserve">Abstract (EN): </w:t>
      </w:r>
      <w:r>
        <w:t>The enhancement of photocatalytic efficiency is limited by exciton dynamics, where photogenerated electrons and holes rapidly recombine due to strong Coulomb attraction. The manipulation of electron spin, involving the control of electron spin and spin states, has emerged as a promising strategy to improve photocatalytic performance via spin-polarization-facilitated charge separation. In this work, we demonstrate a spin-polarization effect achieved by treating ZnSn(OH)6 (ZHS) with supercritical CO2 (SC CO2), which accelerates exciton dissociation and spin-dependent electron migration, thereby enhancing the efficiency of photocatalytic CO2 reduction to CO. Mechanistic investigations reveal that SC CO2 treatment induces oxygen vacancies in ZHS, generates spin-polarized electrons, and selectively exposes highly active {111} crystal facets. Experimentally, it reveals that the oxygen vacancies, together with adjacent hydroxyl groups, construct frustrated Lewis pairs (FLPs). Through enhanced quantum spin exchange interactions (QSEIs), the recombination of photogenerated charge carriers is significantly suppressed, and then their lifetime is prolonged, and CO2 adsorption and activation are simultaneously enhanced. It was found that, under treatment at 16 MPa of SC CO2, the CO production rate of ZHS reaches 144.82 μmol·g–1·h–1, which is 29.37 times that of the untreated sample. Therefore, this study demonstrates that manipulating spin-polarized electrons in photocatalytic semiconductors is an effective strategy to boost CO2RR efficiency, offering new insights for the design of efficient spin-dependent photocatalysts toward solar energy conversion.</w:t>
      </w:r>
    </w:p>
    <w:p>
      <w:pPr>
        <w:spacing w:before="120" w:after="120"/>
      </w:pPr>
      <w:r>
        <w:rPr>
          <w:sz w:val="18"/>
        </w:rPr>
        <w:t>——————————————————————————————————————————————————————————————————————</w:t>
      </w:r>
    </w:p>
    <w:p>
      <w:pPr>
        <w:spacing w:before="160" w:after="40" w:line="240" w:lineRule="auto"/>
      </w:pPr>
      <w:r>
        <w:rPr>
          <w:b/>
        </w:rPr>
        <w:t xml:space="preserve">[13] </w:t>
      </w:r>
      <w:hyperlink r:id="rId504">
        <w:r>
          <w:rPr>
            <w:color w:val="1155CC"/>
            <w:u w:val="single"/>
          </w:rPr>
          <w:t>共价有机框架中 Pt 位点的吸电子配体调制用于光催化 CO2 转化为 CH4</w:t>
        </w:r>
      </w:hyperlink>
    </w:p>
    <w:p>
      <w:pPr>
        <w:spacing w:before="0" w:after="80"/>
      </w:pPr>
      <w:r>
        <w:rPr>
          <w:i/>
          <w:sz w:val="20"/>
        </w:rPr>
        <w:t>EN: Electron-Withdrawing Ligand Modulation of Pt Sites in a Covalent Organic Framework for Photocatalytic CO2-to-CH4 Conversion</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505">
        <w:r>
          <w:rPr>
            <w:color w:val="1155CC"/>
            <w:u w:val="single"/>
          </w:rPr>
          <w:t>10.1021/acsami.6c10182</w:t>
        </w:r>
      </w:hyperlink>
    </w:p>
    <w:p>
      <w:pPr>
        <w:spacing w:before="0" w:after="120"/>
      </w:pPr>
      <w:r>
        <w:rPr>
          <w:b/>
        </w:rPr>
        <w:t xml:space="preserve">Notes: </w:t>
      </w:r>
      <w:r>
        <w:t>abstract_source=crossref</w:t>
      </w:r>
    </w:p>
    <w:p>
      <w:pPr>
        <w:spacing w:before="0" w:after="80" w:lineRule="auto" w:line="276"/>
      </w:pPr>
      <w:r>
        <w:rPr>
          <w:b/>
        </w:rPr>
        <w:t xml:space="preserve">摘要（ZH）: </w:t>
      </w:r>
      <w:r>
        <w:t>摘要 水中的光催化 CO2 转化为 CH4 仍然具有挑战性，因为选择性多电子质子耦合还原需要有效的电荷分离和受控的中间氢化。在此，我们报道了一种吸电子配体调节的 Pt 位点共价有机框架 Pt−LEW/TBCOF，用于在 CO2 饱和纯水中选择性地将 CO2 光转化为 CH4，无需牺牲试剂。供体-受体 TBCOF 支架由三（4-氨基苯基）苯衍生的供体单元和联吡啶受体单元构建，为 Pt 固定提供可见光吸收和明确的 N 配位位点。将带有吸电子氟化配体的预制 Pt 配合物纳入含联吡啶的骨架中，以产生具有受调节局部电子结构的高度分散的 Pt 配位位点。 TBCOF 主要产生 CO，CH4 的形成可以忽略不计，而无配体的 Pt/TBCOF 仅产生有限的 CH4 且选择性较低。相比之下，Pt−LEW/TBCOF 在相同的 Pt 负载量下显示出显着提高的 CH4/CO 比率。将 Pt 负载量增加到 8.1 wt%，在可见光照射下，CH4 生产率为 53.9 μmol g−1 h−1，气态碳产物中 CH4 选择性为 89%。光谱、光电化学和理论分析表明，供体-受体COF主链有利于电荷分离，而吸电子配体环境调节Pt位点的电子结构和中间转化行为，有利于进一步氢化为CH4。钍</w:t>
      </w:r>
    </w:p>
    <w:p>
      <w:pPr>
        <w:spacing w:before="0" w:after="200" w:lineRule="auto" w:line="276"/>
      </w:pPr>
      <w:r>
        <w:rPr>
          <w:b/>
        </w:rPr>
        <w:t xml:space="preserve">Abstract (EN): </w:t>
      </w:r>
      <w:r>
        <w:t>Photocatalytic CO2-to-CH4 conversion in water remains challenging because selective multielectron proton-coupled reduction requires efficient charge separation and controlled intermediate hydrogenation. Herein, we report an electron-withdrawing-ligand-regulated Pt-site covalent organic framework, Pt−LEW/TBCOF, for selective CO2-to-CH4 photoconversion in CO2-saturated pure water without sacrificial reagents. The donor−acceptor TBCOF scaffold, constructed from tris(4-aminophenyl)benzene-derived donor units and bipyridine acceptor units, provides visible-light absorption and well-defined N-coordination sites for Pt immobilization. A preformed Pt complex bearing an electron-withdrawing fluorinated ligand was incorporated into the bipyridine-containing framework to generate highly dispersed Pt coordination sites with a regulated local electronic structure. TBCOF mainly produces CO with negligible CH4 formation, while ligand-free Pt/TBCOF exhibits only limited CH4 generation and low selectivity. In contrast, Pt−LEW/TBCOF shows a markedly enhanced CH4/CO ratio at the same Pt loading. Increasing the Pt loading to 8.1 wt % affords a CH4 production rate of 53.9 μmol g−1 h−1 with 89% CH4 selectivity among gaseous carbon products under visible-light irradiation. Spectroscopic, photoelectrochemical, and theoretical analyses suggest that the donor−acceptor COF backbone facilitates charge separation, whereas the electron-withdrawing ligand environment modulates the electronic structure and intermediate conversion behavior of Pt sites, favoring further hydrogenation toward CH4. This work suggests that electron-withdrawing ligand modulation of Pt sites may provide a useful approach for regulating product selectivity in the present COF-based photocatalytic system.</w:t>
      </w:r>
    </w:p>
    <w:p>
      <w:pPr>
        <w:spacing w:before="120" w:after="120"/>
      </w:pPr>
      <w:r>
        <w:rPr>
          <w:sz w:val="18"/>
        </w:rPr>
        <w:t>——————————————————————————————————————————————————————————————————————</w:t>
      </w:r>
    </w:p>
    <w:p>
      <w:pPr>
        <w:spacing w:before="160" w:after="40" w:line="240" w:lineRule="auto"/>
      </w:pPr>
      <w:r>
        <w:rPr>
          <w:b/>
        </w:rPr>
        <w:t xml:space="preserve">[14] </w:t>
      </w:r>
      <w:hyperlink r:id="rId506">
        <w:r>
          <w:rPr>
            <w:color w:val="1155CC"/>
            <w:u w:val="single"/>
          </w:rPr>
          <w:t>用于气态烯烃直接光合作用环状碳酸酯的多功能金属有机骨架</w:t>
        </w:r>
      </w:hyperlink>
    </w:p>
    <w:p>
      <w:pPr>
        <w:spacing w:before="0" w:after="80"/>
      </w:pPr>
      <w:r>
        <w:rPr>
          <w:i/>
          <w:sz w:val="20"/>
        </w:rPr>
        <w:t>EN: Multifunctional metal-organic frameworks for direct photosynthesis of cyclic carbonates from gaseous olefins</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碳酸乙烯酯（EC）和碳酸丙烯酯（PC）是生产商用电池电解质和绿色溶剂的重要原料。然而，他们的传统工业合成途径严重依赖于使用昂贵的环氧化物反应物的能源密集型热催化过程。在这里，我们报道了一类集氧（O2）活化、C-H键活化、光热转化和路易斯酸反应性于一体的多功能金属有机框架光催化剂（RE-BTTD-AC）。它们使用乙烯 (C2H4)/丙烯 (C3H6)、CO2 和 O2，以可持续、廉价且安全的方法在环境条件下实现 EC 和 PC 的光合作用。实验结果与理论计算相结合表明，RE-BTTD-AC的多功能性质允许光氧化还原和环加成的串联反应发生，从而导致C2H4/C3H6-环氧化物-EC/PC的中继转化。该催化系统在48小时内表现出较高的产品收率（EC为96.02 μmol/g/h，选择性为95%，PC为640.03 μmol/g/h，选择性为93%），并具有至少720小时的长期生产能力。</w:t>
      </w:r>
    </w:p>
    <w:p>
      <w:pPr>
        <w:spacing w:before="0" w:after="200" w:lineRule="auto" w:line="276"/>
      </w:pPr>
      <w:r>
        <w:rPr>
          <w:b/>
        </w:rPr>
        <w:t xml:space="preserve">Abstract (EN): </w:t>
      </w:r>
      <w:r>
        <w:t>Ethylene carbonate (EC) and propylene carbonate (PC) are important feedstocks in the production of commercial battery electrolytes and green solvents. However, their conventional industrial synthetic pathways rely heavily on energy-intensive thermocatalytic processes with costly epoxide reactants. Here, we report a class of multifunctional metal-organic framework photocatalysts (RE-BTTD-AC) that integrate oxygen (O2) activation, C-H bond activation, photothermal conversion and Lewis acid reactivity. They enable photosynthesis of EC and PC under ambient conditions with a sustainable, cheap and safe method using ethylene (C2H4)/propylene (C3H6), CO2, and O2. Experimental results combined with theoretical calculations demonstrate that the multifunctional nature of RE-BTTD-AC permits the occurrence of tandem reaction of photoredox and cycloaddition, leading to a relay conversion of C2H4/C3H6-to-epoxide-to-EC/PC. The catalytic system exhibits high product yields (EC of 96.02 μmol/g/h with 95% selectivity, PC of 640.03 μmol/g/h with 93% selectivity) in 48 hours and has a long-term production capacity of at least 720 hours.</w:t>
      </w:r>
    </w:p>
    <w:p>
      <w:pPr>
        <w:spacing w:before="120" w:after="120"/>
      </w:pPr>
      <w:r>
        <w:rPr>
          <w:sz w:val="18"/>
        </w:rPr>
        <w:t>——————————————————————————————————————————————————————————————————————</w:t>
      </w:r>
    </w:p>
    <w:p>
      <w:pPr>
        <w:spacing w:before="160" w:after="40" w:line="240" w:lineRule="auto"/>
      </w:pPr>
      <w:r>
        <w:rPr>
          <w:b/>
        </w:rPr>
        <w:t xml:space="preserve">[15] </w:t>
      </w:r>
      <w:hyperlink r:id="rId507">
        <w:r>
          <w:rPr>
            <w:color w:val="1155CC"/>
            <w:u w:val="single"/>
          </w:rPr>
          <w:t>通过修饰金属有机多面体的表面官能度控制 I 型多孔液体的粘度和孔隙可达性</w:t>
        </w:r>
      </w:hyperlink>
    </w:p>
    <w:p>
      <w:pPr>
        <w:spacing w:before="0" w:after="80"/>
      </w:pPr>
      <w:r>
        <w:rPr>
          <w:i/>
          <w:sz w:val="20"/>
        </w:rPr>
        <w:t>EN: Viscosity and Pore Accessibility Control of Type I Porous Liquids by Modifying Surface Functionality of Metal–Organic Polyhedra</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508">
        <w:r>
          <w:rPr>
            <w:color w:val="1155CC"/>
            <w:u w:val="single"/>
          </w:rPr>
          <w:t>10.1021/jacs.6c07430</w:t>
        </w:r>
      </w:hyperlink>
    </w:p>
    <w:p>
      <w:pPr>
        <w:spacing w:before="0" w:after="120"/>
      </w:pPr>
      <w:r>
        <w:rPr>
          <w:b/>
        </w:rPr>
        <w:t xml:space="preserve">Notes: </w:t>
      </w:r>
      <w:r>
        <w:t>abstract_source=crossref</w:t>
      </w:r>
    </w:p>
    <w:p>
      <w:pPr>
        <w:spacing w:before="0" w:after="80" w:lineRule="auto" w:line="276"/>
      </w:pPr>
      <w:r>
        <w:rPr>
          <w:b/>
        </w:rPr>
        <w:t xml:space="preserve">摘要（ZH）: </w:t>
      </w:r>
      <w:r>
        <w:t>摘要 多孔液体（PL）的粘度是其加工性和运输的关键因素，但在不影响孔体积的情况下控制其粘度仍然是一个重大挑战。在这项工作中，我们提出了一种通过改变表面功能来调节 I 型 PL 粘度的策略。通过将 12 当量的软聚合物链与同构铑金属有机多面体 (RhMOPs) 配位作为具有不同表面基团（未取代、羟基、叔丁基或十二烷氧基）的中心核，合成了一系列星形 PL。研究发现RhMOP表面的官能团显着影响聚合物链的构象，从而导致不同的流变行为和孔隙通达性。使用具有十二烷氧基表面基团的 RhMOP 在 MOP 表面上产生了紧密紧凑的聚合物链构象。所得PLs的粘度低至1.8×101 Pa·s，并表现出与温度相关的门控效应； CO2 吸收随着温度的升高而增加。相比之下，羟基为 PL 提供了松散拉伸的聚合物构象，从而导致 3.0 × 109 Pa·s 的极高粘度和内部 RhMOP 孔隙的高气体可及性。这项工作提供了一种在不改变孔体积的情况下调节PLs流变性能的可行方法，以满足不同实际应用的要求。</w:t>
      </w:r>
    </w:p>
    <w:p>
      <w:pPr>
        <w:spacing w:before="0" w:after="200" w:lineRule="auto" w:line="276"/>
      </w:pPr>
      <w:r>
        <w:rPr>
          <w:b/>
        </w:rPr>
        <w:t xml:space="preserve">Abstract (EN): </w:t>
      </w:r>
      <w:r>
        <w:t>Viscosity of porous liquids (PLs) is a critical factor for their processability and transportation, yet controlling their viscosity without compromising pore volume remains a significant challenge. In this work, we present a strategy to modulate the viscosity of type I PLs by varying surface functionality. A series of star-shaped PLs was synthesized by coordinating 12 equiv of soft polymer chains to isostructural rhodium metal–organic polyhedra (RhMOPs) as central cores with different surface groups (nonsubstituted, hydroxy, tert-butyl, or dodecyloxy groups). The functional groups on the RhMOP surface were found to significantly affect the conformation of polymer chains, thereby resulting in different rheological behavior and pore accessibility. The use of RhMOPs with dodecyloxy surface groups yielded a closely compact conformation of polymer chains on the MOP surface. The obtained PLs have a viscosity as low as 1.8 × 101 Pa·s and exhibit a temperature-dependent gating effect; CO2 uptake increases with increasing temperature. By contrast, the hydroxyl group afforded PLs with a loosely stretched polymer conformation, resulting in a dramatically high viscosity of 3.0 × 109 Pa·s and high gas accessibility to the inner RhMOP pores. This work provides a feasible way to adjust PLs’ rheological properties without altering pore volume to meet the requirements of different practical applications.</w:t>
      </w:r>
    </w:p>
    <w:p>
      <w:pPr>
        <w:spacing w:before="120" w:after="120"/>
      </w:pPr>
      <w:r>
        <w:rPr>
          <w:sz w:val="18"/>
        </w:rPr>
        <w:t>——————————————————————————————————————————————————————————————————————</w:t>
      </w:r>
    </w:p>
    <w:p>
      <w:pPr>
        <w:spacing w:before="160" w:after="40" w:line="240" w:lineRule="auto"/>
      </w:pPr>
      <w:r>
        <w:rPr>
          <w:b/>
        </w:rPr>
        <w:t xml:space="preserve">[16] </w:t>
      </w:r>
      <w:hyperlink r:id="rId509">
        <w:r>
          <w:rPr>
            <w:color w:val="1155CC"/>
            <w:u w:val="single"/>
          </w:rPr>
          <w:t>通过金属氧化物纳米晶体表面络合生成的价带的界面电荷转移活化无机配体</w:t>
        </w:r>
      </w:hyperlink>
    </w:p>
    <w:p>
      <w:pPr>
        <w:spacing w:before="0" w:after="80"/>
      </w:pPr>
      <w:r>
        <w:rPr>
          <w:i/>
          <w:sz w:val="20"/>
        </w:rPr>
        <w:t>EN: Activation of Inorganic Ligands by Interfacial Charge Transfer from a Complexation-Generated Valence Band at the Surface of a Metal Oxide Nanocrystal</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510">
        <w:r>
          <w:rPr>
            <w:color w:val="1155CC"/>
            <w:u w:val="single"/>
          </w:rPr>
          <w:t>10.1021/jacs.6c10243</w:t>
        </w:r>
      </w:hyperlink>
    </w:p>
    <w:p>
      <w:pPr>
        <w:spacing w:before="0" w:after="120"/>
      </w:pPr>
      <w:r>
        <w:rPr>
          <w:b/>
        </w:rPr>
        <w:t xml:space="preserve">Notes: </w:t>
      </w:r>
      <w:r>
        <w:t>abstract_source=crossref</w:t>
      </w:r>
    </w:p>
    <w:p>
      <w:pPr>
        <w:spacing w:before="0" w:after="80" w:lineRule="auto" w:line="276"/>
      </w:pPr>
      <w:r>
        <w:rPr>
          <w:b/>
        </w:rPr>
        <w:t xml:space="preserve">摘要（ZH）: </w:t>
      </w:r>
      <w:r>
        <w:t>摘要：将胶体金属氧化物掺入多组分固态材料中会产生异质结，在光催化中可以消除对牺牲试剂的需要。然而，原则上，金属氧化物纳米晶体（NC）可以通过配体进行功能化，在稳定溶液中的颗粒的同时，与金属氧化物表面相互作用，以提供多组分固态光催化剂的独立类似物。我们现在报道，模拟太阳光照射由大约 50 个六铌酸阴离子单层复合的 3.2 nm 金红石-SnO2 NCs，[Nb6O19]8– (1) 导致仅用水选择性地将 CO2 还原为 CO。 1 的莫特-肖特基分析给出了金红石 SnO2 的典型能带能量，与己铌酸盐的 HOMO 和 LUMO 能量相关，排除了 Z 型或 II 型异质结机制。然而，紫外光电子能谱 (UPS) 揭示了一个新的价带 (VB)，其能量比金红石 SnO2 的标准 VB 能量高出近 2 eV。从己铌酸盐配体到几乎所有表面可及的 Sn 原子的 Nb-O→Sn 连接的拓扑映射支持富电子 Sn 连接的 O 原子网络的生成。这种表面局部 VB 的激发导致无机配体的电荷转移 (CT) 转化为催化活性位点。更广泛地说，这些发现引入了一种金属氧化物纳米颗粒界面工程的新方法。</w:t>
      </w:r>
    </w:p>
    <w:p>
      <w:pPr>
        <w:spacing w:before="0" w:after="200" w:lineRule="auto" w:line="276"/>
      </w:pPr>
      <w:r>
        <w:rPr>
          <w:b/>
        </w:rPr>
        <w:t xml:space="preserve">Abstract (EN): </w:t>
      </w:r>
      <w:r>
        <w:t>Incorporation of colloidal metal oxides into multicomponent solid-state materials gives rise to heterojunctions that, in photocatalysis, can obviate the need for sacrificial reagents. In principle, however, metal-oxide nanocrystals (NCs) could be functionalized by ligands that, while stabilizing the particles in solution, interact with the metal-oxide surface to provide self-contained analogs of multicomponent solid-state photocatalysts. We now report that simulated solar-light irradiation of 3.2 nm rutile-SnO2 NCs complexed by monolayers of approximately 50 hexaniobate anions, [Nb6O19]8– (1) leads to the selective reduction of CO2 to CO by water alone. Mott–Schottky analysis of 1 gives band energies typical of rutile SnO2, which, in relation to the HOMO and LUMO energies of hexaniobate, rule out Z-scheme or type-II heterojunction mechanisms. Ultraviolet photoelectron spectroscopy (UPS), however, revealed a new valence band (VB) nearly 2 eV higher in energy than the canonical VB energy of rutile SnO2. Topotactic mapping of Nb–O→Sn linkages from hexaniobate ligands to nearly all surface-accessible Sn atoms supports the generation of a network of electron-rich Sn-linked O atoms. Excitation of this surface-localized VB results in charge transfer (CT) conversion of the inorganic ligands into catalytic active sites. More generally, the findings introduce a new approach to interfacial engineering of metal-oxide NCs.</w:t>
      </w:r>
    </w:p>
    <w:p>
      <w:pPr>
        <w:spacing w:before="120" w:after="120"/>
      </w:pPr>
      <w:r>
        <w:rPr>
          <w:sz w:val="18"/>
        </w:rPr>
        <w:t>——————————————————————————————————————————————————————————————————————</w:t>
      </w:r>
    </w:p>
    <w:p>
      <w:pPr>
        <w:spacing w:before="160" w:after="40" w:line="240" w:lineRule="auto"/>
      </w:pPr>
      <w:r>
        <w:rPr>
          <w:b/>
        </w:rPr>
        <w:t xml:space="preserve">[17] </w:t>
      </w:r>
      <w:hyperlink r:id="rId511">
        <w:r>
          <w:rPr>
            <w:color w:val="1155CC"/>
            <w:u w:val="single"/>
          </w:rPr>
          <w:t>鉴定用于从潮湿烟气中捕集二氧化碳的金属有机框架：集成分子模拟、机器学习和实验合成</w:t>
        </w:r>
      </w:hyperlink>
    </w:p>
    <w:p>
      <w:pPr>
        <w:spacing w:before="0" w:after="80"/>
      </w:pPr>
      <w:r>
        <w:rPr>
          <w:i/>
          <w:sz w:val="20"/>
        </w:rPr>
        <w:t>EN: Identification of Metal–Organic Frameworks for CO2 Capture from Humid Flue Gas: Integrating Molecular Simulation, Machine Learning, and Experimental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512">
        <w:r>
          <w:rPr>
            <w:color w:val="1155CC"/>
            <w:u w:val="single"/>
          </w:rPr>
          <w:t>10.1021/jacs.6c10566</w:t>
        </w:r>
      </w:hyperlink>
    </w:p>
    <w:p>
      <w:pPr>
        <w:spacing w:before="0" w:after="120"/>
      </w:pPr>
      <w:r>
        <w:rPr>
          <w:b/>
        </w:rPr>
        <w:t xml:space="preserve">Notes: </w:t>
      </w:r>
      <w:r>
        <w:t>abstract_source=crossref</w:t>
      </w:r>
    </w:p>
    <w:p>
      <w:pPr>
        <w:spacing w:before="0" w:after="80" w:lineRule="auto" w:line="276"/>
      </w:pPr>
      <w:r>
        <w:rPr>
          <w:b/>
        </w:rPr>
        <w:t xml:space="preserve">摘要（ZH）: </w:t>
      </w:r>
      <w:r>
        <w:t>摘要 全球二氧化碳排放量的增加正在推动先进碳捕获材料的开发。金属有机框架（MOF）作为二氧化碳吸附剂显示出巨大的前景，但在潮湿烟气条件下保持性能仍然是一个重大挑战。在此，我们提出了一个集成的计算高通量筛选工作流程，该工作流程从超过 110,000 个实验 MOF 或类 MOF 结构的库开始，明确包括水在吸附模拟中的影响，并结合基于机器学习的稳定性分析，以从现有 MOF 中识别有前途的候选者。在此工作流程的指导下，我们合成了一种性能最佳的 MOF，该 MOF 对潮湿条件具有出色的耐受性，在相对湿度较高的情况下仍能保持较高的二氧化碳吸收率。我们进一步揭示了关键的结构-性能关系和结构主题，为下一代在潮湿条件下捕获二氧化碳的 MOF 提供了有价值的设计原则。</w:t>
      </w:r>
    </w:p>
    <w:p>
      <w:pPr>
        <w:spacing w:before="0" w:after="200" w:lineRule="auto" w:line="276"/>
      </w:pPr>
      <w:r>
        <w:rPr>
          <w:b/>
        </w:rPr>
        <w:t xml:space="preserve">Abstract (EN): </w:t>
      </w:r>
      <w:r>
        <w:t>Increasing global CO2 emissions are driving efforts to develop advanced carbon capture materials. Metal–organic frameworks (MOFs) show great promise as CO2 adsorbents, yet maintaining performance under humid flue gas conditions remains a major challenge. Herein, we present an integrated computational high-throughput screening workflow that begins with a library of over 110,000 experimental MOFs or MOF-like structures, explicitly includes the effects of water in adsorption simulations, and incorporates machine learning-based stability analysis to identify promising candidates from among existing MOFs. Guided by this workflow, we synthesized a top-performing MOF that demonstrates exceptional tolerance to humid conditions, maintaining high CO2 uptake at elevated relative humidity. We further revealed key structure–property relationships and structural motifs that offer valuable design principles for next-generation MOFs for CO2 capture in humid conditions.</w:t>
      </w:r>
    </w:p>
    <w:p>
      <w:pPr>
        <w:spacing w:before="120" w:after="120"/>
      </w:pPr>
      <w:r>
        <w:rPr>
          <w:sz w:val="18"/>
        </w:rPr>
        <w:t>——————————————————————————————————————————————————————————————————————</w:t>
      </w:r>
    </w:p>
    <w:p>
      <w:pPr>
        <w:spacing w:before="160" w:after="40" w:line="240" w:lineRule="auto"/>
      </w:pPr>
      <w:r>
        <w:rPr>
          <w:b/>
        </w:rPr>
        <w:t xml:space="preserve">[18] </w:t>
      </w:r>
      <w:hyperlink r:id="rId513">
        <w:r>
          <w:rPr>
            <w:color w:val="1155CC"/>
            <w:u w:val="single"/>
          </w:rPr>
          <w:t>甲酸盐介导的二氧化碳生物转化：模块化电化学-微生物级联在不同微生物组中的比较</w:t>
        </w:r>
      </w:hyperlink>
    </w:p>
    <w:p>
      <w:pPr>
        <w:spacing w:before="0" w:after="80"/>
      </w:pPr>
      <w:r>
        <w:rPr>
          <w:i/>
          <w:sz w:val="20"/>
        </w:rPr>
        <w:t>EN: eFormate-mediated CO2 bioconversion: A modular electrochemical–microbial cascade compared across a diverse set of microorganisms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514">
        <w:r>
          <w:rPr>
            <w:color w:val="1155CC"/>
            <w:u w:val="single"/>
          </w:rPr>
          <w:t>10.1073/pnas.2608267123</w:t>
        </w:r>
      </w:hyperlink>
    </w:p>
    <w:p>
      <w:pPr>
        <w:spacing w:before="0" w:after="120"/>
      </w:pPr>
      <w:r>
        <w:rPr>
          <w:b/>
        </w:rPr>
        <w:t xml:space="preserve">Notes: </w:t>
      </w:r>
      <w:r>
        <w:t>abstract_source=crossref</w:t>
      </w:r>
    </w:p>
    <w:p>
      <w:pPr>
        <w:spacing w:before="0" w:after="80" w:lineRule="auto" w:line="276"/>
      </w:pPr>
      <w:r>
        <w:rPr>
          <w:b/>
        </w:rPr>
        <w:t xml:space="preserve">摘要（ZH）: </w:t>
      </w:r>
      <w:r>
        <w:t>直接电化学CO</w:t>
      </w:r>
      <w:r>
        <w:rPr>
          <w:vertAlign w:val="subscript"/>
        </w:rPr>
        <w:t>2</w:t>
      </w:r>
      <w:r>
        <w:t>由于铜表面上的多碳路径有限，目前还原仅限于少数多碳产品。相比之下，生化方法通常很慢，因为气液传质到微生物细胞的速度较慢。为了克服单个过程的局限性，将电化学系统与生物合成过程相结合已成为一种有前途的方法。然而，在这些组合系统中仅探索了一小部分微生物菌株。在这里，我们介绍了一个模块化的非生物-生物平台，允许电化学生产的甲酸（eFormate）独立供应给各种微生物系统。使用 SnO 在 4 小时内生成浓甲酸盐溶液 (0.87 M)</w:t>
      </w:r>
      <w:r>
        <w:rPr>
          <w:vertAlign w:val="subscript"/>
        </w:rPr>
        <w:t>2</w:t>
      </w:r>
      <w:r>
        <w:t>催化剂，随后通过调节 pH 值转化为生物相容性碳原料。根据早期的报告，我们鉴定并评估了 13 种已知在甲酸上生长的微生物菌株，其中 10 种在制备的甲酸溶液中表现出强劲的生长，并成功分泌多碳产物和重要的代谢标志物，如乙酸盐、乙醇、乳酸、丙酮酸和聚羟基丁酸 (PHB)。这项工作为广泛适用的非生物-生物平台建立了概念验证，该平台通过耦合 CO 来扩展微生物设计空间</w:t>
      </w:r>
      <w:r>
        <w:rPr>
          <w:vertAlign w:val="subscript"/>
        </w:rPr>
        <w:t>2</w:t>
      </w:r>
      <w:r>
        <w:t>电解碳升级。</w:t>
      </w:r>
    </w:p>
    <w:p>
      <w:pPr>
        <w:spacing w:before="0" w:after="200" w:lineRule="auto" w:line="276"/>
      </w:pPr>
      <w:r>
        <w:rPr>
          <w:b/>
        </w:rPr>
        <w:t xml:space="preserve">Abstract (EN): </w:t>
      </w:r>
      <w:r>
        <w:t>Direct electrochemical CO</w:t>
      </w:r>
      <w:r>
        <w:rPr>
          <w:vertAlign w:val="subscript"/>
        </w:rPr>
        <w:t>2</w:t>
      </w:r>
      <w:r>
        <w:t>reduction is currently limited to a narrow range of multicarbon products due to limited multicarbon pathways on Cu surfaces. Biochemical methods, by contrast, are often slow due to the slow rate of gas–liquid mass transfer to microbial cells. To overcome the limitations of the individual processes, integrating electrochemical systems with biosynthetic processes has become a promising approach. However, only a narrow range of microbial strains has been explored in these combined systems. Here, we introduce a modular abiotic–biotic platform that allows electrochemically produced formate (eFormate) to be supplied independently to various microbial systems. A concentrated formate solution (0.87 M) was produced within 4 h using a SnO</w:t>
      </w:r>
      <w:r>
        <w:rPr>
          <w:vertAlign w:val="subscript"/>
        </w:rPr>
        <w:t>2</w:t>
      </w:r>
      <w:r>
        <w:t>catalyst and subsequently converted into a biocompatible carbon feedstock by adjusting the pH. Based on earlier reports, we identified and evaluated 13 microbial strains known to grow on formate, 10 of which exhibited robust growth in the prepared formate solution and successfully secreted multicarbon products and important metabolic markers like acetate, ethanol, lactate, pyruvate, and polyhydroxybutyrate (PHB). This work establishes a proof of concept for a broadly applicable abiotic–biotic platform that expands the microbial design space by coupling CO</w:t>
      </w:r>
      <w:r>
        <w:rPr>
          <w:vertAlign w:val="subscript"/>
        </w:rPr>
        <w:t>2</w:t>
      </w:r>
      <w:r>
        <w:t>electrolysis with carbon upgrading.</w:t>
      </w:r>
    </w:p>
    <w:p>
      <w:pPr>
        <w:spacing w:before="120" w:after="120"/>
      </w:pPr>
      <w:r>
        <w:rPr>
          <w:sz w:val="18"/>
        </w:rPr>
        <w:t>——————————————————————————————————————————————————————————————————————</w:t>
      </w:r>
    </w:p>
    <w:p>
      <w:pPr>
        <w:spacing w:before="160" w:after="40" w:line="240" w:lineRule="auto"/>
      </w:pPr>
      <w:r>
        <w:rPr>
          <w:b/>
        </w:rPr>
        <w:t xml:space="preserve">[19] </w:t>
      </w:r>
      <w:hyperlink r:id="rId515">
        <w:r>
          <w:rPr>
            <w:color w:val="1155CC"/>
            <w:u w:val="single"/>
          </w:rPr>
          <w:t>手性 HgS/CuO 异质结光催化 CO2 还原为丙酮</w:t>
        </w:r>
      </w:hyperlink>
    </w:p>
    <w:p>
      <w:pPr>
        <w:spacing w:before="0" w:after="80"/>
      </w:pPr>
      <w:r>
        <w:rPr>
          <w:i/>
          <w:sz w:val="20"/>
        </w:rPr>
        <w:t>EN: Photocatalytic CO2 Reduction to Acetone by Chiral HgS/CuO Heterojunctions</w:t>
      </w:r>
    </w:p>
    <w:p>
      <w:pPr>
        <w:spacing w:before="0" w:after="120"/>
      </w:pPr>
      <w:r>
        <w:rPr>
          <w:b/>
        </w:rPr>
        <w:t xml:space="preserve">Source: </w:t>
      </w:r>
      <w:r>
        <w:t>Wiley: Advanced Materials: Table of Contents</w:t>
      </w:r>
      <w:r>
        <w:t xml:space="preserve">    </w:t>
      </w:r>
      <w:r>
        <w:rPr>
          <w:b/>
        </w:rPr>
        <w:t xml:space="preserve">Pub date: </w:t>
      </w:r>
      <w:r>
        <w:t>2026-08-04 14:13:25+00:00</w:t>
      </w:r>
      <w:r>
        <w:t xml:space="preserve">    </w:t>
      </w:r>
      <w:r>
        <w:rPr>
          <w:b/>
        </w:rPr>
        <w:t xml:space="preserve">DOI: </w:t>
      </w:r>
      <w:hyperlink r:id="rId516">
        <w:r>
          <w:rPr>
            <w:color w:val="1155CC"/>
            <w:u w:val="single"/>
          </w:rPr>
          <w:t>10.1002/adma.74014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CO的高效转化</w:t>
      </w:r>
      <w:r>
        <w:rPr>
          <w:vertAlign w:val="subscript"/>
        </w:rPr>
        <w:t>2</w:t>
      </w:r>
      <w:r>
        <w:t>转化为增值C</w:t>
      </w:r>
      <w:r>
        <w:rPr>
          <w:vertAlign w:val="subscript"/>
        </w:rPr>
        <w:t>3</w:t>
      </w:r>
      <w:r>
        <w:t>化学物质是非常理想的，但由于涉及复杂的多电子转移和 C-C 耦合过程，仍然具有挑战性。特别是丙酮是工业上重要的溶剂和化学原料，其由CO直接合成</w:t>
      </w:r>
      <w:r>
        <w:rPr>
          <w:vertAlign w:val="subscript"/>
        </w:rPr>
        <w:t>2</w:t>
      </w:r>
      <w:r>
        <w:t>通过光催化是化石路线的可持续替代方案。在此，我们报道了用于无添加剂光催化 CO 的手性 CuO/HgS 异质结光催化剂</w:t>
      </w:r>
      <w:r>
        <w:rPr>
          <w:vertAlign w:val="subscript"/>
        </w:rPr>
        <w:t>2</w:t>
      </w:r>
      <w:r>
        <w:t>还原为丙酮。使用手性分子作为对称导向剂合成手性 CuO 和 HgS，随后组装成具有受控旋向组合的异质结。结构和光谱分析证实了手性界面的成功构建。光催化测试表明异质结催化剂表现出显着增强的CO</w:t>
      </w:r>
      <w:r>
        <w:rPr>
          <w:vertAlign w:val="subscript"/>
        </w:rPr>
        <w:t>2</w:t>
      </w:r>
      <w:r>
        <w:t>与单一组分相比的转化效率和丙酮选择性。优化的系统可提高电荷分离效率、增强光电流响应并延长载流子寿命。这项工作展示了一种有效的异质结设计策略，可促进 C</w:t>
      </w:r>
      <w:r>
        <w:rPr>
          <w:vertAlign w:val="subscript"/>
        </w:rPr>
        <w:t>3</w:t>
      </w:r>
      <w:r>
        <w:t>CO 生成产物</w:t>
      </w:r>
      <w:r>
        <w:rPr>
          <w:vertAlign w:val="subscript"/>
        </w:rPr>
        <w:t>2</w:t>
      </w:r>
      <w:r>
        <w:t>并为绿色丙酮合成提供了一种可持续的方法。</w:t>
      </w:r>
    </w:p>
    <w:p>
      <w:pPr>
        <w:spacing w:before="0" w:after="200" w:lineRule="auto" w:line="276"/>
      </w:pPr>
      <w:r>
        <w:rPr>
          <w:b/>
        </w:rPr>
        <w:t xml:space="preserve">Abstract (EN): </w:t>
      </w:r>
      <w:r>
        <w:t>The efficient conversion of CO</w:t>
      </w:r>
      <w:r>
        <w:rPr>
          <w:vertAlign w:val="subscript"/>
        </w:rPr>
        <w:t>2</w:t>
      </w:r>
      <w:r>
        <w:t>into value‐added C</w:t>
      </w:r>
      <w:r>
        <w:rPr>
          <w:vertAlign w:val="subscript"/>
        </w:rPr>
        <w:t>3</w:t>
      </w:r>
      <w:r>
        <w:t>chemicals is highly desirable yet remains challenging due to the complex multi‐electron transfer and C‐C coupling processes involved. In particular, acetone is an industrially important solvent and chemical feedstock, and its direct synthesis from CO</w:t>
      </w:r>
      <w:r>
        <w:rPr>
          <w:vertAlign w:val="subscript"/>
        </w:rPr>
        <w:t>2</w:t>
      </w:r>
      <w:r>
        <w:t>via photocatalysis represents a sustainable alternative to fossil‐based routes. Herein, we report chiral CuO/HgS heterojunction photocatalysts for additive‐free photocatalytic CO</w:t>
      </w:r>
      <w:r>
        <w:rPr>
          <w:vertAlign w:val="subscript"/>
        </w:rPr>
        <w:t>2</w:t>
      </w:r>
      <w:r>
        <w:t>reduction to acetone. Chiral CuO and HgS were synthesized using chiral molecules as symmetry‐directing agents and subsequently assembled into heterojunctions with controlled handedness combinations. Structural and spectroscopic analyses confirm the successful construction of chiral interfaces. Photocatalytic tests reveal that the heterojunction catalysts exhibit significantly enhanced CO</w:t>
      </w:r>
      <w:r>
        <w:rPr>
          <w:vertAlign w:val="subscript"/>
        </w:rPr>
        <w:t>2</w:t>
      </w:r>
      <w:r>
        <w:t>conversion efficiency and acetone selectivity compared to single components. The optimized system delivers improved charge separation efficiency, increased photocurrent response, and prolonged carrier lifetimes. This work demonstrates an effective heterojunction design strategy for promoting C</w:t>
      </w:r>
      <w:r>
        <w:rPr>
          <w:vertAlign w:val="subscript"/>
        </w:rPr>
        <w:t>3</w:t>
      </w:r>
      <w:r>
        <w:t>product formation from CO</w:t>
      </w:r>
      <w:r>
        <w:rPr>
          <w:vertAlign w:val="subscript"/>
        </w:rPr>
        <w:t>2</w:t>
      </w:r>
      <w:r>
        <w:t>and provides a sustainable approach for green acetone synthesis.</w:t>
      </w:r>
    </w:p>
    <w:p>
      <w:pPr>
        <w:spacing w:before="120" w:after="120"/>
      </w:pPr>
      <w:r>
        <w:rPr>
          <w:sz w:val="18"/>
        </w:rPr>
        <w:t>——————————————————————————————————————————————————————————————————————</w:t>
      </w:r>
    </w:p>
    <w:p>
      <w:pPr>
        <w:spacing w:before="160" w:after="40" w:line="240" w:lineRule="auto"/>
      </w:pPr>
      <w:r>
        <w:rPr>
          <w:b/>
        </w:rPr>
        <w:t xml:space="preserve">[20] </w:t>
      </w:r>
      <w:hyperlink r:id="rId517">
        <w:r>
          <w:rPr>
            <w:color w:val="1155CC"/>
            <w:u w:val="single"/>
          </w:rPr>
          <w:t>熔盐中溶剂化电子将 CO2 转化为 CO</w:t>
        </w:r>
      </w:hyperlink>
    </w:p>
    <w:p>
      <w:pPr>
        <w:spacing w:before="0" w:after="80"/>
      </w:pPr>
      <w:r>
        <w:rPr>
          <w:i/>
          <w:sz w:val="20"/>
        </w:rPr>
        <w:t>EN: Conversion of CO2 to CO by Solvated Electrons in Molten Salts</w:t>
      </w:r>
    </w:p>
    <w:p>
      <w:pPr>
        <w:spacing w:before="0" w:after="120"/>
      </w:pPr>
      <w:r>
        <w:rPr>
          <w:b/>
        </w:rPr>
        <w:t xml:space="preserve">Source: </w:t>
      </w:r>
      <w:r>
        <w:t>ACS Energy Letters: Latest Articles (ACS Publications)</w:t>
      </w:r>
      <w:r>
        <w:t xml:space="preserve">    </w:t>
      </w:r>
      <w:r>
        <w:rPr>
          <w:b/>
        </w:rPr>
        <w:t xml:space="preserve">Pub date: </w:t>
      </w:r>
      <w:r>
        <w:t>2026-08-05 00:00:00+00:00</w:t>
      </w:r>
      <w:r>
        <w:t xml:space="preserve">    </w:t>
      </w:r>
      <w:r>
        <w:rPr>
          <w:b/>
        </w:rPr>
        <w:t xml:space="preserve">DOI: </w:t>
      </w:r>
      <w:hyperlink r:id="rId518">
        <w:r>
          <w:rPr>
            <w:color w:val="1155CC"/>
            <w:u w:val="single"/>
          </w:rPr>
          <w:t>10.1021/acsenergylett.6c02141</w:t>
        </w:r>
      </w:hyperlink>
    </w:p>
    <w:p>
      <w:pPr>
        <w:spacing w:before="0" w:after="120"/>
      </w:pPr>
      <w:r>
        <w:rPr>
          <w:b/>
        </w:rPr>
        <w:t xml:space="preserve">Notes: </w:t>
      </w:r>
      <w:r>
        <w:t>abstract_source=crossref</w:t>
      </w:r>
    </w:p>
    <w:p>
      <w:pPr>
        <w:spacing w:before="0" w:after="80" w:lineRule="auto" w:line="276"/>
      </w:pPr>
      <w:r>
        <w:rPr>
          <w:b/>
        </w:rPr>
        <w:t xml:space="preserve">摘要（ZH）: </w:t>
      </w:r>
      <w:r>
        <w:t>摘要 我们演示了金属熔盐溶液中 CO2 到 CO 的转化，该溶液含有通过将 Ba 溶解在熔融 BaCl2 中而产生的溶剂化电子。该过程不像传统电化学 CO2 还原那样局限于电极-电解质界面，而是在整个熔盐中发生，并通过溶剂化电子的再生来维持，其中包括液态 Ba 金属的电沉积及其溶解。</w:t>
      </w:r>
    </w:p>
    <w:p>
      <w:pPr>
        <w:spacing w:before="0" w:after="200" w:lineRule="auto" w:line="276"/>
      </w:pPr>
      <w:r>
        <w:rPr>
          <w:b/>
        </w:rPr>
        <w:t xml:space="preserve">Abstract (EN): </w:t>
      </w:r>
      <w:r>
        <w:t>We demonstrate CO2-to-CO conversion in a metal–molten salt solution containing solvated electrons generated by dissolving Ba in molten BaCl2. Rather than being confined to the electrode–electrolyte interface as in conventional electrochemical CO2 reduction, the process occurs throughout the molten salt and is sustained by regeneration of solvated electrons involving electrodeposition of liquid Ba metal followed by its dissolution.</w:t>
      </w:r>
    </w:p>
    <w:p>
      <w:pPr>
        <w:spacing w:before="120" w:after="120"/>
      </w:pPr>
      <w:r>
        <w:rPr>
          <w:sz w:val="18"/>
        </w:rPr>
        <w:t>——————————————————————————————————————————————————————————————————————</w:t>
      </w:r>
    </w:p>
    <w:p>
      <w:pPr>
        <w:spacing w:before="160" w:after="40" w:line="240" w:lineRule="auto"/>
      </w:pPr>
      <w:r>
        <w:rPr>
          <w:b/>
        </w:rPr>
        <w:t xml:space="preserve">[21] </w:t>
      </w:r>
      <w:hyperlink r:id="rId519">
        <w:r>
          <w:rPr>
            <w:color w:val="1155CC"/>
            <w:u w:val="single"/>
          </w:rPr>
          <w:t>构建限制在 F 掺杂介孔碳内的 FeC x 活性位点以增强 CO2 加氢制轻质烯烃的活性和稳定性</w:t>
        </w:r>
      </w:hyperlink>
    </w:p>
    <w:p>
      <w:pPr>
        <w:spacing w:before="0" w:after="80"/>
      </w:pPr>
      <w:r>
        <w:rPr>
          <w:i/>
          <w:sz w:val="20"/>
        </w:rPr>
        <w:t>EN: Constructing FeC x Active Sites Confined within F-Doped Mesoporous Carbon to Enhance Activity and Stability for CO2 Hydrogenation to Light Olefins</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520">
        <w:r>
          <w:rPr>
            <w:color w:val="1155CC"/>
            <w:u w:val="single"/>
          </w:rPr>
          <w:t>10.1021/acsami.6c11014</w:t>
        </w:r>
      </w:hyperlink>
    </w:p>
    <w:p>
      <w:pPr>
        <w:spacing w:before="0" w:after="120"/>
      </w:pPr>
      <w:r>
        <w:rPr>
          <w:b/>
        </w:rPr>
        <w:t xml:space="preserve">Notes: </w:t>
      </w:r>
      <w:r>
        <w:t>abstract_source=crossref</w:t>
      </w:r>
    </w:p>
    <w:p>
      <w:pPr>
        <w:spacing w:before="0" w:after="80" w:lineRule="auto" w:line="276"/>
      </w:pPr>
      <w:r>
        <w:rPr>
          <w:b/>
        </w:rPr>
        <w:t xml:space="preserve">摘要（ZH）: </w:t>
      </w:r>
      <w:r>
        <w:t>摘要 CO2加氢制低碳烯烃是废碳转化为高附加值化学品的关键途径，FeCx催化剂表现出较高的活性和良好的应用潜力。然而，FeCx或Fe0活性位点会被反应过程中产生的H2O氧化，严重损害铁基催化剂的活性和稳定性。在此，使用F功能化碳源制备了限制在F掺杂介孔碳内的FeCx活性物质，构建了耐H2O界面以保护FeCx免受氧化。在320℃、3.0MPa、H2/CO2=3、GHSV=6000mL/gcat/h的反应条件下，0.8Fe-0.1K@NMC-0.2F催化剂的CO2转化率为47.24%，轻质烯烃选择性为52.43%。在 24,000 mL/gcat/h 的高 GHSV 下，100 小时内轻质烯烃时空产率达到 36.5 mmol/gcat/h，超过了大多数报道的催化剂的性能。利用各种表征技术研究了结构与性能的关系和稳定性增强机制，揭示了F的掺入增强了碳层的石墨化程度和耐水性，调节了电子分布，并促进了不饱和配位的Fe5C2活性位点的形成。 F掺杂石墨烯界面调节FeCx活性位点的电子结构，增强CO2吸附解离，同时减弱H2活化，增加表面C/H比，促进CC耦合反应。此外，F-功能化石墨烯层抑制了过度碳化和H2O-</w:t>
      </w:r>
    </w:p>
    <w:p>
      <w:pPr>
        <w:spacing w:before="0" w:after="200" w:lineRule="auto" w:line="276"/>
      </w:pPr>
      <w:r>
        <w:rPr>
          <w:b/>
        </w:rPr>
        <w:t xml:space="preserve">Abstract (EN): </w:t>
      </w:r>
      <w:r>
        <w:t>The hydrogenation of CO2 to light olefins is a key route for converting waste carbon into value-added chemicals, and FeCx catalysts exhibit high activity and promising application potential. However, FeCx or Fe0 active sites can be oxidized by H2O generated during the reaction, severely compromising the activity and stability of Fe-based catalysts. Herein, FeCx active species confined within F-doped mesoporous carbon were prepared using a F-functionalized carbon source, constructing a H2O-resistant interface to protect FeCx from oxidation. Under the reaction conditions of 320 °C, 3.0 MPa, H2/CO2 = 3, and GHSV = 6000 mL/gcat/h, the 0.8Fe-0.1K@NMC-0.2F catalyst exhibited a CO2 conversion of 47.24% and a light-olefin selectivity of 52.43%. A light-olefin space−time yield of 36.5 mmol/gcat/h was achieved over 100 h at a high GHSV of 24,000 mL/gcat/h, surpassing the performance of most reported catalysts. The structure−performance relationship and stability enhancement mechanism were investigated using various characterization techniques, revealing that F incorporation enhances the graphitization degree and H2O resistance of the carbon layer, regulates the electron distribution, and promotes the formation of unsaturatedly coordinated Fe5C2 active sites. The F-doped graphene interface modulated the electronic structure of FeCx active sites to enhance CO2 adsorption−dissociation while weakening H2 activation, increasing the surface C/H ratio, and promoting the C−C coupling reaction. Furthermore, the F-functionalized graphene layer suppressed the overcarbonization and H2O-induced oxidation of Fe0 species, boosting the catalytic stability. This work provides a new strategy for the design of high-performance and long-lifetime FeCx catalysts for the cost-effective conversion of CO2 to high-value chemicals and new insights into the stability enhancement mechanism of Fe active sites against H2O generated during the hydrogenation reaction.</w:t>
      </w:r>
    </w:p>
    <w:p>
      <w:pPr>
        <w:spacing w:before="120" w:after="120"/>
      </w:pPr>
      <w:r>
        <w:rPr>
          <w:sz w:val="18"/>
        </w:rPr>
        <w:t>——————————————————————————————————————————————————————————————————————</w:t>
      </w:r>
    </w:p>
    <w:p>
      <w:pPr>
        <w:spacing w:before="160" w:after="40" w:line="240" w:lineRule="auto"/>
      </w:pPr>
      <w:r>
        <w:rPr>
          <w:b/>
        </w:rPr>
        <w:t xml:space="preserve">[22] </w:t>
      </w:r>
      <w:hyperlink r:id="rId521">
        <w:r>
          <w:rPr>
            <w:color w:val="1155CC"/>
            <w:u w:val="single"/>
          </w:rPr>
          <w:t>Cu-Pd 双单原子促进海水中选择性 CO2 光还原生成 C2 产品</w:t>
        </w:r>
      </w:hyperlink>
    </w:p>
    <w:p>
      <w:pPr>
        <w:spacing w:before="0" w:after="80"/>
      </w:pPr>
      <w:r>
        <w:rPr>
          <w:i/>
          <w:sz w:val="20"/>
        </w:rPr>
        <w:t>EN: Cu‐Pd Dual Single Atoms Promoting Selective CO2 Photoreduction to C2 Products in Seawater</w:t>
      </w:r>
    </w:p>
    <w:p>
      <w:pPr>
        <w:spacing w:before="0" w:after="120"/>
      </w:pPr>
      <w:r>
        <w:rPr>
          <w:b/>
        </w:rPr>
        <w:t xml:space="preserve">Source: </w:t>
      </w:r>
      <w:r>
        <w:t>Wiley: Advanced Materials: Table of Contents</w:t>
      </w:r>
      <w:r>
        <w:t xml:space="preserve">    </w:t>
      </w:r>
      <w:r>
        <w:rPr>
          <w:b/>
        </w:rPr>
        <w:t xml:space="preserve">Pub date: </w:t>
      </w:r>
      <w:r>
        <w:t>2026-08-05 12:41:53+00:00</w:t>
      </w:r>
      <w:r>
        <w:t xml:space="preserve">    </w:t>
      </w:r>
      <w:r>
        <w:rPr>
          <w:b/>
        </w:rPr>
        <w:t xml:space="preserve">DOI: </w:t>
      </w:r>
      <w:hyperlink r:id="rId522">
        <w:r>
          <w:rPr>
            <w:color w:val="1155CC"/>
            <w:u w:val="single"/>
          </w:rPr>
          <w:t>10.1002/adma.74420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太阳能驱动的二氧化碳</w:t>
      </w:r>
      <w:r>
        <w:rPr>
          <w:vertAlign w:val="subscript"/>
        </w:rPr>
        <w:t>2</w:t>
      </w:r>
      <w:r>
        <w:t>通过光催化途径的转化提供了实现碳中和的可持续途径，同时减轻了能源/环境压力。尽管如此，CO 的选择性和高效转化</w:t>
      </w:r>
      <w:r>
        <w:rPr>
          <w:vertAlign w:val="subscript"/>
        </w:rPr>
        <w:t>2</w:t>
      </w:r>
      <w:r>
        <w:t>通过光还原成C</w:t>
      </w:r>
      <w:r>
        <w:rPr>
          <w:vertAlign w:val="subscript"/>
        </w:rPr>
        <w:t>2</w:t>
      </w:r>
      <w:r>
        <w:t>产品仍然是一个艰巨的挑战。在这里，我们通过将 Pd 和 Cu 单原子可控地嵌入 TiO 中来设计双单原子光催化剂</w:t>
      </w:r>
      <w:r>
        <w:rPr>
          <w:vertAlign w:val="subscript"/>
        </w:rPr>
        <w:t>2</w:t>
      </w:r>
      <w:r>
        <w:t>矩阵。优化后的催化剂（Cu</w:t>
      </w:r>
      <w:r>
        <w:t xml:space="preserve"> </w:t>
      </w:r>
      <w:r>
        <w:t>0.5</w:t>
      </w:r>
      <w:r>
        <w:t xml:space="preserve"> </w:t>
      </w:r>
      <w:r>
        <w:t>钯</w:t>
      </w:r>
      <w:r>
        <w:t xml:space="preserve"> </w:t>
      </w:r>
      <w:r>
        <w:t>0.5</w:t>
      </w:r>
      <w:r>
        <w:t xml:space="preserve"> </w:t>
      </w:r>
      <w:r>
        <w:t>/二氧化钛</w:t>
      </w:r>
      <w:r>
        <w:rPr>
          <w:vertAlign w:val="subscript"/>
        </w:rPr>
        <w:t>2</w:t>
      </w:r>
      <w:r>
        <w:t>）表现出出色的产率（119.2 µmol/g</w:t>
      </w:r>
      <w:r>
        <w:t xml:space="preserve"> </w:t>
      </w:r>
      <w:r>
        <w:t>猫</w:t>
      </w:r>
      <w:r>
        <w:t xml:space="preserve"> </w:t>
      </w:r>
      <w:r>
        <w:t>) 和 CO 生产乙酸的选择性 (84.8%)</w:t>
      </w:r>
      <w:r>
        <w:rPr>
          <w:vertAlign w:val="subscript"/>
        </w:rPr>
        <w:t>2</w:t>
      </w:r>
      <w:r>
        <w:t>光还原，在海水和光热辅助反应器中进行。采用各种原位/非原位表征来研究实际条件下的原子级结构性能相关性和反应机制。原位X射线光电子能谱、原位原子力显微镜-开尔文探针力显微镜、瞬态表面光电压和原位电子顺磁共振（EPR）共同表明，将Pd和Cu单原子负载到TiO上</w:t>
      </w:r>
      <w:r>
        <w:rPr>
          <w:vertAlign w:val="subscript"/>
        </w:rPr>
        <w:t>2</w:t>
      </w:r>
      <w:r>
        <w:t>显然加速了电荷动力学。此修改导致增加</w:t>
      </w:r>
    </w:p>
    <w:p>
      <w:pPr>
        <w:spacing w:before="0" w:after="200" w:lineRule="auto" w:line="276"/>
      </w:pPr>
      <w:r>
        <w:rPr>
          <w:b/>
        </w:rPr>
        <w:t xml:space="preserve">Abstract (EN): </w:t>
      </w:r>
      <w:r>
        <w:t>The solar‐powered CO</w:t>
      </w:r>
      <w:r>
        <w:rPr>
          <w:vertAlign w:val="subscript"/>
        </w:rPr>
        <w:t>2</w:t>
      </w:r>
      <w:r>
        <w:t>conversion via the photocatalysis route offers a sustainable pathway toward carbon neutrality while mitigating energy/environmental pressure. Nevertheless, the selective and efficient conversion of CO</w:t>
      </w:r>
      <w:r>
        <w:rPr>
          <w:vertAlign w:val="subscript"/>
        </w:rPr>
        <w:t>2</w:t>
      </w:r>
      <w:r>
        <w:t>via photoreduction to C</w:t>
      </w:r>
      <w:r>
        <w:rPr>
          <w:vertAlign w:val="subscript"/>
        </w:rPr>
        <w:t>2</w:t>
      </w:r>
      <w:r>
        <w:t>products remains a formidable challenge. Here, we engineered a dual‐single‐atom photocatalyst by controllably embedding Pd and Cu single atoms into a TiO</w:t>
      </w:r>
      <w:r>
        <w:rPr>
          <w:vertAlign w:val="subscript"/>
        </w:rPr>
        <w:t>2</w:t>
      </w:r>
      <w:r>
        <w:t>matrix. The optimized catalyst (Cu</w:t>
      </w:r>
      <w:r>
        <w:t xml:space="preserve"> </w:t>
      </w:r>
      <w:r>
        <w:t>0.5</w:t>
      </w:r>
      <w:r>
        <w:t xml:space="preserve"> </w:t>
      </w:r>
      <w:r>
        <w:t>Pd</w:t>
      </w:r>
      <w:r>
        <w:t xml:space="preserve"> </w:t>
      </w:r>
      <w:r>
        <w:t>0.5</w:t>
      </w:r>
      <w:r>
        <w:t xml:space="preserve"> </w:t>
      </w:r>
      <w:r>
        <w:t>/TiO</w:t>
      </w:r>
      <w:r>
        <w:rPr>
          <w:vertAlign w:val="subscript"/>
        </w:rPr>
        <w:t>2</w:t>
      </w:r>
      <w:r>
        <w:t>) exhibits the outstanding yield (119.2 µmol/g</w:t>
      </w:r>
      <w:r>
        <w:t xml:space="preserve"> </w:t>
      </w:r>
      <w:r>
        <w:t>cat</w:t>
      </w:r>
      <w:r>
        <w:t xml:space="preserve"> </w:t>
      </w:r>
      <w:r>
        <w:t>) and selectivity (84.8%) for acetic acid production from CO</w:t>
      </w:r>
      <w:r>
        <w:rPr>
          <w:vertAlign w:val="subscript"/>
        </w:rPr>
        <w:t>2</w:t>
      </w:r>
      <w:r>
        <w:t>photoreduction, performed in seawater and in a photothermal‐aided reactor. Various in situ/ex situ characterizations were employed to investigate atomic‐level structure‐performance correlation and reaction mechanism in practical condition. In situ x‐ray photoelectron spectroscopy, in situ atomic force microscopy‐Kelvin probe force microscopy, transient‐state surface photovoltage, and in situ electron paramagnetic resonance (EPR) collectively indicate that loading Pd and Cu single atoms onto TiO</w:t>
      </w:r>
      <w:r>
        <w:rPr>
          <w:vertAlign w:val="subscript"/>
        </w:rPr>
        <w:t>2</w:t>
      </w:r>
      <w:r>
        <w:t>apparently accelerates charge kinetics. This modification results in increased photogenerated electrons for CO</w:t>
      </w:r>
      <w:r>
        <w:rPr>
          <w:vertAlign w:val="subscript"/>
        </w:rPr>
        <w:t>2</w:t>
      </w:r>
      <w:r>
        <w:t>reduction, facilitating C─C coupling and hydrogenation reactions. Additionally, in situ infrared (IR) spectroscopy and theoretical computations affirm the pivotal function of Pd single atoms for lowering the energy barrier to form the</w:t>
      </w:r>
      <w:r>
        <w:t xml:space="preserve"> </w:t>
      </w:r>
      <w:r>
        <w:t>*</w:t>
      </w:r>
      <w:r>
        <w:t xml:space="preserve"> </w:t>
      </w:r>
      <w:r>
        <w:t>OCCO intermediate, apparently improving selectivity for acetic acid production. Overall, our work presents an innovative approach to tackle kinetic and thermodynamic challenges for light‐induced CO</w:t>
      </w:r>
      <w:r>
        <w:rPr>
          <w:vertAlign w:val="subscript"/>
        </w:rPr>
        <w:t>2</w:t>
      </w:r>
      <w:r>
        <w:t>‐to‐C</w:t>
      </w:r>
      <w:r>
        <w:rPr>
          <w:vertAlign w:val="subscript"/>
        </w:rPr>
        <w:t>2</w:t>
      </w:r>
      <w:r>
        <w:t>conversion.</w:t>
      </w:r>
    </w:p>
    <w:p>
      <w:pPr>
        <w:spacing w:before="120" w:after="120"/>
      </w:pPr>
      <w:r>
        <w:rPr>
          <w:sz w:val="18"/>
        </w:rPr>
        <w:t>——————————————————————————————————————————————————————————————————————</w:t>
      </w:r>
    </w:p>
    <w:p>
      <w:pPr>
        <w:spacing w:before="160" w:after="40" w:line="240" w:lineRule="auto"/>
      </w:pPr>
      <w:r>
        <w:rPr>
          <w:b/>
        </w:rPr>
        <w:t xml:space="preserve">[23] </w:t>
      </w:r>
      <w:hyperlink r:id="rId523">
        <w:r>
          <w:rPr>
            <w:color w:val="1155CC"/>
            <w:u w:val="single"/>
          </w:rPr>
          <w:t>通过串联氢继电器将 NiB 预催化剂重构为自适应异质界面以实现 CO2 光还原</w:t>
        </w:r>
      </w:hyperlink>
    </w:p>
    <w:p>
      <w:pPr>
        <w:spacing w:before="0" w:after="80"/>
      </w:pPr>
      <w:r>
        <w:rPr>
          <w:i/>
          <w:sz w:val="20"/>
        </w:rPr>
        <w:t>EN: Operando Reconstruction of NiB Precatalyst Into Adaptive Heterointerfaces for CO2 Photoreduction via Tandem Hydrogen Relay</w:t>
      </w:r>
    </w:p>
    <w:p>
      <w:pPr>
        <w:spacing w:before="0" w:after="120"/>
      </w:pPr>
      <w:r>
        <w:rPr>
          <w:b/>
        </w:rPr>
        <w:t xml:space="preserve">Source: </w:t>
      </w:r>
      <w:r>
        <w:t>Wiley: Angewandte Chemie International Edition: Table of Contents</w:t>
      </w:r>
      <w:r>
        <w:t xml:space="preserve">    </w:t>
      </w:r>
      <w:r>
        <w:rPr>
          <w:b/>
        </w:rPr>
        <w:t xml:space="preserve">Pub date: </w:t>
      </w:r>
      <w:r>
        <w:t>2026-08-05 13:23:04+00:00</w:t>
      </w:r>
      <w:r>
        <w:t xml:space="preserve">    </w:t>
      </w:r>
      <w:r>
        <w:rPr>
          <w:b/>
        </w:rPr>
        <w:t xml:space="preserve">DOI: </w:t>
      </w:r>
      <w:hyperlink r:id="rId524">
        <w:r>
          <w:rPr>
            <w:color w:val="1155CC"/>
            <w:u w:val="single"/>
          </w:rPr>
          <w:t>10.1002/anie.3187911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光催化CO</w:t>
      </w:r>
      <w:r>
        <w:rPr>
          <w:vertAlign w:val="subscript"/>
        </w:rPr>
        <w:t>2</w:t>
      </w:r>
      <w:r>
        <w:t>还原是一项革命性的碳中和技术，但水源质子发电和二氧化碳之间的电子竞争</w:t>
      </w:r>
      <w:r>
        <w:rPr>
          <w:vertAlign w:val="subscript"/>
        </w:rPr>
        <w:t>2</w:t>
      </w:r>
      <w:r>
        <w:t>内在位点上的激活导致寄生 H</w:t>
      </w:r>
      <w:r>
        <w:rPr>
          <w:vertAlign w:val="subscript"/>
        </w:rPr>
        <w:t>2</w:t>
      </w:r>
      <w:r>
        <w:t>静态催化表面上的演化。在这里，我们证明了晶体硼化镍 (NiB) 预催化剂（以前未在光催化方面进行过探索）在光照下进行自发操作重构，形成自适应 Ni/B</w:t>
      </w:r>
      <w:r>
        <w:rPr>
          <w:vertAlign w:val="subscript"/>
        </w:rPr>
        <w:t>2</w:t>
      </w:r>
      <w:r>
        <w:t>氧</w:t>
      </w:r>
      <w:r>
        <w:rPr>
          <w:vertAlign w:val="subscript"/>
        </w:rPr>
        <w:t>3</w:t>
      </w:r>
      <w:r>
        <w:t>/NiB 异质界面作为真正的催化活性相。反应驱动的重构界面实现了 NiB→Ni→B 之间的串联氢中继</w:t>
      </w:r>
      <w:r>
        <w:rPr>
          <w:vertAlign w:val="subscript"/>
        </w:rPr>
        <w:t>2</w:t>
      </w:r>
      <w:r>
        <w:t>氧</w:t>
      </w:r>
      <w:r>
        <w:rPr>
          <w:vertAlign w:val="subscript"/>
        </w:rPr>
        <w:t>3</w:t>
      </w:r>
      <w:r>
        <w:t>界面，其中氢物种从 H 依次演化而来</w:t>
      </w:r>
      <w:r>
        <w:rPr>
          <w:vertAlign w:val="subscript"/>
        </w:rPr>
        <w:t>2</w:t>
      </w:r>
      <w:r>
        <w:t>氧到氢</w:t>
      </w:r>
      <w:r>
        <w:rPr>
          <w:vertAlign w:val="subscript"/>
        </w:rPr>
        <w:t>2</w:t>
      </w:r>
      <w:r>
        <w:t>随后转化为表面活性氢（H</w:t>
      </w:r>
      <w:r>
        <w:rPr>
          <w:vertAlign w:val="subscript"/>
        </w:rPr>
        <w:t>2</w:t>
      </w:r>
      <w:r>
        <w:t>氧→氢</w:t>
      </w:r>
      <w:r>
        <w:rPr>
          <w:vertAlign w:val="subscript"/>
        </w:rPr>
        <w:t>2</w:t>
      </w:r>
      <w:r>
        <w:t>→H*) 通过 Ni 介导的解离和氢溢出。 H* 物质有助于 CO</w:t>
      </w:r>
      <w:r>
        <w:rPr>
          <w:vertAlign w:val="subscript"/>
        </w:rPr>
        <w:t>2</w:t>
      </w:r>
      <w:r>
        <w:t>缺电子B的活化和氢化</w:t>
      </w:r>
      <w:r>
        <w:rPr>
          <w:vertAlign w:val="subscript"/>
        </w:rPr>
        <w:t>2</w:t>
      </w:r>
      <w:r>
        <w:t>氧</w:t>
      </w:r>
      <w:r>
        <w:rPr>
          <w:vertAlign w:val="subscript"/>
        </w:rPr>
        <w:t>3</w:t>
      </w:r>
      <w:r>
        <w:t>域。这个动态过程逐渐改变反应方向</w:t>
      </w:r>
    </w:p>
    <w:p>
      <w:pPr>
        <w:spacing w:before="0" w:after="200" w:lineRule="auto" w:line="276"/>
      </w:pPr>
      <w:r>
        <w:rPr>
          <w:b/>
        </w:rPr>
        <w:t xml:space="preserve">Abstract (EN): </w:t>
      </w:r>
      <w:r>
        <w:t>Photocatalytic CO</w:t>
      </w:r>
      <w:r>
        <w:rPr>
          <w:vertAlign w:val="subscript"/>
        </w:rPr>
        <w:t>2</w:t>
      </w:r>
      <w:r>
        <w:t>reduction is a transformative carbon neutrality technology, yet the electronic competition between water‐derived proton generation and CO</w:t>
      </w:r>
      <w:r>
        <w:rPr>
          <w:vertAlign w:val="subscript"/>
        </w:rPr>
        <w:t>2</w:t>
      </w:r>
      <w:r>
        <w:t>activation over intrinsic sites leads to parasitic H</w:t>
      </w:r>
      <w:r>
        <w:rPr>
          <w:vertAlign w:val="subscript"/>
        </w:rPr>
        <w:t>2</w:t>
      </w:r>
      <w:r>
        <w:t>evolution over a static catalytic surface. Here we demonstrate that crystalline nickel boride (NiB) precatalyst, previously unexplored for photocatalysis, undergoes spontaneous operando reconstruction under illumination to form adaptive Ni/B</w:t>
      </w:r>
      <w:r>
        <w:rPr>
          <w:vertAlign w:val="subscript"/>
        </w:rPr>
        <w:t>2</w:t>
      </w:r>
      <w:r>
        <w:t>O</w:t>
      </w:r>
      <w:r>
        <w:rPr>
          <w:vertAlign w:val="subscript"/>
        </w:rPr>
        <w:t>3</w:t>
      </w:r>
      <w:r>
        <w:t>/NiB heterointerfaces as the genuine catalytically active phases. The reaction‐driven reconstructed interfaces enable a tandem hydrogen relay across the NiB→Ni→B</w:t>
      </w:r>
      <w:r>
        <w:rPr>
          <w:vertAlign w:val="subscript"/>
        </w:rPr>
        <w:t>2</w:t>
      </w:r>
      <w:r>
        <w:t>O</w:t>
      </w:r>
      <w:r>
        <w:rPr>
          <w:vertAlign w:val="subscript"/>
        </w:rPr>
        <w:t>3</w:t>
      </w:r>
      <w:r>
        <w:t>interface, in which hydrogen species evolve sequentially from H</w:t>
      </w:r>
      <w:r>
        <w:rPr>
          <w:vertAlign w:val="subscript"/>
        </w:rPr>
        <w:t>2</w:t>
      </w:r>
      <w:r>
        <w:t>O to H</w:t>
      </w:r>
      <w:r>
        <w:rPr>
          <w:vertAlign w:val="subscript"/>
        </w:rPr>
        <w:t>2</w:t>
      </w:r>
      <w:r>
        <w:t>and are subsequently converted into surface‐active hydrogen (H</w:t>
      </w:r>
      <w:r>
        <w:rPr>
          <w:vertAlign w:val="subscript"/>
        </w:rPr>
        <w:t>2</w:t>
      </w:r>
      <w:r>
        <w:t>O→H</w:t>
      </w:r>
      <w:r>
        <w:rPr>
          <w:vertAlign w:val="subscript"/>
        </w:rPr>
        <w:t>2</w:t>
      </w:r>
      <w:r>
        <w:t>→H*) via Ni‐mediated dissociation and hydrogen spillover. The H* species assist CO</w:t>
      </w:r>
      <w:r>
        <w:rPr>
          <w:vertAlign w:val="subscript"/>
        </w:rPr>
        <w:t>2</w:t>
      </w:r>
      <w:r>
        <w:t>activation and hydrogenation on the electron‐deficient B</w:t>
      </w:r>
      <w:r>
        <w:rPr>
          <w:vertAlign w:val="subscript"/>
        </w:rPr>
        <w:t>2</w:t>
      </w:r>
      <w:r>
        <w:t>O</w:t>
      </w:r>
      <w:r>
        <w:rPr>
          <w:vertAlign w:val="subscript"/>
        </w:rPr>
        <w:t>3</w:t>
      </w:r>
      <w:r>
        <w:t>domains. This dynamic process progressively redirects the reaction pathway from water‐splitting‐dominated activity to highly efficient CO</w:t>
      </w:r>
      <w:r>
        <w:rPr>
          <w:vertAlign w:val="subscript"/>
        </w:rPr>
        <w:t>2</w:t>
      </w:r>
      <w:r>
        <w:t>‐to‐CO conversion, achieving a CO evolution rate of 4.5 mmol·g</w:t>
      </w:r>
      <w:r>
        <w:t xml:space="preserve"> </w:t>
      </w:r>
      <w:r>
        <w:t>−1</w:t>
      </w:r>
      <w:r>
        <w:t xml:space="preserve"> </w:t>
      </w:r>
      <w:r>
        <w:t>·h</w:t>
      </w:r>
      <w:r>
        <w:t xml:space="preserve"> </w:t>
      </w:r>
      <w:r>
        <w:t>−1</w:t>
      </w:r>
      <w:r>
        <w:t xml:space="preserve"> </w:t>
      </w:r>
      <w:r>
        <w:t>with promoted utilization of in situ formed hydrogen species, thus presenting an order‐of‐magnitude enhancement over reported photocatalytic systems. This work unlocks crystalline transition‐metal borides as an untapped material platform for photocatalytic CO</w:t>
      </w:r>
      <w:r>
        <w:rPr>
          <w:vertAlign w:val="subscript"/>
        </w:rPr>
        <w:t>2</w:t>
      </w:r>
      <w:r>
        <w:t>reduction and demonstrates that reaction‐driven interfacial reconstruction can establish adaptive hydrogen‐relay pathways to mitigate multi‐reaction competition in solar‐to‐chemical conversion.</w:t>
      </w:r>
    </w:p>
    <w:p>
      <w:pPr>
        <w:spacing w:before="120" w:after="120"/>
      </w:pPr>
      <w:r>
        <w:rPr>
          <w:sz w:val="18"/>
        </w:rPr>
        <w:t>——————————————————————————————————————————————————————————————————————</w:t>
      </w:r>
    </w:p>
    <w:p>
      <w:pPr>
        <w:spacing w:before="160" w:after="40" w:line="240" w:lineRule="auto"/>
      </w:pPr>
      <w:r>
        <w:rPr>
          <w:b/>
        </w:rPr>
        <w:t xml:space="preserve">[24] </w:t>
      </w:r>
      <w:hyperlink r:id="rId525">
        <w:r>
          <w:rPr>
            <w:color w:val="1155CC"/>
            <w:u w:val="single"/>
          </w:rPr>
          <w:t>水中 Fe(I) 卟啉配合物的 CO2 电化学转化为 CO</w:t>
        </w:r>
      </w:hyperlink>
    </w:p>
    <w:p>
      <w:pPr>
        <w:spacing w:before="0" w:after="80"/>
      </w:pPr>
      <w:r>
        <w:rPr>
          <w:i/>
          <w:sz w:val="20"/>
        </w:rPr>
        <w:t>EN: CO2‐to‐CO Electrochemical Conversion With an Fe(I) Porphyrin Complex in Water</w:t>
      </w:r>
    </w:p>
    <w:p>
      <w:pPr>
        <w:spacing w:before="0" w:after="120"/>
      </w:pPr>
      <w:r>
        <w:rPr>
          <w:b/>
        </w:rPr>
        <w:t xml:space="preserve">Source: </w:t>
      </w:r>
      <w:r>
        <w:t>Wiley: Angewandte Chemie International Edition: Table of Contents</w:t>
      </w:r>
      <w:r>
        <w:t xml:space="preserve">    </w:t>
      </w:r>
      <w:r>
        <w:rPr>
          <w:b/>
        </w:rPr>
        <w:t xml:space="preserve">Pub date: </w:t>
      </w:r>
      <w:r>
        <w:t>2026-08-05 13:36:40+00:00</w:t>
      </w:r>
      <w:r>
        <w:t xml:space="preserve">    </w:t>
      </w:r>
      <w:r>
        <w:rPr>
          <w:b/>
        </w:rPr>
        <w:t xml:space="preserve">DOI: </w:t>
      </w:r>
      <w:hyperlink r:id="rId526">
        <w:r>
          <w:rPr>
            <w:color w:val="1155CC"/>
            <w:u w:val="single"/>
          </w:rPr>
          <w:t>10.1002/anie.7585384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铁卟啉配合物构成了一类成熟且多功能的用于还原 CO 的分子电催化剂</w:t>
      </w:r>
      <w:r>
        <w:rPr>
          <w:vertAlign w:val="subscript"/>
        </w:rPr>
        <w:t>2</w:t>
      </w:r>
      <w:r>
        <w:t>在有机和水介质中，反应机理通常涉及 CO 的相互作用</w:t>
      </w:r>
      <w:r>
        <w:rPr>
          <w:vertAlign w:val="subscript"/>
        </w:rPr>
        <w:t>2</w:t>
      </w:r>
      <w:r>
        <w:t>具有正式定义的[(卟啉)Fe</w:t>
      </w:r>
      <w:r>
        <w:rPr>
          <w:vertAlign w:val="subscript"/>
        </w:rPr>
        <w:t>0</w:t>
      </w:r>
      <w:r>
        <w:t>] 中间。在这项工作中，我们对 CO 进行了机理研究</w:t>
      </w:r>
      <w:r>
        <w:rPr>
          <w:vertAlign w:val="subscript"/>
        </w:rPr>
        <w:t>2</w:t>
      </w:r>
      <w:r>
        <w:t>使用水溶性络合物[(</w:t>
      </w:r>
      <w:r>
        <w:t xml:space="preserve"> </w:t>
      </w:r>
      <w:r>
        <w:t>p</w:t>
      </w:r>
      <w:r>
        <w:t xml:space="preserve"> </w:t>
      </w:r>
      <w:r>
        <w:t>TMA)铁</w:t>
      </w:r>
      <w:r>
        <w:t xml:space="preserve"> </w:t>
      </w:r>
      <w:r>
        <w:t>三、</w:t>
      </w:r>
      <w:r>
        <w:t xml:space="preserve"> </w:t>
      </w:r>
      <w:r>
        <w:t>氯]氯</w:t>
      </w:r>
      <w:r>
        <w:rPr>
          <w:vertAlign w:val="subscript"/>
        </w:rPr>
        <w:t>4</w:t>
      </w:r>
      <w:r>
        <w:t>在水性条件下。采用原位扫描光谱电化学，能够在循环伏安实验期间同步采集紫外-可见光或红外光谱。我们的结果为 CO 的存在提供了有力的证据</w:t>
      </w:r>
      <w:r>
        <w:rPr>
          <w:vertAlign w:val="subscript"/>
        </w:rPr>
        <w:t>2</w:t>
      </w:r>
      <w:r>
        <w:t>结合到电产生的[(</w:t>
      </w:r>
      <w:r>
        <w:t xml:space="preserve"> </w:t>
      </w:r>
      <w:r>
        <w:t>p</w:t>
      </w:r>
      <w:r>
        <w:t xml:space="preserve"> </w:t>
      </w:r>
      <w:r>
        <w:t>TMA)铁</w:t>
      </w:r>
      <w:r>
        <w:t xml:space="preserve"> </w:t>
      </w:r>
      <w:r>
        <w:t>我</w:t>
      </w:r>
      <w:r>
        <w:t xml:space="preserve"> </w:t>
      </w:r>
      <w:r>
        <w:t>]</w:t>
      </w:r>
      <w:r>
        <w:t xml:space="preserve"> </w:t>
      </w:r>
      <w:r>
        <w:t>3+</w:t>
      </w:r>
      <w:r>
        <w:t xml:space="preserve"> </w:t>
      </w:r>
      <w:r>
        <w:t>物种，然后还原 C─O 键断裂，产生稳定的 [(</w:t>
      </w:r>
      <w:r>
        <w:t xml:space="preserve"> </w:t>
      </w:r>
      <w:r>
        <w:t>p</w:t>
      </w:r>
      <w:r>
        <w:t xml:space="preserve"> </w:t>
      </w:r>
      <w:r>
        <w:t>TMA)(Cl)Fe</w:t>
      </w:r>
      <w:r>
        <w:t xml:space="preserve"> </w:t>
      </w:r>
      <w:r>
        <w:t>二</w:t>
      </w:r>
      <w:r>
        <w:t xml:space="preserve"> </w:t>
      </w:r>
      <w:r>
        <w:t>‐CO]</w:t>
      </w:r>
      <w:r>
        <w:rPr>
          <w:vertAlign w:val="subscript"/>
        </w:rPr>
        <w:t>3</w:t>
      </w:r>
      <w:r>
        <w:t>+</w:t>
      </w:r>
      <w:r>
        <w:t xml:space="preserve"> </w:t>
      </w:r>
      <w:r>
        <w:t>复杂。这个过程对应于每个铁中心的整体双电子还原。这种机制以前没有被分子i考虑过</w:t>
      </w:r>
    </w:p>
    <w:p>
      <w:pPr>
        <w:spacing w:before="0" w:after="200" w:lineRule="auto" w:line="276"/>
      </w:pPr>
      <w:r>
        <w:rPr>
          <w:b/>
        </w:rPr>
        <w:t xml:space="preserve">Abstract (EN): </w:t>
      </w:r>
      <w:r>
        <w:t>Iron porphyrin complexes constitute a well‐established and versatile class of molecular electrocatalysts for the reduction of CO</w:t>
      </w:r>
      <w:r>
        <w:rPr>
          <w:vertAlign w:val="subscript"/>
        </w:rPr>
        <w:t>2</w:t>
      </w:r>
      <w:r>
        <w:t>to CO. In both organic and aqueous media, the reaction mechanism is typically proposed to involve the interaction of CO</w:t>
      </w:r>
      <w:r>
        <w:rPr>
          <w:vertAlign w:val="subscript"/>
        </w:rPr>
        <w:t>2</w:t>
      </w:r>
      <w:r>
        <w:t>with a formally defined [(porphyrin)Fe</w:t>
      </w:r>
      <w:r>
        <w:rPr>
          <w:vertAlign w:val="subscript"/>
        </w:rPr>
        <w:t>0</w:t>
      </w:r>
      <w:r>
        <w:t>] intermediate. In this work, we performed a mechanistic investigation of CO</w:t>
      </w:r>
      <w:r>
        <w:rPr>
          <w:vertAlign w:val="subscript"/>
        </w:rPr>
        <w:t>2</w:t>
      </w:r>
      <w:r>
        <w:t>reduction using the water‐soluble complex [(</w:t>
      </w:r>
      <w:r>
        <w:t xml:space="preserve"> </w:t>
      </w:r>
      <w:r>
        <w:t>p</w:t>
      </w:r>
      <w:r>
        <w:t xml:space="preserve"> </w:t>
      </w:r>
      <w:r>
        <w:t>TMA)Fe</w:t>
      </w:r>
      <w:r>
        <w:t xml:space="preserve"> </w:t>
      </w:r>
      <w:r>
        <w:t>III</w:t>
      </w:r>
      <w:r>
        <w:t xml:space="preserve"> </w:t>
      </w:r>
      <w:r>
        <w:t>Cl]Cl</w:t>
      </w:r>
      <w:r>
        <w:rPr>
          <w:vertAlign w:val="subscript"/>
        </w:rPr>
        <w:t>4</w:t>
      </w:r>
      <w:r>
        <w:t>under aqueous conditions. In situ scanning spectroelectrochemistry was employed, enabling the synchronized acquisition of UV–vis or IR spectra during cyclic voltammetry experiments. Our results provide strong evidence for CO</w:t>
      </w:r>
      <w:r>
        <w:rPr>
          <w:vertAlign w:val="subscript"/>
        </w:rPr>
        <w:t>2</w:t>
      </w:r>
      <w:r>
        <w:t>binding to the electrogenerated [(</w:t>
      </w:r>
      <w:r>
        <w:t xml:space="preserve"> </w:t>
      </w:r>
      <w:r>
        <w:t>p</w:t>
      </w:r>
      <w:r>
        <w:t xml:space="preserve"> </w:t>
      </w:r>
      <w:r>
        <w:t>TMA)Fe</w:t>
      </w:r>
      <w:r>
        <w:t xml:space="preserve"> </w:t>
      </w:r>
      <w:r>
        <w:t>I</w:t>
      </w:r>
      <w:r>
        <w:t xml:space="preserve"> </w:t>
      </w:r>
      <w:r>
        <w:t>]</w:t>
      </w:r>
      <w:r>
        <w:t xml:space="preserve"> </w:t>
      </w:r>
      <w:r>
        <w:t>3+</w:t>
      </w:r>
      <w:r>
        <w:t xml:space="preserve"> </w:t>
      </w:r>
      <w:r>
        <w:t>species, followed by reductive C─O bond cleavage to yield a stable [(</w:t>
      </w:r>
      <w:r>
        <w:t xml:space="preserve"> </w:t>
      </w:r>
      <w:r>
        <w:t>p</w:t>
      </w:r>
      <w:r>
        <w:t xml:space="preserve"> </w:t>
      </w:r>
      <w:r>
        <w:t>TMA)(Cl)Fe</w:t>
      </w:r>
      <w:r>
        <w:t xml:space="preserve"> </w:t>
      </w:r>
      <w:r>
        <w:t>II</w:t>
      </w:r>
      <w:r>
        <w:t xml:space="preserve"> </w:t>
      </w:r>
      <w:r>
        <w:t>‐CO]</w:t>
      </w:r>
      <w:r>
        <w:rPr>
          <w:vertAlign w:val="subscript"/>
        </w:rPr>
        <w:t>3</w:t>
      </w:r>
      <w:r>
        <w:t>+</w:t>
      </w:r>
      <w:r>
        <w:t xml:space="preserve"> </w:t>
      </w:r>
      <w:r>
        <w:t>complex. This process corresponds to an overall two‐electron reduction per iron center. This mechanism, which has not been previously considered for molecular iron porphyrins in CO</w:t>
      </w:r>
      <w:r>
        <w:rPr>
          <w:vertAlign w:val="subscript"/>
        </w:rPr>
        <w:t>2</w:t>
      </w:r>
      <w:r>
        <w:t>reduction, is proposed to be facilitated by the charged porphyrin periphery and the hydrogen‐bonding network of the aqueous medium. These features may open new avenues toward achieving CO</w:t>
      </w:r>
      <w:r>
        <w:rPr>
          <w:vertAlign w:val="subscript"/>
        </w:rPr>
        <w:t>2</w:t>
      </w:r>
      <w:r>
        <w:t>reduction at lower overpotentials in water.</w:t>
      </w:r>
    </w:p>
    <w:p>
      <w:pPr>
        <w:spacing w:before="120" w:after="120"/>
      </w:pPr>
      <w:r>
        <w:rPr>
          <w:sz w:val="18"/>
        </w:rPr>
        <w:t>——————————————————————————————————————————————————————————————————————</w:t>
      </w:r>
    </w:p>
    <w:p>
      <w:pPr>
        <w:spacing w:before="160" w:after="40" w:line="240" w:lineRule="auto"/>
      </w:pPr>
      <w:r>
        <w:rPr>
          <w:b/>
        </w:rPr>
        <w:t xml:space="preserve">[25] </w:t>
      </w:r>
      <w:hyperlink r:id="rId527">
        <w:r>
          <w:rPr>
            <w:color w:val="1155CC"/>
            <w:u w:val="single"/>
          </w:rPr>
          <w:t>通过构建*CO─H2O反应微区解锁CO2正丙醇电合成</w:t>
        </w:r>
      </w:hyperlink>
    </w:p>
    <w:p>
      <w:pPr>
        <w:spacing w:before="0" w:after="80"/>
      </w:pPr>
      <w:r>
        <w:rPr>
          <w:i/>
          <w:sz w:val="20"/>
        </w:rPr>
        <w:t>EN: Unlocking n‐Propanol Electrosynthesis From CO2 via Constructing *CO─H2O Reaction Microregion</w:t>
      </w:r>
    </w:p>
    <w:p>
      <w:pPr>
        <w:spacing w:before="0" w:after="120"/>
      </w:pPr>
      <w:r>
        <w:rPr>
          <w:b/>
        </w:rPr>
        <w:t xml:space="preserve">Source: </w:t>
      </w:r>
      <w:r>
        <w:t>Wiley: Angewandte Chemie International Edition: Table of Contents</w:t>
      </w:r>
      <w:r>
        <w:t xml:space="preserve">    </w:t>
      </w:r>
      <w:r>
        <w:rPr>
          <w:b/>
        </w:rPr>
        <w:t xml:space="preserve">Pub date: </w:t>
      </w:r>
      <w:r>
        <w:t>2026-08-05 13:50:20+00:00</w:t>
      </w:r>
      <w:r>
        <w:t xml:space="preserve">    </w:t>
      </w:r>
      <w:r>
        <w:rPr>
          <w:b/>
        </w:rPr>
        <w:t xml:space="preserve">DOI: </w:t>
      </w:r>
      <w:hyperlink r:id="rId528">
        <w:r>
          <w:rPr>
            <w:color w:val="1155CC"/>
            <w:u w:val="single"/>
          </w:rPr>
          <w:t>10.1002/anie.4139411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CO的选择性电还原</w:t>
      </w:r>
      <w:r>
        <w:rPr>
          <w:vertAlign w:val="subscript"/>
        </w:rPr>
        <w:t>2</w:t>
      </w:r>
      <w:r>
        <w:t>（一氧化碳</w:t>
      </w:r>
      <w:r>
        <w:rPr>
          <w:vertAlign w:val="subscript"/>
        </w:rPr>
        <w:t>2</w:t>
      </w:r>
      <w:r>
        <w:t>RR) 至</w:t>
      </w:r>
      <w:r>
        <w:t xml:space="preserve"> </w:t>
      </w:r>
      <w:r>
        <w:t>n</w:t>
      </w:r>
      <w:r>
        <w:t xml:space="preserve"> </w:t>
      </w:r>
      <w:r>
        <w:t>‐丙醇代表了低碳化学合成的一条有前途的路线。然而，由于 *CO 利用率低下以及来自 C 的激烈竞争，在工业相关电流密度下实现高选择性仍然具有挑战性。</w:t>
      </w:r>
      <w:r>
        <w:rPr>
          <w:vertAlign w:val="subscript"/>
        </w:rPr>
        <w:t>2</w:t>
      </w:r>
      <w:r>
        <w:t>产品。在这里，我们证明了 Cu</w:t>
      </w:r>
      <w:r>
        <w:rPr>
          <w:vertAlign w:val="subscript"/>
        </w:rPr>
        <w:t>2</w:t>
      </w:r>
      <w:r>
        <w:t>氧/氧化铈</w:t>
      </w:r>
      <w:r>
        <w:rPr>
          <w:vertAlign w:val="subscript"/>
        </w:rPr>
        <w:t>2</w:t>
      </w:r>
      <w:r>
        <w:t>界面催化剂通过构建 *CO─H 克服了这些限制</w:t>
      </w:r>
      <w:r>
        <w:rPr>
          <w:vertAlign w:val="subscript"/>
        </w:rPr>
        <w:t>2</w:t>
      </w:r>
      <w:r>
        <w:t>促进选择性 C 的 O 反应微区</w:t>
      </w:r>
      <w:r>
        <w:rPr>
          <w:vertAlign w:val="subscript"/>
        </w:rPr>
        <w:t>1</w:t>
      </w:r>
      <w:r>
        <w:t>─C</w:t>
      </w:r>
      <w:r>
        <w:rPr>
          <w:vertAlign w:val="subscript"/>
        </w:rPr>
        <w:t>2</w:t>
      </w:r>
      <w:r>
        <w:t>耦合。同位素竞争原位微分电化学质谱（DEMS）表明，CeO</w:t>
      </w:r>
      <w:r>
        <w:rPr>
          <w:vertAlign w:val="subscript"/>
        </w:rPr>
        <w:t>2</w:t>
      </w:r>
      <w:r>
        <w:t>‐诱导的界面结构改变了活化CO的质子化途径</w:t>
      </w:r>
      <w:r>
        <w:rPr>
          <w:vertAlign w:val="subscript"/>
        </w:rPr>
        <w:t>2</w:t>
      </w:r>
      <w:r>
        <w:t>从吸附氢到溶剂氢，从而产生高局部 *CO 通量。在CO下</w:t>
      </w:r>
      <w:r>
        <w:rPr>
          <w:vertAlign w:val="subscript"/>
        </w:rPr>
        <w:t>2</w:t>
      </w:r>
      <w:r>
        <w:t>RR条件下，*CO─H</w:t>
      </w:r>
      <w:r>
        <w:rPr>
          <w:vertAlign w:val="subscript"/>
        </w:rPr>
        <w:t>2</w:t>
      </w:r>
      <w:r>
        <w:t>O反应微区是由高密度*CO和松散的氢键水分子之间的非共价相互作用产生的。时间分辨脉冲光谱和理论计算证实该微区域动态限制*CO</w:t>
      </w:r>
    </w:p>
    <w:p>
      <w:pPr>
        <w:spacing w:before="0" w:after="200" w:lineRule="auto" w:line="276"/>
      </w:pPr>
      <w:r>
        <w:rPr>
          <w:b/>
        </w:rPr>
        <w:t xml:space="preserve">Abstract (EN): </w:t>
      </w:r>
      <w:r>
        <w:t>Selective electroreduction of CO</w:t>
      </w:r>
      <w:r>
        <w:rPr>
          <w:vertAlign w:val="subscript"/>
        </w:rPr>
        <w:t>2</w:t>
      </w:r>
      <w:r>
        <w:t>(CO</w:t>
      </w:r>
      <w:r>
        <w:rPr>
          <w:vertAlign w:val="subscript"/>
        </w:rPr>
        <w:t>2</w:t>
      </w:r>
      <w:r>
        <w:t>RR) to</w:t>
      </w:r>
      <w:r>
        <w:t xml:space="preserve"> </w:t>
      </w:r>
      <w:r>
        <w:t>n</w:t>
      </w:r>
      <w:r>
        <w:t xml:space="preserve"> </w:t>
      </w:r>
      <w:r>
        <w:t>‐propanol represents a promising route for low‐carbon chemical synthesis. However, achieving high selectivity at industrially relevant current densities remains challenging due to inefficient *CO utilization and strong competition from C</w:t>
      </w:r>
      <w:r>
        <w:rPr>
          <w:vertAlign w:val="subscript"/>
        </w:rPr>
        <w:t>2</w:t>
      </w:r>
      <w:r>
        <w:t>products. Herein, we demonstrate that a Cu</w:t>
      </w:r>
      <w:r>
        <w:rPr>
          <w:vertAlign w:val="subscript"/>
        </w:rPr>
        <w:t>2</w:t>
      </w:r>
      <w:r>
        <w:t>O/CeO</w:t>
      </w:r>
      <w:r>
        <w:rPr>
          <w:vertAlign w:val="subscript"/>
        </w:rPr>
        <w:t>2</w:t>
      </w:r>
      <w:r>
        <w:t>interfacial catalyst overcomes these limitations by constructing a *CO─H</w:t>
      </w:r>
      <w:r>
        <w:rPr>
          <w:vertAlign w:val="subscript"/>
        </w:rPr>
        <w:t>2</w:t>
      </w:r>
      <w:r>
        <w:t>O reaction microregion that facilitates selective C</w:t>
      </w:r>
      <w:r>
        <w:rPr>
          <w:vertAlign w:val="subscript"/>
        </w:rPr>
        <w:t>1</w:t>
      </w:r>
      <w:r>
        <w:t>─C</w:t>
      </w:r>
      <w:r>
        <w:rPr>
          <w:vertAlign w:val="subscript"/>
        </w:rPr>
        <w:t>2</w:t>
      </w:r>
      <w:r>
        <w:t>coupling. Isotope‐competitive in situ differential electrochemical mass spectrometry (DEMS) reveals that the CeO</w:t>
      </w:r>
      <w:r>
        <w:rPr>
          <w:vertAlign w:val="subscript"/>
        </w:rPr>
        <w:t>2</w:t>
      </w:r>
      <w:r>
        <w:t>‐induced interfacial structure shifts protonation pathway of activated CO</w:t>
      </w:r>
      <w:r>
        <w:rPr>
          <w:vertAlign w:val="subscript"/>
        </w:rPr>
        <w:t>2</w:t>
      </w:r>
      <w:r>
        <w:t>from adsorbed hydrogen to solvent hydrogen, thereby generating high local *CO flux. Under CO</w:t>
      </w:r>
      <w:r>
        <w:rPr>
          <w:vertAlign w:val="subscript"/>
        </w:rPr>
        <w:t>2</w:t>
      </w:r>
      <w:r>
        <w:t>RR conditions, the *CO─H</w:t>
      </w:r>
      <w:r>
        <w:rPr>
          <w:vertAlign w:val="subscript"/>
        </w:rPr>
        <w:t>2</w:t>
      </w:r>
      <w:r>
        <w:t>O reaction microregion arises from non−covalent interaction between high‐density *CO and loosely H‐bonded water molecules. Time‐resolved pulsed spectroscopy and theoretical calculations confirmed that this microregion dynamically confines *CO and reduces their molecular orbital degeneracy, enhancing *CO availability for C─C coupling reaction. Site‐specific kinetics isotope effect experiments further indicate the reaction microenvironment promotes *CO attack on the α carbon of *C</w:t>
      </w:r>
      <w:r>
        <w:rPr>
          <w:vertAlign w:val="subscript"/>
        </w:rPr>
        <w:t>2</w:t>
      </w:r>
      <w:r>
        <w:t>intermediates, effectively steering reaction pathway toward</w:t>
      </w:r>
      <w:r>
        <w:t xml:space="preserve"> </w:t>
      </w:r>
      <w:r>
        <w:t>n</w:t>
      </w:r>
      <w:r>
        <w:t xml:space="preserve"> </w:t>
      </w:r>
      <w:r>
        <w:t>‐propanol. As a result, the catalyst achieves</w:t>
      </w:r>
      <w:r>
        <w:t xml:space="preserve"> </w:t>
      </w:r>
      <w:r>
        <w:t>n</w:t>
      </w:r>
      <w:r>
        <w:t xml:space="preserve"> </w:t>
      </w:r>
      <w:r>
        <w:t>‐propanol Faradaic efficiency (FE) of 26.1%. These findings underscore the significance of non‐covalent interactions between intermediates and electrolyte in controlling proton‐related surface reaction, offering opportunities for steering electrocatalytic pathways toward valuable products.</w:t>
      </w:r>
    </w:p>
    <w:p>
      <w:pPr>
        <w:spacing w:before="120" w:after="120"/>
      </w:pPr>
      <w:r>
        <w:rPr>
          <w:sz w:val="18"/>
        </w:rPr>
        <w:t>——————————————————————————————————————————————————————————————————————</w:t>
      </w:r>
    </w:p>
    <w:p>
      <w:pPr>
        <w:spacing w:before="160" w:after="40" w:line="240" w:lineRule="auto"/>
      </w:pPr>
      <w:r>
        <w:rPr>
          <w:b/>
        </w:rPr>
        <w:t xml:space="preserve">[26] </w:t>
      </w:r>
      <w:hyperlink r:id="rId416">
        <w:r>
          <w:rPr>
            <w:color w:val="1155CC"/>
            <w:u w:val="single"/>
          </w:rPr>
          <w:t>调节单原子催化剂的局域配位：从基本概念到电催化的新兴突破</w:t>
        </w:r>
      </w:hyperlink>
    </w:p>
    <w:p>
      <w:pPr>
        <w:spacing w:before="0" w:after="80"/>
      </w:pPr>
      <w:r>
        <w:rPr>
          <w:i/>
          <w:sz w:val="20"/>
        </w:rPr>
        <w:t>EN: Modulating Local Coordination in Single‐Atom Catalysts: From Fundamental Concepts to Emerging Breakthroughs in Electrocatalysis</w:t>
      </w:r>
    </w:p>
    <w:p>
      <w:pPr>
        <w:spacing w:before="0" w:after="120"/>
      </w:pPr>
      <w:r>
        <w:rPr>
          <w:b/>
        </w:rPr>
        <w:t xml:space="preserve">Source: </w:t>
      </w:r>
      <w:r>
        <w:t>Wiley: Angewandte Chemie International Edition: Table of Contents</w:t>
      </w:r>
      <w:r>
        <w:t xml:space="preserve">    </w:t>
      </w:r>
      <w:r>
        <w:rPr>
          <w:b/>
        </w:rPr>
        <w:t xml:space="preserve">Pub date: </w:t>
      </w:r>
      <w:r>
        <w:t>2026-08-05 14:08:16+00:00</w:t>
      </w:r>
      <w:r>
        <w:t xml:space="preserve">    </w:t>
      </w:r>
      <w:r>
        <w:rPr>
          <w:b/>
        </w:rPr>
        <w:t xml:space="preserve">DOI: </w:t>
      </w:r>
      <w:hyperlink r:id="rId417">
        <w:r>
          <w:rPr>
            <w:color w:val="1155CC"/>
            <w:u w:val="single"/>
          </w:rPr>
          <w:t>10.1002/anie.3059499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SAC）因其最大的原子效率、结构精度和独特的催化性能而引起了人们的极大兴趣。虽然SAC中的中心金属原子作为主要活性位点，但其催化行为受到周围环境的强烈影响。局部配位层在调节电子结构和反应途径中发挥着关键作用，从而控制SAC的整体活性、选择性和稳定性。因此，通过合理的工程策略精确调节这种协调环境对于优化 SAC 的性能至关重要。尽管人们的兴趣日益浓厚，但与以合成/应用为中心的综述不同，通过电子描述符系统分析局部配位环境和金属支撑相互作用的综合综述仍然很少。在这篇综述文章中，我们提供了原子级、描述符驱动的配位效应对 SAC 电催化性能的分析，强调了中心金属原子及其配位球之间在激活水分解和氧气/二氧化碳还原等反应中的关键中间体方面的协同相互作用。我们还强调了 SAC 先进合成策略的独特特征，以及光谱和显微技术在阐明结构-活性关系中的关键作用，特别注重整合操作研究和理论计算。最后，最近的进展、仍然存在的挑战、</w:t>
      </w:r>
    </w:p>
    <w:p>
      <w:pPr>
        <w:spacing w:before="0" w:after="200" w:lineRule="auto" w:line="276"/>
      </w:pPr>
      <w:r>
        <w:rPr>
          <w:b/>
        </w:rPr>
        <w:t xml:space="preserve">Abstract (EN): </w:t>
      </w:r>
      <w:r>
        <w:t>Single‐atom catalysts (SACs) have attracted significant interest due to their maximized atom efficiency, structural precision, and unique catalytic properties. While the central metal atom in SACs serves as the primary active site, its catalytic behavior is strongly influenced by the surrounding environment. The local coordination sphere plays a critical role in modulating the electronic structure and reaction pathway, thereby governing the overall activity, selectivity, and stability of SACs. Consequently, precise regulation of this coordination environment through rational engineering strategies is essential for optimizing the performance of SACs. Despite growing interest, comprehensive reviews systematically analyzing local coordination environments and metal‐support interactions via electronic descriptors remain scarce, unlike synthesis/application‐focused ones. In this review article, we provide an atomic‐level, descriptor‐driven analysis of coordination effects on the electrocatalytic performance of SACs, emphasizing the synergistic interplay between central metal atoms and their coordination spheres in activating key intermediates in reactions such as water splitting and oxygen/carbon dioxide reduction. We also highlight the unique features of advanced synthetic strategies for SACs, alongside the critical role of spectroscopic and microscopic techniques in elucidating structure–activity relationships, with particular focus on integrating operando investigations and theoretical calculations. Finally, recent advances, remaining challenges, and future opportunities in coordination‐regulated SAC electrocatalysis are discussed.</w:t>
      </w:r>
    </w:p>
    <w:p>
      <w:pPr>
        <w:spacing w:before="120" w:after="120"/>
      </w:pPr>
      <w:r>
        <w:rPr>
          <w:sz w:val="18"/>
        </w:rPr>
        <w:t>——————————————————————————————————————————————————————————————————————</w:t>
      </w:r>
    </w:p>
    <w:p>
      <w:pPr>
        <w:spacing w:before="160" w:after="40" w:line="240" w:lineRule="auto"/>
      </w:pPr>
      <w:r>
        <w:rPr>
          <w:b/>
        </w:rPr>
        <w:t xml:space="preserve">[27] </w:t>
      </w:r>
      <w:hyperlink r:id="rId529">
        <w:r>
          <w:rPr>
            <w:color w:val="1155CC"/>
            <w:u w:val="single"/>
          </w:rPr>
          <w:t>光子到声子途径与活性晶格氧之间的协同作用可实现高效稳定的合成气合成</w:t>
        </w:r>
      </w:hyperlink>
    </w:p>
    <w:p>
      <w:pPr>
        <w:spacing w:before="0" w:after="80"/>
      </w:pPr>
      <w:r>
        <w:rPr>
          <w:i/>
          <w:sz w:val="20"/>
        </w:rPr>
        <w:t>EN: Synergy Between Photon‐to‐Phonon Pathway and Active Lattice Oxygen Enables Efficient and Stable Syngas Synthesis</w:t>
      </w:r>
    </w:p>
    <w:p>
      <w:pPr>
        <w:spacing w:before="0" w:after="120"/>
      </w:pPr>
      <w:r>
        <w:rPr>
          <w:b/>
        </w:rPr>
        <w:t xml:space="preserve">Source: </w:t>
      </w:r>
      <w:r>
        <w:t>Wiley: Angewandte Chemie International Edition: Table of Contents</w:t>
      </w:r>
      <w:r>
        <w:t xml:space="preserve">    </w:t>
      </w:r>
      <w:r>
        <w:rPr>
          <w:b/>
        </w:rPr>
        <w:t xml:space="preserve">Pub date: </w:t>
      </w:r>
      <w:r>
        <w:t>2026-08-05 14:25:22+00:00</w:t>
      </w:r>
      <w:r>
        <w:t xml:space="preserve">    </w:t>
      </w:r>
      <w:r>
        <w:rPr>
          <w:b/>
        </w:rPr>
        <w:t xml:space="preserve">DOI: </w:t>
      </w:r>
      <w:hyperlink r:id="rId530">
        <w:r>
          <w:rPr>
            <w:color w:val="1155CC"/>
            <w:u w:val="single"/>
          </w:rPr>
          <w:t>10.1002/anie.9236832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光驱动甲烷干重整（DRM）为合成气合成提供了一条有前途的途径，同时减少了二氧化碳的温室气体排放</w:t>
      </w:r>
      <w:r>
        <w:rPr>
          <w:vertAlign w:val="subscript"/>
        </w:rPr>
        <w:t>2</w:t>
      </w:r>
      <w:r>
        <w:t>和CH</w:t>
      </w:r>
      <w:r>
        <w:rPr>
          <w:vertAlign w:val="subscript"/>
        </w:rPr>
        <w:t>4</w:t>
      </w:r>
      <w:r>
        <w:t>。然而，有吸引力的温和温度操作窗口对 C─H/C=O 活化施加了动力学限制，并促进了焦炭形成的热力学趋势，导致效率和稳定性有限。在此，氧化锰(MnO</w:t>
      </w:r>
      <w:r>
        <w:t xml:space="preserve"> </w:t>
      </w:r>
      <w:r>
        <w:t>x</w:t>
      </w:r>
      <w:r>
        <w:t xml:space="preserve"> </w:t>
      </w:r>
      <w:r>
        <w:t>）作为多功能载体，整合经典的Rh催化中心，建立了DRM光热催化剂的新标杆。该系统实现了创纪录的高合成气生产率（H</w:t>
      </w:r>
      <w:r>
        <w:rPr>
          <w:vertAlign w:val="subscript"/>
        </w:rPr>
        <w:t>2</w:t>
      </w:r>
      <w:r>
        <w:t>：948 毫摩尔克</w:t>
      </w:r>
      <w:r>
        <w:t xml:space="preserve"> </w:t>
      </w:r>
      <w:r>
        <w:t>−1</w:t>
      </w:r>
      <w:r>
        <w:t xml:space="preserve"> </w:t>
      </w:r>
      <w:r>
        <w:t>小时</w:t>
      </w:r>
      <w:r>
        <w:t xml:space="preserve"> </w:t>
      </w:r>
      <w:r>
        <w:t>−1</w:t>
      </w:r>
      <w:r>
        <w:t xml:space="preserve"> </w:t>
      </w:r>
      <w:r>
        <w:t>; CO：992 毫摩尔克</w:t>
      </w:r>
      <w:r>
        <w:t xml:space="preserve"> </w:t>
      </w:r>
      <w:r>
        <w:t>−1</w:t>
      </w:r>
      <w:r>
        <w:t xml:space="preserve"> </w:t>
      </w:r>
      <w:r>
        <w:t>小时</w:t>
      </w:r>
      <w:r>
        <w:t xml:space="preserve"> </w:t>
      </w:r>
      <w:r>
        <w:t>−1</w:t>
      </w:r>
      <w:r>
        <w:t xml:space="preserve"> </w:t>
      </w:r>
      <w:r>
        <w:t>）无需外部加热，同时具有出色的长期稳定性（∼500 h）。在相似的温度范围内，这些生产率和稳定性也超过了传统的热催化剂，稳定性超过了大多数热催化剂一个数量级。在单独的低转化率、高气时空速（GHSV）方案下，也可以达到光化学效率（29.5%）。二氧化锰</w:t>
      </w:r>
      <w:r>
        <w:t xml:space="preserve"> </w:t>
      </w:r>
      <w:r>
        <w:t>x</w:t>
      </w:r>
      <w:r>
        <w:t xml:space="preserve"> </w:t>
      </w:r>
      <w:r>
        <w:t>作为宽带光收集器，通过高效的方法产生微米级的局部热场</w:t>
      </w:r>
    </w:p>
    <w:p>
      <w:pPr>
        <w:spacing w:before="0" w:after="200" w:lineRule="auto" w:line="276"/>
      </w:pPr>
      <w:r>
        <w:rPr>
          <w:b/>
        </w:rPr>
        <w:t xml:space="preserve">Abstract (EN): </w:t>
      </w:r>
      <w:r>
        <w:t>Light‐driven dry reforming of methane (DRM) offers a promising route for syngas synthesis while simultaneously mitigating greenhouse gas emissions of CO</w:t>
      </w:r>
      <w:r>
        <w:rPr>
          <w:vertAlign w:val="subscript"/>
        </w:rPr>
        <w:t>2</w:t>
      </w:r>
      <w:r>
        <w:t>and CH</w:t>
      </w:r>
      <w:r>
        <w:rPr>
          <w:vertAlign w:val="subscript"/>
        </w:rPr>
        <w:t>4</w:t>
      </w:r>
      <w:r>
        <w:t>. However, the attractive mild‐temperature operating window imposes kinetic constraints on C─H/C═O activation and promotes thermodynamic tendencies for coke formation, resulting in limited efficiency and stability. Herein, manganese oxide (MnO</w:t>
      </w:r>
      <w:r>
        <w:t xml:space="preserve"> </w:t>
      </w:r>
      <w:r>
        <w:t>x</w:t>
      </w:r>
      <w:r>
        <w:t xml:space="preserve"> </w:t>
      </w:r>
      <w:r>
        <w:t>) is employed as a multifunctional support to integrate the classic Rh catalytic center, establishing a new benchmark photothermo catalyst for DRM. The system achieves record‐high syngas production rates (H</w:t>
      </w:r>
      <w:r>
        <w:rPr>
          <w:vertAlign w:val="subscript"/>
        </w:rPr>
        <w:t>2</w:t>
      </w:r>
      <w:r>
        <w:t>: 948 mmol g</w:t>
      </w:r>
      <w:r>
        <w:t xml:space="preserve"> </w:t>
      </w:r>
      <w:r>
        <w:t>−1</w:t>
      </w:r>
      <w:r>
        <w:t xml:space="preserve"> </w:t>
      </w:r>
      <w:r>
        <w:t>h</w:t>
      </w:r>
      <w:r>
        <w:t xml:space="preserve"> </w:t>
      </w:r>
      <w:r>
        <w:t>−1</w:t>
      </w:r>
      <w:r>
        <w:t xml:space="preserve"> </w:t>
      </w:r>
      <w:r>
        <w:t>; CO: 992 mmol g</w:t>
      </w:r>
      <w:r>
        <w:t xml:space="preserve"> </w:t>
      </w:r>
      <w:r>
        <w:t>−1</w:t>
      </w:r>
      <w:r>
        <w:t xml:space="preserve"> </w:t>
      </w:r>
      <w:r>
        <w:t>h</w:t>
      </w:r>
      <w:r>
        <w:t xml:space="preserve"> </w:t>
      </w:r>
      <w:r>
        <w:t>−1</w:t>
      </w:r>
      <w:r>
        <w:t xml:space="preserve"> </w:t>
      </w:r>
      <w:r>
        <w:t>) without external heating, alongside exceptional long‐term stability (∼500 h). These production rates and stability also surpass conventional thermocatalysts in similar temperature ranges, with stability exceeding most thermocatalysts by an order of magnitude. Under a separate low‐conversion, high‐gas hourly space velocity (GHSV) protocol, a light‐to‐chemical efficiency (29.5%) can also be reached. MnO</w:t>
      </w:r>
      <w:r>
        <w:t xml:space="preserve"> </w:t>
      </w:r>
      <w:r>
        <w:t>x</w:t>
      </w:r>
      <w:r>
        <w:t xml:space="preserve"> </w:t>
      </w:r>
      <w:r>
        <w:t>functions as a broadband light harvester, generating a localized thermal field at the micrometre‐scale via an efficient photon‐to‐phonon pathway to facilitate C─H bond activation on Rh. Concurrently, its active lattice oxygen enables a dynamic O</w:t>
      </w:r>
      <w:r>
        <w:t xml:space="preserve"> </w:t>
      </w:r>
      <w:r>
        <w:t>L</w:t>
      </w:r>
      <w:r>
        <w:t xml:space="preserve"> </w:t>
      </w:r>
      <w:r>
        <w:t>‐O</w:t>
      </w:r>
      <w:r>
        <w:t xml:space="preserve"> </w:t>
      </w:r>
      <w:r>
        <w:t>V</w:t>
      </w:r>
      <w:r>
        <w:t xml:space="preserve"> </w:t>
      </w:r>
      <w:r>
        <w:t>cycle for timely removal of C* intermediates and C═O activation. This work underscores the critical role of support engineering in advancing light‐driven DRM.</w:t>
      </w:r>
    </w:p>
    <w:p>
      <w:pPr>
        <w:spacing w:before="120" w:after="120"/>
      </w:pPr>
      <w:r>
        <w:rPr>
          <w:sz w:val="18"/>
        </w:rPr>
        <w:t>——————————————————————————————————————————————————————————————————————</w:t>
      </w:r>
    </w:p>
    <w:p>
      <w:pPr>
        <w:spacing w:before="160" w:after="40" w:line="240" w:lineRule="auto"/>
      </w:pPr>
      <w:r>
        <w:rPr>
          <w:b/>
        </w:rPr>
        <w:t xml:space="preserve">[28] </w:t>
      </w:r>
      <w:hyperlink r:id="rId531">
        <w:r>
          <w:rPr>
            <w:color w:val="1155CC"/>
            <w:u w:val="single"/>
          </w:rPr>
          <w:t>用于合成气电合成的簇基金属有机框架发散孔内表面活性剂的改性</w:t>
        </w:r>
      </w:hyperlink>
    </w:p>
    <w:p>
      <w:pPr>
        <w:spacing w:before="0" w:after="80"/>
      </w:pPr>
      <w:r>
        <w:rPr>
          <w:i/>
          <w:sz w:val="20"/>
        </w:rPr>
        <w:t>EN: Modifying Surfactants Within Divergent Pores of Cluster‐Based Metal‐Organic Frameworks for Syngas Electrosynthesis</w:t>
      </w:r>
    </w:p>
    <w:p>
      <w:pPr>
        <w:spacing w:before="0" w:after="120"/>
      </w:pPr>
      <w:r>
        <w:rPr>
          <w:b/>
        </w:rPr>
        <w:t xml:space="preserve">Source: </w:t>
      </w:r>
      <w:r>
        <w:t>Wiley: Angewandte Chemie International Edition: Table of Contents</w:t>
      </w:r>
      <w:r>
        <w:t xml:space="preserve">    </w:t>
      </w:r>
      <w:r>
        <w:rPr>
          <w:b/>
        </w:rPr>
        <w:t xml:space="preserve">Pub date: </w:t>
      </w:r>
      <w:r>
        <w:t>2026-08-05 16:51:20+00:00</w:t>
      </w:r>
      <w:r>
        <w:t xml:space="preserve">    </w:t>
      </w:r>
      <w:r>
        <w:rPr>
          <w:b/>
        </w:rPr>
        <w:t xml:space="preserve">DOI: </w:t>
      </w:r>
      <w:hyperlink r:id="rId532">
        <w:r>
          <w:rPr>
            <w:color w:val="1155CC"/>
            <w:u w:val="single"/>
          </w:rPr>
          <w:t>10.1002/anie.3694976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CO的电化学还原</w:t>
      </w:r>
      <w:r>
        <w:rPr>
          <w:vertAlign w:val="subscript"/>
        </w:rPr>
        <w:t>2</w:t>
      </w:r>
      <w:r>
        <w:t>合成气（CO 和 H</w:t>
      </w:r>
      <w:r>
        <w:rPr>
          <w:vertAlign w:val="subscript"/>
        </w:rPr>
        <w:t>2</w:t>
      </w:r>
      <w:r>
        <w:t>）提供了合成燃料的潜在途径，但使用成分不变的催化剂在大范围内调节合成气成分的能力面临相当大的困难。在此，我们报告了一种掺入铵的新策略（R</w:t>
      </w:r>
      <w:r>
        <w:rPr>
          <w:vertAlign w:val="subscript"/>
        </w:rPr>
        <w:t>4</w:t>
      </w:r>
      <w:r>
        <w:t>氮</w:t>
      </w:r>
      <w:r>
        <w:t xml:space="preserve"> </w:t>
      </w:r>
      <w:r>
        <w:t>+</w:t>
      </w:r>
      <w:r>
        <w:t xml:space="preserve"> </w:t>
      </w:r>
      <w:r>
        <w:t>）表面活性剂进入基于簇的金属有机框架（MOF）的发散孔中以调节电催化CO</w:t>
      </w:r>
      <w:r>
        <w:rPr>
          <w:vertAlign w:val="subscript"/>
        </w:rPr>
        <w:t>2</w:t>
      </w:r>
      <w:r>
        <w:t>和H</w:t>
      </w:r>
      <w:r>
        <w:rPr>
          <w:vertAlign w:val="subscript"/>
        </w:rPr>
        <w:t>2</w:t>
      </w:r>
      <w:r>
        <w:t>减少氧气以实现高效合成气生产。两个不同的簇，包括一个对称的 Cu</w:t>
      </w:r>
      <w:r>
        <w:rPr>
          <w:vertAlign w:val="subscript"/>
        </w:rPr>
        <w:t>6</w:t>
      </w:r>
      <w:r>
        <w:t>S</w:t>
      </w:r>
      <w:r>
        <w:rPr>
          <w:vertAlign w:val="subscript"/>
        </w:rPr>
        <w:t>6</w:t>
      </w:r>
      <w:r>
        <w:t>簇和不对称 Cu</w:t>
      </w:r>
      <w:r>
        <w:rPr>
          <w:vertAlign w:val="subscript"/>
        </w:rPr>
        <w:t>8</w:t>
      </w:r>
      <w:r>
        <w:t>S</w:t>
      </w:r>
      <w:r>
        <w:rPr>
          <w:vertAlign w:val="subscript"/>
        </w:rPr>
        <w:t>6</w:t>
      </w:r>
      <w:r>
        <w:t>MOF 上的簇允许形成两种类型的明确的孔，分别选择性地容纳阳离子季铵表面活性剂及其阴离子抗衡离子，以修饰簇的界面。具有较长烷基链的表面活性剂充分占据MOFs的内孔，抑制质子还原并增强CO</w:t>
      </w:r>
      <w:r>
        <w:rPr>
          <w:vertAlign w:val="subscript"/>
        </w:rPr>
        <w:t>2</w:t>
      </w:r>
      <w:r>
        <w:t>还原，产生可调节的合成气成分，其中含有 CO/H</w:t>
      </w:r>
      <w:r>
        <w:rPr>
          <w:vertAlign w:val="subscript"/>
        </w:rPr>
        <w:t>2</w:t>
      </w:r>
      <w:r>
        <w:t>比率范围为 0.01 至 4.31。通过细心</w:t>
      </w:r>
    </w:p>
    <w:p>
      <w:pPr>
        <w:spacing w:before="0" w:after="200" w:lineRule="auto" w:line="276"/>
      </w:pPr>
      <w:r>
        <w:rPr>
          <w:b/>
        </w:rPr>
        <w:t xml:space="preserve">Abstract (EN): </w:t>
      </w:r>
      <w:r>
        <w:t>The electrochemical reduction of CO</w:t>
      </w:r>
      <w:r>
        <w:rPr>
          <w:vertAlign w:val="subscript"/>
        </w:rPr>
        <w:t>2</w:t>
      </w:r>
      <w:r>
        <w:t>to syngas (CO and H</w:t>
      </w:r>
      <w:r>
        <w:rPr>
          <w:vertAlign w:val="subscript"/>
        </w:rPr>
        <w:t>2</w:t>
      </w:r>
      <w:r>
        <w:t>) provides a potential pathway for synthesizing fuels, but the ability to modulate the syngas composition across a wide range using a catalyst of invariant composition faces considerable difficulties. Herein, we report a new strategy to incorporate ammonium (R</w:t>
      </w:r>
      <w:r>
        <w:rPr>
          <w:vertAlign w:val="subscript"/>
        </w:rPr>
        <w:t>4</w:t>
      </w:r>
      <w:r>
        <w:t>N</w:t>
      </w:r>
      <w:r>
        <w:t xml:space="preserve"> </w:t>
      </w:r>
      <w:r>
        <w:t>+</w:t>
      </w:r>
      <w:r>
        <w:t xml:space="preserve"> </w:t>
      </w:r>
      <w:r>
        <w:t>) surfactants into the divergent pores of cluster‐based metal‐organic frameworks (MOFs) to regulate the electrocatalytic CO</w:t>
      </w:r>
      <w:r>
        <w:rPr>
          <w:vertAlign w:val="subscript"/>
        </w:rPr>
        <w:t>2</w:t>
      </w:r>
      <w:r>
        <w:t>and H</w:t>
      </w:r>
      <w:r>
        <w:rPr>
          <w:vertAlign w:val="subscript"/>
        </w:rPr>
        <w:t>2</w:t>
      </w:r>
      <w:r>
        <w:t>O reduction for efficient syngas production. Two divergent clusters, including a symmetric Cu</w:t>
      </w:r>
      <w:r>
        <w:rPr>
          <w:vertAlign w:val="subscript"/>
        </w:rPr>
        <w:t>6</w:t>
      </w:r>
      <w:r>
        <w:t>S</w:t>
      </w:r>
      <w:r>
        <w:rPr>
          <w:vertAlign w:val="subscript"/>
        </w:rPr>
        <w:t>6</w:t>
      </w:r>
      <w:r>
        <w:t>cluster and an asymmetric Cu</w:t>
      </w:r>
      <w:r>
        <w:rPr>
          <w:vertAlign w:val="subscript"/>
        </w:rPr>
        <w:t>8</w:t>
      </w:r>
      <w:r>
        <w:t>S</w:t>
      </w:r>
      <w:r>
        <w:rPr>
          <w:vertAlign w:val="subscript"/>
        </w:rPr>
        <w:t>6</w:t>
      </w:r>
      <w:r>
        <w:t>cluster on MOFs, allow the formation of two types of well‐defined pores that selectively accommodate cationic quaternary ammonium surfactants and their anionic counterions, respectively, for modifying the interface of the cluster. The surfactants with longer alky chains sufficiently occupy the inner pore of MOFs, and suppress proton reduction and enhance CO</w:t>
      </w:r>
      <w:r>
        <w:rPr>
          <w:vertAlign w:val="subscript"/>
        </w:rPr>
        <w:t>2</w:t>
      </w:r>
      <w:r>
        <w:t>reduction, resulting in tunable syngas compositions, with CO/H</w:t>
      </w:r>
      <w:r>
        <w:rPr>
          <w:vertAlign w:val="subscript"/>
        </w:rPr>
        <w:t>2</w:t>
      </w:r>
      <w:r>
        <w:t>ratios ranging from 0.01 to 4.31. Through careful validation of host‐guest interactions between the surfactants and the pores of coordination polymer</w:t>
      </w:r>
      <w:r>
        <w:t xml:space="preserve"> </w:t>
      </w:r>
      <w:r>
        <w:t>via</w:t>
      </w:r>
      <w:r>
        <w:t xml:space="preserve"> </w:t>
      </w:r>
      <w:r>
        <w:t>co‐crystallization results, the structure‐activity relationship between the surfactants and the catalytic sites was elucidated in depth, providing new insights into the rational regulation of electro‐catalytic pathways via a supramolecular approach.</w:t>
      </w:r>
    </w:p>
    <w:p>
      <w:pPr>
        <w:spacing w:before="120" w:after="120"/>
      </w:pPr>
      <w:r>
        <w:rPr>
          <w:sz w:val="18"/>
        </w:rPr>
        <w:t>——————————————————————————————————————————————————————————————————————</w:t>
      </w:r>
    </w:p>
    <w:p>
      <w:pPr>
        <w:spacing w:before="160" w:after="40" w:line="240" w:lineRule="auto"/>
      </w:pPr>
      <w:r>
        <w:rPr>
          <w:b/>
        </w:rPr>
        <w:t xml:space="preserve">[29] </w:t>
      </w:r>
      <w:hyperlink r:id="rId533">
        <w:r>
          <w:rPr>
            <w:color w:val="1155CC"/>
            <w:u w:val="single"/>
          </w:rPr>
          <w:t>轴向N破坏不对称Fe─Cu双原子的d-π共轭增强CO2电还原</w:t>
        </w:r>
      </w:hyperlink>
    </w:p>
    <w:p>
      <w:pPr>
        <w:spacing w:before="0" w:after="80"/>
      </w:pPr>
      <w:r>
        <w:rPr>
          <w:i/>
          <w:sz w:val="20"/>
        </w:rPr>
        <w:t>EN: Axial N Disrupt d–π Conjugation of Asymmetric Fe─Cu Dual‐Atom Enhances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2026-08-05 16:55:40+00:00</w:t>
      </w:r>
      <w:r>
        <w:t xml:space="preserve">    </w:t>
      </w:r>
      <w:r>
        <w:rPr>
          <w:b/>
        </w:rPr>
        <w:t xml:space="preserve">DOI: </w:t>
      </w:r>
      <w:hyperlink r:id="rId534">
        <w:r>
          <w:rPr>
            <w:color w:val="1155CC"/>
            <w:u w:val="single"/>
          </w:rPr>
          <w:t>10.1002/anie.1880625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双单原子位点 (DSAS) 中电子结构的精确自旋极化调制对于增强电催化 CO 至关重要但具有挑战性</w:t>
      </w:r>
      <w:r>
        <w:rPr>
          <w:vertAlign w:val="subscript"/>
        </w:rPr>
        <w:t>2</w:t>
      </w:r>
      <w:r>
        <w:t>还原反应（CO</w:t>
      </w:r>
      <w:r>
        <w:rPr>
          <w:vertAlign w:val="subscript"/>
        </w:rPr>
        <w:t>2</w:t>
      </w:r>
      <w:r>
        <w:t>RR）。在这里，我们报道了 Fe 3</w:t>
      </w:r>
      <w:r>
        <w:t xml:space="preserve"> </w:t>
      </w:r>
      <w:r>
        <w:t>d</w:t>
      </w:r>
      <w:r>
        <w:t xml:space="preserve"> </w:t>
      </w:r>
      <w:r>
        <w:t>‐通过构建轴向N桥键和相邻的Cu-N的轨道自旋极化调节策略</w:t>
      </w:r>
      <w:r>
        <w:rPr>
          <w:vertAlign w:val="subscript"/>
        </w:rPr>
        <w:t>4</w:t>
      </w:r>
      <w:r>
        <w:t>空心双层 Fe-Cu 双单原子催化剂（HFeCu-N-C DSAC）。实验和理论证据表明，轴向 N 桥键会破坏 D</w:t>
      </w:r>
      <w:r>
        <w:t xml:space="preserve"> </w:t>
      </w:r>
      <w:r>
        <w:t>4小时</w:t>
      </w:r>
      <w:r>
        <w:t xml:space="preserve"> </w:t>
      </w:r>
      <w:r>
        <w:t>Fe-N 的对称性</w:t>
      </w:r>
      <w:r>
        <w:rPr>
          <w:vertAlign w:val="subscript"/>
        </w:rPr>
        <w:t>4</w:t>
      </w:r>
      <w:r>
        <w:t>活性中心，导致Fe 3 重排</w:t>
      </w:r>
      <w:r>
        <w:t xml:space="preserve"> </w:t>
      </w:r>
      <w:r>
        <w:t>d</w:t>
      </w:r>
      <w:r>
        <w:t xml:space="preserve"> </w:t>
      </w:r>
      <w:r>
        <w:t>电子，从而打破表面</w:t>
      </w:r>
      <w:r>
        <w:t xml:space="preserve"> </w:t>
      </w:r>
      <w:r>
        <w:t>d</w:t>
      </w:r>
      <w:r>
        <w:t xml:space="preserve"> </w:t>
      </w:r>
      <w:r>
        <w:t>–π 共轭结构 (Fe–N–C)。同时，相邻 Cu-N 的 Jahn-Teller 效应</w:t>
      </w:r>
      <w:r>
        <w:rPr>
          <w:vertAlign w:val="subscript"/>
        </w:rPr>
        <w:t>4</w:t>
      </w:r>
      <w:r>
        <w:t>据推测，Fe 位点可能调节 Fe 位点的自旋状态，从而促进从低自旋的转变（</w:t>
      </w:r>
      <w:r>
        <w:t xml:space="preserve"> </w:t>
      </w:r>
      <w:r>
        <w:t>↓↑</w:t>
      </w:r>
      <w:r>
        <w:t xml:space="preserve"> </w:t>
      </w:r>
      <w:r>
        <w:t>,</w:t>
      </w:r>
      <w:r>
        <w:t xml:space="preserve"> </w:t>
      </w:r>
      <w:r>
        <w:t>↓↑</w:t>
      </w:r>
      <w:r>
        <w:t xml:space="preserve"> </w:t>
      </w:r>
      <w:r>
        <w:t>,</w:t>
      </w:r>
      <w:r>
        <w:t xml:space="preserve"> </w:t>
      </w:r>
      <w:r>
        <w:t>↑</w:t>
      </w:r>
      <w:r>
        <w:t xml:space="preserve"> </w:t>
      </w:r>
      <w:r>
        <w:t>, _, _) 到高自旋 (</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p>
    <w:p>
      <w:pPr>
        <w:spacing w:before="0" w:after="200" w:lineRule="auto" w:line="276"/>
      </w:pPr>
      <w:r>
        <w:rPr>
          <w:b/>
        </w:rPr>
        <w:t xml:space="preserve">Abstract (EN): </w:t>
      </w:r>
      <w:r>
        <w:t>Precise spin‐polarization modulation of electronic structures in dual single‐atomic sites (DSAS) is critical yet challenging for boosting electrocatalytic CO</w:t>
      </w:r>
      <w:r>
        <w:rPr>
          <w:vertAlign w:val="subscript"/>
        </w:rPr>
        <w:t>2</w:t>
      </w:r>
      <w:r>
        <w:t>reduction reaction (CO</w:t>
      </w:r>
      <w:r>
        <w:rPr>
          <w:vertAlign w:val="subscript"/>
        </w:rPr>
        <w:t>2</w:t>
      </w:r>
      <w:r>
        <w:t>RR). Here, we report a Fe 3</w:t>
      </w:r>
      <w:r>
        <w:t xml:space="preserve"> </w:t>
      </w:r>
      <w:r>
        <w:t>d</w:t>
      </w:r>
      <w:r>
        <w:t xml:space="preserve"> </w:t>
      </w:r>
      <w:r>
        <w:t>‐orbital spin‐polarization regulation strategy through constructing an axial N‐bridge bond and adjacent Cu–N</w:t>
      </w:r>
      <w:r>
        <w:rPr>
          <w:vertAlign w:val="subscript"/>
        </w:rPr>
        <w:t>4</w:t>
      </w:r>
      <w:r>
        <w:t>on hollow bilayer Fe–Cu dual single‐atom catalysts (HFeCu–N–C DSACs). Experimental and theoretical evidence demonstrate that the axial N‐bridge bond disrupts the D</w:t>
      </w:r>
      <w:r>
        <w:t xml:space="preserve"> </w:t>
      </w:r>
      <w:r>
        <w:t>4h</w:t>
      </w:r>
      <w:r>
        <w:t xml:space="preserve"> </w:t>
      </w:r>
      <w:r>
        <w:t>symmetry of the Fe–N</w:t>
      </w:r>
      <w:r>
        <w:rPr>
          <w:vertAlign w:val="subscript"/>
        </w:rPr>
        <w:t>4</w:t>
      </w:r>
      <w:r>
        <w:t>active center, resulting in the rearrangement of Fe 3</w:t>
      </w:r>
      <w:r>
        <w:t xml:space="preserve"> </w:t>
      </w:r>
      <w:r>
        <w:t>d</w:t>
      </w:r>
      <w:r>
        <w:t xml:space="preserve"> </w:t>
      </w:r>
      <w:r>
        <w:t>electrons and thereby breaking the surface</w:t>
      </w:r>
      <w:r>
        <w:t xml:space="preserve"> </w:t>
      </w:r>
      <w:r>
        <w:t>d</w:t>
      </w:r>
      <w:r>
        <w:t xml:space="preserve"> </w:t>
      </w:r>
      <w:r>
        <w:t>–π conjugate structure (Fe–N–C). Meanwhile, the Jahn‐Teller effect of the adjacent Cu–N</w:t>
      </w:r>
      <w:r>
        <w:rPr>
          <w:vertAlign w:val="subscript"/>
        </w:rPr>
        <w:t>4</w:t>
      </w:r>
      <w:r>
        <w:t>sites is inferred to potentially regulate the spin state of Fe sites, which facilitates the transition from low‐spin (</w:t>
      </w:r>
      <w:r>
        <w:t xml:space="preserve"> </w:t>
      </w:r>
      <w:r>
        <w:t>↓↑</w:t>
      </w:r>
      <w:r>
        <w:t xml:space="preserve"> </w:t>
      </w:r>
      <w:r>
        <w:t>,</w:t>
      </w:r>
      <w:r>
        <w:t xml:space="preserve"> </w:t>
      </w:r>
      <w:r>
        <w:t>↓↑</w:t>
      </w:r>
      <w:r>
        <w:t xml:space="preserve"> </w:t>
      </w:r>
      <w:r>
        <w:t>,</w:t>
      </w:r>
      <w:r>
        <w:t xml:space="preserve"> </w:t>
      </w:r>
      <w:r>
        <w:t>↑</w:t>
      </w:r>
      <w:r>
        <w:t xml:space="preserve"> </w:t>
      </w:r>
      <w:r>
        <w:t>, _, _) to high‐spin (</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 Therefore, the increased population of unpaired electrons on</w:t>
      </w:r>
      <w:r>
        <w:t xml:space="preserve"> </w:t>
      </w:r>
      <w:r>
        <w:t>d</w:t>
      </w:r>
      <w:r>
        <w:t xml:space="preserve"> </w:t>
      </w:r>
      <w:r>
        <w:t>xz</w:t>
      </w:r>
      <w:r>
        <w:t xml:space="preserve"> </w:t>
      </w:r>
      <w:r>
        <w:t>, and</w:t>
      </w:r>
      <w:r>
        <w:t xml:space="preserve"> </w:t>
      </w:r>
      <w:r>
        <w:t>d</w:t>
      </w:r>
      <w:r>
        <w:t xml:space="preserve"> </w:t>
      </w:r>
      <w:r>
        <w:t>yz</w:t>
      </w:r>
      <w:r>
        <w:t xml:space="preserve"> </w:t>
      </w:r>
      <w:r>
        <w:t>orbitals is pivotal for stabilizing the π</w:t>
      </w:r>
      <w:r>
        <w:t xml:space="preserve"> </w:t>
      </w:r>
      <w:r>
        <w:t>*</w:t>
      </w:r>
      <w:r>
        <w:t xml:space="preserve"> </w:t>
      </w:r>
      <w:r>
        <w:t>orbitals of CO</w:t>
      </w:r>
      <w:r>
        <w:rPr>
          <w:vertAlign w:val="subscript"/>
        </w:rPr>
        <w:t>2</w:t>
      </w:r>
      <w:r>
        <w:t>and activating CO</w:t>
      </w:r>
      <w:r>
        <w:rPr>
          <w:vertAlign w:val="subscript"/>
        </w:rPr>
        <w:t>2</w:t>
      </w:r>
      <w:r>
        <w:t>, thus enhancing the intrinsic reaction activity of HFeCu–N–C DSACs. The as‐made HFeCu–N–C DSACs present a superior faraday efficiency (FE) of a highly selective CO product, 99.32% @ −0.5 V (vs. RHE), and long‐term durability. This work provides a new strategy for tuning the electronic spin state of DSACs to boost CO</w:t>
      </w:r>
      <w:r>
        <w:rPr>
          <w:vertAlign w:val="subscript"/>
        </w:rPr>
        <w:t>2</w:t>
      </w:r>
      <w:r>
        <w:t>RR electrocatalytic performance.</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535">
        <w:r>
          <w:rPr>
            <w:color w:val="1155CC"/>
            <w:u w:val="single"/>
          </w:rPr>
          <w:t>动态二酮烯胺交联从 β-三酮化学中解锁乙烯基聚合物 Vitrimers</w:t>
        </w:r>
      </w:hyperlink>
    </w:p>
    <w:p>
      <w:pPr>
        <w:spacing w:before="0" w:after="80"/>
      </w:pPr>
      <w:r>
        <w:rPr>
          <w:i/>
          <w:sz w:val="20"/>
        </w:rPr>
        <w:t>EN: Dynamic Diketoenamine Crosslinking Unlocks Vinyl Polymer Vitrimers From β‐Triketone Chemistry</w:t>
      </w:r>
    </w:p>
    <w:p>
      <w:pPr>
        <w:spacing w:before="0" w:after="120"/>
      </w:pPr>
      <w:r>
        <w:rPr>
          <w:b/>
        </w:rPr>
        <w:t xml:space="preserve">Source: </w:t>
      </w:r>
      <w:r>
        <w:t>Wiley: Advanced Materials: Table of Contents</w:t>
      </w:r>
      <w:r>
        <w:t xml:space="preserve">    </w:t>
      </w:r>
      <w:r>
        <w:rPr>
          <w:b/>
        </w:rPr>
        <w:t xml:space="preserve">Pub date: </w:t>
      </w:r>
      <w:r>
        <w:t>2026-07-31 09:58:57+00:00</w:t>
      </w:r>
      <w:r>
        <w:t xml:space="preserve">    </w:t>
      </w:r>
      <w:r>
        <w:rPr>
          <w:b/>
        </w:rPr>
        <w:t xml:space="preserve">DOI: </w:t>
      </w:r>
      <w:hyperlink r:id="rId536">
        <w:r>
          <w:rPr>
            <w:color w:val="1155CC"/>
            <w:u w:val="single"/>
          </w:rPr>
          <w:t>10.1002/adma.74332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共价适应性网络 (CAN) 提供了一种引人注目的策略，将热固性材料的机械鲁棒性与热塑性塑料的可再加工性结合起来，但同时实现耐用性、可加工性和真正的可回收性仍然具有挑战性。我们推出二酮烯胺 (DKE) 维三聚体，源自</w:t>
      </w:r>
      <w:r>
        <w:t xml:space="preserve"> </w:t>
      </w:r>
      <w:r>
        <w:t>β</w:t>
      </w:r>
      <w:r>
        <w:t xml:space="preserve"> </w:t>
      </w:r>
      <w:r>
        <w:t>‐三酮甲基丙烯酸酯单体，并展示合理的单体设计如何决定网络可加工性、粘弹性和可回收性。通过系统地改变之间的间隔长度</w:t>
      </w:r>
      <w:r>
        <w:t xml:space="preserve"> </w:t>
      </w:r>
      <w:r>
        <w:t>β</w:t>
      </w:r>
      <w:r>
        <w:t xml:space="preserve"> </w:t>
      </w:r>
      <w:r>
        <w:t>‐三酮（TK）部分和聚合物主链，我们确定了决定 vitrimer 行为的关键结构-性质关系。带有 TK 吊坠的网络从主干上位移最小，可抑制蠕变，但表现出有限的应力松弛，而延长的间隔物可产生更低的玻璃化转变温度、更高的有效交联密度和有效的应力消散，从而实现光学透明性和可再加工性。将该平台扩展到超高分子量预聚物，引入了作为二次交联的物理缠结，进一步增强了尺寸稳定性，同时又不影响加工性能。机械和化学回收都验证了这些材料的闭环循环性。这些结果确立了 TK 甲基丙烯酸酯作为设计高性能 vitrimer 的多功能平台，该平台集耐用性、可再加工性和真正的闭环可回收性于一体。</w:t>
      </w:r>
    </w:p>
    <w:p>
      <w:pPr>
        <w:spacing w:before="0" w:after="200" w:lineRule="auto" w:line="276"/>
      </w:pPr>
      <w:r>
        <w:rPr>
          <w:b/>
        </w:rPr>
        <w:t xml:space="preserve">Abstract (EN): </w:t>
      </w:r>
      <w:r>
        <w:t>Covalent adaptable networks (CANs) offer a compelling strategy to unite the mechanical robustness of thermosets with the reprocessability of thermoplastics, yet achieving simultaneous durability, processability, and true recyclability remains challenging. We introduce diketoenamine (DKE) vitrimers derived from</w:t>
      </w:r>
      <w:r>
        <w:t xml:space="preserve"> </w:t>
      </w:r>
      <w:r>
        <w:t>β</w:t>
      </w:r>
      <w:r>
        <w:t xml:space="preserve"> </w:t>
      </w:r>
      <w:r>
        <w:t>‐triketone methacrylate monomers and demonstrate how rational monomer design dictates network processability, viscoelasticity, and recyclability. By systematically varying the spacer length between the</w:t>
      </w:r>
      <w:r>
        <w:t xml:space="preserve"> </w:t>
      </w:r>
      <w:r>
        <w:t>β</w:t>
      </w:r>
      <w:r>
        <w:t xml:space="preserve"> </w:t>
      </w:r>
      <w:r>
        <w:t>‐triketone (TK) moiety and the polymer backbone, we identify a key structure–property relationship that dictates vitrimer behavior. Networks bearing TK pendants minimally displaced from the backbone suppress creep but exhibit limited stress relaxation, whereas extended spacers yield lower glass transition temperatures, higher effective crosslink densities, and efficient stress dissipation, enabling optical transparency and reprocessability. Extending this platform to ultra‐high molecular‐weight prepolymers introduces physical entanglements as secondary crosslinks, further enhancing dimensional stability without compromising processability. Both mechanical and chemical recycling validate the closed‐loop circularity of these materials. These results establish TK methacrylates as a versatile platform for designing high‐performance vitrimers that integrate durability, reprocessability, and true closed‐loop recyclability.</w:t>
      </w:r>
    </w:p>
    <w:p>
      <w:pPr>
        <w:spacing w:before="120" w:after="120"/>
      </w:pPr>
      <w:r>
        <w:rPr>
          <w:sz w:val="18"/>
        </w:rPr>
        <w:t>——————————————————————————————————————————————————————————————————————</w:t>
      </w:r>
    </w:p>
    <w:p>
      <w:pPr>
        <w:spacing w:before="160" w:after="40" w:line="240" w:lineRule="auto"/>
      </w:pPr>
      <w:r>
        <w:rPr>
          <w:b/>
        </w:rPr>
        <w:t xml:space="preserve">[2] </w:t>
      </w:r>
      <w:hyperlink r:id="rId537">
        <w:r>
          <w:rPr>
            <w:color w:val="1155CC"/>
            <w:u w:val="single"/>
          </w:rPr>
          <w:t>聚酯废料光催化升级回收有机氮化合物</w:t>
        </w:r>
      </w:hyperlink>
    </w:p>
    <w:p>
      <w:pPr>
        <w:spacing w:before="0" w:after="80"/>
      </w:pPr>
      <w:r>
        <w:rPr>
          <w:i/>
          <w:sz w:val="20"/>
        </w:rPr>
        <w:t>EN: Photocatalytic Upcycling of Polyester Waste to Organonitrogen Compounds</w:t>
      </w:r>
    </w:p>
    <w:p>
      <w:pPr>
        <w:spacing w:before="0" w:after="120"/>
      </w:pPr>
      <w:r>
        <w:rPr>
          <w:b/>
        </w:rPr>
        <w:t xml:space="preserve">Source: </w:t>
      </w:r>
      <w:r>
        <w:t>Wiley: Advanced Materials: Table of Contents</w:t>
      </w:r>
      <w:r>
        <w:t xml:space="preserve">    </w:t>
      </w:r>
      <w:r>
        <w:rPr>
          <w:b/>
        </w:rPr>
        <w:t xml:space="preserve">Pub date: </w:t>
      </w:r>
      <w:r>
        <w:t>2026-07-31 14:36:38+00:00</w:t>
      </w:r>
      <w:r>
        <w:t xml:space="preserve">    </w:t>
      </w:r>
      <w:r>
        <w:rPr>
          <w:b/>
        </w:rPr>
        <w:t xml:space="preserve">DOI: </w:t>
      </w:r>
      <w:hyperlink r:id="rId538">
        <w:r>
          <w:rPr>
            <w:color w:val="1155CC"/>
            <w:u w:val="single"/>
          </w:rPr>
          <w:t>10.1002/adma.74374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源自化石碳氢化合物的塑料代表着大量未开发的碳资源。然而，90%以上的塑料制品在短暂使用后就被丢弃。因此，将这种丰富的废物流转化为有价值的化学品既是环保的当务之急，也是可持续碳利用的机会。在可再生能源的推动下，光催化塑料升级回收已成为在温和条件下将塑料废物转化为增值产品的一种有前景的策略。在各种原料中，聚酯塑料，特别是聚乳酸（PLA）和聚对苯二甲酸乙二醇酯（PET），引起了相当大的关注，因为它们的水解衍生单体很容易通过光催化进行升级。重大进展使得这些单体能够选择性地转化为有价值的氧化产物。最近，这些氧化途径已扩展到使用塑料衍生的碳中间体合成有机氮和有机硫化合物，扩大了塑料升级回收的产品范围和经济价值。本文综述了聚酯光催化合成增值有机氮产品的最新进展。主要目标是（i）强调将废塑料转化为有价值产品的机会，（ii）阐明催化机制和设计原则以指导未来的反应开发，以及（iii）为塑料升级回收技术的实际实施提供见解。</w:t>
      </w:r>
    </w:p>
    <w:p>
      <w:pPr>
        <w:spacing w:before="0" w:after="200" w:lineRule="auto" w:line="276"/>
      </w:pPr>
      <w:r>
        <w:rPr>
          <w:b/>
        </w:rPr>
        <w:t xml:space="preserve">Abstract (EN): </w:t>
      </w:r>
      <w:r>
        <w:t>Plastics, derived from fossil hydrocarbons, represent a substantial reservoir of untapped carbon resources. Yet, more than 90% of plastic products are discarded after brief use. Therefore, transforming this abundant waste stream into valuable chemicals presents both an environmental imperative and an opportunity for sustainable carbon utilization. Powered by renewable energy, photocatalytic plastic upcycling has emerged as a promising strategy for converting plastic waste into value‐added products under mild conditions. Among various feedstocks, polyester plastics, particularly polylactic acid (PLA) and poly(ethylene terephthalate) (PET), have attracted considerable attention because their hydrolysis‐derived monomers are readily upgraded through photocatalysis. Significant advances have enabled the selective conversion of these monomers into valuable oxidation products. More recently, these oxidation pathways have been extended to synthesize organonitrogen and organosulfur compounds using plastic‐derived carbon intermediates, broadening both the product scope and the economic value of plastic upcycling. This review summarizes recent advances in the photocatalytic synthesis of value‐added organonitrogen products from polyesters. The main objectives are to (i) highlight opportunities for converting waste plastics into valuable products, (ii) elucidate catalytic mechanisms and design principles to guide future reaction development, and (iii) provide insights for the practical implementation of plastic upcycling technologies.</w:t>
      </w:r>
    </w:p>
    <w:p>
      <w:pPr>
        <w:spacing w:before="120" w:after="120"/>
      </w:pPr>
      <w:r>
        <w:rPr>
          <w:sz w:val="18"/>
        </w:rPr>
        <w:t>——————————————————————————————————————————————————————————————————————</w:t>
      </w:r>
    </w:p>
    <w:p>
      <w:pPr>
        <w:spacing w:before="160" w:after="40" w:line="240" w:lineRule="auto"/>
      </w:pPr>
      <w:r>
        <w:rPr>
          <w:b/>
        </w:rPr>
        <w:t xml:space="preserve">[3] </w:t>
      </w:r>
      <w:hyperlink r:id="rId539">
        <w:r>
          <w:rPr>
            <w:color w:val="1155CC"/>
            <w:u w:val="single"/>
          </w:rPr>
          <w:t>通过亚胺硼酯交联实现真正的闭环可回收水凝胶</w:t>
        </w:r>
      </w:hyperlink>
    </w:p>
    <w:p>
      <w:pPr>
        <w:spacing w:before="0" w:after="80"/>
      </w:pPr>
      <w:r>
        <w:rPr>
          <w:i/>
          <w:sz w:val="20"/>
        </w:rPr>
        <w:t>EN: True Closed‐Loop Recyclable Hydrogels Enabled by Imine Boronic Ester Crosslinking</w:t>
      </w:r>
    </w:p>
    <w:p>
      <w:pPr>
        <w:spacing w:before="0" w:after="120"/>
      </w:pPr>
      <w:r>
        <w:rPr>
          <w:b/>
        </w:rPr>
        <w:t xml:space="preserve">Source: </w:t>
      </w:r>
      <w:r>
        <w:t>Wiley: Advanced Materials: Table of Contents</w:t>
      </w:r>
      <w:r>
        <w:t xml:space="preserve">    </w:t>
      </w:r>
      <w:r>
        <w:rPr>
          <w:b/>
        </w:rPr>
        <w:t xml:space="preserve">Pub date: </w:t>
      </w:r>
      <w:r>
        <w:t>2026-08-01 16:25:43+00:00</w:t>
      </w:r>
      <w:r>
        <w:t xml:space="preserve">    </w:t>
      </w:r>
      <w:r>
        <w:rPr>
          <w:b/>
        </w:rPr>
        <w:t xml:space="preserve">DOI: </w:t>
      </w:r>
      <w:hyperlink r:id="rId540">
        <w:r>
          <w:rPr>
            <w:color w:val="1155CC"/>
            <w:u w:val="single"/>
          </w:rPr>
          <w:t>10.1002/adma.74256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结构与宏观功能之间的关系是材料科学的基本原理，其中细微的分子变化会产生大分子固体的强度、刚度和弹性的显着差异。在水凝胶中，用动态共价键（DCB）取代静态共价键创造了新的功能，包括自修复和可回收性。在此，研究了双 DCB 亚胺硼酸酯交联剂的取代差异以及基质 pH 值对水凝胶性能的影响。比较</w:t>
      </w:r>
      <w:r>
        <w:t xml:space="preserve"> </w:t>
      </w:r>
      <w:r>
        <w:t>正射</w:t>
      </w:r>
      <w:r>
        <w:t xml:space="preserve"> </w:t>
      </w:r>
      <w:r>
        <w:t>‐ 和</w:t>
      </w:r>
      <w:r>
        <w:t xml:space="preserve"> </w:t>
      </w:r>
      <w:r>
        <w:t>帕拉</w:t>
      </w:r>
      <w:r>
        <w:t xml:space="preserve"> </w:t>
      </w:r>
      <w:r>
        <w:t>-亚胺硼酸酯显示在源自2-甲酰基苯基硼酸的水凝胶中形成3-氨基-苯并氧硼杂环。尽管交联密度比用 4-甲酰基苯基硼酸形成的水凝胶低，但杂环的互变异构显着增强了水凝胶的弹性。还演示了两种闭环寿命终止 (EOL) 管理途径。通过自修复完成再加工，水凝胶恢复了至少 90% 的原始流变特性。还建立了完全循环的回收途径，回收所有起始材料以供再利用，回收的水凝胶实现了100%以上的流变性能恢复。总体而言，证明了先前未公开的 3-氨基-苯并氧硼杂硼结构的存在，扩大了对聚合物材料中甲酰基苯基硼酸的理解，</w:t>
      </w:r>
    </w:p>
    <w:p>
      <w:pPr>
        <w:spacing w:before="0" w:after="200" w:lineRule="auto" w:line="276"/>
      </w:pPr>
      <w:r>
        <w:rPr>
          <w:b/>
        </w:rPr>
        <w:t xml:space="preserve">Abstract (EN): </w:t>
      </w:r>
      <w:r>
        <w:t>The relationship between molecular structure and macroscopic function is a foundational principle in materials science, in which subtle molecular variations produce pronounced differences in strength, stiffness, and elasticity of macromolecular solids. In hydrogels, replacing static covalent bonds with dynamic covalent bonds (DCBs) creates newfound capabilities, including self‐healing and recyclability. Herein, substitutional differences in dual DCB imine boronic ester crosslinkers, together with matrix pH, influencing hydrogel properties are investigated. A comparison of</w:t>
      </w:r>
      <w:r>
        <w:t xml:space="preserve"> </w:t>
      </w:r>
      <w:r>
        <w:t>ortho</w:t>
      </w:r>
      <w:r>
        <w:t xml:space="preserve"> </w:t>
      </w:r>
      <w:r>
        <w:t>‐ and</w:t>
      </w:r>
      <w:r>
        <w:t xml:space="preserve"> </w:t>
      </w:r>
      <w:r>
        <w:t>para</w:t>
      </w:r>
      <w:r>
        <w:t xml:space="preserve"> </w:t>
      </w:r>
      <w:r>
        <w:t>‐imine boronic esters showed the formation of 3‐amino‐benzoxaborole heterocycles in hydrogels derived from 2‐formylphenylboronic acid. Tautomerization to the heterocycle significantly enhanced hydrogel elasticity, despite a lower crosslinking density than in hydrogels formed with 4‐formylphenylboronic acid. Two closed‐loop end‐of‐life (EOL) management pathways are also demonstrated. Reprocessing through self‐healing is accomplished, with hydrogels regaining at least 90% of their original rheological properties. A fully circular recycling pathway is also established, recovering all starting materials for reuse, with recycled hydrogels achieving over 100% recovery of rheological properties. Overall, the presence of previously undisclosed 3‐amino‐benzoxaborole structures is demonstrated, expanding the understanding of formylphenylboronic acids in polymeric materials, and complete closed‐loop EOL pathways are designed to inspire greater focus on full EOL processes in materials circularity.</w:t>
      </w:r>
    </w:p>
    <w:p>
      <w:pPr>
        <w:spacing w:before="120" w:after="120"/>
      </w:pPr>
      <w:r>
        <w:rPr>
          <w:sz w:val="18"/>
        </w:rPr>
        <w:t>——————————————————————————————————————————————————————————————————————</w:t>
      </w:r>
    </w:p>
    <w:p>
      <w:pPr>
        <w:spacing w:before="160" w:after="40" w:line="240" w:lineRule="auto"/>
      </w:pPr>
      <w:r>
        <w:rPr>
          <w:b/>
        </w:rPr>
        <w:t xml:space="preserve">[4] </w:t>
      </w:r>
      <w:hyperlink r:id="rId541">
        <w:r>
          <w:rPr>
            <w:color w:val="1155CC"/>
            <w:u w:val="single"/>
          </w:rPr>
          <w:t>氢过氧化物引发商业聚甲基丙烯酸酯的解聚</w:t>
        </w:r>
      </w:hyperlink>
    </w:p>
    <w:p>
      <w:pPr>
        <w:spacing w:before="0" w:after="80"/>
      </w:pPr>
      <w:r>
        <w:rPr>
          <w:i/>
          <w:sz w:val="20"/>
        </w:rPr>
        <w:t>EN: Depolymerization of Commercial Polymethacrylates Triggered by Hydroperoxides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542">
        <w:r>
          <w:rPr>
            <w:color w:val="1155CC"/>
            <w:u w:val="single"/>
          </w:rPr>
          <w:t>10.1021/jacs.6c10099</w:t>
        </w:r>
      </w:hyperlink>
    </w:p>
    <w:p>
      <w:pPr>
        <w:spacing w:before="0" w:after="120"/>
      </w:pPr>
      <w:r>
        <w:rPr>
          <w:b/>
        </w:rPr>
        <w:t xml:space="preserve">Notes: </w:t>
      </w:r>
      <w:r>
        <w:t>abstract_source=crossref</w:t>
      </w:r>
    </w:p>
    <w:p>
      <w:pPr>
        <w:spacing w:before="0" w:after="80" w:lineRule="auto" w:line="276"/>
      </w:pPr>
      <w:r>
        <w:rPr>
          <w:b/>
        </w:rPr>
        <w:t xml:space="preserve">摘要（ZH）: </w:t>
      </w:r>
      <w:r>
        <w:t>摘要 聚甲基丙烯酸甲酯 (PMMA) 和相关聚甲基丙烯酸酯的化学回收具有挑战性，因为其全碳主链在温和条件下可抵抗热降解和化学降解。现有的解聚策略要么需要修改 PMMA 结构，要么依赖光化学活化，限制了多功能性和实际可扩展性。在此，我们报道了未改性商业聚甲基丙烯酸酯的热驱动、氢原子转移（HAT）引发的解聚。简单的氢过氧化物、叔丁基过氧化氢 (TBHP) 和氢过氧化异丙苯 (CHP) 可作为自由基前体，无需光活化、无需特殊的链端，也无需氯化溶剂。在高温下，会产生以氧为中心的自由基，并从聚合物链中夺取氢原子。这会触发 β 碎片并启动链解压。在 220 °C 和 10 mol% TBHP 下，剩余 30% 的聚合物，表明 70% 解聚。然而，只有55%以完整单体的形式存在，15%因长期暴露在高温下的副反应而消耗掉。该方法扩展到聚（甲基丙烯酸丁酯）、聚（甲基丙烯酸苄酯）和聚（甲基丙烯酸苯酯），并表现出对环境氧气水平的中等耐受性。这些结果表明热触发 HAT 解聚是商业聚甲基丙烯酸酯解聚的一种简单方法。</w:t>
      </w:r>
    </w:p>
    <w:p>
      <w:pPr>
        <w:spacing w:before="0" w:after="200" w:lineRule="auto" w:line="276"/>
      </w:pPr>
      <w:r>
        <w:rPr>
          <w:b/>
        </w:rPr>
        <w:t xml:space="preserve">Abstract (EN): </w:t>
      </w:r>
      <w:r>
        <w:t>The chemical recycling of poly(methyl methacrylate) (PMMA) and related polymethacrylates is challenging due to the all-carbon backbone, which resists thermal and chemical degradation under mild conditions. Existing depolymerization strategies either require modification of the PMMA structure or rely on photochemical activation, limiting versatility and practical scalability. Herein, we report a thermally driven, hydrogen-atom-transfer (HAT)-initiated depolymerization of unmodified commercial polymethacrylates. Simple hydroperoxides, tert-butyl hydroperoxide (TBHP) and cumene hydroperoxide (CHP), serve as radical precursors, requiring no photoactivation, no specialized chain ends, and no chlorinated solvents. At elevated temperatures, oxygen-centered radicals are generated and abstract hydrogen atoms from the polymer chains. This triggers β-fragmentation and initiates chain unzipping. At 220 °C with 10 mol % TBHP, 30% of the polymer remained, indicating 70% depolymerization. However, only 55% was in the form of intact monomer, and 15% was consumed by side reactions during long exposure to high temperature. This approach was extended to poly(butyl methacrylate), poly(benzyl methacrylate), and poly(phenyl methacrylate), and demonstrated moderate tolerance to ambient oxygen levels. These results establish thermally triggered HAT depolymerization as a simple approach for the depolymerization of commercial polymethacrylates.</w:t>
      </w:r>
    </w:p>
    <w:p>
      <w:pPr>
        <w:spacing w:before="120" w:after="120"/>
      </w:pPr>
      <w:r>
        <w:rPr>
          <w:sz w:val="18"/>
        </w:rPr>
        <w:t>——————————————————————————————————————————————————————————————————————</w:t>
      </w:r>
    </w:p>
    <w:p>
      <w:pPr>
        <w:spacing w:before="160" w:after="40" w:line="240" w:lineRule="auto"/>
      </w:pPr>
      <w:r>
        <w:rPr>
          <w:b/>
        </w:rPr>
        <w:t xml:space="preserve">[5] </w:t>
      </w:r>
      <w:hyperlink r:id="rId450">
        <w:r>
          <w:rPr>
            <w:color w:val="1155CC"/>
            <w:u w:val="single"/>
          </w:rPr>
          <w:t>具有水触发致密域的超分子聚合物，具有机械鲁棒性、可编程性和耐候性</w:t>
        </w:r>
      </w:hyperlink>
    </w:p>
    <w:p>
      <w:pPr>
        <w:spacing w:before="0" w:after="80"/>
      </w:pPr>
      <w:r>
        <w:rPr>
          <w:i/>
          <w:sz w:val="20"/>
        </w:rPr>
        <w:t>EN: Supramolecular polymers with water-triggered dense domains enabling mechanical robustness programmability and weather resistance</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聚合物在我们的日常生活中发挥着至关重要的作用；然而，在机械性能、耐高温和低温以及温和成型之间实现平衡仍然具有挑战性。在这里，我们报道了一种由纤维素和聚甲基丙烯酸甲酯组成的水触发超分子聚合物。水诱导可拉伸超分子网络转变为致密交联域后，所得聚合物的拉伸强度显着增加，从 2.7 MPa 增加到 61.7 MPa，提高了 22 倍以上，弯曲强度达到 97 MPa，同时在 -196 °C 至 200 °C 的温度范围内保持结构完整性。此外，即使在海水、表面活性剂废水和染料废水中，该聚合物也能实现可扩展的水介导成型和增强，同时保持高机械性能。经济分析和回收评估表明，这种聚合物适合规模化生产，并具有巨大的市场潜力。这项研究为高性能超分子聚合物的制造提供了一种仿生配方，并拓宽了其在不同领域的潜在应用。</w:t>
      </w:r>
    </w:p>
    <w:p>
      <w:pPr>
        <w:spacing w:before="0" w:after="200" w:lineRule="auto" w:line="276"/>
      </w:pPr>
      <w:r>
        <w:rPr>
          <w:b/>
        </w:rPr>
        <w:t xml:space="preserve">Abstract (EN): </w:t>
      </w:r>
      <w:r>
        <w:t>Polymers play a crucial role in our daily lives; however, achieving a balance among mechanical performance, resistance to high and low temperatures, and mild shaping remains challenging. Here, we report a water-triggered supramolecular polymer composed of cellulose and polymethyl methacrylate. Following water-induced transformation of a stretchable supramolecular network into a densified cross-linked domain, the resulting polymer exhibits a remarkable increase in tensile strength from 2.7 MPa to 61.7 MPa, representing more than a 22-fold enhancement, and a flexural strength of 97 MPa, while maintaining structural integrity across a temperature range of −196 °C to 200 °C. In addition, the polymer enables scalable water-mediated shaping and reinforcement even in seawater, surfactant wastewater, and dye wastewater, while retaining high mechanical performance. Economic analysis and recycling assessment demonstrate that this polymer is amenable to scalable production and has considerable market potential. This study provides a biomimetic formulation for the fabrication of high-performance supramolecular polymers and broadens their potential applications across diverse fields.</w:t>
      </w:r>
    </w:p>
    <w:p>
      <w:pPr>
        <w:spacing w:before="120" w:after="120"/>
      </w:pPr>
      <w:r>
        <w:rPr>
          <w:sz w:val="18"/>
        </w:rPr>
        <w:t>——————————————————————————————————————————————————————————————————————</w:t>
      </w:r>
    </w:p>
    <w:p>
      <w:pPr>
        <w:spacing w:before="160" w:after="40" w:line="240" w:lineRule="auto"/>
      </w:pPr>
      <w:r>
        <w:rPr>
          <w:b/>
        </w:rPr>
        <w:t xml:space="preserve">[6] </w:t>
      </w:r>
      <w:hyperlink r:id="rId233">
        <w:r>
          <w:rPr>
            <w:color w:val="1155CC"/>
            <w:u w:val="single"/>
          </w:rPr>
          <w:t>自愈和可回收摩擦层构造的棉织物直流摩擦伏纳米发电机实现持久和可持续的机械能收集</w:t>
        </w:r>
      </w:hyperlink>
    </w:p>
    <w:p>
      <w:pPr>
        <w:spacing w:before="0" w:after="80"/>
      </w:pPr>
      <w:r>
        <w:rPr>
          <w:i/>
          <w:sz w:val="20"/>
        </w:rPr>
        <w:t>EN: Self-Healing and Recyclable Tribolayer Constructed Cotton-Fabric-Based Direct-Current Tribovoltaic Nanogenerator toward Durable and Sustainable Mechanical Energy Harvesting</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234">
        <w:r>
          <w:rPr>
            <w:color w:val="1155CC"/>
            <w:u w:val="single"/>
          </w:rPr>
          <w:t>10.1021/acsami.6c09247</w:t>
        </w:r>
      </w:hyperlink>
    </w:p>
    <w:p>
      <w:pPr>
        <w:spacing w:before="0" w:after="120"/>
      </w:pPr>
      <w:r>
        <w:rPr>
          <w:b/>
        </w:rPr>
        <w:t xml:space="preserve">Notes: </w:t>
      </w:r>
      <w:r>
        <w:t>abstract_source=crossref</w:t>
      </w:r>
    </w:p>
    <w:p>
      <w:pPr>
        <w:spacing w:before="0" w:after="80" w:lineRule="auto" w:line="276"/>
      </w:pPr>
      <w:r>
        <w:rPr>
          <w:b/>
        </w:rPr>
        <w:t xml:space="preserve">摘要（ZH）: </w:t>
      </w:r>
      <w:r>
        <w:t>摘要：将可再生棉花和可回收摩擦层相结合来构建耐用的直流摩擦伏纳米发电机（TVNG），在解决电子废物问题方面展现出巨大的潜力。然而，为 TVNG 开发同时具有长期耐用性和可回收功能以延长使用寿命的可持续摩擦层仍然是一项重大挑战。在此，我们展示了一种简便的方法来制造基于棉织物的可持续TVNG，该TVNG具有自修复和可回收的摩擦层，该摩擦层由生物相容性聚乙烯醇骨架与半导体填料和铝滑动层相结合制成。由此产生的 TVNG 的最大开路电压为 1.08 V，峰值电流为 0.72 mA。基于可逆的动态氢键相互作用，断裂的摩擦层可以自主修复并进一步改善其摩擦电行为，达到原始值的 90%。此外，TVNG中废弃的摩擦层可以通过热水溶解去除并重新涂覆在棉织物上，构建可重复使用的TVNG，其可保留80%以上的原始价值。我们还对 TVNG 进行了稳定性测试以及拉伸机械和负载阻力分析。这项工作提出了一种基于天然棉织物上自愈摩擦层涂层的可持续TVNG，为可再生材料在纳米发电机领域的应用提供了一种可持续的方法。</w:t>
      </w:r>
    </w:p>
    <w:p>
      <w:pPr>
        <w:spacing w:before="0" w:after="200" w:lineRule="auto" w:line="276"/>
      </w:pPr>
      <w:r>
        <w:rPr>
          <w:b/>
        </w:rPr>
        <w:t xml:space="preserve">Abstract (EN): </w:t>
      </w:r>
      <w:r>
        <w:t>The combination of renewable cotton and recyclable tribolayer to construct durable direct-current tribovoltaic nanogenerators (TVNGs) demonstrates significant potential for addressing the issue of electronic waste. However, developing sustainable tribolayers for TVNGs that simultaneously possess long-term durability and recyclable functionality to extend service life remains a major challenge. Herein, we demonstrate a facile method to fabricate sustainable cotton-fabric-based TVNGs with a self-healing and recyclable tribolayer made of a biocompatible polyvinyl alcohol skeleton combined with semiconductor fillers and an aluminum sliding layer. The resultant TVNG exhibits a maximum open-circuit voltage of 1.08 V and a peak current of 0.72 mA. Based on reversible dynamic hydrogen-bond interactions, the fractured tribolayer can autonomously repair and further improve its triboelectric behavior, achieving up to 90% of the original values. Furthermore, the discarded tribolayer in TVNGs can be removed through hot water dissolution and recoating on cotton fabric to construct reused TVNGs, which can retain over 80% of the original value. We have also conducted stability tests and tensile mechanical and load resistance analysis for the TVNG. This work proposes a sustainable TVNG based on the coating of a self-healing tribolayer on natural cotton fabric, which provides a sustainable approach toward the application of renewable materials in the nanogenerator field.</w:t>
      </w:r>
    </w:p>
    <w:p>
      <w:pPr>
        <w:spacing w:before="120" w:after="120"/>
      </w:pPr>
      <w:r>
        <w:rPr>
          <w:sz w:val="18"/>
        </w:rPr>
        <w:t>——————————————————————————————————————————————————————————————————————</w:t>
      </w:r>
    </w:p>
    <w:p>
      <w:pPr>
        <w:spacing w:before="160" w:after="40" w:line="240" w:lineRule="auto"/>
      </w:pPr>
      <w:r>
        <w:rPr>
          <w:b/>
        </w:rPr>
        <w:t xml:space="preserve">[7] </w:t>
      </w:r>
      <w:hyperlink r:id="rId543">
        <w:r>
          <w:rPr>
            <w:color w:val="1155CC"/>
            <w:u w:val="single"/>
          </w:rPr>
          <w:t>基于封装气泡超表面的气水声传输增强装置</w:t>
        </w:r>
      </w:hyperlink>
    </w:p>
    <w:p>
      <w:pPr>
        <w:spacing w:before="0" w:after="80"/>
      </w:pPr>
      <w:r>
        <w:rPr>
          <w:i/>
          <w:sz w:val="20"/>
        </w:rPr>
        <w:t>EN: Air–Water Acoustic Transmission Enhancement Device Based on Encapsulated Bubble Metasurface</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544">
        <w:r>
          <w:rPr>
            <w:color w:val="1155CC"/>
            <w:u w:val="single"/>
          </w:rPr>
          <w:t>10.1021/acsami.6c09441</w:t>
        </w:r>
      </w:hyperlink>
    </w:p>
    <w:p>
      <w:pPr>
        <w:spacing w:before="0" w:after="120"/>
      </w:pPr>
      <w:r>
        <w:rPr>
          <w:b/>
        </w:rPr>
        <w:t xml:space="preserve">Notes: </w:t>
      </w:r>
      <w:r>
        <w:t>abstract_source=crossref</w:t>
      </w:r>
    </w:p>
    <w:p>
      <w:pPr>
        <w:spacing w:before="0" w:after="80" w:lineRule="auto" w:line="276"/>
      </w:pPr>
      <w:r>
        <w:rPr>
          <w:b/>
        </w:rPr>
        <w:t xml:space="preserve">摘要（ZH）: </w:t>
      </w:r>
      <w:r>
        <w:t>摘要 跨水-空气界面的有效声学传输是广泛应用的基础，但它受到水与空气之间的高阻抗不匹配的严重限制。传统的声学超材料主要是针对均质介质而设计的，尽管共振气泡很有前景，但其实际应用受到稳定性问题的限制。受充气包装材料的启发，这项研究提出了一种封装的基于气泡​​的声学超表面，用于增强水-空气界面上的声音传输。我们通过数值模拟系统地研究了气泡尺寸、间距、高度和距界面的距离对传输性能的影响。模拟表明，在考虑耗散后，峰值传输声能可增强 300 倍以上，实验证明在 340-360 Hz 范围内增强超过 15 dB。此外，我们还开发了一种利用共振效应且散射损耗低的空气-水声学传输增强装置（ATED）。它实现了23.9 dB的峰值传输增强，并且可以通过调整浸入深度来灵活调整最佳传输频率。此外，使用音乐信号成功演示了空气-水声学通信。这项工作为增强水-空气声学传输提供了稳定有效的解决方案，同时提供了重新利用塑料薄膜以减轻环境污染的潜在方法。</w:t>
      </w:r>
    </w:p>
    <w:p>
      <w:pPr>
        <w:spacing w:before="0" w:after="200" w:lineRule="auto" w:line="276"/>
      </w:pPr>
      <w:r>
        <w:rPr>
          <w:b/>
        </w:rPr>
        <w:t xml:space="preserve">Abstract (EN): </w:t>
      </w:r>
      <w:r>
        <w:t>Efficient acoustic transmission across the water-air interface is fundamental to a wide range of applications, yet it is severely limited by the high impedance mismatch between water and air. Conventional acoustic metamaterials are primarily designed for homogeneous media, and although resonant bubbles are promising, their practical application is constrained by stability issues. Inspired by gas-filled packaging materials, this study presents an encapsulated bubble-based acoustic metasurface for enhancing sound transmission across the water-air interface. We systematically investigate through numerical simulations the effects of bubble size, spacing, height, and distance from the interface on transmission performance. Simulations indicate that the peak transmitted acoustic energy can be enhanced by more than 300 times after accounting for dissipation, and experiments have demonstrated an enhancement exceeding 15 dB within the 340–360 Hz range. Furthermore, we develop an air-to-water acoustic transmission enhancement device (ATED) leveraging resonance effects and with low scattering loss. It achieves a peak transmission enhancement of 23.9 dB, and the optimal transmission frequency can be flexibly tuned by adjusting the immersion depth. In addition, air–water acoustic communication is successfully demonstrated using music signals. This work provides a stable and effective solution for enhancing water-air acoustic transmission, while offering a potential approach to repurposing plastic films to mitigate environmental pollution.</w:t>
      </w:r>
    </w:p>
    <w:p>
      <w:pPr>
        <w:spacing w:before="120" w:after="120"/>
      </w:pPr>
      <w:r>
        <w:rPr>
          <w:sz w:val="18"/>
        </w:rPr>
        <w:t>——————————————————————————————————————————————————————————————————————</w:t>
      </w:r>
    </w:p>
    <w:p>
      <w:pPr>
        <w:spacing w:before="160" w:after="40" w:line="240" w:lineRule="auto"/>
      </w:pPr>
      <w:r>
        <w:rPr>
          <w:b/>
        </w:rPr>
        <w:t xml:space="preserve">[8] </w:t>
      </w:r>
      <w:hyperlink r:id="rId545">
        <w:r>
          <w:rPr>
            <w:color w:val="1155CC"/>
            <w:u w:val="single"/>
          </w:rPr>
          <w:t>将聚氯乙烯升级改造为聚 α 烯烃润滑剂</w:t>
        </w:r>
      </w:hyperlink>
    </w:p>
    <w:p>
      <w:pPr>
        <w:spacing w:before="0" w:after="80"/>
      </w:pPr>
      <w:r>
        <w:rPr>
          <w:i/>
          <w:sz w:val="20"/>
        </w:rPr>
        <w:t>EN: Upcycling of polyvinyl chloride into polyalphaolefin lubricants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546">
        <w:r>
          <w:rPr>
            <w:color w:val="1155CC"/>
            <w:u w:val="single"/>
          </w:rPr>
          <w:t>10.1038/s41586-026-10867-z</w:t>
        </w:r>
      </w:hyperlink>
    </w:p>
    <w:p>
      <w:pPr>
        <w:spacing w:before="0" w:after="120"/>
      </w:pPr>
      <w:r>
        <w:rPr>
          <w:b/>
        </w:rPr>
        <w:t xml:space="preserve">Notes: </w:t>
      </w:r>
      <w:r>
        <w:t>abstract_source=pubmed</w:t>
      </w:r>
    </w:p>
    <w:p>
      <w:pPr>
        <w:spacing w:before="0" w:after="80" w:lineRule="auto" w:line="276"/>
      </w:pPr>
      <w:r>
        <w:rPr>
          <w:b/>
        </w:rPr>
        <w:t xml:space="preserve">摘要（ZH）: </w:t>
      </w:r>
      <w:r>
        <w:t>聚氯乙烯 (PVC) 是一种在家庭和工业中广泛使用的热塑性塑料，因为它重量轻、机械强度高、耐用、成本低、耐紫外线和耐火1,2。消费后和工业后 PVC 废物的年产量约为 6000 万吨2，带来了显着的环境挑战，例如浸出的氯代烃和添加剂，污染地下水和土壤1-4。为了应对回收 PVC 和实现碳循环的艰巨挑战，高价值产品的增值对于降低相关成本并为重复利用塑料废物提供高额财政激励至关重要5-14。在这里，我们报告了一种将 PVC 升级为粘度可控的高价值润滑剂的方法。使用 AlCl3 在 70°C 的温和温度下，PVC 发生脱氯、烷基化和断链，生成乙烯基衍生的聚 α 烯烃 (vPAO)。 PVC 可作为各种链长的 α-烯烃烷基化的有效模板，生产主链中具有有限短支链的 vPAO，而不需要当前 PAO 技术所必需的茂金属催化剂。 PVC 衍生润滑剂具有可调的摩尔质量、100°C 下的运动粘度 (KV100   14.9-26.3 厘沱)、低摩擦系数 (COF   0.08-0.15) 和高粘度指数 (VI 高达 130)。这项工作强调了一种使用 PVC 作为低成本原料来合成具有优异摩擦学性能的高价值润滑剂的经济方法，满足塑料和润滑油的可持续性需求</w:t>
      </w:r>
    </w:p>
    <w:p>
      <w:pPr>
        <w:spacing w:before="0" w:after="200" w:lineRule="auto" w:line="276"/>
      </w:pPr>
      <w:r>
        <w:rPr>
          <w:b/>
        </w:rPr>
        <w:t xml:space="preserve">Abstract (EN): </w:t>
      </w:r>
      <w:r>
        <w:t>Polyvinyl chloride (PVC) is a thermoplastic used ubiquitously in households and industry owing to its light weight, mechanical strength, durability, low cost and ultraviolet and fire resistance1,2. With a production volume of about 60 million tonnes annually2, post-consumer and post-industrial PVC waste pose marked environmental challenges, such as leaching chlorohydrocarbons and additives, which contaminate groundwater and soil1-4. To address the formidable challenge of recycling PVC and achieving carbon circularity, valorization into high-value products is essential to mitigate the associated costs and offer high financial incentives for reusing plastic waste5-14. Here we report a method for upcycling PVC into high-value lubricants with controllable viscosities. Using AlCl3 at a mild temperature of 70 °C, PVC undergoes dechlorination, alkylation and chain scission, producing vinyl-derived polyalphaolefins (vPAO). PVC serves as an effective template for the alkylation of α-olefins of various chain lengths, producing vPAO with limited short branches in the backbone without the need for metallocene catalysts essential to current PAO technology. The PVC-derived lubricants exhibit tunable molar masses, kinematic viscosities at 100 °C (KV100 ≈ 14.9-26.3 centistokes), a low coefficient of friction (COF ≈ 0.08-0.15) and a high viscosity index (VI up to 130). This work highlights an economical approach to using PVC as a low-cost feedstock to synthesize high-value lubricants with superior tribological properties, meeting the demand for sustainability in both the plastic and lubricant industries.</w:t>
      </w:r>
    </w:p>
    <w:p>
      <w:pPr>
        <w:spacing w:before="120" w:after="120"/>
      </w:pPr>
      <w:r>
        <w:rPr>
          <w:sz w:val="18"/>
        </w:rPr>
        <w:t>——————————————————————————————————————————————————————————————————————</w:t>
      </w:r>
    </w:p>
    <w:p>
      <w:pPr>
        <w:spacing w:before="160" w:after="40" w:line="240" w:lineRule="auto"/>
      </w:pPr>
      <w:r>
        <w:rPr>
          <w:b/>
        </w:rPr>
        <w:t xml:space="preserve">[9] </w:t>
      </w:r>
      <w:hyperlink r:id="rId547">
        <w:r>
          <w:rPr>
            <w:color w:val="1155CC"/>
            <w:u w:val="single"/>
          </w:rPr>
          <w:t>垃圾塑料通过化学技巧变成高价值商品</w:t>
        </w:r>
      </w:hyperlink>
    </w:p>
    <w:p>
      <w:pPr>
        <w:spacing w:before="0" w:after="80"/>
      </w:pPr>
      <w:r>
        <w:rPr>
          <w:i/>
          <w:sz w:val="20"/>
        </w:rPr>
        <w:t>EN: Junk plastic turns into high-value commodity with chemistry trick</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548">
        <w:r>
          <w:rPr>
            <w:color w:val="1155CC"/>
            <w:u w:val="single"/>
          </w:rPr>
          <w:t>10.1038/d41586-026-02445-0</w:t>
        </w:r>
      </w:hyperlink>
    </w:p>
    <w:p>
      <w:pPr>
        <w:spacing w:before="0" w:after="120"/>
      </w:pPr>
      <w:r>
        <w:rPr>
          <w:b/>
        </w:rPr>
        <w:t xml:space="preserve">Notes: </w:t>
      </w:r>
      <w:r>
        <w:t>abstract_source=rss_nature</w:t>
      </w:r>
    </w:p>
    <w:p>
      <w:pPr>
        <w:spacing w:before="0" w:after="80" w:lineRule="auto" w:line="276"/>
      </w:pPr>
      <w:r>
        <w:rPr>
          <w:b/>
        </w:rPr>
        <w:t xml:space="preserve">摘要（ZH）: </w:t>
      </w:r>
      <w:r>
        <w:t>研究人员解开了将 PVC 转化为高级发动机润滑剂背后的化学原理，以及工程酵母如何帮助制造抗癌药物。</w:t>
      </w:r>
    </w:p>
    <w:p>
      <w:pPr>
        <w:spacing w:before="0" w:after="200" w:lineRule="auto" w:line="276"/>
      </w:pPr>
      <w:r>
        <w:rPr>
          <w:b/>
        </w:rPr>
        <w:t xml:space="preserve">Abstract (EN): </w:t>
      </w:r>
      <w:r>
        <w:t>Researchers untangle the chemistry behind turning PVC into high-grade motor lubricant — plus, how engineered yeast can help make a cancer drug.</w:t>
      </w:r>
    </w:p>
    <w:p>
      <w:pPr>
        <w:spacing w:before="120" w:after="120"/>
      </w:pPr>
      <w:r>
        <w:rPr>
          <w:sz w:val="18"/>
        </w:rPr>
        <w:t>——————————————————————————————————————————————————————————————————————</w:t>
      </w:r>
    </w:p>
    <w:p>
      <w:pPr>
        <w:spacing w:before="160" w:after="40" w:line="240" w:lineRule="auto"/>
      </w:pPr>
      <w:r>
        <w:rPr>
          <w:b/>
        </w:rPr>
        <w:t xml:space="preserve">[10] </w:t>
      </w:r>
      <w:hyperlink r:id="rId549">
        <w:r>
          <w:rPr>
            <w:color w:val="1155CC"/>
            <w:u w:val="single"/>
          </w:rPr>
          <w:t>人造海王星球：用于捕获和去除大尺寸微塑料的超粘性仿生网络</w:t>
        </w:r>
      </w:hyperlink>
    </w:p>
    <w:p>
      <w:pPr>
        <w:spacing w:before="0" w:after="80"/>
      </w:pPr>
      <w:r>
        <w:rPr>
          <w:i/>
          <w:sz w:val="20"/>
        </w:rPr>
        <w:t>EN: Artificial Neptune balls: Superadhesive biomimetic networks for broad-size microplastics capture and removal</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550">
        <w:r>
          <w:rPr>
            <w:color w:val="1155CC"/>
            <w:u w:val="single"/>
          </w:rPr>
          <w:t>10.1126/sciadv.aeg0819</w:t>
        </w:r>
      </w:hyperlink>
    </w:p>
    <w:p>
      <w:pPr>
        <w:spacing w:before="0" w:after="120"/>
      </w:pPr>
      <w:r>
        <w:rPr>
          <w:b/>
        </w:rPr>
        <w:t xml:space="preserve">Notes: </w:t>
      </w:r>
      <w:r>
        <w:t>abstract_source=crossref</w:t>
      </w:r>
    </w:p>
    <w:p>
      <w:pPr>
        <w:spacing w:before="0" w:after="80" w:lineRule="auto" w:line="276"/>
      </w:pPr>
      <w:r>
        <w:rPr>
          <w:b/>
        </w:rPr>
        <w:t xml:space="preserve">摘要（ZH）: </w:t>
      </w:r>
      <w:r>
        <w:t>从含水层中清除持久性微塑料 (MP) 需要捕获并去除各种尺寸和形状的 MP。过滤和离心等传统方法在去除如此大范围的颗粒尺寸方面效率低下。我们设计了一类仿生清洁剂，其灵感来自自然系统，包括“</w:t>
      </w:r>
      <w:r>
        <w:t xml:space="preserve"> </w:t>
      </w:r>
      <w:r>
        <w:t>马尾藻属</w:t>
      </w:r>
      <w:r>
        <w:t xml:space="preserve"> </w:t>
      </w:r>
      <w:r>
        <w:t>将国会议员困在其分支菌体中的“木筏”和由海草形成的“海王星球”。清洁剂呈多孔网状和球状，由藻酸盐和壳聚糖等生物聚合物制成。生物聚合物在形态上被再加工成软树突状胶体（SDC）。 SDC 被整合在一个蜂窝状的内部网络中，周围是分层纤维状的外层。这种网状结构能够通过范德华力和静电相互作用吸附纳米和微米级颗粒，同时将毫米级颗粒物理捕获到网孔中。由可持续材料制成的类似清洁剂可以作为可扩展的系统，有效去除水生环境中的各种MP。</w:t>
      </w:r>
    </w:p>
    <w:p>
      <w:pPr>
        <w:spacing w:before="0" w:after="200" w:lineRule="auto" w:line="276"/>
      </w:pPr>
      <w:r>
        <w:rPr>
          <w:b/>
        </w:rPr>
        <w:t xml:space="preserve">Abstract (EN): </w:t>
      </w:r>
      <w:r>
        <w:t>The cleanup of persistent microplastics (MPs) from aquifers requires the capture and removal of a broad range of MP sizes and shapes. Conventional methods such as filtration and centrifugation are inefficient in removing such a broad range of particle sizes. We designed a class of biomimetic cleaners inspired by natural systems—including “</w:t>
      </w:r>
      <w:r>
        <w:t xml:space="preserve"> </w:t>
      </w:r>
      <w:r>
        <w:t>Sargassum</w:t>
      </w:r>
      <w:r>
        <w:t xml:space="preserve"> </w:t>
      </w:r>
      <w:r>
        <w:t>rafts” that trap MPs within their branched thalli and “Neptune balls” formed from seagrass. The cleaners are in the form of porous meshes and balls made of biopolymers such as alginate and chitosan. The biopolymers are reprocessed morphologically into soft dendritic colloids (SDCs). The SDCs are consolidated in a honeycomb-like internal network surrounded by a hierarchically fibrillar outer layer. This mesh architecture enables adsorption of nano- and microscale particles via van der Waals and electrostatic interactions while physically trapping millimeter-scale particles into the net openings. Similar cleaners from architected sustainable materials could serve as scalable systems for efficient removal of diverse MPs from aquatic environments.</w:t>
      </w:r>
    </w:p>
    <w:p>
      <w:pPr>
        <w:spacing w:before="120" w:after="120"/>
      </w:pPr>
      <w:r>
        <w:rPr>
          <w:sz w:val="18"/>
        </w:rPr>
        <w:t>——————————————————————————————————————————————————————————————————————</w:t>
      </w:r>
    </w:p>
    <w:p>
      <w:pPr>
        <w:spacing w:before="160" w:after="40" w:line="240" w:lineRule="auto"/>
      </w:pPr>
      <w:r>
        <w:rPr>
          <w:b/>
        </w:rPr>
        <w:t xml:space="preserve">[11] </w:t>
      </w:r>
      <w:hyperlink r:id="rId551">
        <w:r>
          <w:rPr>
            <w:color w:val="1155CC"/>
            <w:u w:val="single"/>
          </w:rPr>
          <w:t>废聚酯塑料电催化升级回收的高度通用的电位门控策略</w:t>
        </w:r>
      </w:hyperlink>
    </w:p>
    <w:p>
      <w:pPr>
        <w:spacing w:before="0" w:after="80"/>
      </w:pPr>
      <w:r>
        <w:rPr>
          <w:i/>
          <w:sz w:val="20"/>
        </w:rPr>
        <w:t>EN: A Highly General Potential‐Gating Strategy for Electrocatalytic Upcycling of Waste Polyester Plastics</w:t>
      </w:r>
    </w:p>
    <w:p>
      <w:pPr>
        <w:spacing w:before="0" w:after="120"/>
      </w:pPr>
      <w:r>
        <w:rPr>
          <w:b/>
        </w:rPr>
        <w:t xml:space="preserve">Source: </w:t>
      </w:r>
      <w:r>
        <w:t>Wiley: Angewandte Chemie International Edition: Table of Contents</w:t>
      </w:r>
      <w:r>
        <w:t xml:space="preserve">    </w:t>
      </w:r>
      <w:r>
        <w:rPr>
          <w:b/>
        </w:rPr>
        <w:t xml:space="preserve">Pub date: </w:t>
      </w:r>
      <w:r>
        <w:t>2026-08-05 14:42:33+00:00</w:t>
      </w:r>
      <w:r>
        <w:t xml:space="preserve">    </w:t>
      </w:r>
      <w:r>
        <w:rPr>
          <w:b/>
        </w:rPr>
        <w:t xml:space="preserve">DOI: </w:t>
      </w:r>
      <w:hyperlink r:id="rId552">
        <w:r>
          <w:rPr>
            <w:color w:val="1155CC"/>
            <w:u w:val="single"/>
          </w:rPr>
          <w:t>10.1002/anie.1623834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由可再生电力驱动的废旧聚酯塑料的电催化升级回收为资源利用提供了一条可持续的途径，但由于聚酯固有的复杂单体导致选择性控制不佳，阻碍了其实际实施。在此，我们提出了一种用于选择性可控升级循环 α,ω-二醇和羟基酸（聚酯最关键的单体）的电位门控原理，并设计了一种电位门控 PVP-Pd-Ni(OH)</w:t>
      </w:r>
      <w:r>
        <w:rPr>
          <w:vertAlign w:val="subscript"/>
        </w:rPr>
        <w:t>2</w:t>
      </w:r>
      <w:r>
        <w:t>‐CV/NF催化剂。该催化剂只需切换施加的电位即可精确控制产品分布，无需更换催化剂，同时展示了对七种聚酯的广泛适用性。此外，该复合催化剂的活性比 Pd/NF 基准提高了七倍。机理研究表明，羟基酸中间体的吸附行为是关键的选择性决定步骤。对真正的消费后聚酯水解产物进行四个阶段连续电解 198 小时，保留了较高的目标产品选择性 (84%–98%)，从而展示了塑料废物回收的通用且可持续的途径。</w:t>
      </w:r>
    </w:p>
    <w:p>
      <w:pPr>
        <w:spacing w:before="0" w:after="200" w:lineRule="auto" w:line="276"/>
      </w:pPr>
      <w:r>
        <w:rPr>
          <w:b/>
        </w:rPr>
        <w:t xml:space="preserve">Abstract (EN): </w:t>
      </w:r>
      <w:r>
        <w:t>Electrocatalytic upcycling of waste polyester plastics driven by renewable electricity offers a sustainable route for resource utilization, yet its practical implementation is hampered by the poor selectivity control stemming from the inherent complex monomer of polyesters. Herein, we propose a potential‐gating principle for the selectivity‐controllable upcycling of α,ω‐diols and hydroxy acids—the most pivotal monomers of polyester—and design a potential‐gated PVP‐Pd‐Ni(OH)</w:t>
      </w:r>
      <w:r>
        <w:rPr>
          <w:vertAlign w:val="subscript"/>
        </w:rPr>
        <w:t>2</w:t>
      </w:r>
      <w:r>
        <w:t>‐CV/NF catalyst. This catalyst enables precise manipulation of product distribution simply by switching the applied potential without the need for catalyst replacement, while demonstrating broad applicability to seven polyesters. Moreover, the composite catalyst exhibits a sevenfold activity enhancement over the Pd/NF benchmark. Mechanistic investigations reveal that the adsorption behavior of hydroxy acid intermediates is the key selectivity‐determining step. Sequential electrolysis of real post‐consumer polyester hydrolysates over four stages for 198 h retains high target product selectivity (84%–98%), thus showcasing a general and sustainable route for plastic waste recycling.</w:t>
      </w:r>
    </w:p>
    <w:p>
      <w:pPr>
        <w:spacing w:before="120" w:after="120"/>
      </w:pPr>
      <w:r>
        <w:rPr>
          <w:sz w:val="18"/>
        </w:rPr>
        <w:t>——————————————————————————————————————————————————————————————————————</w:t>
      </w:r>
    </w:p>
    <w:p>
      <w:pPr>
        <w:spacing w:before="160" w:after="40" w:line="240" w:lineRule="auto"/>
      </w:pPr>
      <w:r>
        <w:rPr>
          <w:b/>
        </w:rPr>
        <w:t xml:space="preserve">[12] </w:t>
      </w:r>
      <w:hyperlink r:id="rId553">
        <w:r>
          <w:rPr>
            <w:color w:val="1155CC"/>
            <w:u w:val="single"/>
          </w:rPr>
          <w:t>通过战略性生物分子功能化增强聚对苯二甲酸乙二醇酯 (PET) 的多功能性</w:t>
        </w:r>
      </w:hyperlink>
    </w:p>
    <w:p>
      <w:pPr>
        <w:spacing w:before="0" w:after="80"/>
      </w:pPr>
      <w:r>
        <w:rPr>
          <w:i/>
          <w:sz w:val="20"/>
        </w:rPr>
        <w:t>EN: Enhancing the Versatility of Polyethylene Terephthalate (PET) Through Strategic Biomolecular Functionalization</w:t>
      </w:r>
    </w:p>
    <w:p>
      <w:pPr>
        <w:spacing w:before="0" w:after="120"/>
      </w:pPr>
      <w:r>
        <w:rPr>
          <w:b/>
        </w:rPr>
        <w:t xml:space="preserve">Source: </w:t>
      </w:r>
      <w:r>
        <w:t>Wiley: Angewandte Chemie International Edition: Table of Contents</w:t>
      </w:r>
      <w:r>
        <w:t xml:space="preserve">    </w:t>
      </w:r>
      <w:r>
        <w:rPr>
          <w:b/>
        </w:rPr>
        <w:t xml:space="preserve">Pub date: </w:t>
      </w:r>
      <w:r>
        <w:t>2026-08-05 15:25:55+00:00</w:t>
      </w:r>
      <w:r>
        <w:t xml:space="preserve">    </w:t>
      </w:r>
      <w:r>
        <w:rPr>
          <w:b/>
        </w:rPr>
        <w:t xml:space="preserve">DOI: </w:t>
      </w:r>
      <w:hyperlink r:id="rId554">
        <w:r>
          <w:rPr>
            <w:color w:val="1155CC"/>
            <w:u w:val="single"/>
          </w:rPr>
          <w:t>10.1002/anie.202526115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 PET 回收的生物催化策略日趋成熟，从 PET 水解酶研究中获得的见解可用于蛋白质设计和表面功能化策略，促进功能性蛋白质与 PET 表面的稳定结合，从而实现功能性蛋白质-塑料杂化材料的开发。在此，我们研究了 PET 和相关材料生物功能化策略的最新进展，重点关注化学生物学方法，这些方法可以更精确地控制 PET 和相关材料上蛋白质的方向。蛋白质-聚合物界面化学研究的生物物理见解可以为蛋白质选择、设计和工程方法提供信息，以最大限度地减少蛋白质在附着于表面时的变性并最大化其功能。最后，我们重点介绍了蛋白质功能化 PET 和相关合成聚合物的应用，包括生物医学应用和可扩展的生物催化，展示了将生物活性整合到耐用合成聚合物中的潜力。</w:t>
      </w:r>
    </w:p>
    <w:p>
      <w:pPr>
        <w:spacing w:before="0" w:after="200" w:lineRule="auto" w:line="276"/>
      </w:pPr>
      <w:r>
        <w:rPr>
          <w:b/>
        </w:rPr>
        <w:t xml:space="preserve">Abstract (EN): </w:t>
      </w:r>
      <w:r>
        <w:t>As biocatalytic strategies for PET recycling reach maturation, insights gained from PET hydrolase research can be leveraged to inform the design of proteins and surface‐functionalization strategies that promote stable association of functional proteins with PET surfaces, enabling the development of functional protein‐plastic hybrid materials. Herein, we examine recent developments in biofunctionalization strategies of PET and related materials, with a focus on chemical biology approaches that offer more precise control of the orientation of proteins on PET and related materials. Biophysical insights from protein‐polymer interface chemistry studies can inform protein selection, design, and engineering approaches to minimize denaturation and maximize function of proteins upon attachment to surfaces. Finally, we highlight applications of protein‐functionalized PET and related synthetic polymers, including for biomedical applications and scalable biocatalysis, showcasing the potential of integrating biological activity into durable synthetic polymers.</w:t>
      </w:r>
    </w:p>
    <w:p>
      <w:pPr>
        <w:spacing w:before="120" w:after="120"/>
      </w:pPr>
      <w:r>
        <w:rPr>
          <w:sz w:val="18"/>
        </w:rPr>
        <w:t>——————————————————————————————————————————————————————————————————————</w:t>
      </w:r>
    </w:p>
    <w:p>
      <w:pPr>
        <w:spacing w:before="160" w:after="40" w:line="240" w:lineRule="auto"/>
      </w:pPr>
      <w:r>
        <w:rPr>
          <w:b/>
        </w:rPr>
        <w:t xml:space="preserve">[13] </w:t>
      </w:r>
      <w:hyperlink r:id="rId422">
        <w:r>
          <w:rPr>
            <w:color w:val="1155CC"/>
            <w:u w:val="single"/>
          </w:rPr>
          <w:t>非平衡诱导的富含缺陷的双功能异质结用于甲酸铵的高选择性配对电合成</w:t>
        </w:r>
      </w:hyperlink>
    </w:p>
    <w:p>
      <w:pPr>
        <w:spacing w:before="0" w:after="80"/>
      </w:pPr>
      <w:r>
        <w:rPr>
          <w:i/>
          <w:sz w:val="20"/>
        </w:rPr>
        <w:t>EN: Nonequilibrium-Induced Defect-Rich Bifunctional Heterojunctions for Highly Selective Paired Electrosynthesis of Ammonium Formate</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423">
        <w:r>
          <w:rPr>
            <w:color w:val="1155CC"/>
            <w:u w:val="single"/>
          </w:rPr>
          <w:t>10.1021/jacs.6c08564</w:t>
        </w:r>
      </w:hyperlink>
    </w:p>
    <w:p>
      <w:pPr>
        <w:spacing w:before="0" w:after="120"/>
      </w:pPr>
      <w:r>
        <w:rPr>
          <w:b/>
        </w:rPr>
        <w:t xml:space="preserve">Notes: </w:t>
      </w:r>
      <w:r>
        <w:t>abstract_source=crossref</w:t>
      </w:r>
    </w:p>
    <w:p>
      <w:pPr>
        <w:spacing w:before="0" w:after="80" w:lineRule="auto" w:line="276"/>
      </w:pPr>
      <w:r>
        <w:rPr>
          <w:b/>
        </w:rPr>
        <w:t xml:space="preserve">摘要（ZH）: </w:t>
      </w:r>
      <w:r>
        <w:t>摘要：将硝酸盐电还原 (NO3RR) 与聚对苯二甲酸乙二醇酯 (PET) 升级循环耦合的配对电合成为闭合氮和碳循环提供了一条有前途的途径，但由于缺乏能够在高电流条件下高效运行的双功能催化剂，其实施受到阻碍。在这里，我们报告了一种通过闪蒸焦耳加热合成的缺陷工程LD-VO-CoO/Co3O4@C异质结催化剂，这是一种非平衡策略，可以在动力学上稳定大量的氧空位和明显的晶格畸变。 LD-VO-CoO/Co3O4@C 实现了 78.94 mg h–1 cm–2 的出色氨产率，法拉第效率 (FE) 为 97.14%，在 300 小时内具有优异的稳定性，超越了所有报道的单金属钴基催化剂，并且可以有效地将乙二醇氧化为甲酸盐（FE 的 98%）。在集成配置中，双功能 LD-VO-CoO/Co3O4@C 催化剂可实现稳定的安培级配对合成（2 A cm–2 @1.86 V，180 h at 1 A cm–2）。首次提出了原位下游延伸策略，通过阳极和阴极产物的直接混合来生产甲酸铵，并展示了可扩展的高电流配对电合成平台。技术经济评价显示，该配置的整体利润率惊人（75.7%），同时碳足迹大幅减少，从而扭转了氨电合成长期负利润的困境。</w:t>
      </w:r>
    </w:p>
    <w:p>
      <w:pPr>
        <w:spacing w:before="0" w:after="200" w:lineRule="auto" w:line="276"/>
      </w:pPr>
      <w:r>
        <w:rPr>
          <w:b/>
        </w:rPr>
        <w:t xml:space="preserve">Abstract (EN): </w:t>
      </w:r>
      <w:r>
        <w:t>Paired electrosynthesis that couples nitrate electroreduction (NO3RR) with polyethylene terephthalate (PET) upcycling offers a promising route to close nitrogen and carbon cycles, yet its implementation is hindered by the lack of bifunctional catalysts capable of operating efficiently under high-current conditions. Here, we report a defect-engineered LD-VO-CoO/Co3O4@C heterojunction catalyst synthesized via flash Joule heating, a nonequilibrium strategy that kinetically stabilizes abundant oxygen vacancies and pronounced lattice distortion. LD-VO-CoO/Co3O4@C achieves an outstanding ammonia yield rate of 78.94 mg h–1 cm–2 with a Faradaic efficiency (FE) of 97.14%, together with excellent stability over 300 h, surpassing all reported monometallic cobalt-based catalysts, as well as efficient oxidation of ethylene glycol to formate (98% of FE). In an integrated configuration, the bifunctional LD-VO-CoO/Co3O4@C catalyst enables stable ampere-level paired synthesis (2 A cm–2 @1.86 V, 180 h at 1 A cm–2). An in situ downstream extension strategy is proposed for the first time, enabling ammonium formate production via direct mixing of anodic and cathodic products, and demonstrating a scalable, high-current paired electrosynthesis platform. Techno-economic evaluation highlights a striking overall profit margin of this configuration (75.7%), along with a substantial reduction in carbon footprint, thereby reversing the long-term dilemma of negative profits for ammonia electrosynthesis.</w:t>
      </w:r>
    </w:p>
    <w:p>
      <w:pPr>
        <w:spacing w:before="120" w:after="120"/>
      </w:pPr>
      <w:r>
        <w:rPr>
          <w:sz w:val="18"/>
        </w:rPr>
        <w:t>——————————————————————————————————————————————————————————————————————</w:t>
      </w:r>
    </w:p>
    <w:p>
      <w:pPr>
        <w:spacing w:before="160" w:after="40" w:line="240" w:lineRule="auto"/>
      </w:pPr>
      <w:r>
        <w:rPr>
          <w:b/>
        </w:rPr>
        <w:t xml:space="preserve">[14] </w:t>
      </w:r>
      <w:hyperlink r:id="rId555">
        <w:r>
          <w:rPr>
            <w:color w:val="1155CC"/>
            <w:u w:val="single"/>
          </w:rPr>
          <w:t>从源头遏制塑料污染</w:t>
        </w:r>
      </w:hyperlink>
    </w:p>
    <w:p>
      <w:pPr>
        <w:spacing w:before="0" w:after="80"/>
      </w:pPr>
      <w:r>
        <w:rPr>
          <w:i/>
          <w:sz w:val="20"/>
        </w:rPr>
        <w:t>EN: Curb plastic pollution at its source</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556">
        <w:r>
          <w:rPr>
            <w:color w:val="1155CC"/>
            <w:u w:val="single"/>
          </w:rPr>
          <w:t>10.1126/science.aej6212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557">
        <w:r>
          <w:rPr>
            <w:color w:val="1155CC"/>
            <w:u w:val="single"/>
          </w:rPr>
          <w:t>全球贸易对鱼翅法规的反应</w:t>
        </w:r>
      </w:hyperlink>
    </w:p>
    <w:p>
      <w:pPr>
        <w:spacing w:before="0" w:after="80"/>
      </w:pPr>
      <w:r>
        <w:rPr>
          <w:i/>
          <w:sz w:val="20"/>
        </w:rPr>
        <w:t>EN: Global trade responses to shark finning regulations</w:t>
      </w:r>
    </w:p>
    <w:p>
      <w:pPr>
        <w:spacing w:before="0" w:after="120"/>
      </w:pPr>
      <w:r>
        <w:rPr>
          <w:b/>
        </w:rPr>
        <w:t xml:space="preserve">Source: </w:t>
      </w:r>
      <w:r>
        <w:t>Earth and environmental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尽管旨在限制鲨鱼捕捞和贸易的法规不断增加，但全球鲨鱼死亡率仍在持续上升。监管措施可能会影响鲨鱼产品市场，但由于数据分散且解析不佳，这种关系很难量化。我们提出了一项全球分析，评估国内鱼翅法规对 188 个国家鲨鱼产品贸易的影响。使用因果推理方法和物种水生资源贸易数据库（2007-2020），我们发现取翅法规对鲨鱼总贸易量的影响微弱且在统计上不显着。然而，长期趋势表明，采取融资监管的国家往往会减少出口，适度增加进口，并保持相对稳定的国内消费。我们的框架提供了更广泛的方法来调查与鲨鱼和其他贸易野生动物物种相关的经济途径和死亡驱动因素。</w:t>
      </w:r>
    </w:p>
    <w:p>
      <w:pPr>
        <w:spacing w:before="0" w:after="200" w:lineRule="auto" w:line="276"/>
      </w:pPr>
      <w:r>
        <w:rPr>
          <w:b/>
        </w:rPr>
        <w:t xml:space="preserve">Abstract (EN): </w:t>
      </w:r>
      <w:r>
        <w:t>Global shark mortality continues to rise despite increasing regulations aimed at limiting shark fishing and trade. Regulatory measures may influence shark product markets, but this relationship has been difficult to quantify because of fragmented and poorly resolved data. We present a global analysis evaluating the effects of domestic shark finning regulations on trade in shark products across 188 countries. Using causal inference methods and the Aquatic Resource Trade in Species database (2007–2020), we find weak and statistically insignificant effects of finning regulations on overall shark trade volumes. However, long-term trends suggest that countries adopting finning regulations tend to reduce exports, modestly increase imports, and maintain relatively stable domestic consumption. Our framework provides a broader approach for investigating the economic pathways and drivers of mortality associated with sharks and other traded wildlife species.</w:t>
      </w:r>
    </w:p>
    <w:p>
      <w:pPr>
        <w:spacing w:before="120" w:after="120"/>
      </w:pPr>
      <w:r>
        <w:rPr>
          <w:sz w:val="18"/>
        </w:rPr>
        <w:t>——————————————————————————————————————————————————————————————————————</w:t>
      </w:r>
    </w:p>
    <w:p>
      <w:pPr>
        <w:spacing w:before="160" w:after="40" w:line="240" w:lineRule="auto"/>
      </w:pPr>
      <w:r>
        <w:rPr>
          <w:b/>
        </w:rPr>
        <w:t xml:space="preserve">[2] </w:t>
      </w:r>
      <w:hyperlink r:id="rId558">
        <w:r>
          <w:rPr>
            <w:color w:val="1155CC"/>
            <w:u w:val="single"/>
          </w:rPr>
          <w:t>细胞内的“gobstoppers”能够实现程序化的货物释放</w:t>
        </w:r>
      </w:hyperlink>
    </w:p>
    <w:p>
      <w:pPr>
        <w:spacing w:before="0" w:after="80"/>
      </w:pPr>
      <w:r>
        <w:rPr>
          <w:i/>
          <w:sz w:val="20"/>
        </w:rPr>
        <w:t>EN: Intracellular ‘gobstoppers’ enable programmed cargo release</w:t>
      </w:r>
    </w:p>
    <w:p>
      <w:pPr>
        <w:spacing w:before="0" w:after="120"/>
      </w:pPr>
      <w:r>
        <w:rPr>
          <w:b/>
        </w:rPr>
        <w:t xml:space="preserve">Source: </w:t>
      </w:r>
      <w:r>
        <w:t>Nature Nanotechnology</w:t>
      </w:r>
      <w:r>
        <w:t xml:space="preserve">    </w:t>
      </w:r>
      <w:r>
        <w:rPr>
          <w:b/>
        </w:rPr>
        <w:t xml:space="preserve">Pub date: </w:t>
      </w:r>
      <w:r>
        <w:t>2026-07-31 00:00:00+00:00</w:t>
      </w:r>
      <w:r>
        <w:t xml:space="preserve">    </w:t>
      </w:r>
      <w:r>
        <w:rPr>
          <w:b/>
        </w:rPr>
        <w:t xml:space="preserve">DOI: </w:t>
      </w:r>
      <w:hyperlink r:id="rId559">
        <w:r>
          <w:rPr>
            <w:color w:val="1155CC"/>
            <w:u w:val="single"/>
          </w:rPr>
          <w:t>10.1038/s41565-026-02231-z</w:t>
        </w:r>
      </w:hyperlink>
    </w:p>
    <w:p>
      <w:pPr>
        <w:spacing w:before="0" w:after="120"/>
      </w:pPr>
      <w:r>
        <w:rPr>
          <w:b/>
        </w:rPr>
        <w:t xml:space="preserve">Notes: </w:t>
      </w:r>
      <w:r>
        <w:t>abstract_source=rss_nature</w:t>
      </w:r>
    </w:p>
    <w:p>
      <w:pPr>
        <w:spacing w:before="0" w:after="80" w:lineRule="auto" w:line="276"/>
      </w:pPr>
      <w:r>
        <w:rPr>
          <w:b/>
        </w:rPr>
        <w:t xml:space="preserve">摘要（ZH）: </w:t>
      </w:r>
      <w:r>
        <w:t>活细胞被设计成微型工厂，生长具有同心层的可编程蛋白质晶体，每个同心层都能够携带不同的纳米级货物并按顺序溶解，以实现精确定时的多阶段有效负载释放。</w:t>
      </w:r>
    </w:p>
    <w:p>
      <w:pPr>
        <w:spacing w:before="0" w:after="200" w:lineRule="auto" w:line="276"/>
      </w:pPr>
      <w:r>
        <w:rPr>
          <w:b/>
        </w:rPr>
        <w:t xml:space="preserve">Abstract (EN): </w:t>
      </w:r>
      <w:r>
        <w:t>Living cells are engineered as microscale factories that grow programmable protein crystals with concentric layers, each capable of carrying distinct nanoscale cargo and dissolving sequentially to enable precisely timed, multi-stage payload release.</w:t>
      </w:r>
    </w:p>
    <w:p>
      <w:pPr>
        <w:spacing w:before="120" w:after="120"/>
      </w:pPr>
      <w:r>
        <w:rPr>
          <w:sz w:val="18"/>
        </w:rPr>
        <w:t>——————————————————————————————————————————————————————————————————————</w:t>
      </w:r>
    </w:p>
    <w:p>
      <w:pPr>
        <w:spacing w:before="160" w:after="40" w:line="240" w:lineRule="auto"/>
      </w:pPr>
      <w:r>
        <w:rPr>
          <w:b/>
        </w:rPr>
        <w:t xml:space="preserve">[3] </w:t>
      </w:r>
      <w:hyperlink r:id="rId560">
        <w:r>
          <w:rPr>
            <w:color w:val="1155CC"/>
            <w:u w:val="single"/>
          </w:rPr>
          <w:t>导致非洲巨型草食动物多样性崩溃的是较低的物种形成，而不是较高的灭绝</w:t>
        </w:r>
      </w:hyperlink>
    </w:p>
    <w:p>
      <w:pPr>
        <w:spacing w:before="0" w:after="80"/>
      </w:pPr>
      <w:r>
        <w:rPr>
          <w:i/>
          <w:sz w:val="20"/>
        </w:rPr>
        <w:t>EN: Lower speciation, not higher extinction, drove African megaherbivore diversity collapse</w:t>
      </w:r>
    </w:p>
    <w:p>
      <w:pPr>
        <w:spacing w:before="0" w:after="120"/>
      </w:pPr>
      <w:r>
        <w:rPr>
          <w:b/>
        </w:rPr>
        <w:t xml:space="preserve">Source: </w:t>
      </w:r>
      <w:r>
        <w:t>Earth and environmental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今天的生态系统中的大型食草动物（≥1000公斤）严重枯竭，并且缺乏这些景观工程师曾经提供的许多生态功能。无论是归因于人类还是气候，对巨型食草动物衰退的普遍看法都集中在体型偏大的灭绝上（即最大物种的灭绝率较高），而忽视了物种形成率的作用。为了充分了解非洲大型食草动物的衰落，我们使用神经网络模型研究了非洲有蹄类动物 2300 万年 (Myrs) 的多样化。从大约 720 万年前（Ma）开始，非洲有蹄类动物群见证了物种形成和灭绝速度的整体加速。虽然物种形成在 3.6 Ma 后趋于稳定，但在更新世（2.58 Ma）开始时灭绝率急剧上升，导致食草动物群体的多样性普遍丧失。然而，我们发现大型谱系和科内较大物种的灭绝率本质上较低。高冠牙列在坚硬、磨蚀性饮食下可以维持更长的时间，也与抑制灭绝率有关。重要的是，最大的食草动物的物种形成率本质上很低，并且在某些谱系中，由于过去 5 迈的干旱化加剧，物种形成率受到抑制。我们的研究结果强调了巨型食草动物衰退背后的宏观进化复杂性，增进了对涉及大型类群的生物危机的理解。</w:t>
      </w:r>
    </w:p>
    <w:p>
      <w:pPr>
        <w:spacing w:before="0" w:after="200" w:lineRule="auto" w:line="276"/>
      </w:pPr>
      <w:r>
        <w:rPr>
          <w:b/>
        </w:rPr>
        <w:t xml:space="preserve">Abstract (EN): </w:t>
      </w:r>
      <w:r>
        <w:t>Today’s ecosystems are severely depleted in megaherbivores (≥ 1000 kg) and lack many of the ecological functions once provided by these landscape engineers. Whether attributed to humans or climate, prevailing views of megaherbivore decline have focused on size-biased extinction (i.e., higher extinction rates among the largest species) while neglecting the role of speciation rates. To fully contextualize the decline of African megaherbivores, we examine 23 million years (Myrs) of African ungulate diversification using neural network models. Starting around 7.2 million years ago (Ma), African ungulate faunas witnessed overall accelerations in speciation and extinction rates. While speciation plateaued after 3.6 Ma, extinction rates increased sharply at the onset of the Pleistocene (2.58 Ma), leading to widespread diversity losses across herbivore guilds. Yet, we find that extinction rates are intrinsically lower in large-size lineages and in larger species within families. High-crowned dentitions, which last longer under hard, abrasive diets, are also associated with a suppression of extinction rates. Importantly, speciation rates in the largest herbivores are intrinsically low, and in some lineages were suppressed in response to increasing aridification during the last 5 Myrs. Our findings highlight the macroevolutionary complexity behind megaherbivore decline, advancing understanding of biotic crises involving large-bodied taxa.</w:t>
      </w:r>
    </w:p>
    <w:p>
      <w:pPr>
        <w:spacing w:before="120" w:after="120"/>
      </w:pPr>
      <w:r>
        <w:rPr>
          <w:sz w:val="18"/>
        </w:rPr>
        <w:t>——————————————————————————————————————————————————————————————————————</w:t>
      </w:r>
    </w:p>
    <w:p>
      <w:pPr>
        <w:spacing w:before="160" w:after="40" w:line="240" w:lineRule="auto"/>
      </w:pPr>
      <w:r>
        <w:rPr>
          <w:b/>
        </w:rPr>
        <w:t xml:space="preserve">[4] </w:t>
      </w:r>
      <w:hyperlink r:id="rId561">
        <w:r>
          <w:rPr>
            <w:color w:val="1155CC"/>
            <w:u w:val="single"/>
          </w:rPr>
          <w:t>微生物群物质</w:t>
        </w:r>
      </w:hyperlink>
    </w:p>
    <w:p>
      <w:pPr>
        <w:spacing w:before="0" w:after="80"/>
      </w:pPr>
      <w:r>
        <w:rPr>
          <w:i/>
          <w:sz w:val="20"/>
        </w:rPr>
        <w:t>EN: Microbiota matter</w:t>
      </w:r>
    </w:p>
    <w:p>
      <w:pPr>
        <w:spacing w:before="0" w:after="120"/>
      </w:pPr>
      <w:r>
        <w:rPr>
          <w:b/>
        </w:rPr>
        <w:t xml:space="preserve">Source: </w:t>
      </w:r>
      <w:r>
        <w:t>Nature Materials</w:t>
      </w:r>
      <w:r>
        <w:t xml:space="preserve">    </w:t>
      </w:r>
      <w:r>
        <w:rPr>
          <w:b/>
        </w:rPr>
        <w:t xml:space="preserve">Pub date: </w:t>
      </w:r>
      <w:r>
        <w:t>2026-07-31 00:00:00+00:00</w:t>
      </w:r>
      <w:r>
        <w:t xml:space="preserve">    </w:t>
      </w:r>
      <w:r>
        <w:rPr>
          <w:b/>
        </w:rPr>
        <w:t xml:space="preserve">DOI: </w:t>
      </w:r>
      <w:hyperlink r:id="rId562">
        <w:r>
          <w:rPr>
            <w:color w:val="1155CC"/>
            <w:u w:val="single"/>
          </w:rPr>
          <w:t>10.1038/s41563-026-02699-z</w:t>
        </w:r>
      </w:hyperlink>
    </w:p>
    <w:p>
      <w:pPr>
        <w:spacing w:before="0" w:after="120"/>
      </w:pPr>
      <w:r>
        <w:rPr>
          <w:b/>
        </w:rPr>
        <w:t xml:space="preserve">Notes: </w:t>
      </w:r>
      <w:r>
        <w:t>abstract_source=rss_nature</w:t>
      </w:r>
    </w:p>
    <w:p>
      <w:pPr>
        <w:spacing w:before="0" w:after="80" w:lineRule="auto" w:line="276"/>
      </w:pPr>
      <w:r>
        <w:rPr>
          <w:b/>
        </w:rPr>
        <w:t xml:space="preserve">摘要（ZH）: </w:t>
      </w:r>
      <w:r>
        <w:t>肠道微生物群通过调节肝脏清除率来塑造纳米药物的命运，并对肿瘤输送产生影响。</w:t>
      </w:r>
    </w:p>
    <w:p>
      <w:pPr>
        <w:spacing w:before="0" w:after="200" w:lineRule="auto" w:line="276"/>
      </w:pPr>
      <w:r>
        <w:rPr>
          <w:b/>
        </w:rPr>
        <w:t xml:space="preserve">Abstract (EN): </w:t>
      </w:r>
      <w:r>
        <w:t>Gut microbiota shapes nanomedicine fate by regulating hepatic clearance, with implications for tumour delivery.</w:t>
      </w:r>
    </w:p>
    <w:p>
      <w:pPr>
        <w:spacing w:before="120" w:after="120"/>
      </w:pPr>
      <w:r>
        <w:rPr>
          <w:sz w:val="18"/>
        </w:rPr>
        <w:t>——————————————————————————————————————————————————————————————————————</w:t>
      </w:r>
    </w:p>
    <w:p>
      <w:pPr>
        <w:spacing w:before="160" w:after="40" w:line="240" w:lineRule="auto"/>
      </w:pPr>
      <w:r>
        <w:rPr>
          <w:b/>
        </w:rPr>
        <w:t xml:space="preserve">[5] </w:t>
      </w:r>
      <w:hyperlink r:id="rId563">
        <w:r>
          <w:rPr>
            <w:color w:val="1155CC"/>
            <w:u w:val="single"/>
          </w:rPr>
          <w:t>可靠性和经济性增强的分布式储能调度：一种基于疲劳感知的在线学习聚合方法</w:t>
        </w:r>
      </w:hyperlink>
    </w:p>
    <w:p>
      <w:pPr>
        <w:spacing w:before="0" w:after="80"/>
      </w:pPr>
      <w:r>
        <w:rPr>
          <w:i/>
          <w:sz w:val="20"/>
        </w:rPr>
        <w:t>EN: Reliability and economics enhanced dispatch of distributed energy storage: A fatigue-aware online learning based aggregation approach</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564">
        <w:r>
          <w:rPr>
            <w:color w:val="1155CC"/>
            <w:u w:val="single"/>
          </w:rPr>
          <w:t>10.1016/j.apenergy.2026.128512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565">
        <w:r>
          <w:rPr>
            <w:color w:val="1155CC"/>
            <w:u w:val="single"/>
          </w:rPr>
          <w:t>活动悬崖意识为分子特性预测提供了强大的图形学习能力</w:t>
        </w:r>
      </w:hyperlink>
    </w:p>
    <w:p>
      <w:pPr>
        <w:spacing w:before="0" w:after="80"/>
      </w:pPr>
      <w:r>
        <w:rPr>
          <w:i/>
          <w:sz w:val="20"/>
        </w:rPr>
        <w:t>EN: Activity-cliff awareness enables robust graph learning for molecular property prediction</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准确预测分子活性受到活性悬崖 (AC) 的阻碍，活性悬崖是高度相似的化合物之间的急剧效力变化，扭曲了现代定量构效关系 (SAR) 模型和图神经网络 (GNN) 假设的平滑度。在这里，我们引入了 AC 意识（ACA），这是一种归纳偏差，可以重塑 GNN 潜在空间以解释这些不连续性。该方法通过将回归与软边缘三元组对比学习相结合的 ACA 损失来实现，在训练期间动态挖掘高价值的活动悬崖三元组，并纠正潜在空间中不一致的邻域。这个过程逐渐减少了悬崖违规，更加连贯的活性梯度，并减少了不同化学空间中的标签不连贯性。通过对涵盖低样本窄支架系列、大型混合支架基准、配对悬崖分类以及吸收、分布、代谢、排泄和毒性 (ADMET) 属性预测的 52 个数据集进行评估，ACA 持续提高了强扩展连接指纹 (ECFP) 和 GNN 基线的预测准确性。该方法可推广到多个 GNN 主干网络，并在固定超参数下保持稳健。这些结果表明，ACA 提供了一种原则性策略，通过将潜在表示与 AC 背后的非加性行为对齐来增强分子属性预测。</w:t>
      </w:r>
    </w:p>
    <w:p>
      <w:pPr>
        <w:spacing w:before="0" w:after="200" w:lineRule="auto" w:line="276"/>
      </w:pPr>
      <w:r>
        <w:rPr>
          <w:b/>
        </w:rPr>
        <w:t xml:space="preserve">Abstract (EN): </w:t>
      </w:r>
      <w:r>
        <w:t>Accurately predicting molecular activity is hindered by activity cliffs (ACs), which are sharp potency changes between highly similar compounds that distort the smoothness assumed by modern quantitative structure–activity relationship (SAR) models and graph neural networks (GNNs). Here we introduce AC awareness (ACA), an inductive bias that reshapes GNN latent spaces to account for these discontinuities. Implemented through an ACA loss combining regression with soft-margin triplet contrastive learning, the method dynamically mines high-value activity-cliff triplets during training and corrects inconsistent neighborhoods in latent space. This process yields progressively fewer cliff violations, more coherent activity gradients, and reduced label incoherence across diverse chemical spaces. Evaluated on 52 datasets spanning low-sample narrow-scaffold series, large mixed-scaffold benchmarks, matched-pair cliff classification, and absorption, distribution, metabolism, excretion and toxicity (ADMET) property prediction, ACA consistently improves predictive accuracy over strong extended-connectivity fingerprint (ECFP) and GNN baselines. The approach generalizes across multiple GNN backbones and remains robust under fixed hyperparameters. These results suggest that ACA provides a principled strategy for enhancing molecular property prediction by aligning latent representations with the nonadditive behavior underlying ACs.</w:t>
      </w:r>
    </w:p>
    <w:p>
      <w:pPr>
        <w:spacing w:before="120" w:after="120"/>
      </w:pPr>
      <w:r>
        <w:rPr>
          <w:sz w:val="18"/>
        </w:rPr>
        <w:t>——————————————————————————————————————————————————————————————————————</w:t>
      </w:r>
    </w:p>
    <w:p>
      <w:pPr>
        <w:spacing w:before="160" w:after="40" w:line="240" w:lineRule="auto"/>
      </w:pPr>
      <w:r>
        <w:rPr>
          <w:b/>
        </w:rPr>
        <w:t xml:space="preserve">[7] </w:t>
      </w:r>
      <w:hyperlink r:id="rId566">
        <w:r>
          <w:rPr>
            <w:color w:val="1155CC"/>
            <w:u w:val="single"/>
          </w:rPr>
          <w:t>用于智能边缘接口的具有高阶突发尖峰的受脊髓启发的人工触觉中间神经元</w:t>
        </w:r>
      </w:hyperlink>
    </w:p>
    <w:p>
      <w:pPr>
        <w:spacing w:before="0" w:after="80"/>
      </w:pPr>
      <w:r>
        <w:rPr>
          <w:i/>
          <w:sz w:val="20"/>
        </w:rPr>
        <w:t>EN: Spinal-inspired artificial tactile interneuron with high-order burst spiking for intelligent edge interfaces</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人类的触觉感知依赖于分层处理，其中进入神经系统的输入由中间神经元融合以进行稀疏多模态编码，并将集成的信号发送到大脑以产生感知。将这一途径从初级感觉输入复制到高阶神经处理，从而有效地将信号转换为外部环境的连贯表示，对于人工触觉系统至关重要。在这里，我们通过在混合集成平台上将应变、压力和温度传感器与 NbOx 忆阻神经元集成来展示人工多模态中间神经元 (AMIN)，从而实现分层神经编码并生成高信息密度时间尖峰模式。基于 AMIN 的处理生成具有宽时间动态的统一突发尖峰序列，对物体大小、硬度和温度进行编码，直接作为 SNN 的输入。在 20 类触觉物体识别任务中，硬件表征的 AMIN 编码模型与软件 SNN 相结合，实现了 90.5% 的准确率，展示了所提出的触觉编码策略在紧凑和低功耗多模态触觉智能方面的潜力。</w:t>
      </w:r>
    </w:p>
    <w:p>
      <w:pPr>
        <w:spacing w:before="0" w:after="200" w:lineRule="auto" w:line="276"/>
      </w:pPr>
      <w:r>
        <w:rPr>
          <w:b/>
        </w:rPr>
        <w:t xml:space="preserve">Abstract (EN): </w:t>
      </w:r>
      <w:r>
        <w:t>Human tactile perception relies on hierarchical processing, where inputs entering the nervous system are fused by interneurons for sparse multimodal encoding, and the integrated signals are sent to the brain to generate perception. Replicating this pathway from primary sensory inputs to higher-order neural processing, which efficiently transforms signals into coherent representations of the external environment, is essential for artificial tactile systems. Here we present artificial multimodal interneuron (AMINs) by integrating strain, pressure, and temperature sensors with NbOx memristor neurons on a hybrid integrated platform, enabling hierarchical neural encoding and the generation of high-information-density temporal spike patterns. AMIN-based processing generates a unified burst spike train with wide temporal dynamics that encode object size, hardness, and temperature, serving directly as input to SNNs. In a 20-class tactile object recognition task, a hardware-characterized AMIN encoding model combined with a software SNN achieves 90.5% accuracy, demonstrating the potential of the proposed tactile encoding strategy for compact and low-power multimodal tactile intelligence.</w:t>
      </w:r>
    </w:p>
    <w:p>
      <w:pPr>
        <w:spacing w:before="120" w:after="120"/>
      </w:pPr>
      <w:r>
        <w:rPr>
          <w:sz w:val="18"/>
        </w:rPr>
        <w:t>——————————————————————————————————————————————————————————————————————</w:t>
      </w:r>
    </w:p>
    <w:p>
      <w:pPr>
        <w:spacing w:before="160" w:after="40" w:line="240" w:lineRule="auto"/>
      </w:pPr>
      <w:r>
        <w:rPr>
          <w:b/>
        </w:rPr>
        <w:t xml:space="preserve">[8] </w:t>
      </w:r>
      <w:hyperlink r:id="rId567">
        <w:r>
          <w:rPr>
            <w:color w:val="1155CC"/>
            <w:u w:val="single"/>
          </w:rPr>
          <w:t>采用外延界面工程的高跨导二硫化钼顶栅晶体管</w:t>
        </w:r>
      </w:hyperlink>
    </w:p>
    <w:p>
      <w:pPr>
        <w:spacing w:before="0" w:after="80"/>
      </w:pPr>
      <w:r>
        <w:rPr>
          <w:i/>
          <w:sz w:val="20"/>
        </w:rPr>
        <w:t>EN: High-transconductance molybdenum disulfide top-gate transistors using epitaxial interface engineering</w:t>
      </w:r>
    </w:p>
    <w:p>
      <w:pPr>
        <w:spacing w:before="0" w:after="120"/>
      </w:pPr>
      <w:r>
        <w:rPr>
          <w:b/>
        </w:rPr>
        <w:t xml:space="preserve">Source: </w:t>
      </w:r>
      <w:r>
        <w:t>Nature Electronics</w:t>
      </w:r>
      <w:r>
        <w:t xml:space="preserve">    </w:t>
      </w:r>
      <w:r>
        <w:rPr>
          <w:b/>
        </w:rPr>
        <w:t xml:space="preserve">Pub date: </w:t>
      </w:r>
      <w:r>
        <w:t>2026-07-31 00:00:00+00:00</w:t>
      </w:r>
      <w:r>
        <w:t xml:space="preserve">    </w:t>
      </w:r>
      <w:r>
        <w:rPr>
          <w:b/>
        </w:rPr>
        <w:t xml:space="preserve">DOI: </w:t>
      </w:r>
      <w:hyperlink r:id="rId568">
        <w:r>
          <w:rPr>
            <w:color w:val="1155CC"/>
            <w:u w:val="single"/>
          </w:rPr>
          <w:t>10.1038/s41928-026-01672-7</w:t>
        </w:r>
      </w:hyperlink>
    </w:p>
    <w:p>
      <w:pPr>
        <w:spacing w:before="0" w:after="120"/>
      </w:pPr>
      <w:r>
        <w:rPr>
          <w:b/>
        </w:rPr>
        <w:t xml:space="preserve">Notes: </w:t>
      </w:r>
      <w:r>
        <w:t>abstract_source=rss_nature</w:t>
      </w:r>
    </w:p>
    <w:p>
      <w:pPr>
        <w:spacing w:before="0" w:after="80" w:lineRule="auto" w:line="276"/>
      </w:pPr>
      <w:r>
        <w:rPr>
          <w:b/>
        </w:rPr>
        <w:t xml:space="preserve">摘要（ZH）: </w:t>
      </w:r>
      <w:r>
        <w:t>借助外延衍生的氧化铝界面层，可以创建单层二硫化钼顶栅场效应晶体管，其跨导为 0.45 mS µm−1，等效氧化物厚度约为 1 nm。</w:t>
      </w:r>
    </w:p>
    <w:p>
      <w:pPr>
        <w:spacing w:before="0" w:after="200" w:lineRule="auto" w:line="276"/>
      </w:pPr>
      <w:r>
        <w:rPr>
          <w:b/>
        </w:rPr>
        <w:t xml:space="preserve">Abstract (EN): </w:t>
      </w:r>
      <w:r>
        <w:t>Monolayer molybdenum disulfide top-gate field-effect transistors with a transconductance of 0.45 mS µm−1 at an equivalent oxide thickness of around 1 nm can be created with the help of an epitaxially derived aluminium oxide interfacial layer.</w:t>
      </w:r>
    </w:p>
    <w:p>
      <w:pPr>
        <w:spacing w:before="120" w:after="120"/>
      </w:pPr>
      <w:r>
        <w:rPr>
          <w:sz w:val="18"/>
        </w:rPr>
        <w:t>——————————————————————————————————————————————————————————————————————</w:t>
      </w:r>
    </w:p>
    <w:p>
      <w:pPr>
        <w:spacing w:before="160" w:after="40" w:line="240" w:lineRule="auto"/>
      </w:pPr>
      <w:r>
        <w:rPr>
          <w:b/>
        </w:rPr>
        <w:t xml:space="preserve">[9] </w:t>
      </w:r>
      <w:hyperlink r:id="rId569">
        <w:r>
          <w:rPr>
            <w:color w:val="1155CC"/>
            <w:u w:val="single"/>
          </w:rPr>
          <w:t>使用机械载体测量复合材料内部的应力</w:t>
        </w:r>
      </w:hyperlink>
    </w:p>
    <w:p>
      <w:pPr>
        <w:spacing w:before="0" w:after="80"/>
      </w:pPr>
      <w:r>
        <w:rPr>
          <w:i/>
          <w:sz w:val="20"/>
        </w:rPr>
        <w:t>EN: Measuring stress inside composites with mechanophores</w:t>
      </w:r>
    </w:p>
    <w:p>
      <w:pPr>
        <w:spacing w:before="0" w:after="120"/>
      </w:pPr>
      <w:r>
        <w:rPr>
          <w:b/>
        </w:rPr>
        <w:t xml:space="preserve">Source: </w:t>
      </w:r>
      <w:r>
        <w:t>Nature Reviews Clean Technology</w:t>
      </w:r>
      <w:r>
        <w:t xml:space="preserve">    </w:t>
      </w:r>
      <w:r>
        <w:rPr>
          <w:b/>
        </w:rPr>
        <w:t xml:space="preserve">Pub date: </w:t>
      </w:r>
      <w:r>
        <w:t>2026-07-31 00:00:00+00:00</w:t>
      </w:r>
      <w:r>
        <w:t xml:space="preserve">    </w:t>
      </w:r>
      <w:r>
        <w:rPr>
          <w:b/>
        </w:rPr>
        <w:t xml:space="preserve">DOI: </w:t>
      </w:r>
      <w:hyperlink r:id="rId570">
        <w:r>
          <w:rPr>
            <w:color w:val="1155CC"/>
            <w:u w:val="single"/>
          </w:rPr>
          <w:t>10.1038/s44359-026-00207-9</w:t>
        </w:r>
      </w:hyperlink>
    </w:p>
    <w:p>
      <w:pPr>
        <w:spacing w:before="0" w:after="120"/>
      </w:pPr>
      <w:r>
        <w:rPr>
          <w:b/>
        </w:rPr>
        <w:t xml:space="preserve">Notes: </w:t>
      </w:r>
      <w:r>
        <w:t>abstract_source=rss_nature</w:t>
      </w:r>
    </w:p>
    <w:p>
      <w:pPr>
        <w:spacing w:before="0" w:after="80" w:lineRule="auto" w:line="276"/>
      </w:pPr>
      <w:r>
        <w:rPr>
          <w:b/>
        </w:rPr>
        <w:t xml:space="preserve">摘要（ZH）: </w:t>
      </w:r>
      <w:r>
        <w:t>Nazmul Haque 演示了机械力团如何实现聚合物复合材料中内应力集中的绘图和量化。</w:t>
      </w:r>
    </w:p>
    <w:p>
      <w:pPr>
        <w:spacing w:before="0" w:after="200" w:lineRule="auto" w:line="276"/>
      </w:pPr>
      <w:r>
        <w:rPr>
          <w:b/>
        </w:rPr>
        <w:t xml:space="preserve">Abstract (EN): </w:t>
      </w:r>
      <w:r>
        <w:t>Nazmul Haque demonstrates how mechanophores enable the mapping and quantification of internal stress concentrations in polymer composites.</w:t>
      </w:r>
    </w:p>
    <w:p>
      <w:pPr>
        <w:spacing w:before="120" w:after="120"/>
      </w:pPr>
      <w:r>
        <w:rPr>
          <w:sz w:val="18"/>
        </w:rPr>
        <w:t>——————————————————————————————————————————————————————————————————————</w:t>
      </w:r>
    </w:p>
    <w:p>
      <w:pPr>
        <w:spacing w:before="160" w:after="40" w:line="240" w:lineRule="auto"/>
      </w:pPr>
      <w:r>
        <w:rPr>
          <w:b/>
        </w:rPr>
        <w:t xml:space="preserve">[10] </w:t>
      </w:r>
      <w:hyperlink r:id="rId571">
        <w:r>
          <w:rPr>
            <w:color w:val="1155CC"/>
            <w:u w:val="single"/>
          </w:rPr>
          <w:t>真实空间中类马约拉纳零模态编织的直接观察</w:t>
        </w:r>
      </w:hyperlink>
    </w:p>
    <w:p>
      <w:pPr>
        <w:spacing w:before="0" w:after="80"/>
      </w:pPr>
      <w:r>
        <w:rPr>
          <w:i/>
          <w:sz w:val="20"/>
        </w:rPr>
        <w:t>EN: Direct observation of braiding of Majorana-like zero modes in real space</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马约拉纳零模 (MZM) 是容错拓扑量子计算的核心，其非阿贝尔编织统计使得逻辑运算本质上不受局部扰动和退相干的影响。 MZM 的类似物，称为类马约拉纳零模 (MLZM)，最近在人工晶格中被提出。尽管取得了这些进展，但对编织过程的直接真实空间观察仍然难以捉摸，这代表了理论预测和实验实现之间的根本差距。在这里，我们展示了对 MLZM 编织的直接观察。我们确定了边界束缚 MLZM（BMLZM），它们在空间上分离良好，并且可以通过凯库勒相的受控调制沿着样本边界绝热传输。通过绘制声场演化图，我们构建了完整的真实空间轨迹并观察了编织过程的相位累积特征。这些结果将 BMLZM 确立为一类新型拓扑激励，并提供了马约拉纳编织动力学的直接可观察模拟。</w:t>
      </w:r>
    </w:p>
    <w:p>
      <w:pPr>
        <w:spacing w:before="0" w:after="200" w:lineRule="auto" w:line="276"/>
      </w:pPr>
      <w:r>
        <w:rPr>
          <w:b/>
        </w:rPr>
        <w:t xml:space="preserve">Abstract (EN): </w:t>
      </w:r>
      <w:r>
        <w:t>Majorana zero modes (MZMs) lie at the heart of fault-tolerant topological quantum computation, where their non-Abelian braiding statistics enable logical operations intrinsically immune to local perturbations and decoherence. Analogs of MZMs, known as Majorana-like zero modes (MLZMs), have recently been proposed in artificial lattices. Despite this progress, a direct real-space observation of the braiding process has remained elusive, representing a fundamental gap between theoretical prediction and experimental realization. Here, we demonstrate the direct observation of the braiding of MLZMs. We identify boundary-bound MLZMs (BMLZMs) that are spatially well separated and can be adiabatically transported along the sample boundary through controlled modulation of the Kekulé phase. By mapping the acoustic-field evolution, we construct the complete real-space trajectory and observe the phase accumulation characteristic of the braiding process. These results establish BMLZMs as a new class of topological excitations and provide a directly observable analog of Majorana braiding dynamics.</w:t>
      </w:r>
    </w:p>
    <w:p>
      <w:pPr>
        <w:spacing w:before="120" w:after="120"/>
      </w:pPr>
      <w:r>
        <w:rPr>
          <w:sz w:val="18"/>
        </w:rPr>
        <w:t>——————————————————————————————————————————————————————————————————————</w:t>
      </w:r>
    </w:p>
    <w:p>
      <w:pPr>
        <w:spacing w:before="160" w:after="40" w:line="240" w:lineRule="auto"/>
      </w:pPr>
      <w:r>
        <w:rPr>
          <w:b/>
        </w:rPr>
        <w:t xml:space="preserve">[11] </w:t>
      </w:r>
      <w:hyperlink r:id="rId572">
        <w:r>
          <w:rPr>
            <w:color w:val="1155CC"/>
            <w:u w:val="single"/>
          </w:rPr>
          <w:t>可操纵级联泵浦单光子上转换</w:t>
        </w:r>
      </w:hyperlink>
    </w:p>
    <w:p>
      <w:pPr>
        <w:spacing w:before="0" w:after="80"/>
      </w:pPr>
      <w:r>
        <w:rPr>
          <w:i/>
          <w:sz w:val="20"/>
        </w:rPr>
        <w:t>EN: Manipulatable Cascade Pumping Single-Photon Upconversion</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光子上转换（UC）虽然在红外光子学方面很有前景，但从根本上受到光谱响应范围有限、效率低和响应速度慢的限制。在这里，我们提出了一种基于级联泵浦的机器学习引导的单光子UC策略，该策略实现了“乐高启发的光子堆叠”机制，其中镧系元素离子（Ln3+）的中间态成为“虚拟基态”，用于直接单光子泵浦到目标能级。作为概念验证，通过精确的群体控制，NaYS2:Ho3+ UC 排放选择性地增强了 2-3 个数量级。该机制将有效 UC 响应扩展至约 2100 nm，并将响应时间从 30 ms 缩短至 54 μs。该方法可推广到其他 Ln3+ (Tm3+/Pr3+/Er3+)，并且 Ho3+ 敏化系统中的能量转移优化可产生接近纯的 RGB 发射。我们进一步展示了高灵敏度和快速响应的UC窄带光电检测，实现了灵敏度为6.4×10−4 ppm−1的低阈值CO2传感。我们的工作为开发单光子超导和红外光电检测技术提供了策略。</w:t>
      </w:r>
    </w:p>
    <w:p>
      <w:pPr>
        <w:spacing w:before="0" w:after="200" w:lineRule="auto" w:line="276"/>
      </w:pPr>
      <w:r>
        <w:rPr>
          <w:b/>
        </w:rPr>
        <w:t xml:space="preserve">Abstract (EN): </w:t>
      </w:r>
      <w:r>
        <w:t>Photon upconversion (UC), while promising for infrared photonics, is fundamentally constrained by limited spectral response range, low efficiency, and slow response speeds. Here, we present a machine learning-guided single-photon UC strategy based on cascade pumping that implements a “LEGO-inspired photon stacking” mechanism, in which intermediate state of lanthanide ions (Ln3+) becomes a “virtual ground state” for direct single-photon pumping to target energy levels. As a proof-of-concept, the NaYS2:Ho3+ UC emissions are selectively enhanced by 2-3 orders of magnitude via precise population control. This mechanism extends efficient UC response to ~2100 nm and reduces response time from 30 ms to 54 μs. The approach generalizes to other Ln3+ (Tm3+/Pr3+/Er3+), and energy-transfer optimization in Ho3+-sensitized systems yields near-pure RGB emission. We further demonstrate the high-sensitivity and rapid-response UC narrowband photodetection, enabling low-threshold CO2 sensing with a sensitivity of 6.4×10−4 ppm−1. Our work offers strategy for developing single-photon UC and infrared photodetection technologies.</w:t>
      </w:r>
    </w:p>
    <w:p>
      <w:pPr>
        <w:spacing w:before="120" w:after="120"/>
      </w:pPr>
      <w:r>
        <w:rPr>
          <w:sz w:val="18"/>
        </w:rPr>
        <w:t>——————————————————————————————————————————————————————————————————————</w:t>
      </w:r>
    </w:p>
    <w:p>
      <w:pPr>
        <w:spacing w:before="160" w:after="40" w:line="240" w:lineRule="auto"/>
      </w:pPr>
      <w:r>
        <w:rPr>
          <w:b/>
        </w:rPr>
        <w:t xml:space="preserve">[12] </w:t>
      </w:r>
      <w:hyperlink r:id="rId573">
        <w:r>
          <w:rPr>
            <w:color w:val="1155CC"/>
            <w:u w:val="single"/>
          </w:rPr>
          <w:t>孤子辅助特异点海量信号广播</w:t>
        </w:r>
      </w:hyperlink>
    </w:p>
    <w:p>
      <w:pPr>
        <w:spacing w:before="0" w:after="80"/>
      </w:pPr>
      <w:r>
        <w:rPr>
          <w:i/>
          <w:sz w:val="20"/>
        </w:rPr>
        <w:t>EN: Soliton-assisted massive signal broadcasting via exceptional points</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芯片级全光信号广播通过克尔非线性在多个波长通道上复制数据，对于高吞吐量光通信和计算系统至关重要。高质量微腔增强了固有的弱光学非线性，但会受到傅里叶互易性的影响，从而产生了一个基本的权衡，阻止了在单腔中同时生成用于广播（孤子频率梳）和大规模广播的多波长泵浦。在这里，我们证明了奇偶时间对称耦合腔系统在频域中具有等距异常点，解决了这一限制。该设计将梳状生成和全光广播集成到统一流程中，在 200 nm 带宽内实现 100 多个可用通道，吞吐量达到太比特每秒，超出固有腔线宽限制三个数量级。我们进一步演示了光学卷积加速器，为芯片级光子处理建立了新的非厄米范例。</w:t>
      </w:r>
    </w:p>
    <w:p>
      <w:pPr>
        <w:spacing w:before="0" w:after="200" w:lineRule="auto" w:line="276"/>
      </w:pPr>
      <w:r>
        <w:rPr>
          <w:b/>
        </w:rPr>
        <w:t xml:space="preserve">Abstract (EN): </w:t>
      </w:r>
      <w:r>
        <w:t>Chip-scale all-optical signal broadcasting, which replicates data across multiple wavelength channels via Kerr nonlinearity, is critical for high-throughput optical communication and computing systems. High-quality microcavities boost the inherently weak optical nonlinearity but suffer from Fourier reciprocity, creating a fundamental trade-off that prevents simultaneous generation of the multi-wavelength pump for broadcasting (soliton frequency combs) and massive broadcasting in a single cavity. Here we show that a parity-time symmetric coupled-cavity system featuring equally spaced exceptional points in the frequency domain resolves this limitation. This design integrates comb generation and all-optical broadcasting into a unified process, achieving over 100 usable channels across 200 nm bandwidth with terabit-per-second throughput—three orders of magnitude beyond the intrinsic cavity linewidth limit. We further demonstrate an optical convolutional accelerator, establishing a new non-Hermitian paradigm for chip-scale photonic processing.</w:t>
      </w:r>
    </w:p>
    <w:p>
      <w:pPr>
        <w:spacing w:before="120" w:after="120"/>
      </w:pPr>
      <w:r>
        <w:rPr>
          <w:sz w:val="18"/>
        </w:rPr>
        <w:t>——————————————————————————————————————————————————————————————————————</w:t>
      </w:r>
    </w:p>
    <w:p>
      <w:pPr>
        <w:spacing w:before="160" w:after="40" w:line="240" w:lineRule="auto"/>
      </w:pPr>
      <w:r>
        <w:rPr>
          <w:b/>
        </w:rPr>
        <w:t xml:space="preserve">[13] </w:t>
      </w:r>
      <w:hyperlink r:id="rId574">
        <w:r>
          <w:rPr>
            <w:color w:val="1155CC"/>
            <w:u w:val="single"/>
          </w:rPr>
          <w:t>2'-OH基团在RNA相分离和渗透转变中的作用</w:t>
        </w:r>
      </w:hyperlink>
    </w:p>
    <w:p>
      <w:pPr>
        <w:spacing w:before="0" w:after="80"/>
      </w:pPr>
      <w:r>
        <w:rPr>
          <w:i/>
          <w:sz w:val="20"/>
        </w:rPr>
        <w:t>EN: The role of the 2’-OH group in phase separation and percolation transitions of RNA</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具有较低临界溶液温度的 Mg2+ 离子依赖性 RNA 液-液相分离由磷酸盐主链驱动，并由核碱基的溶剂化特性调节。在这里，我们报告了核糖的 2'-OH 基团在二价阳离子存在下的 RNA 缩合中的关键作用。我们发现 2'-脱氧核糖抑制核酸相分离并抑制凝结液内网络转变（称为渗滤），这是凝结液动力学停滞的基础。全原子模拟揭示了与 RNA 相比，单链 DNA 的溶剂化和压缩增加，这表明链柔性在调节热诱导的核酸相分离和渗滤转变中发挥着不直观的作用。此外，RNA 的 2'-O-甲基化 (2'-O-Me)（一种常见的糖修饰）会降低 RNA 相变的驱动力。这些结果强调了控制核酸相行为的不同物理化学参数，并表明糖修饰如何进化以稳健地调节 RNA 凝聚物的形成和动态停滞。</w:t>
      </w:r>
    </w:p>
    <w:p>
      <w:pPr>
        <w:spacing w:before="0" w:after="200" w:lineRule="auto" w:line="276"/>
      </w:pPr>
      <w:r>
        <w:rPr>
          <w:b/>
        </w:rPr>
        <w:t xml:space="preserve">Abstract (EN): </w:t>
      </w:r>
      <w:r>
        <w:t>Mg2+ ion-dependent RNA liquid–liquid phase separation with lower critical solution temperatures is driven by the phosphate backbone and modulated by the solvation property of nucleobases. Here, we report a key role of the 2’-OH group of the ribose sugar in RNA condensation in the presence of divalent cations. We show that 2’-deoxyribose inhibits nucleic acid phase separation and suppresses the intra-condensate networking transition, known as percolation, that underlies condensate dynamical arrest. All-atom simulations reveal increased solvation and compaction of single-stranded DNA compared to RNA, suggesting an unintuitive role of chain flexibility in modulating heat-induced nucleic acid phase separation and percolation transitions. Further, 2’-O-methylation (2’-O-Me) of RNA, a common sugar modification, lowers the driving force of RNA phase transitions. These results highlight the diverse physicochemical parameters governing nucleic acid phase behavior and suggest how sugar modifications may have evolved to robustly tune the formation and dynamical arrest of RNA condensates.</w:t>
      </w:r>
    </w:p>
    <w:p>
      <w:pPr>
        <w:spacing w:before="120" w:after="120"/>
      </w:pPr>
      <w:r>
        <w:rPr>
          <w:sz w:val="18"/>
        </w:rPr>
        <w:t>——————————————————————————————————————————————————————————————————————</w:t>
      </w:r>
    </w:p>
    <w:p>
      <w:pPr>
        <w:spacing w:before="160" w:after="40" w:line="240" w:lineRule="auto"/>
      </w:pPr>
      <w:r>
        <w:rPr>
          <w:b/>
        </w:rPr>
        <w:t xml:space="preserve">[14] </w:t>
      </w:r>
      <w:hyperlink r:id="rId575">
        <w:r>
          <w:rPr>
            <w:color w:val="1155CC"/>
            <w:u w:val="single"/>
          </w:rPr>
          <w:t>层状材料的准确、可转移且可验证的机器学习原子间势</w:t>
        </w:r>
      </w:hyperlink>
    </w:p>
    <w:p>
      <w:pPr>
        <w:spacing w:before="0" w:after="80"/>
      </w:pPr>
      <w:r>
        <w:rPr>
          <w:i/>
          <w:sz w:val="20"/>
        </w:rPr>
        <w:t>EN: Accurate, transferable, and verifiable machine-learned interatomic potentials for layered materials</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扭曲层状范德华材料通常表现出非扭曲材料所不具备的独特电子和光学特性。不幸的是，由于难以确定显示大莫尔域的材料中的原子结构，预测这些特性受到阻碍。在这里，我们引入了一种分离式机器学习原子间势（MLIP）和数据集管理方法，该方法将层内和层间相互作用分开并显着提高模型精度，相对于传统模型，能量和力预测大约提高了十倍。我们进一步证明了传统的 MLIP 验证指标（力和能量误差）不足以满足莫尔结构的要求，并根据堆叠配置的分布开发了一种整体的、物理驱动的指标。该指标有效地比较了两个结构之间的整个大规模莫尔域，而不是依赖于在较小的相称单元上评估的传统测量方法。最后，我们确定一维而不是二维莫尔结构可以作为验证 MLIP 的有效替代系统，允许针对显式 DFT 计算的验证协议。将我们的框架应用于 HfS2/GaS 双层表明，准确的结构预测可以直接转化为可靠的电子特性。我们的模型不可知论方法与各种层内和层间相互作用模型相集成，使摩尔纹材料（从双层到复杂的多层）在计算上易于处理，并经过严格验证</w:t>
      </w:r>
    </w:p>
    <w:p>
      <w:pPr>
        <w:spacing w:before="0" w:after="200" w:lineRule="auto" w:line="276"/>
      </w:pPr>
      <w:r>
        <w:rPr>
          <w:b/>
        </w:rPr>
        <w:t xml:space="preserve">Abstract (EN): </w:t>
      </w:r>
      <w:r>
        <w:t>Twisted layered van der Waals materials often exhibit unique electronic and optical properties absent in their non-twisted counterparts. Unfortunately, predicting such properties is hindered by the difficulty in determining the atomic structure in materials displaying large moiré domains. Here, we introduce a split machine-learned interatomic potential (MLIP) and dataset curation approach that separates intralayer and interlayer interactions and significantly improves model accuracy, yielding roughly a tenfold improvement in energy and force predictions relative to conventional models. We further demonstrate that traditional MLIP validation metrics – force and energy errors – are inadequate for moiré structures and develop a holistic, physically-motivated metric based on the distribution of stacking configurations. This metric effectively compares the entirety of large-scale moiré domains between two structures instead of relying on conventional measures evaluated on smaller commensurate cells. Finally, we establish that one-dimensional, rather than two-dimensional, moiré structures can serve as efficient surrogate systems for validating MLIPs, permitting validation protocols against explicit DFT calculations. Applying our framework to HfS2/GaS bilayers reveals that accurate structural predictions directly translate into reliable electronic properties. Our model-agnostic approach integrates with various intralayer and interlayer interaction models, enabling computationally tractable relaxation of moiré materials, from bilayer to complex multilayers, with rigorously validated accuracy.</w:t>
      </w:r>
    </w:p>
    <w:p>
      <w:pPr>
        <w:spacing w:before="120" w:after="120"/>
      </w:pPr>
      <w:r>
        <w:rPr>
          <w:sz w:val="18"/>
        </w:rPr>
        <w:t>——————————————————————————————————————————————————————————————————————</w:t>
      </w:r>
    </w:p>
    <w:p>
      <w:pPr>
        <w:spacing w:before="160" w:after="40" w:line="240" w:lineRule="auto"/>
      </w:pPr>
      <w:r>
        <w:rPr>
          <w:b/>
        </w:rPr>
        <w:t xml:space="preserve">[15] </w:t>
      </w:r>
      <w:hyperlink r:id="rId576">
        <w:r>
          <w:rPr>
            <w:color w:val="1155CC"/>
            <w:u w:val="single"/>
          </w:rPr>
          <w:t>朱诺号航天器对木星弓激波的等离子体波观测</w:t>
        </w:r>
      </w:hyperlink>
    </w:p>
    <w:p>
      <w:pPr>
        <w:spacing w:before="0" w:after="80"/>
      </w:pPr>
      <w:r>
        <w:rPr>
          <w:i/>
          <w:sz w:val="20"/>
        </w:rPr>
        <w:t>EN: Plasma wave observations from Juno spacecraft at the Jovian bow shock</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最近对木星弓形激波的观测为与外行星弓形激波相关的能量耗散机制提供了新的见解。在距离太阳较远的地方，太阳风的超阿尔夫尼性质通常会增强，从而导致更高能量的弓形激波，从而提高耗散要求。对地球弓形激波的研究表明，等离子体波（例如离子声波、电子回旋漂移不稳定性驱动的波、静电孤立波和哨声模式波）在将太阳风动能转化为热能方面发挥着关键作用。然而，由于缺乏高分辨率等离子波数据（这对于探测这些波至关重要），此前一直阻碍着它们在外行星的识别。在这里，我们基于两个案例研究证明，木星的弓激波中也存在类似的波。但是，与地面上的离子声波不同，木星上的离子声波可能会表现出谐波结构，表明可能存在粒子捕获，并且可能会发生强烈的电子回旋漂移不稳定性以适应冲击的强度。磁场测量表明可能存在激波重组。</w:t>
      </w:r>
    </w:p>
    <w:p>
      <w:pPr>
        <w:spacing w:before="0" w:after="200" w:lineRule="auto" w:line="276"/>
      </w:pPr>
      <w:r>
        <w:rPr>
          <w:b/>
        </w:rPr>
        <w:t xml:space="preserve">Abstract (EN): </w:t>
      </w:r>
      <w:r>
        <w:t>Recent observations of Jupiter’s bow shock have provided new insights into the energy dissipation mechanisms associated with bow shocks of outer planets. At greater distances from the Sun, the typically increasing super-Alfvénic nature of the solar wind leads to higher-energy bow shocks with enhanced dissipation requirements. Research on Earth’s bow shock suggests that plasma waves (e.g., ion-acoustic waves, waves driven by the electron cyclotron drift instability, electrostatic solitary waves, and whistler mode waves) play a critical role in converting solar wind bulk kinetic energy into thermal energy. However, the lack of high-resolution plasma wave data, which is essential for detecting these waves, has previously hindered their identification at the outer planets. Here we demonstrate, based on two case studies, that similar waves also exist at Jupiter’s bow shock. But, unlike their terrestrial counterparts, Ion-acoustic waves at Jupiter may display harmonic structures, indicating possible particle trapping, and intense electron cyclotron drift instability may occur to accommodate the shock’s intensity. Magnetic field measurements suggest possible shock reformation.</w:t>
      </w:r>
    </w:p>
    <w:p>
      <w:pPr>
        <w:spacing w:before="120" w:after="120"/>
      </w:pPr>
      <w:r>
        <w:rPr>
          <w:sz w:val="18"/>
        </w:rPr>
        <w:t>——————————————————————————————————————————————————————————————————————</w:t>
      </w:r>
    </w:p>
    <w:p>
      <w:pPr>
        <w:spacing w:before="160" w:after="40" w:line="240" w:lineRule="auto"/>
      </w:pPr>
      <w:r>
        <w:rPr>
          <w:b/>
        </w:rPr>
        <w:t xml:space="preserve">[16] </w:t>
      </w:r>
      <w:hyperlink r:id="rId577">
        <w:r>
          <w:rPr>
            <w:color w:val="1155CC"/>
            <w:u w:val="single"/>
          </w:rPr>
          <w:t>通过力驱动烧结弯曲透明陶瓷</w:t>
        </w:r>
      </w:hyperlink>
    </w:p>
    <w:p>
      <w:pPr>
        <w:spacing w:before="0" w:after="80"/>
      </w:pPr>
      <w:r>
        <w:rPr>
          <w:i/>
          <w:sz w:val="20"/>
        </w:rPr>
        <w:t>EN: Curving transparent ceramics via force-driven sintering</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透明陶瓷对于先进光学和装甲至关重要，但将它们塑造成高度弯曲的几何形状而不降低其光学和机械性能仍然是一个艰巨的挑战。在这里，我们引入了一种力驱动的烧结策略，该策略利用力引起的蠕变通过连续应力释放来动态控制微观结构和曲率。该过程的一个标志是动态曲率反转现象，受循环应力积累和释放的控制。利用力驱动烧结，我们制造了大尺寸（0.5*2*22 cm3）弯曲的 MgAl2O4 陶瓷，该陶瓷具有高曲率（&gt;5.36 m−1）和超过 85% 的出色透射率（接近理论极限），同时符合最佳报道的机械性能。我们还通过生产弯曲的 Al2O3 透明陶瓷来展示力驱动烧结的多功能性。该方法将外部机械力与内在材料蠕变和应力松弛同步，从而能够一步制造复杂形状、高性能透明组件。力驱动烧结为要求苛刻的应用中的透明陶瓷建立了可扩展且多功能的制造范例。</w:t>
      </w:r>
    </w:p>
    <w:p>
      <w:pPr>
        <w:spacing w:before="0" w:after="200" w:lineRule="auto" w:line="276"/>
      </w:pPr>
      <w:r>
        <w:rPr>
          <w:b/>
        </w:rPr>
        <w:t xml:space="preserve">Abstract (EN): </w:t>
      </w:r>
      <w:r>
        <w:t>Transparent ceramics are critical for advanced optics and armor, but shaping them into highly curved geometries without degrading their optical and mechanical properties remains a formidable challenge. Here, we introduce a force-driven sintering strategy that harnesses force-induced creep to dynamically control microstructure and curvature through continuous stress release. A hallmark of this process is a dynamic curvature reversal phenomenon, governed by cyclic stress accumulation and release. Using force-driven sintering, we fabricated large-scale (0.5*2*22 cm3) curved MgAl2O4 ceramics exhibiting a high curvature (&gt;5.36 m−1), and exceptional transmittance exceeding 85% (approaching the theoretical limit), while matching the best-reported mechanical properties. We also demonstrate the versatility of force-driven sintering by producing curved Al2O3 transparent ceramics. This method synchronizes external mechanical forces with intrinsic material creep and stress relaxation, enabling the single-step fabrication of complex-shaped, high-performance transparent components. force-driven sintering establishes a scalable and versatile manufacturing paradigm for transparent ceramics in demanding applications.</w:t>
      </w:r>
    </w:p>
    <w:p>
      <w:pPr>
        <w:spacing w:before="120" w:after="120"/>
      </w:pPr>
      <w:r>
        <w:rPr>
          <w:sz w:val="18"/>
        </w:rPr>
        <w:t>——————————————————————————————————————————————————————————————————————</w:t>
      </w:r>
    </w:p>
    <w:p>
      <w:pPr>
        <w:spacing w:before="160" w:after="40" w:line="240" w:lineRule="auto"/>
      </w:pPr>
      <w:r>
        <w:rPr>
          <w:b/>
        </w:rPr>
        <w:t xml:space="preserve">[17] </w:t>
      </w:r>
      <w:hyperlink r:id="rId578">
        <w:r>
          <w:rPr>
            <w:color w:val="1155CC"/>
            <w:u w:val="single"/>
          </w:rPr>
          <w:t>羧酸脱羧环氧化加速环氧乙烷及其衍生物的合成</w:t>
        </w:r>
      </w:hyperlink>
    </w:p>
    <w:p>
      <w:pPr>
        <w:spacing w:before="0" w:after="80"/>
      </w:pPr>
      <w:r>
        <w:rPr>
          <w:i/>
          <w:sz w:val="20"/>
        </w:rPr>
        <w:t>EN: Decarboxylative epoxidation of carboxylic acids for accelerating synthesis of oxiranes and derivatives</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环氧乙烷是在生物化学和化学生物学中具有重要应用的特殊片段。然而，可用的环氧化策略在很大程度上依赖于特定的烯烃和邻位卤代醇。将广泛使用的羧酸和其他原料转化为通用环氧乙烷的能力将大大提高合成灵活性。在这里，我们提出了这种转变，通过用设计的烯丙基过氧化物在可见光下照射羧酸氧化还原活性酯来实现。这种操作简单且模块化的方案有效地促进了广泛底物的环氧化，包括伯、仲和叔脂肪族羧酸，以及各种氨基酸、糖、药物及其衍生物，展示了其广泛的实用性和官能团耐受性。值得注意的是，与二异丙基乙胺和关键叔丁基氧自由基物种作为氢原子转移试剂形成电子供体-受体复合物，可以在非常温和、无氧化剂、金属催化剂和光催化剂的条件下进行快速结构环氧化。此外，医学相关支架的简化合成、可扩展环氧乙烷的众多一步转化以及扩展的环氧化范围（烷基和芳基分子的脱卤、脱硼、脱氨基、脱氧和脱硫环氧化）凸显了当前环氧化方法的巨大潜力，为加速制造和修饰类药物分子提供了一种统一且有用的替代方案。</w:t>
      </w:r>
    </w:p>
    <w:p>
      <w:pPr>
        <w:spacing w:before="0" w:after="200" w:lineRule="auto" w:line="276"/>
      </w:pPr>
      <w:r>
        <w:rPr>
          <w:b/>
        </w:rPr>
        <w:t xml:space="preserve">Abstract (EN): </w:t>
      </w:r>
      <w:r>
        <w:t>Oxiranes are privileged fragments with significant applications in biochemistry and chemical biology. However, the available strategies for epoxidation have relied heavily on specific alkenes and vicinal halohydrins. The ability to convert widely available carboxylic acids and other feedstocks into versatile oxiranes would greatly enhance synthetic flexibility. Here we present that this transformation, achieved by illuminating carboxylic acid redox-active esters under visible light with designed allylic peroxides. This operationally simple and modular protocol efficiently facilitates the epoxidation of extensive substrates, including primary, secondary, and tertiary aliphatic carboxylic acids, as well as a diverse range of amino acids, sugars, drugs, and their derivatives, showcasing its broad utility and functional group tolerance. Notably, the formation of an electron donor-acceptor complex with diisopropylethylamine and key tert-butyl oxygen radical species as hydrogen atom transfer reagent allow for rapid structural epoxidation under very mild, oxidant-, metal catalyst- and photocatalyst-free conditions. Furthermore, the streamlined synthesis of medicinally relevant scaffolds, the numerous one-step transformations of scalable oxiranes, and extended epoxidation scope (dehalogenative, deborylative, deaminative, deoxygenative and desulfurative epoxidation of alkyl and aryl molecules) highlight the significant potential of the current epoxidation approach, offering a unified and useful alternative for accelerated making and modifying drug-like molecules.</w:t>
      </w:r>
    </w:p>
    <w:p>
      <w:pPr>
        <w:spacing w:before="120" w:after="120"/>
      </w:pPr>
      <w:r>
        <w:rPr>
          <w:sz w:val="18"/>
        </w:rPr>
        <w:t>——————————————————————————————————————————————————————————————————————</w:t>
      </w:r>
    </w:p>
    <w:p>
      <w:pPr>
        <w:spacing w:before="160" w:after="40" w:line="240" w:lineRule="auto"/>
      </w:pPr>
      <w:r>
        <w:rPr>
          <w:b/>
        </w:rPr>
        <w:t xml:space="preserve">[18] </w:t>
      </w:r>
      <w:hyperlink r:id="rId579">
        <w:r>
          <w:rPr>
            <w:color w:val="1155CC"/>
            <w:u w:val="single"/>
          </w:rPr>
          <w:t>用于模拟和数字处理的电容式光电二极管</w:t>
        </w:r>
      </w:hyperlink>
    </w:p>
    <w:p>
      <w:pPr>
        <w:spacing w:before="0" w:after="80"/>
      </w:pPr>
      <w:r>
        <w:rPr>
          <w:i/>
          <w:sz w:val="20"/>
        </w:rPr>
        <w:t>EN: A capacitive photodiode for analogue and digital processing</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光无线通信系统需要信号预处理和计算，这通常依赖于不同的模拟和数字模块。然而，这种模块分离不可避免地增加了系统占用空间，并且无法满足边缘应用的空间和功耗限制。在这里，我们报告了一种嵌入模拟滤波和数字处理功能的电容式光电二极管。该器件使用在硫化锑光吸收体上原位形成的氧化锑介电层。由此产生的电容器-光电二极管结构在高频下表现出增强的电荷积累，从而实现防止窃听的高通滤波功能。同时，介电层的原位形成引入了阴离子空位。在高能光子照射下，这些空位被电离并掺杂半导体。这种与波长相关的光电掺杂会反转内置电场，从而反转二极管极性并启用 XOR 光电逻辑功能。最后，我们演示了一种光无线通信系统，该系统使用该电容式光电二极管作为模拟传感前端，从低频噪声中提取高频信号，并作为数字处理后端，执行基于异或逻辑的解密，以实现信号恢复和安全执行器控制。</w:t>
      </w:r>
    </w:p>
    <w:p>
      <w:pPr>
        <w:spacing w:before="0" w:after="200" w:lineRule="auto" w:line="276"/>
      </w:pPr>
      <w:r>
        <w:rPr>
          <w:b/>
        </w:rPr>
        <w:t xml:space="preserve">Abstract (EN): </w:t>
      </w:r>
      <w:r>
        <w:t>An optical wireless communication system requires signal preprocessing and computation, which typically rely on distinct analogue and digital modules. However, this module separation inevitably increases system footprint and fails to meet the space and power constraints of edge applications. Here, we report a capacitive photodiode that embeds both analogue filtering and digital processing functions. This device uses an antimony oxide dielectric layer formed in situ on an antimony sulfide light absorber. The resulting capacitor-photodiode structure exhibits enhanced charge accumulation at high frequencies, thereby realizing a high-pass filtering function that prevents eavesdropping. Meanwhile, the in-situ formation of the dielectric layer introduces anionic vacancies. Under high-energy photon illumination, these vacancies become ionized and dope the semiconductor. This wavelength-dependent photodoping inverts the built-in electric field, thereby reversing the diode polarity and enabling the XOR optoelectronic logic function. Finally, we demonstrate an optical wireless communication system using this capacitive photodiode as both an analogue sensing front-end to extract high-frequency signals from low-frequency noise, and a digital processing back-end to execute XOR logic-based decryption for signal recovery and secured actuator control.</w:t>
      </w:r>
    </w:p>
    <w:p>
      <w:pPr>
        <w:spacing w:before="120" w:after="120"/>
      </w:pPr>
      <w:r>
        <w:rPr>
          <w:sz w:val="18"/>
        </w:rPr>
        <w:t>——————————————————————————————————————————————————————————————————————</w:t>
      </w:r>
    </w:p>
    <w:p>
      <w:pPr>
        <w:spacing w:before="160" w:after="40" w:line="240" w:lineRule="auto"/>
      </w:pPr>
      <w:r>
        <w:rPr>
          <w:b/>
        </w:rPr>
        <w:t xml:space="preserve">[19] </w:t>
      </w:r>
      <w:hyperlink r:id="rId580">
        <w:r>
          <w:rPr>
            <w:color w:val="1155CC"/>
            <w:u w:val="single"/>
          </w:rPr>
          <w:t>具有双极和并行编码能力的全光控忆阻存储计算</w:t>
        </w:r>
      </w:hyperlink>
    </w:p>
    <w:p>
      <w:pPr>
        <w:spacing w:before="0" w:after="80"/>
      </w:pPr>
      <w:r>
        <w:rPr>
          <w:i/>
          <w:sz w:val="20"/>
        </w:rPr>
        <w:t>EN: All-Optically Controlled Memristive Reservoir Computing Capable of Bipolar and Parallel Coding</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物理油藏计算（RC）利用物理系统的内在动力学进行高效的数据处理。新兴的光电 RC 平台融合了电子计算和光子计算的优点。然而，传统的设计受到光电器件的单极光响应的限制，限制了储层状态的多样性和计算精度。在这里，我们提出了一种采用高度均匀和稳定的氧化物忆阻器阵列的全光控制 RC 系统。该器件表现出波长依赖性双极光响应，源于光诱导的氧空位动态演化。调节双波长光的功率密度和照射模式可以动态控制光电流弛豫和非线性。因此，我们开发了双极和并行编码策略，以显着增强油藏动态和非线性绘图能力。在单词识别和时间序列预测任务中，与单极编码相比，双极编码的准确性显着提高。并行编码支持单个存储库内的多源信号融合，在保持高精度的同时显着降低硬件消耗。这项工作提供了一种高性能的物理RC方案，为智能边缘计算铺平了道路。</w:t>
      </w:r>
    </w:p>
    <w:p>
      <w:pPr>
        <w:spacing w:before="0" w:after="200" w:lineRule="auto" w:line="276"/>
      </w:pPr>
      <w:r>
        <w:rPr>
          <w:b/>
        </w:rPr>
        <w:t xml:space="preserve">Abstract (EN): </w:t>
      </w:r>
      <w:r>
        <w:t>Physical reservoir computing (RC) utilizes intrinsic dynamics of physical systems for efficient data processing. Emerging optoelectronic RC platforms merge the benefits of electronic and photonic computation. However, conventional designs are constrained by the unipolar photoresponse of optoelectronic devices, limiting reservoir state diversity and computational accuracy. Here we present an all-optically controlled RC system employing highly uniform and stable oxide memristor arrays. The devices exhibit wavelength-dependent bipolar photoresponse, originating from light-induced dynamic evolution of oxygen vacancies. Tuning the power density and irradiation mode of dual-wavelength light enables dynamic control of photocurrent relaxation and nonlinearity. We thus develop bipolar and parallel coding strategies to significantly enhance reservoir dynamics and nonlinear mapping capability. In word recognition and time-series prediction tasks, the bipolar coding demonstrates markedly improved accuracy compared to unipolar coding. The parallel coding supports multi-source signal fusion within a single reservoir, maintaining high accuracy while significantly reducing hardware consumption. This work provides a high-performance physical RC scheme, paving the way for intelligent edge computing.</w:t>
      </w:r>
    </w:p>
    <w:p>
      <w:pPr>
        <w:spacing w:before="120" w:after="120"/>
      </w:pPr>
      <w:r>
        <w:rPr>
          <w:sz w:val="18"/>
        </w:rPr>
        <w:t>——————————————————————————————————————————————————————————————————————</w:t>
      </w:r>
    </w:p>
    <w:p>
      <w:pPr>
        <w:spacing w:before="160" w:after="40" w:line="240" w:lineRule="auto"/>
      </w:pPr>
      <w:r>
        <w:rPr>
          <w:b/>
        </w:rPr>
        <w:t xml:space="preserve">[20] </w:t>
      </w:r>
      <w:hyperlink r:id="rId581">
        <w:r>
          <w:rPr>
            <w:color w:val="1155CC"/>
            <w:u w:val="single"/>
          </w:rPr>
          <w:t>无限层镍酸盐薄膜中的高场稳定重入超导性</w:t>
        </w:r>
      </w:hyperlink>
    </w:p>
    <w:p>
      <w:pPr>
        <w:spacing w:before="0" w:after="80"/>
      </w:pPr>
      <w:r>
        <w:rPr>
          <w:i/>
          <w:sz w:val="20"/>
        </w:rPr>
        <w:t>EN: High-field-stabilized reentrant superconductivity in infinite-layer nickelate thin films</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磁场通常通过泡利效应和轨道限制效应抑制超导性。然而，磁场诱发超导的情况很少见，如在 Chevrel 相化合物、有机导体、铀基重费米子系统和莫尔石墨烯中观察到的那样，尽管这些材料本身具有较低的超导转变温度 (Tc)。在这里，我们展示了最近显示出的一类材料的高场稳定超导性，该材料具有明显更高的 Tc 值（高达 40 K）：无限层镍酸盐。我们表明，低场和高场超导态都可以用场补偿机制来理解，即众所周知的雅卡里诺-彼得效应。这些发现证明了在高温超导体中实现大幅增强的上临界场的可能性。</w:t>
      </w:r>
    </w:p>
    <w:p>
      <w:pPr>
        <w:spacing w:before="0" w:after="200" w:lineRule="auto" w:line="276"/>
      </w:pPr>
      <w:r>
        <w:rPr>
          <w:b/>
        </w:rPr>
        <w:t xml:space="preserve">Abstract (EN): </w:t>
      </w:r>
      <w:r>
        <w:t>Magnetic fields typically suppress superconductivity through Pauli and orbital limiting effects. However, there are rare instances of magnetic-field-induced superconductivity, as observed in Chevrel-phase compounds, organic conductors, uranium-based heavy-fermion systems, and moiré graphene—although these materials possess inherently low superconducting transition temperatures (Tc). Here, we demonstrate high-field-stabilized superconductivity in a class of materials recently shown to have significantly higher Tc values (up to 40 K): the infinite-layer nickelates. We show that both the low-field and high-field superconducting states can be understood in terms of a field-compensation mechanism, better known as the Jaccarino-Peter effect. These findings demonstrate the possibility of achieving substantially enhanced upper critical fields in high-temperature superconductors.</w:t>
      </w:r>
    </w:p>
    <w:p>
      <w:pPr>
        <w:spacing w:before="120" w:after="120"/>
      </w:pPr>
      <w:r>
        <w:rPr>
          <w:sz w:val="18"/>
        </w:rPr>
        <w:t>——————————————————————————————————————————————————————————————————————</w:t>
      </w:r>
    </w:p>
    <w:p>
      <w:pPr>
        <w:spacing w:before="160" w:after="40" w:line="240" w:lineRule="auto"/>
      </w:pPr>
      <w:r>
        <w:rPr>
          <w:b/>
        </w:rPr>
        <w:t xml:space="preserve">[21] </w:t>
      </w:r>
      <w:hyperlink r:id="rId582">
        <w:r>
          <w:rPr>
            <w:color w:val="1155CC"/>
            <w:u w:val="single"/>
          </w:rPr>
          <w:t>65 TOPS光电多核计算解锁多特征融合增强</w:t>
        </w:r>
      </w:hyperlink>
    </w:p>
    <w:p>
      <w:pPr>
        <w:spacing w:before="0" w:after="80"/>
      </w:pPr>
      <w:r>
        <w:rPr>
          <w:i/>
          <w:sz w:val="20"/>
        </w:rPr>
        <w:t>EN: 65 TOPS optoelectronic multi-core computing unlocking multi-feature fusion enhancement</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人工智能的快速进步需要具有大规模并行性和高吞吐量的可扩展、节能的硬件。尽管光计算提供了一种很有前途的后摩尔解决方案，但当前的实现面临着速度限制和多核集成挑战。在这里，我们提出了一种高吞吐量光学处理单元（OPU），它同时利用相干干涉、波分复用和空间并行性来实现革命性的性能增益。 OPU在单片芯片上集成了四个光学模拟核心，支持124通道并行任务处理，实现每秒65.04万亿次操作（TOPS）的计算速度和5.16 TOPS/mm2的计算密度。利用该 OPU 平台，构建了一个光电卷积神经网络（OE-CNN），它将 OPU 的并行 4 核卷积和平均池化操作与电子非线性激活和全连接操作融合在一起。该 OE-CNN 通过 4 核并行卷积进行多特征融合，实现了 95.08% 的 MNIST 分类准确率，比单核对应产品提高了 9.20%。 OPU演示实现了多核并行运算，加速了计算速度，为光电众核智能计算奠定了可扩展的硬件基础。</w:t>
      </w:r>
    </w:p>
    <w:p>
      <w:pPr>
        <w:spacing w:before="0" w:after="200" w:lineRule="auto" w:line="276"/>
      </w:pPr>
      <w:r>
        <w:rPr>
          <w:b/>
        </w:rPr>
        <w:t xml:space="preserve">Abstract (EN): </w:t>
      </w:r>
      <w:r>
        <w:t>The rapid progress of artificial intelligence demands scalable, energy-efficient hardware with massive parallelism and high throughput. Although optical computing offers a promising post-Moore solution, current implementations face speed limitations and multi-core integration challenges. Here, we propose a high-throughput optical processing unit (OPU) that simultaneously exploits coherent interference, wavelength-division multiplexing, and spatial parallelism to achieve revolutionary performance gains. Integrating four optical analog cores on a monolithic chip, the OPU supports 124-channel parallel task processing, achieving 65.04 trillion operations per second (TOPS) computational speed and 5.16 TOPS/mm2 compute density. Leveraging this OPU platform, an optoelectronic convolutional neural network (OE-CNN) is constructed that fuses the OPU’s parallel 4-kernel convolution and average pooling operations with electronic nonlinear activation and fully connection operations. This OE-CNN, empowered by multi-feature fusion through 4-kernel parallel convolution, achieves a 95.08% MNIST classification accuracy—representing a 9.20% improvement over its single-core counterpart. The OPU demonstration achieves multi-core parallel operation and accelerated computational speed, establishing a scalable hardware foundation for optoelectronic many-core intelligent computing.</w:t>
      </w:r>
    </w:p>
    <w:p>
      <w:pPr>
        <w:spacing w:before="120" w:after="120"/>
      </w:pPr>
      <w:r>
        <w:rPr>
          <w:sz w:val="18"/>
        </w:rPr>
        <w:t>——————————————————————————————————————————————————————————————————————</w:t>
      </w:r>
    </w:p>
    <w:p>
      <w:pPr>
        <w:spacing w:before="160" w:after="40" w:line="240" w:lineRule="auto"/>
      </w:pPr>
      <w:r>
        <w:rPr>
          <w:b/>
        </w:rPr>
        <w:t xml:space="preserve">[22] </w:t>
      </w:r>
      <w:hyperlink r:id="rId583">
        <w:r>
          <w:rPr>
            <w:color w:val="1155CC"/>
            <w:u w:val="single"/>
          </w:rPr>
          <w:t>用于时空编程加密的无催化剂单分子级联光反应</w:t>
        </w:r>
      </w:hyperlink>
    </w:p>
    <w:p>
      <w:pPr>
        <w:spacing w:before="0" w:after="80"/>
      </w:pPr>
      <w:r>
        <w:rPr>
          <w:i/>
          <w:sz w:val="20"/>
        </w:rPr>
        <w:t>EN: Catalyst-free single-molecule cascade photoreactions for spatiotemporally programmed encryption</w:t>
      </w:r>
    </w:p>
    <w:p>
      <w:pPr>
        <w:spacing w:before="0" w:after="120"/>
      </w:pPr>
      <w:r>
        <w:rPr>
          <w:b/>
        </w:rPr>
        <w:t xml:space="preserve">Source: </w:t>
      </w:r>
      <w:r>
        <w:t>Physical sciences : Nature Communications subject feeds</w:t>
      </w:r>
      <w:r>
        <w:t xml:space="preserve">    </w:t>
      </w:r>
      <w:r>
        <w:rPr>
          <w:b/>
        </w:rPr>
        <w:t xml:space="preserve">Pub date: </w:t>
      </w:r>
      <w:r>
        <w:t>2026-07-31 00:00:00+00:00</w:t>
      </w:r>
    </w:p>
    <w:p>
      <w:pPr>
        <w:spacing w:before="0" w:after="120"/>
      </w:pPr>
      <w:r>
        <w:rPr>
          <w:b/>
        </w:rPr>
        <w:t xml:space="preserve">Notes: </w:t>
      </w:r>
      <w:r>
        <w:t>abstract_source=nature_html</w:t>
      </w:r>
    </w:p>
    <w:p>
      <w:pPr>
        <w:spacing w:before="0" w:after="80" w:lineRule="auto" w:line="276"/>
      </w:pPr>
      <w:r>
        <w:rPr>
          <w:b/>
        </w:rPr>
        <w:t xml:space="preserve">摘要（ZH）: </w:t>
      </w:r>
      <w:r>
        <w:t>信息泄露危机不断升级，需要从静态标识符转向智能、动态安全系统。当前的方法，即使是最新的时间依赖性方法，仍然受到缺乏可编程时空控制的非渐进式或多组件设计的限制，这凸显了对最小集成分子平台的需求。在此，我们报告了一种单分子系统（4BT-Py-PTC），它通过连续的、无催化剂的光反应实现时间选通的、分级的多色荧光。该设计途径涉及硫代碳酸盐水解、烯烃裂解和醛光氧化，逐渐将最初的黄色发射体转化为红色发射体（3BT-Py，5 分钟）、黄色发射体（2BT-CHO，20 分钟）和蓝色发射体（5BT-COOH，80 分钟）产物。这种内在的可编程性可以实现更高阶的时空命令。利用此输出，我们演示了两种加密模式：时间门控 3D 代码和有机凝胶矩阵，用于使用临时密钥进行多级（显示-隐藏-擦除）控制。这项工作建立了一种以无催化剂、单分子级联光反应为中心的方法，通过时空加密重新定义安全材料，并对动态防伪和数据保护进行基准测试。</w:t>
      </w:r>
    </w:p>
    <w:p>
      <w:pPr>
        <w:spacing w:before="0" w:after="200" w:lineRule="auto" w:line="276"/>
      </w:pPr>
      <w:r>
        <w:rPr>
          <w:b/>
        </w:rPr>
        <w:t xml:space="preserve">Abstract (EN): </w:t>
      </w:r>
      <w:r>
        <w:t>The escalating crisis of information leakage necessitates a shift from static identifiers to intelligent, dynamically secure systems. Current approaches, even up-to-date time-dependent ones, remain constrained by non-progressive or multicomponent designs that lack programmable spatiotemporal control, underscoring the need for a minimal, integrated molecular platform. Herein, we report a single-molecule system (4BT-Py-PTC) that achieves time-gated, graded multicolor fluorescence via sequential, catalyst-free photoreactions. This designed pathway involves thiocarbonate hydrolysis, alkene cleavage, and aldehyde photooxidation, progressively transforming the initial yellow emitter into red- (3BT-Py, 5 min), yellow- (2BT-CHO, 20 min), and blue-emissive (5BT-COOH, 80 min) products. This intrinsic programmability enables a higher-order of spatiotemporal command. Leveraging this output, we demonstrate two encryption modes: time-gated 3D codes and organogel matrices for multistage (reveal–conceal–erase) control with temporal keys. This work establishes an approach centered on catalyst-free, single-molecule cascade photoreactions, redefining secure materials through spatiotemporal encryption and benchmarking dynamic anti-counterfeiting and data protection.</w:t>
      </w:r>
    </w:p>
    <w:p>
      <w:pPr>
        <w:spacing w:before="120" w:after="120"/>
      </w:pPr>
      <w:r>
        <w:rPr>
          <w:sz w:val="18"/>
        </w:rPr>
        <w:t>——————————————————————————————————————————————————————————————————————</w:t>
      </w:r>
    </w:p>
    <w:p>
      <w:pPr>
        <w:spacing w:before="160" w:after="40" w:line="240" w:lineRule="auto"/>
      </w:pPr>
      <w:r>
        <w:rPr>
          <w:b/>
        </w:rPr>
        <w:t xml:space="preserve">[23] </w:t>
      </w:r>
      <w:hyperlink r:id="rId584">
        <w:r>
          <w:rPr>
            <w:color w:val="1155CC"/>
            <w:u w:val="single"/>
          </w:rPr>
          <w:t>NATTrek：一种网络感知轨迹游戏化视觉框架，用于在馈线限制下合作电动车队充电</w:t>
        </w:r>
      </w:hyperlink>
    </w:p>
    <w:p>
      <w:pPr>
        <w:spacing w:before="0" w:after="80"/>
      </w:pPr>
      <w:r>
        <w:rPr>
          <w:i/>
          <w:sz w:val="20"/>
        </w:rPr>
        <w:t>EN: NATTrek: A network-aware trajectory gamified visual framework for cooperative EV fleet charging under feeder constraints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585">
        <w:r>
          <w:rPr>
            <w:color w:val="1155CC"/>
            <w:u w:val="single"/>
          </w:rPr>
          <w:t>10.1016/j.apenergy.2026.128526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586">
        <w:r>
          <w:rPr>
            <w:color w:val="1155CC"/>
            <w:u w:val="single"/>
          </w:rPr>
          <w:t>双层不确定性下的配电市场运营商输配电运行协调</w:t>
        </w:r>
      </w:hyperlink>
    </w:p>
    <w:p>
      <w:pPr>
        <w:spacing w:before="0" w:after="80"/>
      </w:pPr>
      <w:r>
        <w:rPr>
          <w:i/>
          <w:sz w:val="20"/>
        </w:rPr>
        <w:t>EN: Distribution market operators in transmission-distribution operation coordination under dual-layer uncertainty</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587">
        <w:r>
          <w:rPr>
            <w:color w:val="1155CC"/>
            <w:u w:val="single"/>
          </w:rPr>
          <w:t>10.1016/j.apenergy.2026.128562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588">
        <w:r>
          <w:rPr>
            <w:color w:val="1155CC"/>
            <w:u w:val="single"/>
          </w:rPr>
          <w:t>油酸是橄榄油的核心</w:t>
        </w:r>
      </w:hyperlink>
    </w:p>
    <w:p>
      <w:pPr>
        <w:spacing w:before="0" w:after="80"/>
      </w:pPr>
      <w:r>
        <w:rPr>
          <w:i/>
          <w:sz w:val="20"/>
        </w:rPr>
        <w:t>EN: Oleic acid at the heart of olive oil</w:t>
      </w:r>
    </w:p>
    <w:p>
      <w:pPr>
        <w:spacing w:before="0" w:after="120"/>
      </w:pPr>
      <w:r>
        <w:rPr>
          <w:b/>
        </w:rPr>
        <w:t xml:space="preserve">Source: </w:t>
      </w:r>
      <w:r>
        <w:t>Nature Chemistry</w:t>
      </w:r>
      <w:r>
        <w:t xml:space="preserve">    </w:t>
      </w:r>
      <w:r>
        <w:rPr>
          <w:b/>
        </w:rPr>
        <w:t xml:space="preserve">Pub date: </w:t>
      </w:r>
      <w:r>
        <w:t>2026-07-31 00:00:00+00:00</w:t>
      </w:r>
      <w:r>
        <w:t xml:space="preserve">    </w:t>
      </w:r>
      <w:r>
        <w:rPr>
          <w:b/>
        </w:rPr>
        <w:t xml:space="preserve">DOI: </w:t>
      </w:r>
      <w:hyperlink r:id="rId589">
        <w:r>
          <w:rPr>
            <w:color w:val="1155CC"/>
            <w:u w:val="single"/>
          </w:rPr>
          <w:t>10.1038/s41557-026-02200-y</w:t>
        </w:r>
      </w:hyperlink>
    </w:p>
    <w:p>
      <w:pPr>
        <w:spacing w:before="0" w:after="120"/>
      </w:pPr>
      <w:r>
        <w:rPr>
          <w:b/>
        </w:rPr>
        <w:t xml:space="preserve">Notes: </w:t>
      </w:r>
      <w:r>
        <w:t>abstract_source=rss_nature</w:t>
      </w:r>
    </w:p>
    <w:p>
      <w:pPr>
        <w:spacing w:before="0" w:after="80" w:lineRule="auto" w:line="276"/>
      </w:pPr>
      <w:r>
        <w:rPr>
          <w:b/>
        </w:rPr>
        <w:t xml:space="preserve">摘要（ZH）: </w:t>
      </w:r>
      <w:r>
        <w:t>帕特里夏·奥哈拉讨论了油酸的分子结构如何影响橄榄油的物理特性、烹饪行为和健康益处，将古代象征主义与现代化学联系起来。</w:t>
      </w:r>
    </w:p>
    <w:p>
      <w:pPr>
        <w:spacing w:before="0" w:after="200" w:lineRule="auto" w:line="276"/>
      </w:pPr>
      <w:r>
        <w:rPr>
          <w:b/>
        </w:rPr>
        <w:t xml:space="preserve">Abstract (EN): </w:t>
      </w:r>
      <w:r>
        <w:t>Patricia O’Hara discusses how the molecular structure of oleic acid shapes olive oil’s physical properties, culinary behaviour and health benefits, linking ancient symbolism to modern chemistry.</w:t>
      </w:r>
    </w:p>
    <w:p>
      <w:pPr>
        <w:spacing w:before="120" w:after="120"/>
      </w:pPr>
      <w:r>
        <w:rPr>
          <w:sz w:val="18"/>
        </w:rPr>
        <w:t>——————————————————————————————————————————————————————————————————————</w:t>
      </w:r>
    </w:p>
    <w:p>
      <w:pPr>
        <w:spacing w:before="160" w:after="40" w:line="240" w:lineRule="auto"/>
      </w:pPr>
      <w:r>
        <w:rPr>
          <w:b/>
        </w:rPr>
        <w:t xml:space="preserve">[26] </w:t>
      </w:r>
      <w:hyperlink r:id="rId590">
        <w:r>
          <w:rPr>
            <w:color w:val="1155CC"/>
            <w:u w:val="single"/>
          </w:rPr>
          <w:t>水致桥锰矿粗化可能产生高粘性下地幔地震异常</w:t>
        </w:r>
      </w:hyperlink>
    </w:p>
    <w:p>
      <w:pPr>
        <w:spacing w:before="0" w:after="80"/>
      </w:pPr>
      <w:r>
        <w:rPr>
          <w:i/>
          <w:sz w:val="20"/>
        </w:rPr>
        <w:t>EN: Water-induced bridgmanite coarsening may produce highly-viscous lower mantle seismic anomalies</w:t>
      </w:r>
    </w:p>
    <w:p>
      <w:pPr>
        <w:spacing w:before="0" w:after="120"/>
      </w:pPr>
      <w:r>
        <w:rPr>
          <w:b/>
        </w:rPr>
        <w:t xml:space="preserve">Source: </w:t>
      </w:r>
      <w:r>
        <w:t>National Science Review Advance Access</w:t>
      </w:r>
      <w:r>
        <w:t xml:space="preserve">    </w:t>
      </w:r>
      <w:r>
        <w:rPr>
          <w:b/>
        </w:rPr>
        <w:t xml:space="preserve">Pub date: </w:t>
      </w:r>
      <w:r>
        <w:t>2026-07-31 00:00:00+00:00</w:t>
      </w:r>
      <w:r>
        <w:t xml:space="preserve">    </w:t>
      </w:r>
      <w:r>
        <w:rPr>
          <w:b/>
        </w:rPr>
        <w:t xml:space="preserve">DOI: </w:t>
      </w:r>
      <w:hyperlink r:id="rId591">
        <w:r>
          <w:rPr>
            <w:color w:val="1155CC"/>
            <w:u w:val="single"/>
          </w:rPr>
          <w:t>10.1093/nsr/nwag464</w:t>
        </w:r>
      </w:hyperlink>
    </w:p>
    <w:p>
      <w:pPr>
        <w:spacing w:before="0" w:after="120"/>
      </w:pPr>
      <w:r>
        <w:rPr>
          <w:b/>
        </w:rPr>
        <w:t xml:space="preserve">Notes: </w:t>
      </w:r>
      <w:r>
        <w:t>abstract_source=rss_oup</w:t>
      </w:r>
    </w:p>
    <w:p>
      <w:pPr>
        <w:spacing w:before="0" w:after="80" w:lineRule="auto" w:line="276"/>
      </w:pPr>
      <w:r>
        <w:rPr>
          <w:b/>
        </w:rPr>
        <w:t xml:space="preserve">摘要（ZH）: </w:t>
      </w:r>
      <w:r>
        <w:t>在地球下地幔底部通过地震检测到了两个地震异常，称为大低速区（LLVP）。作为地幔柱的来源和地幔对流的屏障，LLVP 长期停留在下地幔中，并对地球的动力学产生重大影响。然而，目前尚不清楚LLVP如何保存在下地幔中，因为LLVP内的升高的温度和含水量会降低其流变强度，导致地幔对流的快速混合。在这里，通过高压实验，我们证明了桥锰矿（下地幔中的主要矿物）的晶粒生长因水的掺入而显着增强。尽管热水作用对矿物强度产生负面影响，但 LLVP 的相对富水条件和随之而来的较大颗粒尺寸可能导致其粘度比周围地幔高 1.4 个数量级，这为其长寿提供了可靠的机制。</w:t>
      </w:r>
    </w:p>
    <w:p>
      <w:pPr>
        <w:spacing w:before="0" w:after="200" w:lineRule="auto" w:line="276"/>
      </w:pPr>
      <w:r>
        <w:rPr>
          <w:b/>
        </w:rPr>
        <w:t xml:space="preserve">Abstract (EN): </w:t>
      </w:r>
      <w:r>
        <w:t>Two seismic anomalies, known as large low velocity provinces (LLVPs), are detected seismically at the bottom of the Earth’s lower mantle. Acting as the source of mantle plumes and as barriers to mantle convection, LLVPs have stayed in the lower mantle over a long duration and significantly influence the dynamics of the Earth. However, it is unclear how the LLVPs could be preserved in the lower mantle because the elevated temperature and water content within LLVPs should reduce their rheological strength, leading to a rapid mixing by mantle convection. Here, through high-pressure experiments, we demonstrate that the grain growth of bridgmanite, the dominant mineral in the lower mantle, is significantly enhanced by water incorporation. The relatively water-rich conditions of LLVPs and consequent larger grain size may cause their viscosity 1.4 orders of magnitude higher than the surrounding mantle despite the negatively thermo-hydrous effect on mineral strength, providing a reliable mechanism for their longevity.</w:t>
      </w:r>
    </w:p>
    <w:p>
      <w:pPr>
        <w:spacing w:before="120" w:after="120"/>
      </w:pPr>
      <w:r>
        <w:rPr>
          <w:sz w:val="18"/>
        </w:rPr>
        <w:t>——————————————————————————————————————————————————————————————————————</w:t>
      </w:r>
    </w:p>
    <w:p>
      <w:pPr>
        <w:spacing w:before="160" w:after="40" w:line="240" w:lineRule="auto"/>
      </w:pPr>
      <w:r>
        <w:rPr>
          <w:b/>
        </w:rPr>
        <w:t xml:space="preserve">[27] </w:t>
      </w:r>
      <w:hyperlink r:id="rId592">
        <w:r>
          <w:rPr>
            <w:color w:val="1155CC"/>
            <w:u w:val="single"/>
          </w:rPr>
          <w:t>模型研究预测，使用法学硕士的科学家将“做得更多，但做得更少”</w:t>
        </w:r>
      </w:hyperlink>
    </w:p>
    <w:p>
      <w:pPr>
        <w:spacing w:before="0" w:after="80"/>
      </w:pPr>
      <w:r>
        <w:rPr>
          <w:i/>
          <w:sz w:val="20"/>
        </w:rPr>
        <w:t>EN: Scientists using LLMs will ‘do more, less well’, modelling study predicts</w:t>
      </w:r>
    </w:p>
    <w:p>
      <w:pPr>
        <w:spacing w:before="0" w:after="120"/>
      </w:pPr>
      <w:r>
        <w:rPr>
          <w:b/>
        </w:rPr>
        <w:t xml:space="preserve">Source: </w:t>
      </w:r>
      <w:r>
        <w:t>Nature</w:t>
      </w:r>
      <w:r>
        <w:t xml:space="preserve">    </w:t>
      </w:r>
      <w:r>
        <w:rPr>
          <w:b/>
        </w:rPr>
        <w:t xml:space="preserve">Pub date: </w:t>
      </w:r>
      <w:r>
        <w:t>2026-07-31 00:00:00+00:00</w:t>
      </w:r>
      <w:r>
        <w:t xml:space="preserve">    </w:t>
      </w:r>
      <w:r>
        <w:rPr>
          <w:b/>
        </w:rPr>
        <w:t xml:space="preserve">DOI: </w:t>
      </w:r>
      <w:hyperlink r:id="rId593">
        <w:r>
          <w:rPr>
            <w:color w:val="1155CC"/>
            <w:u w:val="single"/>
          </w:rPr>
          <w:t>10.1038/d41586-026-02397-5</w:t>
        </w:r>
      </w:hyperlink>
    </w:p>
    <w:p>
      <w:pPr>
        <w:spacing w:before="0" w:after="120"/>
      </w:pPr>
      <w:r>
        <w:rPr>
          <w:b/>
        </w:rPr>
        <w:t xml:space="preserve">Notes: </w:t>
      </w:r>
      <w:r>
        <w:t>abstract_source=rss_nature</w:t>
      </w:r>
    </w:p>
    <w:p>
      <w:pPr>
        <w:spacing w:before="0" w:after="80" w:lineRule="auto" w:line="276"/>
      </w:pPr>
      <w:r>
        <w:rPr>
          <w:b/>
        </w:rPr>
        <w:t xml:space="preserve">摘要（ZH）: </w:t>
      </w:r>
      <w:r>
        <w:t>研究表明，发表激励措施和大型语言模型的使用相结合将导致论文数量增多，但论文的精炼度会降低。</w:t>
      </w:r>
    </w:p>
    <w:p>
      <w:pPr>
        <w:spacing w:before="0" w:after="200" w:lineRule="auto" w:line="276"/>
      </w:pPr>
      <w:r>
        <w:rPr>
          <w:b/>
        </w:rPr>
        <w:t xml:space="preserve">Abstract (EN): </w:t>
      </w:r>
      <w:r>
        <w:t>Research suggests that the combination of incentives to publish and the use of large language models will lead to more papers, but they will be less refined.</w:t>
      </w:r>
    </w:p>
    <w:p>
      <w:pPr>
        <w:spacing w:before="120" w:after="120"/>
      </w:pPr>
      <w:r>
        <w:rPr>
          <w:sz w:val="18"/>
        </w:rPr>
        <w:t>——————————————————————————————————————————————————————————————————————</w:t>
      </w:r>
    </w:p>
    <w:p>
      <w:pPr>
        <w:spacing w:before="160" w:after="40" w:line="240" w:lineRule="auto"/>
      </w:pPr>
      <w:r>
        <w:rPr>
          <w:b/>
        </w:rPr>
        <w:t xml:space="preserve">[28] </w:t>
      </w:r>
      <w:hyperlink r:id="rId594">
        <w:r>
          <w:rPr>
            <w:color w:val="1155CC"/>
            <w:u w:val="single"/>
          </w:rPr>
          <w:t>天花如何到达美洲：第一个基因组证据指向欧洲人</w:t>
        </w:r>
      </w:hyperlink>
    </w:p>
    <w:p>
      <w:pPr>
        <w:spacing w:before="0" w:after="80"/>
      </w:pPr>
      <w:r>
        <w:rPr>
          <w:i/>
          <w:sz w:val="20"/>
        </w:rPr>
        <w:t>EN: How smallpox reached the Americas: first genomic evidence points to Europeans</w:t>
      </w:r>
    </w:p>
    <w:p>
      <w:pPr>
        <w:spacing w:before="0" w:after="120"/>
      </w:pPr>
      <w:r>
        <w:rPr>
          <w:b/>
        </w:rPr>
        <w:t xml:space="preserve">Source: </w:t>
      </w:r>
      <w:r>
        <w:t>Nature</w:t>
      </w:r>
      <w:r>
        <w:t xml:space="preserve">    </w:t>
      </w:r>
      <w:r>
        <w:rPr>
          <w:b/>
        </w:rPr>
        <w:t xml:space="preserve">Pub date: </w:t>
      </w:r>
      <w:r>
        <w:t>2026-07-31 00:00:00+00:00</w:t>
      </w:r>
      <w:r>
        <w:t xml:space="preserve">    </w:t>
      </w:r>
      <w:r>
        <w:rPr>
          <w:b/>
        </w:rPr>
        <w:t xml:space="preserve">DOI: </w:t>
      </w:r>
      <w:hyperlink r:id="rId595">
        <w:r>
          <w:rPr>
            <w:color w:val="1155CC"/>
            <w:u w:val="single"/>
          </w:rPr>
          <w:t>10.1038/d41586-026-02366-y</w:t>
        </w:r>
      </w:hyperlink>
    </w:p>
    <w:p>
      <w:pPr>
        <w:spacing w:before="0" w:after="120"/>
      </w:pPr>
      <w:r>
        <w:rPr>
          <w:b/>
        </w:rPr>
        <w:t xml:space="preserve">Notes: </w:t>
      </w:r>
      <w:r>
        <w:t>abstract_source=rss_nature</w:t>
      </w:r>
    </w:p>
    <w:p>
      <w:pPr>
        <w:spacing w:before="0" w:after="80" w:lineRule="auto" w:line="276"/>
      </w:pPr>
      <w:r>
        <w:rPr>
          <w:b/>
        </w:rPr>
        <w:t xml:space="preserve">摘要（ZH）: </w:t>
      </w:r>
      <w:r>
        <w:t>智利木乃伊的病毒序列证实该疾病是从欧洲传入的。</w:t>
      </w:r>
    </w:p>
    <w:p>
      <w:pPr>
        <w:spacing w:before="0" w:after="200" w:lineRule="auto" w:line="276"/>
      </w:pPr>
      <w:r>
        <w:rPr>
          <w:b/>
        </w:rPr>
        <w:t xml:space="preserve">Abstract (EN): </w:t>
      </w:r>
      <w:r>
        <w:t>Viral sequences from Chilean mummies confirm the disease was introduced from Europe.</w:t>
      </w:r>
    </w:p>
    <w:p>
      <w:pPr>
        <w:spacing w:before="120" w:after="120"/>
      </w:pPr>
      <w:r>
        <w:rPr>
          <w:sz w:val="18"/>
        </w:rPr>
        <w:t>——————————————————————————————————————————————————————————————————————</w:t>
      </w:r>
    </w:p>
    <w:p>
      <w:pPr>
        <w:spacing w:before="160" w:after="40" w:line="240" w:lineRule="auto"/>
      </w:pPr>
      <w:r>
        <w:rPr>
          <w:b/>
        </w:rPr>
        <w:t xml:space="preserve">[29] </w:t>
      </w:r>
      <w:hyperlink r:id="rId596">
        <w:r>
          <w:rPr>
            <w:color w:val="1155CC"/>
            <w:u w:val="single"/>
          </w:rPr>
          <w:t>霍尔木兹海峡中断、地缘政治争端强度和欧洲燃料市场基于布伦特原油的对冲有效性：来自 DCC-GARCH 方法的经验证据</w:t>
        </w:r>
      </w:hyperlink>
    </w:p>
    <w:p>
      <w:pPr>
        <w:spacing w:before="0" w:after="80"/>
      </w:pPr>
      <w:r>
        <w:rPr>
          <w:i/>
          <w:sz w:val="20"/>
        </w:rPr>
        <w:t>EN: Strait of Hormuz disruption, geopolitical dispute intensity and Brent-based hedging effectiveness in European fuel markets: Empirical evidence from DCC-GARCH approach</w:t>
      </w:r>
    </w:p>
    <w:p>
      <w:pPr>
        <w:spacing w:before="0" w:after="120"/>
      </w:pPr>
      <w:r>
        <w:rPr>
          <w:b/>
        </w:rPr>
        <w:t xml:space="preserve">Source: </w:t>
      </w:r>
      <w:r>
        <w:t>ScienceDirect Publication: Energy Policy</w:t>
      </w:r>
      <w:r>
        <w:t xml:space="preserve">    </w:t>
      </w:r>
      <w:r>
        <w:rPr>
          <w:b/>
        </w:rPr>
        <w:t xml:space="preserve">Pub date: </w:t>
      </w:r>
      <w:r>
        <w:t>2026-07-31 00:00:00+00:00</w:t>
      </w:r>
      <w:r>
        <w:t xml:space="preserve">    </w:t>
      </w:r>
      <w:r>
        <w:rPr>
          <w:b/>
        </w:rPr>
        <w:t xml:space="preserve">DOI: </w:t>
      </w:r>
      <w:hyperlink r:id="rId597">
        <w:r>
          <w:rPr>
            <w:color w:val="1155CC"/>
            <w:u w:val="single"/>
          </w:rPr>
          <w:t>10.1016/j.enpol.2026.115521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598">
        <w:r>
          <w:rPr>
            <w:color w:val="1155CC"/>
            <w:u w:val="single"/>
          </w:rPr>
          <w:t>法医痕迹有助于抓捕偷猎者——七月最佳科学图像</w:t>
        </w:r>
      </w:hyperlink>
    </w:p>
    <w:p>
      <w:pPr>
        <w:spacing w:before="0" w:after="80"/>
      </w:pPr>
      <w:r>
        <w:rPr>
          <w:i/>
          <w:sz w:val="20"/>
        </w:rPr>
        <w:t>EN: The forensic traces that can help catch poachers — July’s best science images</w:t>
      </w:r>
    </w:p>
    <w:p>
      <w:pPr>
        <w:spacing w:before="0" w:after="120"/>
      </w:pPr>
      <w:r>
        <w:rPr>
          <w:b/>
        </w:rPr>
        <w:t xml:space="preserve">Source: </w:t>
      </w:r>
      <w:r>
        <w:t>Nature</w:t>
      </w:r>
      <w:r>
        <w:t xml:space="preserve">    </w:t>
      </w:r>
      <w:r>
        <w:rPr>
          <w:b/>
        </w:rPr>
        <w:t xml:space="preserve">Pub date: </w:t>
      </w:r>
      <w:r>
        <w:t>2026-07-31 00:00:00+00:00</w:t>
      </w:r>
      <w:r>
        <w:t xml:space="preserve">    </w:t>
      </w:r>
      <w:r>
        <w:rPr>
          <w:b/>
        </w:rPr>
        <w:t xml:space="preserve">DOI: </w:t>
      </w:r>
      <w:hyperlink r:id="rId599">
        <w:r>
          <w:rPr>
            <w:color w:val="1155CC"/>
            <w:u w:val="single"/>
          </w:rPr>
          <w:t>10.1038/d41586-026-02274-1</w:t>
        </w:r>
      </w:hyperlink>
    </w:p>
    <w:p>
      <w:pPr>
        <w:spacing w:before="0" w:after="120"/>
      </w:pPr>
      <w:r>
        <w:rPr>
          <w:b/>
        </w:rPr>
        <w:t xml:space="preserve">Notes: </w:t>
      </w:r>
      <w:r>
        <w:t>abstract_source=nature_html</w:t>
      </w:r>
    </w:p>
    <w:p>
      <w:pPr>
        <w:spacing w:before="0" w:after="80" w:lineRule="auto" w:line="276"/>
      </w:pPr>
      <w:r>
        <w:rPr>
          <w:b/>
        </w:rPr>
        <w:t xml:space="preserve">摘要（ZH）: </w:t>
      </w:r>
      <w:r>
        <w:t>《自然》摄影团队评选出本月最清晰的科学照片。</w:t>
      </w:r>
    </w:p>
    <w:p>
      <w:pPr>
        <w:spacing w:before="0" w:after="200" w:lineRule="auto" w:line="276"/>
      </w:pPr>
      <w:r>
        <w:rPr>
          <w:b/>
        </w:rPr>
        <w:t xml:space="preserve">Abstract (EN): </w:t>
      </w:r>
      <w:r>
        <w:t>The month’s sharpest science shots, selected by Nature’s photo team.</w:t>
      </w:r>
    </w:p>
    <w:p>
      <w:pPr>
        <w:spacing w:before="120" w:after="120"/>
      </w:pPr>
      <w:r>
        <w:rPr>
          <w:sz w:val="18"/>
        </w:rPr>
        <w:t>——————————————————————————————————————————————————————————————————————</w:t>
      </w:r>
    </w:p>
    <w:p>
      <w:pPr>
        <w:spacing w:before="160" w:after="40" w:line="240" w:lineRule="auto"/>
      </w:pPr>
      <w:r>
        <w:rPr>
          <w:b/>
        </w:rPr>
        <w:t xml:space="preserve">[31] </w:t>
      </w:r>
      <w:hyperlink r:id="rId600">
        <w:r>
          <w:rPr>
            <w:color w:val="1155CC"/>
            <w:u w:val="single"/>
          </w:rPr>
          <w:t>无知的力量和凝视银河系：书籍简介</w:t>
        </w:r>
      </w:hyperlink>
    </w:p>
    <w:p>
      <w:pPr>
        <w:spacing w:before="0" w:after="80"/>
      </w:pPr>
      <w:r>
        <w:rPr>
          <w:i/>
          <w:sz w:val="20"/>
        </w:rPr>
        <w:t>EN: The power of ignorance and peering into the Milky Way: Books in brief</w:t>
      </w:r>
    </w:p>
    <w:p>
      <w:pPr>
        <w:spacing w:before="0" w:after="120"/>
      </w:pPr>
      <w:r>
        <w:rPr>
          <w:b/>
        </w:rPr>
        <w:t xml:space="preserve">Source: </w:t>
      </w:r>
      <w:r>
        <w:t>Nature</w:t>
      </w:r>
      <w:r>
        <w:t xml:space="preserve">    </w:t>
      </w:r>
      <w:r>
        <w:rPr>
          <w:b/>
        </w:rPr>
        <w:t xml:space="preserve">Pub date: </w:t>
      </w:r>
      <w:r>
        <w:t>2026-07-31 00:00:00+00:00</w:t>
      </w:r>
      <w:r>
        <w:t xml:space="preserve">    </w:t>
      </w:r>
      <w:r>
        <w:rPr>
          <w:b/>
        </w:rPr>
        <w:t xml:space="preserve">DOI: </w:t>
      </w:r>
      <w:hyperlink r:id="rId601">
        <w:r>
          <w:rPr>
            <w:color w:val="1155CC"/>
            <w:u w:val="single"/>
          </w:rPr>
          <w:t>10.1038/d41586-026-02371-1</w:t>
        </w:r>
      </w:hyperlink>
    </w:p>
    <w:p>
      <w:pPr>
        <w:spacing w:before="0" w:after="120"/>
      </w:pPr>
      <w:r>
        <w:rPr>
          <w:b/>
        </w:rPr>
        <w:t xml:space="preserve">Notes: </w:t>
      </w:r>
      <w:r>
        <w:t>abstract_source=nature_html</w:t>
      </w:r>
    </w:p>
    <w:p>
      <w:pPr>
        <w:spacing w:before="0" w:after="80" w:lineRule="auto" w:line="276"/>
      </w:pPr>
      <w:r>
        <w:rPr>
          <w:b/>
        </w:rPr>
        <w:t xml:space="preserve">摘要（ZH）: </w:t>
      </w:r>
      <w:r>
        <w:t>安德鲁·罗宾逊回顾了五个最佳科学精选。</w:t>
      </w:r>
    </w:p>
    <w:p>
      <w:pPr>
        <w:spacing w:before="0" w:after="200" w:lineRule="auto" w:line="276"/>
      </w:pPr>
      <w:r>
        <w:rPr>
          <w:b/>
        </w:rPr>
        <w:t xml:space="preserve">Abstract (EN): </w:t>
      </w:r>
      <w:r>
        <w:t>Andrew Robinson reviews five of the best science picks.</w:t>
      </w:r>
    </w:p>
    <w:p>
      <w:pPr>
        <w:spacing w:before="120" w:after="120"/>
      </w:pPr>
      <w:r>
        <w:rPr>
          <w:sz w:val="18"/>
        </w:rPr>
        <w:t>——————————————————————————————————————————————————————————————————————</w:t>
      </w:r>
    </w:p>
    <w:p>
      <w:pPr>
        <w:spacing w:before="160" w:after="40" w:line="240" w:lineRule="auto"/>
      </w:pPr>
      <w:r>
        <w:rPr>
          <w:b/>
        </w:rPr>
        <w:t xml:space="preserve">[32] </w:t>
      </w:r>
      <w:hyperlink r:id="rId602">
        <w:r>
          <w:rPr>
            <w:color w:val="1155CC"/>
            <w:u w:val="single"/>
          </w:rPr>
          <w:t>嘶嘶声的物理原理：为什么有些气泡比其他气泡响亮</w:t>
        </w:r>
      </w:hyperlink>
    </w:p>
    <w:p>
      <w:pPr>
        <w:spacing w:before="0" w:after="80"/>
      </w:pPr>
      <w:r>
        <w:rPr>
          <w:i/>
          <w:sz w:val="20"/>
        </w:rPr>
        <w:t>EN: The physics of fizz: why some bubbles are louder than others</w:t>
      </w:r>
    </w:p>
    <w:p>
      <w:pPr>
        <w:spacing w:before="0" w:after="120"/>
      </w:pPr>
      <w:r>
        <w:rPr>
          <w:b/>
        </w:rPr>
        <w:t xml:space="preserve">Source: </w:t>
      </w:r>
      <w:r>
        <w:t>Nature</w:t>
      </w:r>
      <w:r>
        <w:t xml:space="preserve">    </w:t>
      </w:r>
      <w:r>
        <w:rPr>
          <w:b/>
        </w:rPr>
        <w:t xml:space="preserve">Pub date: </w:t>
      </w:r>
      <w:r>
        <w:t>2026-07-31 00:00:00+00:00</w:t>
      </w:r>
      <w:r>
        <w:t xml:space="preserve">    </w:t>
      </w:r>
      <w:r>
        <w:rPr>
          <w:b/>
        </w:rPr>
        <w:t xml:space="preserve">DOI: </w:t>
      </w:r>
      <w:hyperlink r:id="rId603">
        <w:r>
          <w:rPr>
            <w:color w:val="1155CC"/>
            <w:u w:val="single"/>
          </w:rPr>
          <w:t>10.1038/d41586-026-02334-6</w:t>
        </w:r>
      </w:hyperlink>
    </w:p>
    <w:p>
      <w:pPr>
        <w:spacing w:before="0" w:after="120"/>
      </w:pPr>
      <w:r>
        <w:rPr>
          <w:b/>
        </w:rPr>
        <w:t xml:space="preserve">Notes: </w:t>
      </w:r>
      <w:r>
        <w:t>abstract_source=rss_nature</w:t>
      </w:r>
    </w:p>
    <w:p>
      <w:pPr>
        <w:spacing w:before="0" w:after="80" w:lineRule="auto" w:line="276"/>
      </w:pPr>
      <w:r>
        <w:rPr>
          <w:b/>
        </w:rPr>
        <w:t xml:space="preserve">摘要（ZH）: </w:t>
      </w:r>
      <w:r>
        <w:t>高速摄像机和水下麦克风帮助科学家研究有关气泡的谜题。</w:t>
      </w:r>
    </w:p>
    <w:p>
      <w:pPr>
        <w:spacing w:before="0" w:after="200" w:lineRule="auto" w:line="276"/>
      </w:pPr>
      <w:r>
        <w:rPr>
          <w:b/>
        </w:rPr>
        <w:t xml:space="preserve">Abstract (EN): </w:t>
      </w:r>
      <w:r>
        <w:t>A high-speed camera and underwater microphones help scientists to investigate a puzzle about bubbles.</w:t>
      </w:r>
    </w:p>
    <w:p>
      <w:pPr>
        <w:spacing w:before="120" w:after="120"/>
      </w:pPr>
      <w:r>
        <w:rPr>
          <w:sz w:val="18"/>
        </w:rPr>
        <w:t>——————————————————————————————————————————————————————————————————————</w:t>
      </w:r>
    </w:p>
    <w:p>
      <w:pPr>
        <w:spacing w:before="160" w:after="40" w:line="240" w:lineRule="auto"/>
      </w:pPr>
      <w:r>
        <w:rPr>
          <w:b/>
        </w:rPr>
        <w:t xml:space="preserve">[33] </w:t>
      </w:r>
      <w:hyperlink r:id="rId604">
        <w:r>
          <w:rPr>
            <w:color w:val="1155CC"/>
            <w:u w:val="single"/>
          </w:rPr>
          <w:t>由抗肿胀和双相导电水凝胶实现的 3D 打印植入式生物电子学</w:t>
        </w:r>
      </w:hyperlink>
    </w:p>
    <w:p>
      <w:pPr>
        <w:spacing w:before="0" w:after="80"/>
      </w:pPr>
      <w:r>
        <w:rPr>
          <w:i/>
          <w:sz w:val="20"/>
        </w:rPr>
        <w:t>EN: 3D-printed implantable bioelectronics enabled by anti-swelling and biphasic conductive hydrogels</w:t>
      </w:r>
    </w:p>
    <w:p>
      <w:pPr>
        <w:spacing w:before="0" w:after="120"/>
      </w:pPr>
      <w:r>
        <w:rPr>
          <w:b/>
        </w:rPr>
        <w:t xml:space="preserve">Source: </w:t>
      </w:r>
      <w:r>
        <w:t>Nature Materials</w:t>
      </w:r>
      <w:r>
        <w:t xml:space="preserve">    </w:t>
      </w:r>
      <w:r>
        <w:rPr>
          <w:b/>
        </w:rPr>
        <w:t xml:space="preserve">Pub date: </w:t>
      </w:r>
      <w:r>
        <w:t>2026-07-31 00:00:00+00:00</w:t>
      </w:r>
      <w:r>
        <w:t xml:space="preserve">    </w:t>
      </w:r>
      <w:r>
        <w:rPr>
          <w:b/>
        </w:rPr>
        <w:t xml:space="preserve">DOI: </w:t>
      </w:r>
      <w:hyperlink r:id="rId605">
        <w:r>
          <w:rPr>
            <w:color w:val="1155CC"/>
            <w:u w:val="single"/>
          </w:rPr>
          <w:t>10.1038/s41563-026-02691-7</w:t>
        </w:r>
      </w:hyperlink>
    </w:p>
    <w:p>
      <w:pPr>
        <w:spacing w:before="0" w:after="120"/>
      </w:pPr>
      <w:r>
        <w:rPr>
          <w:b/>
        </w:rPr>
        <w:t xml:space="preserve">Notes: </w:t>
      </w:r>
      <w:r>
        <w:t>abstract_source=pubmed</w:t>
      </w:r>
    </w:p>
    <w:p>
      <w:pPr>
        <w:spacing w:before="0" w:after="80" w:lineRule="auto" w:line="276"/>
      </w:pPr>
      <w:r>
        <w:rPr>
          <w:b/>
        </w:rPr>
        <w:t xml:space="preserve">摘要（ZH）: </w:t>
      </w:r>
      <w:r>
        <w:t>水凝胶生物电子学是连接生物和电子系统的有希望的候选者。然而，由于水凝胶封装膨胀引起的机械降解和导电网络的电故障，在潮湿的生理环境中保持水凝胶装置和生物材料之间的稳定通信具有挑战性。为了解决这个问题，我们报告了一种胶束自组装方法，用于制造柔软、可拉伸和抗膨胀的水凝胶，作为可植入水凝胶生物电子学的构建模块。与传统的溶胀水凝胶和有机硅相比，这些抗溶胀水凝胶在长期植入过程中表现出减少的异物反应。利用微凝胶策略，我们将抗膨胀水凝胶设计成支撑基质和双相导电水凝胶墨水，从而实现水凝胶生物电子学的嵌入式 3D 打印。通过在制造过程中调节单体扩散，我们定制了导电水凝胶的导电相，实现高达 4,000 S cm-1 的电导率，以及在水环境中平衡时超过 1,300% 的电气故障应变。打印了不同类型的水凝胶生物电子植入物，包括脑机接口、无线供电光电器件和坐骨神经刺激器。这些装置在植入大鼠体内后表现出长期稳定性和可靠的运行。</w:t>
      </w:r>
    </w:p>
    <w:p>
      <w:pPr>
        <w:spacing w:before="0" w:after="200" w:lineRule="auto" w:line="276"/>
      </w:pPr>
      <w:r>
        <w:rPr>
          <w:b/>
        </w:rPr>
        <w:t xml:space="preserve">Abstract (EN): </w:t>
      </w:r>
      <w:r>
        <w:t>Hydrogel bioelectronics are promising candidates to bridge biological and electronic systems. However, maintaining stable communication between hydrogel devices and biological materials in wet physiological environments is challenging owing to the swelling-induced mechanical degradation of hydrogel encapsulation and electrical failure of conductive networks. To address this, we report a micellar self-assembly method to fabricate soft, stretchable and anti-swelling hydrogels as building blocks for implantable hydrogel bioelectronics. Compared with conventional swelling hydrogels and silicones, these anti-swelling hydrogels show reduced foreign-body reactions during long-term implantation. Using a microgel strategy, we engineer the anti-swelling hydrogel into a supporting matrix and a biphasic conductive hydrogel ink, enabling embedded 3D printing of hydrogel bioelectronics. Through regulating the monomer diffusion during the manufacturing process, we tailor the conductive phase of the conductive hydrogel, achieving conductivities of up to 4,000 S cm-1, and a strain at electrical failure exceeding 1,300% when equilibrated in an aqueous environment. Different types of hydrogel bioelectronic implant are printed, including brain-computer interfaces, wirelessly powered optoelectronics and sciatic-nerve stimulators. These devices show long-term stability and reliable operation following implantation in rats.</w:t>
      </w:r>
    </w:p>
    <w:p>
      <w:pPr>
        <w:spacing w:before="120" w:after="120"/>
      </w:pPr>
      <w:r>
        <w:rPr>
          <w:sz w:val="18"/>
        </w:rPr>
        <w:t>——————————————————————————————————————————————————————————————————————</w:t>
      </w:r>
    </w:p>
    <w:p>
      <w:pPr>
        <w:spacing w:before="160" w:after="40" w:line="240" w:lineRule="auto"/>
      </w:pPr>
      <w:r>
        <w:rPr>
          <w:b/>
        </w:rPr>
        <w:t xml:space="preserve">[34] </w:t>
      </w:r>
      <w:hyperlink r:id="rId606">
        <w:r>
          <w:rPr>
            <w:color w:val="1155CC"/>
            <w:u w:val="single"/>
          </w:rPr>
          <w:t>用于神经形态计算的具有可编程线性度的有机突触</w:t>
        </w:r>
      </w:hyperlink>
    </w:p>
    <w:p>
      <w:pPr>
        <w:spacing w:before="0" w:after="80"/>
      </w:pPr>
      <w:r>
        <w:rPr>
          <w:i/>
          <w:sz w:val="20"/>
        </w:rPr>
        <w:t>EN: Organic synapses with programmable linearity for neuromorphic computing</w:t>
      </w:r>
    </w:p>
    <w:p>
      <w:pPr>
        <w:spacing w:before="0" w:after="120"/>
      </w:pPr>
      <w:r>
        <w:rPr>
          <w:b/>
        </w:rPr>
        <w:t xml:space="preserve">Source: </w:t>
      </w:r>
      <w:r>
        <w:t>Nature Materials</w:t>
      </w:r>
      <w:r>
        <w:t xml:space="preserve">    </w:t>
      </w:r>
      <w:r>
        <w:rPr>
          <w:b/>
        </w:rPr>
        <w:t xml:space="preserve">Pub date: </w:t>
      </w:r>
      <w:r>
        <w:t>2026-07-31 00:00:00+00:00</w:t>
      </w:r>
      <w:r>
        <w:t xml:space="preserve">    </w:t>
      </w:r>
      <w:r>
        <w:rPr>
          <w:b/>
        </w:rPr>
        <w:t xml:space="preserve">DOI: </w:t>
      </w:r>
      <w:hyperlink r:id="rId607">
        <w:r>
          <w:rPr>
            <w:color w:val="1155CC"/>
            <w:u w:val="single"/>
          </w:rPr>
          <w:t>10.1038/s41563-026-02689-1</w:t>
        </w:r>
      </w:hyperlink>
    </w:p>
    <w:p>
      <w:pPr>
        <w:spacing w:before="0" w:after="120"/>
      </w:pPr>
      <w:r>
        <w:rPr>
          <w:b/>
        </w:rPr>
        <w:t xml:space="preserve">Notes: </w:t>
      </w:r>
      <w:r>
        <w:t>abstract_source=pubmed</w:t>
      </w:r>
    </w:p>
    <w:p>
      <w:pPr>
        <w:spacing w:before="0" w:after="80" w:lineRule="auto" w:line="276"/>
      </w:pPr>
      <w:r>
        <w:rPr>
          <w:b/>
        </w:rPr>
        <w:t xml:space="preserve">摘要（ZH）: </w:t>
      </w:r>
      <w:r>
        <w:t>有机突触设备为灵活且生物相容的神经形态计算和人机界面提供了一条途径。然而，由于界面效应和不均匀的电子过程会增加能耗，电信号传输通常是非线性的且再现性差。有机全光子突触规避了电传输，但仍然受到非线性光化学和光异构化过程的限制。在这里，我们开发了基于电荷分离缓冲自适应发光机制的线性可编程有机全光子突触。客体分子结构的系统工程可调节电荷分离动力学，从而精确控制突触线性。由此产生的器件具有 0.0093 的线性参数 v、99% 的均匀性、97% 的重复性、每个突触事件的光触发能量为 59 zJ，响应时间为 1.39 ns。集成线性可编程有机全光子突触的全光子传感器系统可实现高质量图像采集和高图像分类精度。这些结果建立了用于神经形态信号处理的分子可编程光物理平台，并为低能量人机界面提供了潜在途径。</w:t>
      </w:r>
    </w:p>
    <w:p>
      <w:pPr>
        <w:spacing w:before="0" w:after="200" w:lineRule="auto" w:line="276"/>
      </w:pPr>
      <w:r>
        <w:rPr>
          <w:b/>
        </w:rPr>
        <w:t xml:space="preserve">Abstract (EN): </w:t>
      </w:r>
      <w:r>
        <w:t>Organic synaptic devices offer a route to flexible and biocompatible neuromorphic computing and human-machine interfaces. However, electrical signal transmission is often nonlinear and poorly reproducible because of interfacial effects and non-uniform electronic processes that can increase energy consumption. Organic all-photonic synapses circumvent electrical transmission but remain limited by nonlinear photochemical and photoisomerization processes. Here we develop linearity-programmable organic all-photonic synapses based on a charge-separated-buffered adaptive luminescence mechanism. Systematic engineering of guest molecular structures modulates charge-separation kinetics, allowing precise control over synaptic linearity. The resulting devices exhibit a linearity parameter, v, of 0.0093, 99% uniformity, 97% repeatability, an optical trigger energy of 59 zJ per synaptic event and a response time of 1.39 ns. An all-photonic sensor system integrating linearity-programmable organic all-photonic synapses enables high-quality image acquisition and high image-classification accuracy. These results establish a molecularly programmable photophysical platform for neuromorphic signal processing and provide a potential route towards low-energy human-machine interfaces.</w:t>
      </w:r>
    </w:p>
    <w:p>
      <w:pPr>
        <w:spacing w:before="120" w:after="120"/>
      </w:pPr>
      <w:r>
        <w:rPr>
          <w:sz w:val="18"/>
        </w:rPr>
        <w:t>——————————————————————————————————————————————————————————————————————</w:t>
      </w:r>
    </w:p>
    <w:p>
      <w:pPr>
        <w:spacing w:before="160" w:after="40" w:line="240" w:lineRule="auto"/>
      </w:pPr>
      <w:r>
        <w:rPr>
          <w:b/>
        </w:rPr>
        <w:t xml:space="preserve">[35] </w:t>
      </w:r>
      <w:hyperlink r:id="rId608">
        <w:r>
          <w:rPr>
            <w:color w:val="1155CC"/>
            <w:u w:val="single"/>
          </w:rPr>
          <w:t>地缘政治风险和能源价格：俄罗斯-乌克兰冲突的影响1</w:t>
        </w:r>
      </w:hyperlink>
    </w:p>
    <w:p>
      <w:pPr>
        <w:spacing w:before="0" w:after="80"/>
      </w:pPr>
      <w:r>
        <w:rPr>
          <w:i/>
          <w:sz w:val="20"/>
        </w:rPr>
        <w:t>EN: Geopolitical risks and energy prices: Impacts of Russia-Ukraine Conflict1</w:t>
      </w:r>
    </w:p>
    <w:p>
      <w:pPr>
        <w:spacing w:before="0" w:after="120"/>
      </w:pPr>
      <w:r>
        <w:rPr>
          <w:b/>
        </w:rPr>
        <w:t xml:space="preserve">Source: </w:t>
      </w:r>
      <w:r>
        <w:t>ScienceDirect Publication: Energy Policy</w:t>
      </w:r>
      <w:r>
        <w:t xml:space="preserve">    </w:t>
      </w:r>
      <w:r>
        <w:rPr>
          <w:b/>
        </w:rPr>
        <w:t xml:space="preserve">Pub date: </w:t>
      </w:r>
      <w:r>
        <w:t>2026-07-31 00:00:00+00:00</w:t>
      </w:r>
      <w:r>
        <w:t xml:space="preserve">    </w:t>
      </w:r>
      <w:r>
        <w:rPr>
          <w:b/>
        </w:rPr>
        <w:t xml:space="preserve">DOI: </w:t>
      </w:r>
      <w:hyperlink r:id="rId609">
        <w:r>
          <w:rPr>
            <w:color w:val="1155CC"/>
            <w:u w:val="single"/>
          </w:rPr>
          <w:t>10.1016/j.enpol.2026.115530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610">
        <w:r>
          <w:rPr>
            <w:color w:val="1155CC"/>
            <w:u w:val="single"/>
          </w:rPr>
          <w:t>可转移的肠道微生物群-胆汁酸途径规划纳米医学药代动力学和治疗反应</w:t>
        </w:r>
      </w:hyperlink>
    </w:p>
    <w:p>
      <w:pPr>
        <w:spacing w:before="0" w:after="80"/>
      </w:pPr>
      <w:r>
        <w:rPr>
          <w:i/>
          <w:sz w:val="20"/>
        </w:rPr>
        <w:t>EN: A transferable gut microbiota–bile acid pathway programs nanomedicine pharmacokinetics and therapeutic response</w:t>
      </w:r>
    </w:p>
    <w:p>
      <w:pPr>
        <w:spacing w:before="0" w:after="120"/>
      </w:pPr>
      <w:r>
        <w:rPr>
          <w:b/>
        </w:rPr>
        <w:t xml:space="preserve">Source: </w:t>
      </w:r>
      <w:r>
        <w:t>Nature Materials</w:t>
      </w:r>
      <w:r>
        <w:t xml:space="preserve">    </w:t>
      </w:r>
      <w:r>
        <w:rPr>
          <w:b/>
        </w:rPr>
        <w:t xml:space="preserve">Pub date: </w:t>
      </w:r>
      <w:r>
        <w:t>2026-07-31 00:00:00+00:00</w:t>
      </w:r>
      <w:r>
        <w:t xml:space="preserve">    </w:t>
      </w:r>
      <w:r>
        <w:rPr>
          <w:b/>
        </w:rPr>
        <w:t xml:space="preserve">DOI: </w:t>
      </w:r>
      <w:hyperlink r:id="rId611">
        <w:r>
          <w:rPr>
            <w:color w:val="1155CC"/>
            <w:u w:val="single"/>
          </w:rPr>
          <w:t>10.1038/s41563-026-02690-8</w:t>
        </w:r>
      </w:hyperlink>
    </w:p>
    <w:p>
      <w:pPr>
        <w:spacing w:before="0" w:after="120"/>
      </w:pPr>
      <w:r>
        <w:rPr>
          <w:b/>
        </w:rPr>
        <w:t xml:space="preserve">Notes: </w:t>
      </w:r>
      <w:r>
        <w:t>abstract_source=pubmed</w:t>
      </w:r>
    </w:p>
    <w:p>
      <w:pPr>
        <w:spacing w:before="0" w:after="80" w:lineRule="auto" w:line="276"/>
      </w:pPr>
      <w:r>
        <w:rPr>
          <w:b/>
        </w:rPr>
        <w:t xml:space="preserve">摘要（ZH）: </w:t>
      </w:r>
      <w:r>
        <w:t>纳米药物的临床疗效通常受到肝隔离的限制，但决定这种清除状态的内源性程序仍不完全清楚。在这里，我们通过库普弗细胞吞噬状态的胆汁酸相关编程，将肠道微生物群确定为纳米药物生物分布的调节剂。通过无菌小鼠、微生物扰动、粪便微生物群移植和多组学分析，我们发现甲硝唑可以重塑肠道微生物生态，并将库普弗细胞重新编程为摄取减少状态，从而抑制肝脏清除并增强纳米药物在多种制剂和肿瘤模型中的肿瘤积累。单细胞 RNA 测序揭示了库普弗细胞群从吞噬状态向静止状态的转变，而代谢组学分析则确定了微生物群依赖性胆汁酸可用性的减少。肠道细菌衍生的胆汁酸诱导库普弗细胞吞噬作用，粪便转移传递低清除表型，定义了影响纳米药物清除的可转移肠道微生物群-胆汁酸-库普弗细胞途径。</w:t>
      </w:r>
    </w:p>
    <w:p>
      <w:pPr>
        <w:spacing w:before="0" w:after="200" w:lineRule="auto" w:line="276"/>
      </w:pPr>
      <w:r>
        <w:rPr>
          <w:b/>
        </w:rPr>
        <w:t xml:space="preserve">Abstract (EN): </w:t>
      </w:r>
      <w:r>
        <w:t>The clinical efficacy of nanomedicines is often limited by hepatic sequestration, yet the endogenous programs determining this clearance state remain incompletely understood. Here we identify the gut microbiota as a regulator of nanomedicine biodistribution through bile-acid-associated programming of Kupffer cell phagocytic state. Using germ-free mice, microbial perturbation, faecal microbiota transplantation and multiomic profiling, we show that metronidazole remodels the gut microbial ecology and reprograms Kupffer cells into a reduced-uptake state, thereby suppressing hepatic clearance and enhancing the tumour accumulation of nanomedicines across multiple formulations and tumour models. Single-cell RNA sequencing reveals a shift in Kupffer cell populations from phagocytic to quiescent states, whereas metabolomic profiling identifies microbiota-dependent reductions in bile acid availability. Gut-bacteria-derived bile acids induce Kupffer cell phagocytosis, and faecal transfer transmits the low-clearance phenotype, defining a transferable gut microbiota-bile acid-Kupffer cell pathway affecting nanomedicine clearance.</w:t>
      </w:r>
    </w:p>
    <w:p>
      <w:pPr>
        <w:spacing w:before="120" w:after="120"/>
      </w:pPr>
      <w:r>
        <w:rPr>
          <w:sz w:val="18"/>
        </w:rPr>
        <w:t>——————————————————————————————————————————————————————————————————————</w:t>
      </w:r>
    </w:p>
    <w:p>
      <w:pPr>
        <w:spacing w:before="160" w:after="40" w:line="240" w:lineRule="auto"/>
      </w:pPr>
      <w:r>
        <w:rPr>
          <w:b/>
        </w:rPr>
        <w:t xml:space="preserve">[37] </w:t>
      </w:r>
      <w:hyperlink r:id="rId612">
        <w:r>
          <w:rPr>
            <w:color w:val="1155CC"/>
            <w:u w:val="single"/>
          </w:rPr>
          <w:t>当多元化失败时：地缘政治蔓延和欧洲能源转型中隐藏的脆弱性</w:t>
        </w:r>
      </w:hyperlink>
    </w:p>
    <w:p>
      <w:pPr>
        <w:spacing w:before="0" w:after="80"/>
      </w:pPr>
      <w:r>
        <w:rPr>
          <w:i/>
          <w:sz w:val="20"/>
        </w:rPr>
        <w:t>EN: When diversification fails: Geopolitical contagion and hidden vulnerabilities in Europe’s energy transition</w:t>
      </w:r>
    </w:p>
    <w:p>
      <w:pPr>
        <w:spacing w:before="0" w:after="120"/>
      </w:pPr>
      <w:r>
        <w:rPr>
          <w:b/>
        </w:rPr>
        <w:t xml:space="preserve">Source: </w:t>
      </w:r>
      <w:r>
        <w:t>ScienceDirect Publication: Energy Policy</w:t>
      </w:r>
      <w:r>
        <w:t xml:space="preserve">    </w:t>
      </w:r>
      <w:r>
        <w:rPr>
          <w:b/>
        </w:rPr>
        <w:t xml:space="preserve">Pub date: </w:t>
      </w:r>
      <w:r>
        <w:t>2026-07-31 00:00:00+00:00</w:t>
      </w:r>
      <w:r>
        <w:t xml:space="preserve">    </w:t>
      </w:r>
      <w:r>
        <w:rPr>
          <w:b/>
        </w:rPr>
        <w:t xml:space="preserve">DOI: </w:t>
      </w:r>
      <w:hyperlink r:id="rId613">
        <w:r>
          <w:rPr>
            <w:color w:val="1155CC"/>
            <w:u w:val="single"/>
          </w:rPr>
          <w:t>10.1016/j.enpol.2026.115520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614">
        <w:r>
          <w:rPr>
            <w:color w:val="1155CC"/>
            <w:u w:val="single"/>
          </w:rPr>
          <w:t>简报：逆戟鲸将翻车鱼砸成碎片——研究人员不确定原因</w:t>
        </w:r>
      </w:hyperlink>
    </w:p>
    <w:p>
      <w:pPr>
        <w:spacing w:before="0" w:after="80"/>
      </w:pPr>
      <w:r>
        <w:rPr>
          <w:i/>
          <w:sz w:val="20"/>
        </w:rPr>
        <w:t>EN: Briefing Chat: Orcas smashed a sunfish to bits — researchers aren’t sure why</w:t>
      </w:r>
    </w:p>
    <w:p>
      <w:pPr>
        <w:spacing w:before="0" w:after="120"/>
      </w:pPr>
      <w:r>
        <w:rPr>
          <w:b/>
        </w:rPr>
        <w:t xml:space="preserve">Source: </w:t>
      </w:r>
      <w:r>
        <w:t>Nature</w:t>
      </w:r>
      <w:r>
        <w:t xml:space="preserve">    </w:t>
      </w:r>
      <w:r>
        <w:rPr>
          <w:b/>
        </w:rPr>
        <w:t xml:space="preserve">Pub date: </w:t>
      </w:r>
      <w:r>
        <w:t>2026-07-31 00:00:00+00:00</w:t>
      </w:r>
      <w:r>
        <w:t xml:space="preserve">    </w:t>
      </w:r>
      <w:r>
        <w:rPr>
          <w:b/>
        </w:rPr>
        <w:t xml:space="preserve">DOI: </w:t>
      </w:r>
      <w:hyperlink r:id="rId615">
        <w:r>
          <w:rPr>
            <w:color w:val="1155CC"/>
            <w:u w:val="single"/>
          </w:rPr>
          <w:t>10.1038/d41586-026-02419-2</w:t>
        </w:r>
      </w:hyperlink>
    </w:p>
    <w:p>
      <w:pPr>
        <w:spacing w:before="0" w:after="120"/>
      </w:pPr>
      <w:r>
        <w:rPr>
          <w:b/>
        </w:rPr>
        <w:t xml:space="preserve">Notes: </w:t>
      </w:r>
      <w:r>
        <w:t>abstract_source=rss_nature</w:t>
      </w:r>
    </w:p>
    <w:p>
      <w:pPr>
        <w:spacing w:before="0" w:after="80" w:lineRule="auto" w:line="276"/>
      </w:pPr>
      <w:r>
        <w:rPr>
          <w:b/>
        </w:rPr>
        <w:t xml:space="preserve">摘要（ZH）: </w:t>
      </w:r>
      <w:r>
        <w:t>《自然》工作人员讨论了对亚马逊地区昆虫的大规模调查，以及视频中捕捉到的逆戟鲸异常行为。</w:t>
      </w:r>
    </w:p>
    <w:p>
      <w:pPr>
        <w:spacing w:before="0" w:after="200" w:lineRule="auto" w:line="276"/>
      </w:pPr>
      <w:r>
        <w:rPr>
          <w:b/>
        </w:rPr>
        <w:t xml:space="preserve">Abstract (EN): </w:t>
      </w:r>
      <w:r>
        <w:t>Nature staff discuss a massive survey of insects in the Amazon, and unusual orca behaviour caught on video.</w:t>
      </w:r>
    </w:p>
    <w:p>
      <w:pPr>
        <w:spacing w:before="120" w:after="120"/>
      </w:pPr>
      <w:r>
        <w:rPr>
          <w:sz w:val="18"/>
        </w:rPr>
        <w:t>——————————————————————————————————————————————————————————————————————</w:t>
      </w:r>
    </w:p>
    <w:p>
      <w:pPr>
        <w:spacing w:before="160" w:after="40" w:line="240" w:lineRule="auto"/>
      </w:pPr>
      <w:r>
        <w:rPr>
          <w:b/>
        </w:rPr>
        <w:t xml:space="preserve">[39] </w:t>
      </w:r>
      <w:hyperlink r:id="rId616">
        <w:r>
          <w:rPr>
            <w:color w:val="1155CC"/>
            <w:u w:val="single"/>
          </w:rPr>
          <w:t>全木网有多Webby？</w:t>
        </w:r>
      </w:hyperlink>
    </w:p>
    <w:p>
      <w:pPr>
        <w:spacing w:before="0" w:after="80"/>
      </w:pPr>
      <w:r>
        <w:rPr>
          <w:i/>
          <w:sz w:val="20"/>
        </w:rPr>
        <w:t>EN: How webby is the wood-wide web?</w:t>
      </w:r>
    </w:p>
    <w:p>
      <w:pPr>
        <w:spacing w:before="0" w:after="120"/>
      </w:pPr>
      <w:r>
        <w:rPr>
          <w:b/>
        </w:rPr>
        <w:t xml:space="preserve">Source: </w:t>
      </w:r>
      <w:r>
        <w:t>Nature Chemistry</w:t>
      </w:r>
      <w:r>
        <w:t xml:space="preserve">    </w:t>
      </w:r>
      <w:r>
        <w:rPr>
          <w:b/>
        </w:rPr>
        <w:t xml:space="preserve">Pub date: </w:t>
      </w:r>
      <w:r>
        <w:t>2026-07-31 00:00:00+00:00</w:t>
      </w:r>
      <w:r>
        <w:t xml:space="preserve">    </w:t>
      </w:r>
      <w:r>
        <w:rPr>
          <w:b/>
        </w:rPr>
        <w:t xml:space="preserve">DOI: </w:t>
      </w:r>
      <w:hyperlink r:id="rId617">
        <w:r>
          <w:rPr>
            <w:color w:val="1155CC"/>
            <w:u w:val="single"/>
          </w:rPr>
          <w:t>10.1038/s41557-026-02220-8</w:t>
        </w:r>
      </w:hyperlink>
    </w:p>
    <w:p>
      <w:pPr>
        <w:spacing w:before="0" w:after="120"/>
      </w:pPr>
      <w:r>
        <w:rPr>
          <w:b/>
        </w:rPr>
        <w:t xml:space="preserve">Notes: </w:t>
      </w:r>
      <w:r>
        <w:t>abstract_source=rss_nature</w:t>
      </w:r>
    </w:p>
    <w:p>
      <w:pPr>
        <w:spacing w:before="0" w:after="80" w:lineRule="auto" w:line="276"/>
      </w:pPr>
      <w:r>
        <w:rPr>
          <w:b/>
        </w:rPr>
        <w:t xml:space="preserve">摘要（ZH）: </w:t>
      </w:r>
      <w:r>
        <w:t>树木和真菌之间是否存在地下通讯网络，或者流行文化中的讨论超过了证据？布鲁斯·吉布讨论了植物与真菌相互作用的化学原理，揭示了一个远未被充分理解的复杂世界。</w:t>
      </w:r>
    </w:p>
    <w:p>
      <w:pPr>
        <w:spacing w:before="0" w:after="200" w:lineRule="auto" w:line="276"/>
      </w:pPr>
      <w:r>
        <w:rPr>
          <w:b/>
        </w:rPr>
        <w:t xml:space="preserve">Abstract (EN): </w:t>
      </w:r>
      <w:r>
        <w:t>Is there a subterranean communication network between trees and fungus or has discussion in popular culture outpaced the evidence? Bruce Gibb discusses the chemistry of plant–fungus interactions, revealing a complex world that is far from well understood.</w:t>
      </w:r>
    </w:p>
    <w:p>
      <w:pPr>
        <w:spacing w:before="120" w:after="120"/>
      </w:pPr>
      <w:r>
        <w:rPr>
          <w:sz w:val="18"/>
        </w:rPr>
        <w:t>——————————————————————————————————————————————————————————————————————</w:t>
      </w:r>
    </w:p>
    <w:p>
      <w:pPr>
        <w:spacing w:before="160" w:after="40" w:line="240" w:lineRule="auto"/>
      </w:pPr>
      <w:r>
        <w:rPr>
          <w:b/>
        </w:rPr>
        <w:t xml:space="preserve">[40] </w:t>
      </w:r>
      <w:hyperlink r:id="rId618">
        <w:r>
          <w:rPr>
            <w:color w:val="1155CC"/>
            <w:u w:val="single"/>
          </w:rPr>
          <w:t>进水和可再生能源不确定性下梯级水电并网系统短期调度的自适应态势感知模型</w:t>
        </w:r>
      </w:hyperlink>
    </w:p>
    <w:p>
      <w:pPr>
        <w:spacing w:before="0" w:after="80"/>
      </w:pPr>
      <w:r>
        <w:rPr>
          <w:i/>
          <w:sz w:val="20"/>
        </w:rPr>
        <w:t>EN: An adaptive situation awareness model for short-term scheduling of cascade hydropower serving grids system under inflow and renewable energy uncertainties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619">
        <w:r>
          <w:rPr>
            <w:color w:val="1155CC"/>
            <w:u w:val="single"/>
          </w:rPr>
          <w:t>10.1016/j.apenergy.2026.128560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620">
        <w:r>
          <w:rPr>
            <w:color w:val="1155CC"/>
            <w:u w:val="single"/>
          </w:rPr>
          <w:t>并网当地能源社区内集群式 IBR 的协调电力监管</w:t>
        </w:r>
      </w:hyperlink>
    </w:p>
    <w:p>
      <w:pPr>
        <w:spacing w:before="0" w:after="80"/>
      </w:pPr>
      <w:r>
        <w:rPr>
          <w:i/>
          <w:sz w:val="20"/>
        </w:rPr>
        <w:t>EN: Coordinated power regulation of clustered IBRs within grid-connected local energy communities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621">
        <w:r>
          <w:rPr>
            <w:color w:val="1155CC"/>
            <w:u w:val="single"/>
          </w:rPr>
          <w:t>10.1016/j.apenergy.2026.128539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622">
        <w:r>
          <w:rPr>
            <w:color w:val="1155CC"/>
            <w:u w:val="single"/>
          </w:rPr>
          <w:t>风力综合能源系统的鲁棒随机协同优化捕获多时间尺度的不确定性</w:t>
        </w:r>
      </w:hyperlink>
    </w:p>
    <w:p>
      <w:pPr>
        <w:spacing w:before="0" w:after="80"/>
      </w:pPr>
      <w:r>
        <w:rPr>
          <w:i/>
          <w:sz w:val="20"/>
        </w:rPr>
        <w:t>EN: Robust-stochastic co-optimization of wind-powered integrated energy systems capturing multi-timescale uncertainties</w:t>
      </w:r>
    </w:p>
    <w:p>
      <w:pPr>
        <w:spacing w:before="0" w:after="120"/>
      </w:pPr>
      <w:r>
        <w:rPr>
          <w:b/>
        </w:rPr>
        <w:t xml:space="preserve">Source: </w:t>
      </w:r>
      <w:r>
        <w:t>ScienceDirect Publication: Applied Energy</w:t>
      </w:r>
      <w:r>
        <w:t xml:space="preserve">    </w:t>
      </w:r>
      <w:r>
        <w:rPr>
          <w:b/>
        </w:rPr>
        <w:t xml:space="preserve">Pub date: </w:t>
      </w:r>
      <w:r>
        <w:t>2026-07-31 00:00:00+00:00</w:t>
      </w:r>
      <w:r>
        <w:t xml:space="preserve">    </w:t>
      </w:r>
      <w:r>
        <w:rPr>
          <w:b/>
        </w:rPr>
        <w:t xml:space="preserve">DOI: </w:t>
      </w:r>
      <w:hyperlink r:id="rId623">
        <w:r>
          <w:rPr>
            <w:color w:val="1155CC"/>
            <w:u w:val="single"/>
          </w:rPr>
          <w:t>10.1016/j.apenergy.2026.128542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624">
        <w:r>
          <w:rPr>
            <w:color w:val="1155CC"/>
            <w:u w:val="single"/>
          </w:rPr>
          <w:t>消费者什么时候会因可变电价而蒙受损失？</w:t>
        </w:r>
      </w:hyperlink>
    </w:p>
    <w:p>
      <w:pPr>
        <w:spacing w:before="0" w:after="80"/>
      </w:pPr>
      <w:r>
        <w:rPr>
          <w:i/>
          <w:sz w:val="20"/>
        </w:rPr>
        <w:t>EN: When do consumers lose from variable electricity pricing?</w:t>
      </w:r>
    </w:p>
    <w:p>
      <w:pPr>
        <w:spacing w:before="0" w:after="120"/>
      </w:pPr>
      <w:r>
        <w:rPr>
          <w:b/>
        </w:rPr>
        <w:t xml:space="preserve">Source: </w:t>
      </w:r>
      <w:r>
        <w:t>ScienceDirect Publication: Energy Policy</w:t>
      </w:r>
      <w:r>
        <w:t xml:space="preserve">    </w:t>
      </w:r>
      <w:r>
        <w:rPr>
          <w:b/>
        </w:rPr>
        <w:t xml:space="preserve">Pub date: </w:t>
      </w:r>
      <w:r>
        <w:t>2026-07-31 00:00:00+00:00</w:t>
      </w:r>
      <w:r>
        <w:t xml:space="preserve">    </w:t>
      </w:r>
      <w:r>
        <w:rPr>
          <w:b/>
        </w:rPr>
        <w:t xml:space="preserve">DOI: </w:t>
      </w:r>
      <w:hyperlink r:id="rId625">
        <w:r>
          <w:rPr>
            <w:color w:val="1155CC"/>
            <w:u w:val="single"/>
          </w:rPr>
          <w:t>10.1016/j.enpol.2026.115474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626">
        <w:r>
          <w:rPr>
            <w:color w:val="1155CC"/>
            <w:u w:val="single"/>
          </w:rPr>
          <w:t>肉类过敏呈上升趋势——科学家想知道什么</w:t>
        </w:r>
      </w:hyperlink>
    </w:p>
    <w:p>
      <w:pPr>
        <w:spacing w:before="0" w:after="80"/>
      </w:pPr>
      <w:r>
        <w:rPr>
          <w:i/>
          <w:sz w:val="20"/>
        </w:rPr>
        <w:t>EN: Meat allergy is on the rise — what scientists want to know</w:t>
      </w:r>
    </w:p>
    <w:p>
      <w:pPr>
        <w:spacing w:before="0" w:after="120"/>
      </w:pPr>
      <w:r>
        <w:rPr>
          <w:b/>
        </w:rPr>
        <w:t xml:space="preserve">Source: </w:t>
      </w:r>
      <w:r>
        <w:t>Nature</w:t>
      </w:r>
      <w:r>
        <w:t xml:space="preserve">    </w:t>
      </w:r>
      <w:r>
        <w:rPr>
          <w:b/>
        </w:rPr>
        <w:t xml:space="preserve">Pub date: </w:t>
      </w:r>
      <w:r>
        <w:t>2026-07-31 00:00:00+00:00</w:t>
      </w:r>
      <w:r>
        <w:t xml:space="preserve">    </w:t>
      </w:r>
      <w:r>
        <w:rPr>
          <w:b/>
        </w:rPr>
        <w:t xml:space="preserve">DOI: </w:t>
      </w:r>
      <w:hyperlink r:id="rId627">
        <w:r>
          <w:rPr>
            <w:color w:val="1155CC"/>
            <w:u w:val="single"/>
          </w:rPr>
          <w:t>10.1038/d41586-026-02362-2</w:t>
        </w:r>
      </w:hyperlink>
    </w:p>
    <w:p>
      <w:pPr>
        <w:spacing w:before="0" w:after="120"/>
      </w:pPr>
      <w:r>
        <w:rPr>
          <w:b/>
        </w:rPr>
        <w:t xml:space="preserve">Notes: </w:t>
      </w:r>
      <w:r>
        <w:t>abstract_source=nature_html</w:t>
      </w:r>
    </w:p>
    <w:p>
      <w:pPr>
        <w:spacing w:before="0" w:after="80" w:lineRule="auto" w:line="276"/>
      </w:pPr>
      <w:r>
        <w:rPr>
          <w:b/>
        </w:rPr>
        <w:t xml:space="preserve">摘要（ZH）: </w:t>
      </w:r>
      <w:r>
        <w:t>这种过敏是由蜱虫引起的，但研究人员对此还有很多东西需要了解。</w:t>
      </w:r>
    </w:p>
    <w:p>
      <w:pPr>
        <w:spacing w:before="0" w:after="200" w:lineRule="auto" w:line="276"/>
      </w:pPr>
      <w:r>
        <w:rPr>
          <w:b/>
        </w:rPr>
        <w:t xml:space="preserve">Abstract (EN): </w:t>
      </w:r>
      <w:r>
        <w:t>The allergy is caused by ticks, but researchers have much to learn about it.</w:t>
      </w:r>
    </w:p>
    <w:p>
      <w:pPr>
        <w:spacing w:before="120" w:after="120"/>
      </w:pPr>
      <w:r>
        <w:rPr>
          <w:sz w:val="18"/>
        </w:rPr>
        <w:t>——————————————————————————————————————————————————————————————————————</w:t>
      </w:r>
    </w:p>
    <w:p>
      <w:pPr>
        <w:spacing w:before="160" w:after="40" w:line="240" w:lineRule="auto"/>
      </w:pPr>
      <w:r>
        <w:rPr>
          <w:b/>
        </w:rPr>
        <w:t xml:space="preserve">[45] </w:t>
      </w:r>
      <w:hyperlink r:id="rId628">
        <w:r>
          <w:rPr>
            <w:color w:val="1155CC"/>
            <w:u w:val="single"/>
          </w:rPr>
          <w:t>纹身和免疫反应：小鼠模型与临床现实相差太远</w:t>
        </w:r>
      </w:hyperlink>
    </w:p>
    <w:p>
      <w:pPr>
        <w:spacing w:before="0" w:after="80"/>
      </w:pPr>
      <w:r>
        <w:rPr>
          <w:i/>
          <w:sz w:val="20"/>
        </w:rPr>
        <w:t>EN: Tattooing and immune response: A mouse model too far from clinical reality</w:t>
      </w:r>
    </w:p>
    <w:p>
      <w:pPr>
        <w:spacing w:before="0" w:after="120"/>
      </w:pPr>
      <w:r>
        <w:rPr>
          <w:b/>
        </w:rPr>
        <w:t xml:space="preserve">Source: </w:t>
      </w:r>
      <w:r>
        <w:t>Proceedings of the National Academy of Sciences: Keyword search for query</w:t>
      </w:r>
      <w:r>
        <w:t xml:space="preserve">    </w:t>
      </w:r>
      <w:r>
        <w:rPr>
          <w:b/>
        </w:rPr>
        <w:t xml:space="preserve">Pub date: </w:t>
      </w:r>
      <w:r>
        <w:t>2026-07-31 07:00:00+00:00</w:t>
      </w:r>
      <w:r>
        <w:t xml:space="preserve">    </w:t>
      </w:r>
      <w:r>
        <w:rPr>
          <w:b/>
        </w:rPr>
        <w:t xml:space="preserve">DOI: </w:t>
      </w:r>
      <w:hyperlink r:id="rId629">
        <w:r>
          <w:rPr>
            <w:color w:val="1155CC"/>
            <w:u w:val="single"/>
          </w:rPr>
          <w:t>10.1073/pnas.2611211123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630">
        <w:r>
          <w:rPr>
            <w:color w:val="1155CC"/>
            <w:u w:val="single"/>
          </w:rPr>
          <w:t>运动神经元放电驱动接口，实现最终用户假肢的同步和比例控制</w:t>
        </w:r>
      </w:hyperlink>
    </w:p>
    <w:p>
      <w:pPr>
        <w:spacing w:before="0" w:after="80"/>
      </w:pPr>
      <w:r>
        <w:rPr>
          <w:i/>
          <w:sz w:val="20"/>
        </w:rPr>
        <w:t>EN: A motoneuron discharge–driven interface realizing simultaneous and proportional control of prosthetics in end-users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31">
        <w:r>
          <w:rPr>
            <w:color w:val="1155CC"/>
            <w:u w:val="single"/>
          </w:rPr>
          <w:t>10.1126/sciadv.aej0245</w:t>
        </w:r>
      </w:hyperlink>
    </w:p>
    <w:p>
      <w:pPr>
        <w:spacing w:before="0" w:after="120"/>
      </w:pPr>
      <w:r>
        <w:rPr>
          <w:b/>
        </w:rPr>
        <w:t xml:space="preserve">Notes: </w:t>
      </w:r>
      <w:r>
        <w:t>abstract_source=crossref</w:t>
      </w:r>
    </w:p>
    <w:p>
      <w:pPr>
        <w:spacing w:before="0" w:after="80" w:lineRule="auto" w:line="276"/>
      </w:pPr>
      <w:r>
        <w:rPr>
          <w:b/>
        </w:rPr>
        <w:t xml:space="preserve">摘要（ZH）: </w:t>
      </w:r>
      <w:r>
        <w:t>从肌肉信号中准确解码运动意图对于灵巧的假肢控制至关重要。虽然运动神经元放电分解提供了一种有前途的方法，但由于缺乏稳健、灵巧的控制策略以及所涉及系统的复杂性，大多数研究仅限于概念验证演示。在这里，我们提出了一种运动神经元放电驱动的接口，该接口在假肢系统中集成了高密度表面肌电图的无线记录、实时运动神经元尖峰序列分解、连续多自由度（DoF）运动解码，从而在现实环境中实现同步和比例肌电控制。我们通过六名经桡动脉截肢者在一系列功能性多自由度任务中验证了该系统。所提出的接口实现了对三自由度手腕和手部运动的精确和稳健的控制，在任务效率方面优于传统的肌电方法。此外，该接口仅需要单自由度校准数据，最大限度地减少了用户培训负担。这项研究代表了运动神经元驱动接口在最终用户应用中的实际演示，突出了其临床应用的转化潜力。</w:t>
      </w:r>
    </w:p>
    <w:p>
      <w:pPr>
        <w:spacing w:before="0" w:after="200" w:lineRule="auto" w:line="276"/>
      </w:pPr>
      <w:r>
        <w:rPr>
          <w:b/>
        </w:rPr>
        <w:t xml:space="preserve">Abstract (EN): </w:t>
      </w:r>
      <w:r>
        <w:t>Accurate decoding of movement intent from muscle signals is essential for dexterous prosthetic control. While motoneuron discharge decomposition provides a promising approach, most studies are confined to proof-of-concept demonstrations due to the lack of robust, dexterous control strategies, and the complexity of systems involved. Here, we present a motoneuron discharge–driven interface that integrates wireless recording of high-density surface electromyography, real-time motoneuron spike train decomposition, continuous multi-degree-of-freedom (DoF) motion decoding in a prosthetic system, enabling simultaneous and proportional myoelectric control in real-world settings. We validated this system with six trans-radial amputees across a series of functional multi-DoF tasks. The proposed interface achieved accurate and robust control of three-DoF wrist and hand movements, outperforming conventional myoelectric methods in task efficiency. Furthermore, the interface requires only single-DoF calibration data, minimizing user training burden. This study represents the practical demonstration of motoneuron-driven interfacing in end-user applications, highlighting its translational potential for clinical adoption.</w:t>
      </w:r>
    </w:p>
    <w:p>
      <w:pPr>
        <w:spacing w:before="120" w:after="120"/>
      </w:pPr>
      <w:r>
        <w:rPr>
          <w:sz w:val="18"/>
        </w:rPr>
        <w:t>——————————————————————————————————————————————————————————————————————</w:t>
      </w:r>
    </w:p>
    <w:p>
      <w:pPr>
        <w:spacing w:before="160" w:after="40" w:line="240" w:lineRule="auto"/>
      </w:pPr>
      <w:r>
        <w:rPr>
          <w:b/>
        </w:rPr>
        <w:t xml:space="preserve">[47] </w:t>
      </w:r>
      <w:hyperlink r:id="rId632">
        <w:r>
          <w:rPr>
            <w:color w:val="1155CC"/>
            <w:u w:val="single"/>
          </w:rPr>
          <w:t>肝窦内皮通过分泌循环外泌体介导超小金纳米粒子的全身清除</w:t>
        </w:r>
      </w:hyperlink>
    </w:p>
    <w:p>
      <w:pPr>
        <w:spacing w:before="0" w:after="80"/>
      </w:pPr>
      <w:r>
        <w:rPr>
          <w:i/>
          <w:sz w:val="20"/>
        </w:rPr>
        <w:t>EN: Liver sinusoidal endothelium mediates systemic clearance of ultrasmall gold nanoparticles through secretion of circulating exosomes</w:t>
      </w:r>
    </w:p>
    <w:p>
      <w:pPr>
        <w:spacing w:before="0" w:after="120"/>
      </w:pPr>
      <w:r>
        <w:rPr>
          <w:b/>
        </w:rPr>
        <w:t xml:space="preserve">Source: </w:t>
      </w:r>
      <w:r>
        <w:t>Proceedings of the National Academy of Sciences: Keyword search for query</w:t>
      </w:r>
      <w:r>
        <w:t xml:space="preserve">    </w:t>
      </w:r>
      <w:r>
        <w:rPr>
          <w:b/>
        </w:rPr>
        <w:t xml:space="preserve">Pub date: </w:t>
      </w:r>
      <w:r>
        <w:t>2026-07-31 07:00:00+00:00</w:t>
      </w:r>
      <w:r>
        <w:t xml:space="preserve">    </w:t>
      </w:r>
      <w:r>
        <w:rPr>
          <w:b/>
        </w:rPr>
        <w:t xml:space="preserve">DOI: </w:t>
      </w:r>
      <w:hyperlink r:id="rId633">
        <w:r>
          <w:rPr>
            <w:color w:val="1155CC"/>
            <w:u w:val="single"/>
          </w:rPr>
          <w:t>10.1073/pnas.2608608123</w:t>
        </w:r>
      </w:hyperlink>
    </w:p>
    <w:p>
      <w:pPr>
        <w:spacing w:before="0" w:after="120"/>
      </w:pPr>
      <w:r>
        <w:rPr>
          <w:b/>
        </w:rPr>
        <w:t xml:space="preserve">Notes: </w:t>
      </w:r>
      <w:r>
        <w:t>abstract_source=crossref</w:t>
      </w:r>
    </w:p>
    <w:p>
      <w:pPr>
        <w:spacing w:before="0" w:after="80" w:lineRule="auto" w:line="276"/>
      </w:pPr>
      <w:r>
        <w:rPr>
          <w:b/>
        </w:rPr>
        <w:t xml:space="preserve">摘要（ZH）: </w:t>
      </w:r>
      <w:r>
        <w:t>肝窦内皮具有独特的不连续内层和强大的内吞活性，对于纳米颗粒的保留、清除和易位至关重要。然而，尽管肝窦内皮介导的纳米颗粒消除与肝脏巨噬细胞的摄取相比，人们对这两个过程的了解仍少之又少，尽管这两个过程都参与肝脏解毒。使用水溶性金</w:t>
      </w:r>
      <w:r>
        <w:rPr>
          <w:vertAlign w:val="subscript"/>
        </w:rPr>
        <w:t>25</w:t>
      </w:r>
      <w:r>
        <w:t>（</w:t>
      </w:r>
      <w:r>
        <w:t xml:space="preserve"> </w:t>
      </w:r>
      <w:r>
        <w:t>哦</w:t>
      </w:r>
      <w:r>
        <w:t xml:space="preserve"> </w:t>
      </w:r>
      <w:r>
        <w:t>-工商管理硕士）</w:t>
      </w:r>
      <w:r>
        <w:rPr>
          <w:vertAlign w:val="subscript"/>
        </w:rPr>
        <w:t>18</w:t>
      </w:r>
      <w:r>
        <w:t>（</w:t>
      </w:r>
      <w:r>
        <w:t xml:space="preserve"> </w:t>
      </w:r>
      <w:r>
        <w:t>哦</w:t>
      </w:r>
      <w:r>
        <w:t xml:space="preserve"> </w:t>
      </w:r>
      <w:r>
        <w:t>-工商管理硕士：</w:t>
      </w:r>
      <w:r>
        <w:t xml:space="preserve"> </w:t>
      </w:r>
      <w:r>
        <w:t>哦</w:t>
      </w:r>
      <w:r>
        <w:t xml:space="preserve"> </w:t>
      </w:r>
      <w:r>
        <w:t>-巯基苯甲酸）具有优化的局部疏水性，可实现弱蛋白质结合亲和力和作为探针的高内皮靶向性，我们报告了外泌体介导的正弦内皮细胞中内吞纳米簇的系统清除。金</w:t>
      </w:r>
      <w:r>
        <w:rPr>
          <w:vertAlign w:val="subscript"/>
        </w:rPr>
        <w:t>25</w:t>
      </w:r>
      <w:r>
        <w:t>（</w:t>
      </w:r>
      <w:r>
        <w:t xml:space="preserve"> </w:t>
      </w:r>
      <w:r>
        <w:t>哦</w:t>
      </w:r>
      <w:r>
        <w:t xml:space="preserve"> </w:t>
      </w:r>
      <w:r>
        <w:t>-工商管理硕士）</w:t>
      </w:r>
      <w:r>
        <w:rPr>
          <w:vertAlign w:val="subscript"/>
        </w:rPr>
        <w:t>18</w:t>
      </w:r>
      <w:r>
        <w:t>可以有效避免肝脏巨噬细胞的吞噬作用，最初通过网格蛋白依赖性内吞作用被肝窦内皮细胞内吞，通过内体途径加工，并作为含有纳米簇的外泌体释放到血流中。在外泌体生物发生过程中，Au</w:t>
      </w:r>
      <w:r>
        <w:rPr>
          <w:vertAlign w:val="subscript"/>
        </w:rPr>
        <w:t>25</w:t>
      </w:r>
      <w:r>
        <w:t>（</w:t>
      </w:r>
      <w:r>
        <w:t xml:space="preserve"> </w:t>
      </w:r>
      <w:r>
        <w:t>哦</w:t>
      </w:r>
      <w:r>
        <w:t xml:space="preserve"> </w:t>
      </w:r>
      <w:r>
        <w:t>-工商管理硕士）</w:t>
      </w:r>
      <w:r>
        <w:rPr>
          <w:vertAlign w:val="subscript"/>
        </w:rPr>
        <w:t>18</w:t>
      </w:r>
      <w:r>
        <w:t>逐渐转变为花状聚集体（约100 nm）。这些循环外泌体通过肾小球内的自噬穿过肾小球膜</w:t>
      </w:r>
    </w:p>
    <w:p>
      <w:pPr>
        <w:spacing w:before="0" w:after="200" w:lineRule="auto" w:line="276"/>
      </w:pPr>
      <w:r>
        <w:rPr>
          <w:b/>
        </w:rPr>
        <w:t xml:space="preserve">Abstract (EN): </w:t>
      </w:r>
      <w:r>
        <w:t>Liver sinusoidal endothelium featuring a unique discontinuous lining and robust endocytic activity is vital for nanoparticle retention, clearance, and translocation. However, liver sinusoidal endothelium–mediated nanoparticle elimination remains far less understood than liver macrophage uptake despite both processes being involved in hepatic detoxification. Using water-soluble Au</w:t>
      </w:r>
      <w:r>
        <w:rPr>
          <w:vertAlign w:val="subscript"/>
        </w:rPr>
        <w:t>25</w:t>
      </w:r>
      <w:r>
        <w:t>(</w:t>
      </w:r>
      <w:r>
        <w:t xml:space="preserve"> </w:t>
      </w:r>
      <w:r>
        <w:t>o</w:t>
      </w:r>
      <w:r>
        <w:t xml:space="preserve"> </w:t>
      </w:r>
      <w:r>
        <w:t>-MBA)</w:t>
      </w:r>
      <w:r>
        <w:rPr>
          <w:vertAlign w:val="subscript"/>
        </w:rPr>
        <w:t>18</w:t>
      </w:r>
      <w:r>
        <w:t>(</w:t>
      </w:r>
      <w:r>
        <w:t xml:space="preserve"> </w:t>
      </w:r>
      <w:r>
        <w:t>o</w:t>
      </w:r>
      <w:r>
        <w:t xml:space="preserve"> </w:t>
      </w:r>
      <w:r>
        <w:t>-MBA:</w:t>
      </w:r>
      <w:r>
        <w:t xml:space="preserve"> </w:t>
      </w:r>
      <w:r>
        <w:t>o</w:t>
      </w:r>
      <w:r>
        <w:t xml:space="preserve"> </w:t>
      </w:r>
      <w:r>
        <w:t>-mercaptobenzoic acids) with optimized local hydrophobicity for weak protein-binding affinity and high endothelium targeting as probes, we report an exosome-mediated systemic clearance for endocytosed nanoclusters in sinusoidal endothelial cells. Au</w:t>
      </w:r>
      <w:r>
        <w:rPr>
          <w:vertAlign w:val="subscript"/>
        </w:rPr>
        <w:t>25</w:t>
      </w:r>
      <w:r>
        <w:t>(</w:t>
      </w:r>
      <w:r>
        <w:t xml:space="preserve"> </w:t>
      </w:r>
      <w:r>
        <w:t>o</w:t>
      </w:r>
      <w:r>
        <w:t xml:space="preserve"> </w:t>
      </w:r>
      <w:r>
        <w:t>-MBA)</w:t>
      </w:r>
      <w:r>
        <w:rPr>
          <w:vertAlign w:val="subscript"/>
        </w:rPr>
        <w:t>18</w:t>
      </w:r>
      <w:r>
        <w:t>can effectively avoid phagocytosis by liver macrophage, are initially endocytosed by sinusoidal endothelial cells through clathrin-dependent endocytosis, processed through endosomal pathways, and released as exosomes containing nanoclusters into the bloodstream. During the exosome biogenesis, Au</w:t>
      </w:r>
      <w:r>
        <w:rPr>
          <w:vertAlign w:val="subscript"/>
        </w:rPr>
        <w:t>25</w:t>
      </w:r>
      <w:r>
        <w:t>(</w:t>
      </w:r>
      <w:r>
        <w:t xml:space="preserve"> </w:t>
      </w:r>
      <w:r>
        <w:t>o</w:t>
      </w:r>
      <w:r>
        <w:t xml:space="preserve"> </w:t>
      </w:r>
      <w:r>
        <w:t>-MBA)</w:t>
      </w:r>
      <w:r>
        <w:rPr>
          <w:vertAlign w:val="subscript"/>
        </w:rPr>
        <w:t>18</w:t>
      </w:r>
      <w:r>
        <w:t>progressively transform into flower-like aggregates (approximately 100 nm). These circulating exosomes traverse the glomerular membrane through autophagy in glomerular endothelial cells and podocytes before urinary excretion. Here, this exosome-mediated pathway converts exogenous ultrasmall gold nanoparticles into biocompatible endogenous exosome-enveloped cargos for systemic circulation with reduced toxicity, providing a foundation for developing next generation of safe and effective nanomedicines.</w:t>
      </w:r>
    </w:p>
    <w:p>
      <w:pPr>
        <w:spacing w:before="120" w:after="120"/>
      </w:pPr>
      <w:r>
        <w:rPr>
          <w:sz w:val="18"/>
        </w:rPr>
        <w:t>——————————————————————————————————————————————————————————————————————</w:t>
      </w:r>
    </w:p>
    <w:p>
      <w:pPr>
        <w:spacing w:before="160" w:after="40" w:line="240" w:lineRule="auto"/>
      </w:pPr>
      <w:r>
        <w:rPr>
          <w:b/>
        </w:rPr>
        <w:t xml:space="preserve">[48] </w:t>
      </w:r>
      <w:hyperlink r:id="rId634">
        <w:r>
          <w:rPr>
            <w:color w:val="1155CC"/>
            <w:u w:val="single"/>
          </w:rPr>
          <w:t>具有 I 型 IFN 自身抗体的重症肌无力患者发生低氧性 COVID-19 肺炎的风险较高</w:t>
        </w:r>
      </w:hyperlink>
    </w:p>
    <w:p>
      <w:pPr>
        <w:spacing w:before="0" w:after="80"/>
      </w:pPr>
      <w:r>
        <w:rPr>
          <w:i/>
          <w:sz w:val="20"/>
        </w:rPr>
        <w:t>EN: High risk of hypoxemic COVID-19 pneumonia in myasthenia gravis patients with type I IFN autoantibodies</w:t>
      </w:r>
    </w:p>
    <w:p>
      <w:pPr>
        <w:spacing w:before="0" w:after="120"/>
      </w:pPr>
      <w:r>
        <w:rPr>
          <w:b/>
        </w:rPr>
        <w:t xml:space="preserve">Source: </w:t>
      </w:r>
      <w:r>
        <w:t>Proceedings of the National Academy of Sciences: Keyword search for query</w:t>
      </w:r>
      <w:r>
        <w:t xml:space="preserve">    </w:t>
      </w:r>
      <w:r>
        <w:rPr>
          <w:b/>
        </w:rPr>
        <w:t xml:space="preserve">Pub date: </w:t>
      </w:r>
      <w:r>
        <w:t>2026-07-31 07:00:00+00:00</w:t>
      </w:r>
      <w:r>
        <w:t xml:space="preserve">    </w:t>
      </w:r>
      <w:r>
        <w:rPr>
          <w:b/>
        </w:rPr>
        <w:t xml:space="preserve">DOI: </w:t>
      </w:r>
      <w:hyperlink r:id="rId635">
        <w:r>
          <w:rPr>
            <w:color w:val="1155CC"/>
            <w:u w:val="single"/>
          </w:rPr>
          <w:t>10.1073/pnas.2518581123</w:t>
        </w:r>
      </w:hyperlink>
    </w:p>
    <w:p>
      <w:pPr>
        <w:spacing w:before="0" w:after="120"/>
      </w:pPr>
      <w:r>
        <w:rPr>
          <w:b/>
        </w:rPr>
        <w:t xml:space="preserve">Notes: </w:t>
      </w:r>
      <w:r>
        <w:t>abstract_source=crossref</w:t>
      </w:r>
    </w:p>
    <w:p>
      <w:pPr>
        <w:spacing w:before="0" w:after="80" w:lineRule="auto" w:line="276"/>
      </w:pPr>
      <w:r>
        <w:rPr>
          <w:b/>
        </w:rPr>
        <w:t xml:space="preserve">摘要（ZH）: </w:t>
      </w:r>
      <w:r>
        <w:t>重症肌无力 (MG) 患者可能会产生中和 I 型干扰素 (AAN-I-IFN) 的自身抗体，而这种抗体是非 MG 患者引发严重病毒性疾病的基础，包括危重的 COVID-19 肺炎。我们研究了 85 名未接种疫苗、感染 SARS-CoV-2 且未接受抗病毒治疗的 MG 患者的国际队列。其中 48 名患者出现低氧血症性肺炎，其中 22 名患者（45.8%）使用 AAN-I-IFN，其中 14 名患者（29.2%）中和了 IFN-α2 和 IFN-ω。其余 37 名患者中的 6 名 (16.2%) 患有 AAN-I-IFN，中和了 3 名患者的 IFN-α2 和 IFN-ω。 AAN-I-IFN 中和 10 ng/mL IFN-α2 和 IFN-ω 的 MG 患者发生低氧血症性肺炎的风险更大（比值比和 95% 置信区间 (OR [95% CI])：12.7 [2.1 至 78.9]，</w:t>
      </w:r>
      <w:r>
        <w:t xml:space="preserve"> </w:t>
      </w:r>
      <w:r>
        <w:t>磷</w:t>
      </w:r>
      <w:r>
        <w:t xml:space="preserve"> </w:t>
      </w:r>
      <w:r>
        <w:t>= 0.0010）或任意剂量的 IFN-α2（OR [95% CI]：4.7 [1.5 至 15.0]，</w:t>
      </w:r>
      <w:r>
        <w:t xml:space="preserve"> </w:t>
      </w:r>
      <w:r>
        <w:t>磷</w:t>
      </w:r>
      <w:r>
        <w:t xml:space="preserve"> </w:t>
      </w:r>
      <w:r>
        <w:t>= 0.0054）比那些没有这种自身抗体的人要好。 MG 患者产生 AAN-I-IFN 的风险远高于一般人群（OR [95% CI]：28.9 [10.8 至 77.7]，</w:t>
      </w:r>
      <w:r>
        <w:t xml:space="preserve"> </w:t>
      </w:r>
      <w:r>
        <w:t>磷</w:t>
      </w:r>
      <w:r>
        <w:t xml:space="preserve"> </w:t>
      </w:r>
      <w:r>
        <w:t>= 4.9 × 10</w:t>
      </w:r>
      <w:r>
        <w:t xml:space="preserve"> </w:t>
      </w:r>
      <w:r>
        <w:t>−27</w:t>
      </w:r>
      <w:r>
        <w:t xml:space="preserve"> </w:t>
      </w:r>
      <w:r>
        <w:t>）。 14 名患者发现胸腺瘤，并增加了 AAN-I-IFN 的风险（64% 对比 27%，（OR [95% CI]：5.6 [1.6 至 19.4]，</w:t>
      </w:r>
      <w:r>
        <w:t xml:space="preserve"> </w:t>
      </w:r>
      <w:r>
        <w:t>磷</w:t>
      </w:r>
      <w:r>
        <w:t xml:space="preserve"> </w:t>
      </w:r>
      <w:r>
        <w:t>= 0.0050) 和低氧血症性肺炎 (9.2 [1.9</w:t>
      </w:r>
    </w:p>
    <w:p>
      <w:pPr>
        <w:spacing w:before="0" w:after="200" w:lineRule="auto" w:line="276"/>
      </w:pPr>
      <w:r>
        <w:rPr>
          <w:b/>
        </w:rPr>
        <w:t xml:space="preserve">Abstract (EN): </w:t>
      </w:r>
      <w:r>
        <w:t>Patients with myasthenia gravis (MG) may produce autoantibodies neutralizing type I interferons (AAN-I-IFN), which underlie severe viral diseases, including critical COVID-19 pneumonia, in patients without MG. We studied an international cohort of 85 unvaccinated SARS-CoV-2-infected MG patients not given antiviral treatment. Hypoxemic pneumonia occurred in 48 of these patients, including 22 (45.8%) with AAN-I-IFN, which neutralized both IFN-α2 and IFN-ω in 14 (29.2%) patients. Six (16.2%) of the remaining 37 patients had AAN-I-IFN, neutralizing both IFN-α2 and IFN-ω in three patients. The risk of hypoxemic pneumonia was greater in MG patients with AAN-I-IFN neutralizing 10 ng/mL of both IFN-α2 and IFN-ω (odds ratio and 95% confidence interval (OR [95% CI]): 12.7 [2.1 to 78.9],</w:t>
      </w:r>
      <w:r>
        <w:t xml:space="preserve"> </w:t>
      </w:r>
      <w:r>
        <w:t>P</w:t>
      </w:r>
      <w:r>
        <w:t xml:space="preserve"> </w:t>
      </w:r>
      <w:r>
        <w:t>= 0.0010) or IFN-α2 at any dose (OR [95% CI]: 4.7 [1.5 to 15.0],</w:t>
      </w:r>
      <w:r>
        <w:t xml:space="preserve"> </w:t>
      </w:r>
      <w:r>
        <w:t>P</w:t>
      </w:r>
      <w:r>
        <w:t xml:space="preserve"> </w:t>
      </w:r>
      <w:r>
        <w:t>= 0.0054) than in those without such autoantibodies. The risk of producing AAN-I-IFN was much higher in MG patients than in the general population (OR [95% CI]: 28.9 [10.8 to 77.7],</w:t>
      </w:r>
      <w:r>
        <w:t xml:space="preserve"> </w:t>
      </w:r>
      <w:r>
        <w:t>P</w:t>
      </w:r>
      <w:r>
        <w:t xml:space="preserve"> </w:t>
      </w:r>
      <w:r>
        <w:t>= 4.9 × 10</w:t>
      </w:r>
      <w:r>
        <w:t xml:space="preserve"> </w:t>
      </w:r>
      <w:r>
        <w:t>−27</w:t>
      </w:r>
      <w:r>
        <w:t xml:space="preserve"> </w:t>
      </w:r>
      <w:r>
        <w:t>). Thymoma was found in 14 patients and increased the risk of AAN-I-IFN (64% versus 27%, (OR [95% CI]: 5.6 [1.6 to 19.4],</w:t>
      </w:r>
      <w:r>
        <w:t xml:space="preserve"> </w:t>
      </w:r>
      <w:r>
        <w:t>P</w:t>
      </w:r>
      <w:r>
        <w:t xml:space="preserve"> </w:t>
      </w:r>
      <w:r>
        <w:t>= 0.0050) and hypoxemic pneumonia (9.2 [1.9 to 44.2];</w:t>
      </w:r>
      <w:r>
        <w:t xml:space="preserve"> </w:t>
      </w:r>
      <w:r>
        <w:t>P</w:t>
      </w:r>
      <w:r>
        <w:t xml:space="preserve"> </w:t>
      </w:r>
      <w:r>
        <w:t>= 0.0019). Thymoma is, thus, associated with a higher risk of producing AAN-I-IFN, which are, in turn, associated with a higher risk of developing life-threatening COVID-19 pneumonia in patients with MG.</w:t>
      </w:r>
    </w:p>
    <w:p>
      <w:pPr>
        <w:spacing w:before="120" w:after="120"/>
      </w:pPr>
      <w:r>
        <w:rPr>
          <w:sz w:val="18"/>
        </w:rPr>
        <w:t>——————————————————————————————————————————————————————————————————————</w:t>
      </w:r>
    </w:p>
    <w:p>
      <w:pPr>
        <w:spacing w:before="160" w:after="40" w:line="240" w:lineRule="auto"/>
      </w:pPr>
      <w:r>
        <w:rPr>
          <w:b/>
        </w:rPr>
        <w:t xml:space="preserve">[49] </w:t>
      </w:r>
      <w:hyperlink r:id="rId636">
        <w:r>
          <w:rPr>
            <w:color w:val="1155CC"/>
            <w:u w:val="single"/>
          </w:rPr>
          <w:t>对流将不稳定的颗粒有机碳注入深海</w:t>
        </w:r>
      </w:hyperlink>
    </w:p>
    <w:p>
      <w:pPr>
        <w:spacing w:before="0" w:after="80"/>
      </w:pPr>
      <w:r>
        <w:rPr>
          <w:i/>
          <w:sz w:val="20"/>
        </w:rPr>
        <w:t>EN: Convection injects labile particulate organic carbon to the deep ocean</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37">
        <w:r>
          <w:rPr>
            <w:color w:val="1155CC"/>
            <w:u w:val="single"/>
          </w:rPr>
          <w:t>10.1126/sciadv.aee6883</w:t>
        </w:r>
      </w:hyperlink>
    </w:p>
    <w:p>
      <w:pPr>
        <w:spacing w:before="0" w:after="120"/>
      </w:pPr>
      <w:r>
        <w:rPr>
          <w:b/>
        </w:rPr>
        <w:t xml:space="preserve">Notes: </w:t>
      </w:r>
      <w:r>
        <w:t>abstract_source=crossref</w:t>
      </w:r>
    </w:p>
    <w:p>
      <w:pPr>
        <w:spacing w:before="0" w:after="80" w:lineRule="auto" w:line="276"/>
      </w:pPr>
      <w:r>
        <w:rPr>
          <w:b/>
        </w:rPr>
        <w:t xml:space="preserve">摘要（ZH）: </w:t>
      </w:r>
      <w:r>
        <w:t>颗粒有机碳（POC）的垂直通量是海洋碳循环的核心，但对流 POC 传输的作用和年际变化仍然受到很少的限制。在拉布拉多海和伊尔明格海漂流的自主剖面仪检测到反复出现的冬春季叶绿素</w:t>
      </w:r>
      <w:r>
        <w:t xml:space="preserve"> </w:t>
      </w:r>
      <w:r>
        <w:t>一个</w:t>
      </w:r>
      <w:r>
        <w:t xml:space="preserve"> </w:t>
      </w:r>
      <w:r>
        <w:t>2014-2017 年强对流期间荧光峰值位于 1000 米处。颗粒的生物光学特性表明，表面 POC 富含不稳定的浮游植物物质，与背景悬浮颗粒和下沉聚集体不同，深度混合。模型模拟表明，混合驱动的 POC 向深海（500 至 2000 米）的供应与对流量成比例（</w:t>
      </w:r>
      <w:r>
        <w:t xml:space="preserve"> </w:t>
      </w:r>
      <w:r>
        <w:t>右</w:t>
      </w:r>
      <w:r>
        <w:rPr>
          <w:vertAlign w:val="subscript"/>
        </w:rPr>
        <w:t>2</w:t>
      </w:r>
      <w:r>
        <w:t>≈ 0.88），通常以浮游生物量为主。根据该模型，在强对流年份，垂直混合区域性贡献了混合和下沉到 500 至 2000 米层的 POC 总供应量的 33 至 44%。这些对流注入事件可能通过增强新陈代谢和驱动横向输出来重塑深海碳预算，将上层海洋动态与深海水团和生态系统联系起来。</w:t>
      </w:r>
    </w:p>
    <w:p>
      <w:pPr>
        <w:spacing w:before="0" w:after="200" w:lineRule="auto" w:line="276"/>
      </w:pPr>
      <w:r>
        <w:rPr>
          <w:b/>
        </w:rPr>
        <w:t xml:space="preserve">Abstract (EN): </w:t>
      </w:r>
      <w:r>
        <w:t>Vertical fluxes of particulate organic carbon (POC) are central to the oceanic carbon cycle, yet the role and interannual variability of convective POC transport remain poorly constrained. Autonomous profilers drifting in the Labrador and Irminger Seas detected recurrent winter-spring chlorophyll</w:t>
      </w:r>
      <w:r>
        <w:t xml:space="preserve"> </w:t>
      </w:r>
      <w:r>
        <w:t>a</w:t>
      </w:r>
      <w:r>
        <w:t xml:space="preserve"> </w:t>
      </w:r>
      <w:r>
        <w:t>fluorescence peaks at 1000 meters during intense convection in 2014–2017. The bio-optical properties of the particles indicate deep mixing of surface POC rich in labile phytoplanktonic material, distinct from both background suspended particles and sinking aggregates. Model simulations show that the mixing-driven POC supply to the deep ocean (500 to 2000 meters) scales with convection volume (</w:t>
      </w:r>
      <w:r>
        <w:t xml:space="preserve"> </w:t>
      </w:r>
      <w:r>
        <w:t>R</w:t>
      </w:r>
      <w:r>
        <w:rPr>
          <w:vertAlign w:val="subscript"/>
        </w:rPr>
        <w:t>2</w:t>
      </w:r>
      <w:r>
        <w:t>≈ 0.88) and is typically dominated by planktonic biomass. According to the model, vertical mixing regionally contributes ∼33 to 44% of the combined POC supply from mixing and sinking to the 500 to 2000–meter layer during strong convection years. These convective injection episodes likely reshape deep-ocean carbon budgets by enhancing metabolism and driving lateral exports, linking upper-ocean dynamics to deep-ocean water masses and ecosystems.</w:t>
      </w:r>
    </w:p>
    <w:p>
      <w:pPr>
        <w:spacing w:before="120" w:after="120"/>
      </w:pPr>
      <w:r>
        <w:rPr>
          <w:sz w:val="18"/>
        </w:rPr>
        <w:t>——————————————————————————————————————————————————————————————————————</w:t>
      </w:r>
    </w:p>
    <w:p>
      <w:pPr>
        <w:spacing w:before="160" w:after="40" w:line="240" w:lineRule="auto"/>
      </w:pPr>
      <w:r>
        <w:rPr>
          <w:b/>
        </w:rPr>
        <w:t xml:space="preserve">[50] </w:t>
      </w:r>
      <w:hyperlink r:id="rId638">
        <w:r>
          <w:rPr>
            <w:color w:val="1155CC"/>
            <w:u w:val="single"/>
          </w:rPr>
          <w:t>禁食诱导线粒体载体对氨基酸分解代谢的线粒体控制</w:t>
        </w:r>
      </w:hyperlink>
    </w:p>
    <w:p>
      <w:pPr>
        <w:spacing w:before="0" w:after="80"/>
      </w:pPr>
      <w:r>
        <w:rPr>
          <w:i/>
          <w:sz w:val="20"/>
        </w:rPr>
        <w:t>EN: Mitochondrial control of amino acid catabolism by a fasting-inducible mitochondrial carrier</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39">
        <w:r>
          <w:rPr>
            <w:color w:val="1155CC"/>
            <w:u w:val="single"/>
          </w:rPr>
          <w:t>10.1126/sciadv.aef0140</w:t>
        </w:r>
      </w:hyperlink>
    </w:p>
    <w:p>
      <w:pPr>
        <w:spacing w:before="0" w:after="120"/>
      </w:pPr>
      <w:r>
        <w:rPr>
          <w:b/>
        </w:rPr>
        <w:t xml:space="preserve">Notes: </w:t>
      </w:r>
      <w:r>
        <w:t>abstract_source=crossref</w:t>
      </w:r>
    </w:p>
    <w:p>
      <w:pPr>
        <w:spacing w:before="0" w:after="80" w:lineRule="auto" w:line="276"/>
      </w:pPr>
      <w:r>
        <w:rPr>
          <w:b/>
        </w:rPr>
        <w:t xml:space="preserve">摘要（ZH）: </w:t>
      </w:r>
      <w:r>
        <w:t>对营养缺乏的代谢适应需要协调控制线粒体回补和回补；然而，禁食期间如何调节线粒体膜的代谢通量仍不清楚。在这里，我们报告 SLC25A34 作为一种禁食诱导的线粒体载体，在氧化骨骼肌中高表达。通过细菌重建、蛋白脂质体和示踪剂研究，我们发现 SLC25A34 介导磷酸烯醇丙酮酸 (PEP) 进入线粒体基质。在营养匮乏的条件下，SLC25A34 的缺失会损害谷氨酰胺支持的回补，而葡萄糖和丙酮酸的利用基本保持不变。肌肉特异性缺失</w:t>
      </w:r>
      <w:r>
        <w:t xml:space="preserve"> </w:t>
      </w:r>
      <w:r>
        <w:t>SLC25A34</w:t>
      </w:r>
      <w:r>
        <w:t xml:space="preserve"> </w:t>
      </w:r>
      <w:r>
        <w:t>导致空腹诱导的氨基酸分解代谢和氨基酸积累减少，甚至在空腹条件下也会激活 mTORC1 信号传导。因此，SLC25A34 缺陷的比目鱼肌表现出肥大和肌病特征，并伴有 mTORC1 依赖性蛋白质合成增加。总之，这些结果凸显了诱导型线粒体载体 SLC25A34 的独特生物学作用，它将 PEP 输入与氨基酸分解代谢和蛋白质稳态结合起来，以保持骨骼肌完整性以应对代谢应激。</w:t>
      </w:r>
    </w:p>
    <w:p>
      <w:pPr>
        <w:spacing w:before="0" w:after="200" w:lineRule="auto" w:line="276"/>
      </w:pPr>
      <w:r>
        <w:rPr>
          <w:b/>
        </w:rPr>
        <w:t xml:space="preserve">Abstract (EN): </w:t>
      </w:r>
      <w:r>
        <w:t>Metabolic adaptation to nutrient deprivation requires coordinated control of mitochondrial anaplerosis and cataplerosis; however, how metabolite flux across the mitochondrial membrane is regulated during fasting remains less defined. Here, we report SLC25A34 as a fasting-inducible mitochondrial carrier that is highly expressed in oxidative skeletal muscle. Using bacterial reconstitution, proteo-liposomes, and tracer studies, we showed that SLC25A34 mediates the import of phosphoenolpyruvate (PEP) into the mitochondrial matrix. Loss of SLC25A34 impaired glutamine-supported anaplerosis under nutrient-deprived conditions, while glucose and pyruvate utilization remained largely intact. Muscle-specific deletion of</w:t>
      </w:r>
      <w:r>
        <w:t xml:space="preserve"> </w:t>
      </w:r>
      <w:r>
        <w:t>Slc25a34</w:t>
      </w:r>
      <w:r>
        <w:t xml:space="preserve"> </w:t>
      </w:r>
      <w:r>
        <w:t>resulted in reduced fasting-induced amino acid catabolism and the accumulation of amino acids, leading to activation of mTORC1 signaling even under fasted conditions. Consequently, SLC25A34-deficient soleus muscle exhibited hypertrophy and myopathic features, accompanied by mTORC1-dependent increase in protein synthesis. Together, these results highlight a unique biological role for the inducible mitochondrial carrier SLC25A34, which couples PEP import to amino acid catabolism and proteostasis to preserve skeletal muscle integrity in response to metabolic stress.</w:t>
      </w:r>
    </w:p>
    <w:p>
      <w:pPr>
        <w:spacing w:before="120" w:after="120"/>
      </w:pPr>
      <w:r>
        <w:rPr>
          <w:sz w:val="18"/>
        </w:rPr>
        <w:t>——————————————————————————————————————————————————————————————————————</w:t>
      </w:r>
    </w:p>
    <w:p>
      <w:pPr>
        <w:spacing w:before="160" w:after="40" w:line="240" w:lineRule="auto"/>
      </w:pPr>
      <w:r>
        <w:rPr>
          <w:b/>
        </w:rPr>
        <w:t xml:space="preserve">[51] </w:t>
      </w:r>
      <w:hyperlink r:id="rId640">
        <w:r>
          <w:rPr>
            <w:color w:val="1155CC"/>
            <w:u w:val="single"/>
          </w:rPr>
          <w:t>利用多功能肽的可调组装来编程血管生成</w:t>
        </w:r>
      </w:hyperlink>
    </w:p>
    <w:p>
      <w:pPr>
        <w:spacing w:before="0" w:after="80"/>
      </w:pPr>
      <w:r>
        <w:rPr>
          <w:i/>
          <w:sz w:val="20"/>
        </w:rPr>
        <w:t>EN: Programming angiogenesis with tunable assemblies of multifunctional peptides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41">
        <w:r>
          <w:rPr>
            <w:color w:val="1155CC"/>
            <w:u w:val="single"/>
          </w:rPr>
          <w:t>10.1126/sciadv.aef5064</w:t>
        </w:r>
      </w:hyperlink>
    </w:p>
    <w:p>
      <w:pPr>
        <w:spacing w:before="0" w:after="120"/>
      </w:pPr>
      <w:r>
        <w:rPr>
          <w:b/>
        </w:rPr>
        <w:t xml:space="preserve">Notes: </w:t>
      </w:r>
      <w:r>
        <w:t>abstract_source=crossref</w:t>
      </w:r>
    </w:p>
    <w:p>
      <w:pPr>
        <w:spacing w:before="0" w:after="80" w:lineRule="auto" w:line="276"/>
      </w:pPr>
      <w:r>
        <w:rPr>
          <w:b/>
        </w:rPr>
        <w:t xml:space="preserve">摘要（ZH）: </w:t>
      </w:r>
      <w:r>
        <w:t>治疗性血管生成受到无法定位、维持和微调血管信号传导的限制。在这里，我们详细介绍了一种超分子肽系统，该系统通过将机械完整性与受体水平的生物活性解耦来实现血管生成编程。我们将血管内皮生长因子 (VEGF) 模拟两亲物 (SLan) 与机械坚固的 β 片肽 (K1) 整合，产生具有可调节硬度（100 至 1000 帕斯卡）并保留血管内皮生长因子受体 2 (VEGFR2) 亲和力的可注射纳米纤维水凝胶。分子动力学模拟和固态核磁共振表明，共组装减轻了域之间的空间干扰，实现了致密的超分子堆积，同时保持了最佳的受体可及性。由此产生的 SLan-K1 配方保留了二级结构，激活经典的 VEGFR2-MEK（丝裂原激活蛋白激酶激酶）-ERK（细胞外信号调节激酶）。在体外，这些水凝胶诱导内皮细胞增殖；在体内，它们在小鼠和啮齿动物植入物中驱动快速的新生血管浸润和稳定的血管整合。该设计将肽自组装、受体结合动力学和免疫表型结果结合起来，定义了可调节血管生成材料的分子框架。该策略为工程指导性微环境建立了一个模块化平台，将分子设计和组织规模功能联系起来。</w:t>
      </w:r>
    </w:p>
    <w:p>
      <w:pPr>
        <w:spacing w:before="0" w:after="200" w:lineRule="auto" w:line="276"/>
      </w:pPr>
      <w:r>
        <w:rPr>
          <w:b/>
        </w:rPr>
        <w:t xml:space="preserve">Abstract (EN): </w:t>
      </w:r>
      <w:r>
        <w:t>Therapeutic angiogenesis is constrained by the inability to localize, sustain, and finely tune vascular signaling. Here, we detail a supramolecular peptide system that enables angiogenic programming by decoupling mechanical integrity from receptor-level bioactivity. We integrate a vascular endothelial growth factor (VEGF)–mimetic amphiphile (SLan) with a mechanically robust β sheet peptide (K1) to yield injectable nanofiber hydrogels with tunable stiffness (100 to 1000 pascals) and preserved vascular endothelial growth factor receptor 2 (VEGFR2) affinity. Molecular dynamics simulations and solid-state nuclear magnetic resonance revealed that the coassembly mitigates steric interference between domains, enabling dense supramolecular packing while maintaining optimal receptor accessibility. The resulting SLan-K1 formulation preserves the secondary structure, activating canonical VEGFR2–MEK (mitogen-activated protein kinase kinase)–ERK (extracellular signal–regulated kinase). In vitro, these hydrogels induce endothelial proliferation; in vivo, they drive rapid neovascular infiltration and stable vascular integration in murine and rodent implants. This design unites peptide self-assembly, receptor binding kinetics, and immunophenotypic outcomes in defining a molecular framework for tunable angiogenic materials. This strategy establishes a modular platform for engineering instructive microenvironments that bridge molecular design and tissue-scale functionality.</w:t>
      </w:r>
    </w:p>
    <w:p>
      <w:pPr>
        <w:spacing w:before="120" w:after="120"/>
      </w:pPr>
      <w:r>
        <w:rPr>
          <w:sz w:val="18"/>
        </w:rPr>
        <w:t>——————————————————————————————————————————————————————————————————————</w:t>
      </w:r>
    </w:p>
    <w:p>
      <w:pPr>
        <w:spacing w:before="160" w:after="40" w:line="240" w:lineRule="auto"/>
      </w:pPr>
      <w:r>
        <w:rPr>
          <w:b/>
        </w:rPr>
        <w:t xml:space="preserve">[52] </w:t>
      </w:r>
      <w:hyperlink r:id="rId642">
        <w:r>
          <w:rPr>
            <w:color w:val="1155CC"/>
            <w:u w:val="single"/>
          </w:rPr>
          <w:t>可扩展的 tau 蛋白病人类神经元模型，可产生内源性种子感受态 4R tau 蛋白</w:t>
        </w:r>
      </w:hyperlink>
    </w:p>
    <w:p>
      <w:pPr>
        <w:spacing w:before="0" w:after="80"/>
      </w:pPr>
      <w:r>
        <w:rPr>
          <w:i/>
          <w:sz w:val="20"/>
        </w:rPr>
        <w:t>EN: Scalable human neuronal models of tauopathy producing endogenous seed-competent 4R tau</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43">
        <w:r>
          <w:rPr>
            <w:color w:val="1155CC"/>
            <w:u w:val="single"/>
          </w:rPr>
          <w:t>10.1126/sciadv.aeg1445</w:t>
        </w:r>
      </w:hyperlink>
    </w:p>
    <w:p>
      <w:pPr>
        <w:spacing w:before="0" w:after="120"/>
      </w:pPr>
      <w:r>
        <w:rPr>
          <w:b/>
        </w:rPr>
        <w:t xml:space="preserve">Notes: </w:t>
      </w:r>
      <w:r>
        <w:t>abstract_source=crossref</w:t>
      </w:r>
    </w:p>
    <w:p>
      <w:pPr>
        <w:spacing w:before="0" w:after="80" w:lineRule="auto" w:line="276"/>
      </w:pPr>
      <w:r>
        <w:rPr>
          <w:b/>
        </w:rPr>
        <w:t xml:space="preserve">摘要（ZH）: </w:t>
      </w:r>
      <w:r>
        <w:t>病理性四重复 (4R) tau 蛋白的积累是几种额颞叶痴呆 (FTD) 亚型的核心，但适合 4R tau 靶向治疗高通量筛选的人类神经元模型仍然非常有限。为了解决这个问题，我们开发了诱导多能干细胞 (iPSC) 衍生的 i</w:t>
      </w:r>
      <w:r>
        <w:rPr>
          <w:vertAlign w:val="subscript"/>
        </w:rPr>
        <w:t>3</w:t>
      </w:r>
      <w:r>
        <w:t>神经元（我</w:t>
      </w:r>
      <w:r>
        <w:rPr>
          <w:vertAlign w:val="subscript"/>
        </w:rPr>
        <w:t>3</w:t>
      </w:r>
      <w:r>
        <w:t>N) 表达 &gt;75% 4R tau 的细胞系，由 FTD 剪接移位突变 (Ser</w:t>
      </w:r>
      <w:r>
        <w:rPr>
          <w:vertAlign w:val="subscript"/>
        </w:rPr>
        <w:t>305</w:t>
      </w:r>
      <w:r>
        <w:t>阿斯恩； S305N 或 S305N/IVS10 + 3)。这些神经元产生过度磷酸化的 tau 蛋白并表现出体细胞树突错误定位。这些我</w:t>
      </w:r>
      <w:r>
        <w:rPr>
          <w:vertAlign w:val="subscript"/>
        </w:rPr>
        <w:t>3</w:t>
      </w:r>
      <w:r>
        <w:t>培养 28 天后，N 神经元发育出具有种子能力的内源 tau 蛋白，并呈现五聚甲酰噻吩乙酸 (pFTAA) 阳性 tau 蛋白组装体。为了进行可扩展的筛选，我们在内源性基因上设计了一个 HiBiT 发光标签。</w:t>
      </w:r>
      <w:r>
        <w:t xml:space="preserve"> </w:t>
      </w:r>
      <w:r>
        <w:t>MAPT</w:t>
      </w:r>
      <w:r>
        <w:t xml:space="preserve"> </w:t>
      </w:r>
      <w:r>
        <w:t>将基因座导入 S305N/IVS10 + 3 iPSC 系，从而能够精确量化 tau 水平和药理反应。该模型对影响 tau 清除的化合物做出了可预测的反应，证明了其对于药物发现的适用性。总的来说，这个我</w:t>
      </w:r>
      <w:r>
        <w:rPr>
          <w:vertAlign w:val="subscript"/>
        </w:rPr>
        <w:t>3</w:t>
      </w:r>
      <w:r>
        <w:t>N 平台概括了 4R tau 蛋白病的关键特征，并提供了一个强大的系统来识别病理性 tau 蛋白的治疗调节剂。</w:t>
      </w:r>
    </w:p>
    <w:p>
      <w:pPr>
        <w:spacing w:before="0" w:after="200" w:lineRule="auto" w:line="276"/>
      </w:pPr>
      <w:r>
        <w:rPr>
          <w:b/>
        </w:rPr>
        <w:t xml:space="preserve">Abstract (EN): </w:t>
      </w:r>
      <w:r>
        <w:t>The accumulation of pathological four-repeat (4R) tau is central to several frontotemporal dementia (FTD) subtypes, but human neuronal models amenable to high-throughput screening of 4R tau–targeting therapies remain very limited. To address this, we developed induced pluripotent stem cell (iPSC)–derived i</w:t>
      </w:r>
      <w:r>
        <w:rPr>
          <w:vertAlign w:val="subscript"/>
        </w:rPr>
        <w:t>3</w:t>
      </w:r>
      <w:r>
        <w:t>Neuron (i</w:t>
      </w:r>
      <w:r>
        <w:rPr>
          <w:vertAlign w:val="subscript"/>
        </w:rPr>
        <w:t>3</w:t>
      </w:r>
      <w:r>
        <w:t>N) lines expressing &amp;gt;75% 4R tau, driven by FTD splice-shifting mutations (Ser</w:t>
      </w:r>
      <w:r>
        <w:rPr>
          <w:vertAlign w:val="subscript"/>
        </w:rPr>
        <w:t>305</w:t>
      </w:r>
      <w:r>
        <w:t>Asn; S305N or S305N/IVS10 + 3). These neurons develop hyperphosphorylated tau and demonstrate somatodendritic mislocalization. These i</w:t>
      </w:r>
      <w:r>
        <w:rPr>
          <w:vertAlign w:val="subscript"/>
        </w:rPr>
        <w:t>3</w:t>
      </w:r>
      <w:r>
        <w:t>N neurons develop endogenous seed-competent tau and present pentameric formyl thiophene acetic acid–(pFTAA)-positive tau assemblies after 28 days in culture. For scalable screening, we CRISPR-engineered an HiBiT luminescence tag at the endogenous</w:t>
      </w:r>
      <w:r>
        <w:t xml:space="preserve"> </w:t>
      </w:r>
      <w:r>
        <w:t>MAPT</w:t>
      </w:r>
      <w:r>
        <w:t xml:space="preserve"> </w:t>
      </w:r>
      <w:r>
        <w:t>locus into the S305N/IVS10 + 3 iPSC line, enabling precise quantification of tau levels and pharmacological responses. The model responded predictably to compounds affecting tau clearance, demonstrating its suitability for drug discovery. Overall, this i</w:t>
      </w:r>
      <w:r>
        <w:rPr>
          <w:vertAlign w:val="subscript"/>
        </w:rPr>
        <w:t>3</w:t>
      </w:r>
      <w:r>
        <w:t>N platform recapitulates key features of 4R tauopathy and provides a robust system to identify therapeutic modulators of pathological tau.</w:t>
      </w:r>
    </w:p>
    <w:p>
      <w:pPr>
        <w:spacing w:before="120" w:after="120"/>
      </w:pPr>
      <w:r>
        <w:rPr>
          <w:sz w:val="18"/>
        </w:rPr>
        <w:t>——————————————————————————————————————————————————————————————————————</w:t>
      </w:r>
    </w:p>
    <w:p>
      <w:pPr>
        <w:spacing w:before="160" w:after="40" w:line="240" w:lineRule="auto"/>
      </w:pPr>
      <w:r>
        <w:rPr>
          <w:b/>
        </w:rPr>
        <w:t xml:space="preserve">[53] </w:t>
      </w:r>
      <w:hyperlink r:id="rId644">
        <w:r>
          <w:rPr>
            <w:color w:val="1155CC"/>
            <w:u w:val="single"/>
          </w:rPr>
          <w:t>SARS-CoV-2 Orf9b 抑制 Tom70-Hsp90 相互作用以逃避先天免疫的分子机制</w:t>
        </w:r>
      </w:hyperlink>
    </w:p>
    <w:p>
      <w:pPr>
        <w:spacing w:before="0" w:after="80"/>
      </w:pPr>
      <w:r>
        <w:rPr>
          <w:i/>
          <w:sz w:val="20"/>
        </w:rPr>
        <w:t>EN: Molecular mechanism by which SARS-CoV-2 Orf9b suppresses the Tom70-Hsp90 interaction to evade innate immunity</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45">
        <w:r>
          <w:rPr>
            <w:color w:val="1155CC"/>
            <w:u w:val="single"/>
          </w:rPr>
          <w:t>10.1126/sciadv.aee5276</w:t>
        </w:r>
      </w:hyperlink>
    </w:p>
    <w:p>
      <w:pPr>
        <w:spacing w:before="0" w:after="120"/>
      </w:pPr>
      <w:r>
        <w:rPr>
          <w:b/>
        </w:rPr>
        <w:t xml:space="preserve">Notes: </w:t>
      </w:r>
      <w:r>
        <w:t>abstract_source=crossref</w:t>
      </w:r>
    </w:p>
    <w:p>
      <w:pPr>
        <w:spacing w:before="0" w:after="80" w:lineRule="auto" w:line="276"/>
      </w:pPr>
      <w:r>
        <w:rPr>
          <w:b/>
        </w:rPr>
        <w:t xml:space="preserve">摘要（ZH）: </w:t>
      </w:r>
      <w:r>
        <w:t>Tom70-Hsp90 相互作用对于 MAVS 介导的干扰素 (IFN) 产生至关重要。 RNA 病毒感染后，胞浆 Hsp90 通过与 Tom70 相互作用，将关键的先天免疫信号蛋白招募到线粒体上的 MAVS。为了逃避这种先天免疫反应，SARS-CoV-2 Orf9b 与 Tom70 结合，从而破坏 Tom70-Hsp90 相互作用并抑制 IFN 产生。尽管 Orf9b 介导的 IFN 拮抗作用很重要，但其分子机制仍不清楚。在这里，使用综合方法，包括冷冻电子显微镜和</w:t>
      </w:r>
      <w:r>
        <w:rPr>
          <w:vertAlign w:val="subscript"/>
        </w:rPr>
        <w:t>19</w:t>
      </w:r>
      <w:r>
        <w:t>F NMR 光谱显示，Orf9b 通过二分机制抑制 Tom70-Hsp90 相互作用。通过全面的结构、热力学和动力学分析，我们揭示了 Orf9b 的刚性区域和动态无序区域之间以前未被认识到的相互作用，这种相互作用阻止了 Hsp90 与 Tom70 的接触。总的来说，我们的结果为理解 Orf9b 介导的宿主先天免疫反应抑制提供了一个高分辨率的机制框架。</w:t>
      </w:r>
    </w:p>
    <w:p>
      <w:pPr>
        <w:spacing w:before="0" w:after="200" w:lineRule="auto" w:line="276"/>
      </w:pPr>
      <w:r>
        <w:rPr>
          <w:b/>
        </w:rPr>
        <w:t xml:space="preserve">Abstract (EN): </w:t>
      </w:r>
      <w:r>
        <w:t>The Tom70-Hsp90 interaction is critical for MAVS-mediated interferon (IFN) production. Upon RNA virus infection, cytosolic Hsp90 recruits key innate immune signaling proteins to MAVS on mitochondria through its interaction with Tom70. To evade this innate immune response, SARS-CoV-2 Orf9b binds to Tom70, thereby disrupting the Tom70-Hsp90 interaction and suppressing IFN production. Despite its importance, the molecular mechanism underlying the Orf9b-mediated IFN antagonism has remained unclear. Here, using an integrative approach including cryo–electron microscopy and</w:t>
      </w:r>
      <w:r>
        <w:rPr>
          <w:vertAlign w:val="subscript"/>
        </w:rPr>
        <w:t>19</w:t>
      </w:r>
      <w:r>
        <w:t>F NMR spectroscopy, we show that Orf9b inhibits the Tom70-Hsp90 interaction through a bipartite mechanism. Through comprehensive structural, thermodynamic, and kinetic analyses, we reveal a previously unrecognized interplay between the rigid and dynamically disordered regions of Orf9b that blocks Hsp90 access to Tom70. Collectively, our results provide a high-resolution mechanistic framework for understanding Orf9b-mediated suppression of the host innate immune response.</w:t>
      </w:r>
    </w:p>
    <w:p>
      <w:pPr>
        <w:spacing w:before="120" w:after="120"/>
      </w:pPr>
      <w:r>
        <w:rPr>
          <w:sz w:val="18"/>
        </w:rPr>
        <w:t>——————————————————————————————————————————————————————————————————————</w:t>
      </w:r>
    </w:p>
    <w:p>
      <w:pPr>
        <w:spacing w:before="160" w:after="40" w:line="240" w:lineRule="auto"/>
      </w:pPr>
      <w:r>
        <w:rPr>
          <w:b/>
        </w:rPr>
        <w:t xml:space="preserve">[54] </w:t>
      </w:r>
      <w:hyperlink r:id="rId646">
        <w:r>
          <w:rPr>
            <w:color w:val="1155CC"/>
            <w:u w:val="single"/>
          </w:rPr>
          <w:t>皮质酮相关的小胶质细胞活动支持氯胺酮麻醉后的性二态性神经可塑性</w:t>
        </w:r>
      </w:hyperlink>
    </w:p>
    <w:p>
      <w:pPr>
        <w:spacing w:before="0" w:after="80"/>
      </w:pPr>
      <w:r>
        <w:rPr>
          <w:i/>
          <w:sz w:val="20"/>
        </w:rPr>
        <w:t>EN: Corticosterone-linked microglial activity underpins sexually dimorphic neuroplasticity after ketamine anesthesia</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47">
        <w:r>
          <w:rPr>
            <w:color w:val="1155CC"/>
            <w:u w:val="single"/>
          </w:rPr>
          <w:t>10.1126/sciadv.adz6517</w:t>
        </w:r>
      </w:hyperlink>
    </w:p>
    <w:p>
      <w:pPr>
        <w:spacing w:before="0" w:after="120"/>
      </w:pPr>
      <w:r>
        <w:rPr>
          <w:b/>
        </w:rPr>
        <w:t xml:space="preserve">Notes: </w:t>
      </w:r>
      <w:r>
        <w:t>abstract_source=crossref</w:t>
      </w:r>
    </w:p>
    <w:p>
      <w:pPr>
        <w:spacing w:before="0" w:after="80" w:lineRule="auto" w:line="276"/>
      </w:pPr>
      <w:r>
        <w:rPr>
          <w:b/>
        </w:rPr>
        <w:t xml:space="preserve">摘要（ZH）: </w:t>
      </w:r>
      <w:r>
        <w:t>麻醉恢复对于恢复正常的生理和神经功能至关重要；然而，所涉及的机制仍然难以捉摸。在这里，我们发现了氯胺酮麻醉恢复期间女性选择性皮质酮介导的小胶质细胞-神经元相互作用，而男性则不存在这种相互作用。这种小胶质细胞与神经元的相互作用会引起神经元的可塑性和功能性变化，mEPSC 频率增加就证明了这一点，而 mEPSC 频率在小胶质细胞耗尽时会被闭塞。我们表明，这一过程是通过压力反应性共伴侣的上调来驱动的</w:t>
      </w:r>
      <w:r>
        <w:t xml:space="preserve"> </w:t>
      </w:r>
      <w:r>
        <w:t>Fkbp5</w:t>
      </w:r>
      <w:r>
        <w:t xml:space="preserve"> </w:t>
      </w:r>
      <w:r>
        <w:t>雌性小胶质细胞中的 mRNA 及其蛋白质 Fkbp51。</w:t>
      </w:r>
      <w:r>
        <w:t xml:space="preserve"> </w:t>
      </w:r>
      <w:r>
        <w:t>Fkbp5</w:t>
      </w:r>
      <w:r>
        <w:t xml:space="preserve"> </w:t>
      </w:r>
      <w:r>
        <w:t>/Fkbp51 是皮质类固醇诱导的应激反应中的关键中介，其参与指向内分泌信号传导和小胶质细胞之间的关键界面。为了抵消恢复期间观察到的氯胺酮麻醉介导的血液皮质酮增加，我们通过肾上腺切除术去除了皮质酮的主要来源。注射皮质酮后，紧密的小胶质细胞-神经元相互作用减少并再次增加。我们的研究结果确定了麻醉恢复期间由皮质酮驱动的性别特异性小胶质细胞介导的神经元可塑性机制，从而增强了我们对大脑功能性别差异的理解。</w:t>
      </w:r>
    </w:p>
    <w:p>
      <w:pPr>
        <w:spacing w:before="0" w:after="200" w:lineRule="auto" w:line="276"/>
      </w:pPr>
      <w:r>
        <w:rPr>
          <w:b/>
        </w:rPr>
        <w:t xml:space="preserve">Abstract (EN): </w:t>
      </w:r>
      <w:r>
        <w:t>Anesthesia recovery is critical for resuming normal physiological and neuronal functions; however, the mechanisms involved remain elusive. Here, we identify a female-selective corticosterone-mediated microglia-neuron interaction during ketamine anesthesia recovery, absent in males. This microglia-neuron interaction induces plastic and functional neuronal changes, as evidenced by increased mEPSC frequency, which was occluded upon microglia depletion. We showed that this process is driven through up-regulation of the stress-responsive co-chaperone</w:t>
      </w:r>
      <w:r>
        <w:t xml:space="preserve"> </w:t>
      </w:r>
      <w:r>
        <w:t>Fkbp5</w:t>
      </w:r>
      <w:r>
        <w:t xml:space="preserve"> </w:t>
      </w:r>
      <w:r>
        <w:t>mRNA and its protein, Fkbp51, in female microglia.</w:t>
      </w:r>
      <w:r>
        <w:t xml:space="preserve"> </w:t>
      </w:r>
      <w:r>
        <w:t>Fkbp5</w:t>
      </w:r>
      <w:r>
        <w:t xml:space="preserve"> </w:t>
      </w:r>
      <w:r>
        <w:t>/Fkbp51 is a key intermediary in a corticosteroid-induced stress response, and its involvement points toward a critical interface between endocrine signaling and microglia. To counteract the observed ketamine anesthesia-mediated increase in blood corticosterone during recovery, we removed the primary source of corticosterone by adrenalectomy. Close microglia-neuron interaction was reduced and increased again following corticosterone injection. Our findings identify a sex-specific microglia-mediated mechanism of neuronal plasticity during anesthesia recovery, driven by corticosterone, thereby enhancing our understanding of sex differences in brain function.</w:t>
      </w:r>
    </w:p>
    <w:p>
      <w:pPr>
        <w:spacing w:before="120" w:after="120"/>
      </w:pPr>
      <w:r>
        <w:rPr>
          <w:sz w:val="18"/>
        </w:rPr>
        <w:t>——————————————————————————————————————————————————————————————————————</w:t>
      </w:r>
    </w:p>
    <w:p>
      <w:pPr>
        <w:spacing w:before="160" w:after="40" w:line="240" w:lineRule="auto"/>
      </w:pPr>
      <w:r>
        <w:rPr>
          <w:b/>
        </w:rPr>
        <w:t xml:space="preserve">[55] </w:t>
      </w:r>
      <w:hyperlink r:id="rId648">
        <w:r>
          <w:rPr>
            <w:color w:val="1155CC"/>
            <w:u w:val="single"/>
          </w:rPr>
          <w:t>提高小脑θ振荡可增强无创诱导的运动可塑性</w:t>
        </w:r>
      </w:hyperlink>
    </w:p>
    <w:p>
      <w:pPr>
        <w:spacing w:before="0" w:after="80"/>
      </w:pPr>
      <w:r>
        <w:rPr>
          <w:i/>
          <w:sz w:val="20"/>
        </w:rPr>
        <w:t>EN: Elevating cerebellar theta oscillations boosts noninvasively induced motor plasticity</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49">
        <w:r>
          <w:rPr>
            <w:color w:val="1155CC"/>
            <w:u w:val="single"/>
          </w:rPr>
          <w:t>10.1126/sciadv.aeb3579</w:t>
        </w:r>
      </w:hyperlink>
    </w:p>
    <w:p>
      <w:pPr>
        <w:spacing w:before="0" w:after="120"/>
      </w:pPr>
      <w:r>
        <w:rPr>
          <w:b/>
        </w:rPr>
        <w:t xml:space="preserve">Notes: </w:t>
      </w:r>
      <w:r>
        <w:t>abstract_source=crossref</w:t>
      </w:r>
    </w:p>
    <w:p>
      <w:pPr>
        <w:spacing w:before="0" w:after="80" w:lineRule="auto" w:line="276"/>
      </w:pPr>
      <w:r>
        <w:rPr>
          <w:b/>
        </w:rPr>
        <w:t xml:space="preserve">摘要（ZH）: </w:t>
      </w:r>
      <w:r>
        <w:t>将大脑刺激与大脑的自然节律相匹配可以驱动可塑性，但这一原理很少在人类身上得到测试。我们以小脑为目标，小脑是运动协调和学习的关键枢纽，使用节律调整方案，将 θ 频率经颅交流电刺激与间歇 θ 爆发刺激结合起来，以提高小脑皮质回路的可塑性。在年轻健康的成年人中，这种配对增强了精细运动控制和手的灵活性，其增益密切跟踪小脑驱动的可塑性的生理标志。在慢性中风幸存者中应用相同的方法产生了平行的行为和神经增益，证明尽管受伤，节律可塑性耦合仍然存在。对照实验证实了频率特异性和位点特异性，强调了干预的机械精度。通过将 θ 频率小脑刺激与回路水平和功能结果联系起来，这些发现为目标神经康复建立了一个基于生物学的框架。节律特异性小脑刺激提供了一种可扩展的策略，可增强可塑性并改善运动障碍和运动障碍的运动功能。</w:t>
      </w:r>
    </w:p>
    <w:p>
      <w:pPr>
        <w:spacing w:before="0" w:after="200" w:lineRule="auto" w:line="276"/>
      </w:pPr>
      <w:r>
        <w:rPr>
          <w:b/>
        </w:rPr>
        <w:t xml:space="preserve">Abstract (EN): </w:t>
      </w:r>
      <w:r>
        <w:t>Matching brain stimulation to the brain’s natural rhythms can drive plasticity, yet this principle has rarely been tested in humans. We targeted the cerebellum, a key hub for motor coordination and learning, using a rhythm-tuned protocol that pairs theta-frequency transcranial alternating current stimulation with intermittent theta-burst stimulation to engage plasticity of cerebello-cortical circuits. In young healthy adults, this pairing enhanced fine motor control and hand dexterity, with gains closely tracking physiological markers of cerebellar-driven plasticity. Applying the same approach in chronic stroke survivors yielded parallel behavioral and neural gains, demonstrating preserved rhythm-plasticity coupling despite injury. Control experiments confirmed both frequency specificity and site specificity, underscoring the mechanistic precision of the intervention. By linking theta-frequency cerebellar stimulation to circuit-level and functional outcomes, these findings establish a biologically grounded framework for targeted neurorehabilitation. Rhythm-specific cerebellar stimulation provides a scalable strategy for enhancing plasticity and improving motor function across movement disorders and motor impairments.</w:t>
      </w:r>
    </w:p>
    <w:p>
      <w:pPr>
        <w:spacing w:before="120" w:after="120"/>
      </w:pPr>
      <w:r>
        <w:rPr>
          <w:sz w:val="18"/>
        </w:rPr>
        <w:t>——————————————————————————————————————————————————————————————————————</w:t>
      </w:r>
    </w:p>
    <w:p>
      <w:pPr>
        <w:spacing w:before="160" w:after="40" w:line="240" w:lineRule="auto"/>
      </w:pPr>
      <w:r>
        <w:rPr>
          <w:b/>
        </w:rPr>
        <w:t xml:space="preserve">[56] </w:t>
      </w:r>
      <w:hyperlink r:id="rId650">
        <w:r>
          <w:rPr>
            <w:color w:val="1155CC"/>
            <w:u w:val="single"/>
          </w:rPr>
          <w:t>用于全电抗生素敏感性测试的硅芯片实验室平台，从样品到结果的时间在 20 分钟内</w:t>
        </w:r>
      </w:hyperlink>
    </w:p>
    <w:p>
      <w:pPr>
        <w:spacing w:before="0" w:after="80"/>
      </w:pPr>
      <w:r>
        <w:rPr>
          <w:i/>
          <w:sz w:val="20"/>
        </w:rPr>
        <w:t>EN: A lab-on-a-silicon-chip platform for all-electrical antibiotic susceptibility tests with a sample-to-results time within 20 minutes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51">
        <w:r>
          <w:rPr>
            <w:color w:val="1155CC"/>
            <w:u w:val="single"/>
          </w:rPr>
          <w:t>10.1126/sciadv.aeb2880</w:t>
        </w:r>
      </w:hyperlink>
    </w:p>
    <w:p>
      <w:pPr>
        <w:spacing w:before="0" w:after="120"/>
      </w:pPr>
      <w:r>
        <w:rPr>
          <w:b/>
        </w:rPr>
        <w:t xml:space="preserve">Notes: </w:t>
      </w:r>
      <w:r>
        <w:t>abstract_source=crossref</w:t>
      </w:r>
    </w:p>
    <w:p>
      <w:pPr>
        <w:spacing w:before="0" w:after="80" w:lineRule="auto" w:line="276"/>
      </w:pPr>
      <w:r>
        <w:rPr>
          <w:b/>
        </w:rPr>
        <w:t xml:space="preserve">摘要（ZH）: </w:t>
      </w:r>
      <w:r>
        <w:t>快速抗生素敏感性测试（AST）对于早期快速选择治疗感染的有效药物至关重要。然而，临床实践中使用最广泛的表型 AST 通常需要 24 至 48 小时的预培养富集和 4 至 20 小时的测试。即使采用最快速的方案，它们也太慢而无法指导治疗。在这里，我们报告了一种硅芯片实验室 ​​(LOSC) 系统，该系统将硅纳米线场效应晶体管 (SiNWFET) 传感器阵列与高通量细胞收集微流体集成在一起，用于快速 AST。微流体在几分钟内将细菌浓缩到皮升级的室中，无需预培养。嵌入式 SiNWFET 可灵敏地跟踪抗生素引起的代谢 pH 值变化，通过检测敏感细菌中的快速代谢抑制来实现 AST。使用无缓冲的培养基，LOSC 可在 20 分钟内实现临床分离的尿路致病菌的样品到结果时间</w:t>
      </w:r>
      <w:r>
        <w:t xml:space="preserve"> </w:t>
      </w:r>
      <w:r>
        <w:t>大肠杆菌</w:t>
      </w:r>
      <w:r>
        <w:t xml:space="preserve"> </w:t>
      </w:r>
      <w:r>
        <w:t>菌株。凭借其电气读数和紧凑的设计，LOSC 为即时诊断提供了低成本、快速且便携式的 AST 解决方案。</w:t>
      </w:r>
    </w:p>
    <w:p>
      <w:pPr>
        <w:spacing w:before="0" w:after="200" w:lineRule="auto" w:line="276"/>
      </w:pPr>
      <w:r>
        <w:rPr>
          <w:b/>
        </w:rPr>
        <w:t xml:space="preserve">Abstract (EN): </w:t>
      </w:r>
      <w:r>
        <w:t>Rapid antibiotic susceptibility tests (ASTs) are essential for quick selection of effective drugs to treat infections at an early stage. However, the most widely used phenotypic ASTs in clinical practice often require 24 to 48 hours of pre-culture enrichment and 4 to 20 hours of testing. They are too slow to guide therapy, even with the most rapid protocol. Here, we report a lab-on-a-silicon chip (LOSC) system, which integrates arrays of silicon nanowire field-effect transistor (SiNWFET) sensors with high-throughput cell-collection microfluidics for rapid ASTs. The microfluidics concentrate bacteria into picoliter-scale chambers within minutes, eliminating the need for pre-cultivation. Embedded SiNWFETs sensitively track antibiotic-induced metabolic pH shifts, enabling AST by detecting rapid metabolic inhibition in susceptible bacteria. Using an unbuffered culturing medium, LOSC achieves sample-to-result times within 20 minutes for clinically isolated uropathogenic</w:t>
      </w:r>
      <w:r>
        <w:t xml:space="preserve"> </w:t>
      </w:r>
      <w:r>
        <w:t>Escherichia coli</w:t>
      </w:r>
      <w:r>
        <w:t xml:space="preserve"> </w:t>
      </w:r>
      <w:r>
        <w:t>strains. With its electrical readout and compact design, LOSC offers a low-cost, rapid, and portable AST solution for point-of-care diagnostics.</w:t>
      </w:r>
    </w:p>
    <w:p>
      <w:pPr>
        <w:spacing w:before="120" w:after="120"/>
      </w:pPr>
      <w:r>
        <w:rPr>
          <w:sz w:val="18"/>
        </w:rPr>
        <w:t>——————————————————————————————————————————————————————————————————————</w:t>
      </w:r>
    </w:p>
    <w:p>
      <w:pPr>
        <w:spacing w:before="160" w:after="40" w:line="240" w:lineRule="auto"/>
      </w:pPr>
      <w:r>
        <w:rPr>
          <w:b/>
        </w:rPr>
        <w:t xml:space="preserve">[57] </w:t>
      </w:r>
      <w:hyperlink r:id="rId652">
        <w:r>
          <w:rPr>
            <w:color w:val="1155CC"/>
            <w:u w:val="single"/>
          </w:rPr>
          <w:t>Poly(A) 结合蛋白充当热感应开关，通过 RNA 结合蛋白 45C 的细胞质保留来控制开花</w:t>
        </w:r>
      </w:hyperlink>
    </w:p>
    <w:p>
      <w:pPr>
        <w:spacing w:before="0" w:after="80"/>
      </w:pPr>
      <w:r>
        <w:rPr>
          <w:i/>
          <w:sz w:val="20"/>
        </w:rPr>
        <w:t>EN: Poly(A)-binding proteins act as a thermosensory switch to control flowering via cytoplasmic retention of RNA-binding protein 45C</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53">
        <w:r>
          <w:rPr>
            <w:color w:val="1155CC"/>
            <w:u w:val="single"/>
          </w:rPr>
          <w:t>10.1126/sciadv.aeg8264</w:t>
        </w:r>
      </w:hyperlink>
    </w:p>
    <w:p>
      <w:pPr>
        <w:spacing w:before="0" w:after="120"/>
      </w:pPr>
      <w:r>
        <w:rPr>
          <w:b/>
        </w:rPr>
        <w:t xml:space="preserve">Notes: </w:t>
      </w:r>
      <w:r>
        <w:t>abstract_source=crossref</w:t>
      </w:r>
    </w:p>
    <w:p>
      <w:pPr>
        <w:spacing w:before="0" w:after="80" w:lineRule="auto" w:line="276"/>
      </w:pPr>
      <w:r>
        <w:rPr>
          <w:b/>
        </w:rPr>
        <w:t xml:space="preserve">摘要（ZH）: </w:t>
      </w:r>
      <w:r>
        <w:t>Poly(A) 结合蛋白 (PABP) 通过与 mRNA 的 Poly(A) 尾结合而在 mRNA 依赖性过程中发挥作用，这一点被公认。然而，PABP 是否具有不同于其对 mRNA 的作用的功能，特别是在控制主要发育转变方面，仍有待探索。在这里，我们发现了两种 PABP（PAB2 和 PAB8）在开花时间控制中迄今未知的作用。</w:t>
      </w:r>
      <w:r>
        <w:t xml:space="preserve"> </w:t>
      </w:r>
      <w:r>
        <w:t>拟南芥</w:t>
      </w:r>
      <w:r>
        <w:t xml:space="preserve"> </w:t>
      </w:r>
      <w:r>
        <w:t>。我们证明 PAB2 和 PAB8 与 RNA 结合蛋白 45C (RBP45C) 相互作用并决定其细胞质保留。这可以防止 RBP45C 进入核及其促进关键花阻遏物转录和剪接的功能</w:t>
      </w:r>
      <w:r>
        <w:t xml:space="preserve"> </w:t>
      </w:r>
      <w:r>
        <w:t>开花地点C</w:t>
      </w:r>
      <w:r>
        <w:t xml:space="preserve"> </w:t>
      </w:r>
      <w:r>
        <w:t>（</w:t>
      </w:r>
      <w:r>
        <w:t xml:space="preserve"> </w:t>
      </w:r>
      <w:r>
        <w:t>FLC</w:t>
      </w:r>
      <w:r>
        <w:t xml:space="preserve"> </w:t>
      </w:r>
      <w:r>
        <w:t>）。此外，较低的环境温度减弱了 PAB2 和 RBP45C 之间的相互作用，导致开花延迟，这是由于 RBP45C 的细胞质保留受损和 RBP45C 的</w:t>
      </w:r>
      <w:r>
        <w:t xml:space="preserve"> </w:t>
      </w:r>
      <w:r>
        <w:t>FLC</w:t>
      </w:r>
      <w:r>
        <w:t xml:space="preserve"> </w:t>
      </w:r>
      <w:r>
        <w:t>表达。我们的研究结果确定了 PABP 作为 RBP45C 细胞质锚的非典型作用，RBP45C 充当热敏开关</w:t>
      </w:r>
      <w:r>
        <w:t xml:space="preserve"> </w:t>
      </w:r>
      <w:r>
        <w:t>FLC</w:t>
      </w:r>
      <w:r>
        <w:t xml:space="preserve"> </w:t>
      </w:r>
      <w:r>
        <w:t>表达来微调开花以响应凉爽的环境温度。</w:t>
      </w:r>
    </w:p>
    <w:p>
      <w:pPr>
        <w:spacing w:before="0" w:after="200" w:lineRule="auto" w:line="276"/>
      </w:pPr>
      <w:r>
        <w:rPr>
          <w:b/>
        </w:rPr>
        <w:t xml:space="preserve">Abstract (EN): </w:t>
      </w:r>
      <w:r>
        <w:t>Poly(A)-binding proteins (PABPs) are canonically recognized for their roles in mRNA-dependent processes through binding to the poly(A) tail of mRNA. However, whether PABPs possess functions distinct from their action on mRNA, particularly in controlling major developmental transitions, has remained unexplored. Here, we uncover a hitherto unknown role for two PABPs, PAB2 and PAB8, in flowering time control in</w:t>
      </w:r>
      <w:r>
        <w:t xml:space="preserve"> </w:t>
      </w:r>
      <w:r>
        <w:t>Arabidopsis thaliana</w:t>
      </w:r>
      <w:r>
        <w:t xml:space="preserve"> </w:t>
      </w:r>
      <w:r>
        <w:t>. We demonstrate that PAB2 and PAB8 interact with RNA-binding protein 45C (RBP45C) and determine its cytoplasmic retention. This prevents nuclear entry of RBP45C and its function in promoting the transcription and splicing of the key floral repressor</w:t>
      </w:r>
      <w:r>
        <w:t xml:space="preserve"> </w:t>
      </w:r>
      <w:r>
        <w:t>FLOWERING LOCUS C</w:t>
      </w:r>
      <w:r>
        <w:t xml:space="preserve"> </w:t>
      </w:r>
      <w:r>
        <w:t>(</w:t>
      </w:r>
      <w:r>
        <w:t xml:space="preserve"> </w:t>
      </w:r>
      <w:r>
        <w:t>FLC</w:t>
      </w:r>
      <w:r>
        <w:t xml:space="preserve"> </w:t>
      </w:r>
      <w:r>
        <w:t>). Furthermore, low ambient temperature attenuates the interaction between PAB2 and RBP45C, resulting in late flowering attributable to compromised cytoplasmic retention of RBP45C and elevated</w:t>
      </w:r>
      <w:r>
        <w:t xml:space="preserve"> </w:t>
      </w:r>
      <w:r>
        <w:t>FLC</w:t>
      </w:r>
      <w:r>
        <w:t xml:space="preserve"> </w:t>
      </w:r>
      <w:r>
        <w:t>expression. Our findings identify a non-canonical role of PABPs as a cytoplasmic anchor for RBP45C, which serves as a thermosensory switch of</w:t>
      </w:r>
      <w:r>
        <w:t xml:space="preserve"> </w:t>
      </w:r>
      <w:r>
        <w:t>FLC</w:t>
      </w:r>
      <w:r>
        <w:t xml:space="preserve"> </w:t>
      </w:r>
      <w:r>
        <w:t>expression to fine-tune flowering in response to cool ambient temperature.</w:t>
      </w:r>
    </w:p>
    <w:p>
      <w:pPr>
        <w:spacing w:before="120" w:after="120"/>
      </w:pPr>
      <w:r>
        <w:rPr>
          <w:sz w:val="18"/>
        </w:rPr>
        <w:t>——————————————————————————————————————————————————————————————————————</w:t>
      </w:r>
    </w:p>
    <w:p>
      <w:pPr>
        <w:spacing w:before="160" w:after="40" w:line="240" w:lineRule="auto"/>
      </w:pPr>
      <w:r>
        <w:rPr>
          <w:b/>
        </w:rPr>
        <w:t xml:space="preserve">[58] </w:t>
      </w:r>
      <w:hyperlink r:id="rId654">
        <w:r>
          <w:rPr>
            <w:color w:val="1155CC"/>
            <w:u w:val="single"/>
          </w:rPr>
          <w:t>使用自适应多模态电子皮肤进行仿人时间序列健康评估</w:t>
        </w:r>
      </w:hyperlink>
    </w:p>
    <w:p>
      <w:pPr>
        <w:spacing w:before="0" w:after="80"/>
      </w:pPr>
      <w:r>
        <w:rPr>
          <w:i/>
          <w:sz w:val="20"/>
        </w:rPr>
        <w:t>EN: Human-inspired time-series health evaluation with an adaptive multimodal electronic skin</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55">
        <w:r>
          <w:rPr>
            <w:color w:val="1155CC"/>
            <w:u w:val="single"/>
          </w:rPr>
          <w:t>10.1126/sciadv.aeg5606</w:t>
        </w:r>
      </w:hyperlink>
    </w:p>
    <w:p>
      <w:pPr>
        <w:spacing w:before="0" w:after="120"/>
      </w:pPr>
      <w:r>
        <w:rPr>
          <w:b/>
        </w:rPr>
        <w:t xml:space="preserve">Notes: </w:t>
      </w:r>
      <w:r>
        <w:t>abstract_source=crossref</w:t>
      </w:r>
    </w:p>
    <w:p>
      <w:pPr>
        <w:spacing w:before="0" w:after="80" w:lineRule="auto" w:line="276"/>
      </w:pPr>
      <w:r>
        <w:rPr>
          <w:b/>
        </w:rPr>
        <w:t xml:space="preserve">摘要（ZH）: </w:t>
      </w:r>
      <w:r>
        <w:t>由人工智能驱动的电子皮肤可以实现下一代机器人和医疗设备，但集成多模态传感器和分析异构、多频率时间序列仍然具有挑战性。大多数可穿戴机器学习架构都是时间不变的，并且针对特定任务进行训练，从而限制了跨模式和用户的传输。我们提出了一种多模式电子皮肤，它通过自适应学习框架捕获不同的生理信号，该框架可以用最少的标记数据快速推广到看不见的任务。我们简化的端到端框架使用谱变分自动编码器将多频生物信号去噪并压缩到共享的、统一的二阶潜在空间中，保留谱时结构，然后使用变压器来捕获时间依赖性，以通过数据高效学习来支持不同的下游任务。无论设备和用户的变化如何，我们在各种用户和日常活动中展示了强大的适应性，活动识别准确率达到 94.7%，疲劳评估准确度达到 90.2%，突出了广义生理时间序列分析和人类表现评估的可扩展途径。</w:t>
      </w:r>
    </w:p>
    <w:p>
      <w:pPr>
        <w:spacing w:before="0" w:after="200" w:lineRule="auto" w:line="276"/>
      </w:pPr>
      <w:r>
        <w:rPr>
          <w:b/>
        </w:rPr>
        <w:t xml:space="preserve">Abstract (EN): </w:t>
      </w:r>
      <w:r>
        <w:t>Electronic skin powered with artificial intelligence could enable next-generation robotic and medical devices, yet integrating multimodal sensors and analyzing heterogeneous, multifrequency time series remain challenging. Most wearable machine learning architectures are time-invariant and trained for a specific task, limiting transfer across modalities and users. We present a multimodal electronic skin that captures diverse physiological signs with an adaptive learning framework that rapidly generalizes to unseen tasks with minimal labeled data. Our streamlined end-to-end framework uses a spectral variational autoencoder to denoise and compress multifrequency biosignals into a shared, unified second-wise latent space that preserves the spectral-temporal structure, followed by a transformer to capture temporal dependencies to support diverse downstream tasks with data-efficient learning. We demonstrate robust adaptation with 94.7% accuracy in activity recognition and 90.2% precision in fatigue assessment across various users and daily activities regardless of device and user variations, highlighting a scalable route to generalized physiological time-series analytics and human performance assessments.</w:t>
      </w:r>
    </w:p>
    <w:p>
      <w:pPr>
        <w:spacing w:before="120" w:after="120"/>
      </w:pPr>
      <w:r>
        <w:rPr>
          <w:sz w:val="18"/>
        </w:rPr>
        <w:t>——————————————————————————————————————————————————————————————————————</w:t>
      </w:r>
    </w:p>
    <w:p>
      <w:pPr>
        <w:spacing w:before="160" w:after="40" w:line="240" w:lineRule="auto"/>
      </w:pPr>
      <w:r>
        <w:rPr>
          <w:b/>
        </w:rPr>
        <w:t xml:space="preserve">[59] </w:t>
      </w:r>
      <w:hyperlink r:id="rId656">
        <w:r>
          <w:rPr>
            <w:color w:val="1155CC"/>
            <w:u w:val="single"/>
          </w:rPr>
          <w:t>火星轨道同步观测揭示了开尔文-亥姆霍兹不稳定性驱动的大量大气离子逃逸</w:t>
        </w:r>
      </w:hyperlink>
    </w:p>
    <w:p>
      <w:pPr>
        <w:spacing w:before="0" w:after="80"/>
      </w:pPr>
      <w:r>
        <w:rPr>
          <w:i/>
          <w:sz w:val="20"/>
        </w:rPr>
        <w:t>EN: Simultaneous Mars-orbit observations reveal Kelvin-Helmholtz instability–driven bulk atmospheric ion escape</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57">
        <w:r>
          <w:rPr>
            <w:color w:val="1155CC"/>
            <w:u w:val="single"/>
          </w:rPr>
          <w:t>10.1126/sciadv.aed9072</w:t>
        </w:r>
      </w:hyperlink>
    </w:p>
    <w:p>
      <w:pPr>
        <w:spacing w:before="0" w:after="120"/>
      </w:pPr>
      <w:r>
        <w:rPr>
          <w:b/>
        </w:rPr>
        <w:t xml:space="preserve">Notes: </w:t>
      </w:r>
      <w:r>
        <w:t>abstract_source=crossref</w:t>
      </w:r>
    </w:p>
    <w:p>
      <w:pPr>
        <w:spacing w:before="0" w:after="80" w:lineRule="auto" w:line="276"/>
      </w:pPr>
      <w:r>
        <w:rPr>
          <w:b/>
        </w:rPr>
        <w:t xml:space="preserve">摘要（ZH）: </w:t>
      </w:r>
      <w:r>
        <w:t>太阳风驱动的大气离子逃逸是控制火星大气长期流失的关键过程。局部等离子体云可以携带大量行星离子远离火星，这代表着大量逃逸事件。然而，由于缺乏同步的上游测量，它们的起源仍不清楚。利用 MAVEN 和天问一号任务的联合观测（提供实时上游监测），我们提供了直接证据，证明这些等离子体云是由开尔文-亥姆霍兹不稳定性（KHI）产生的非线性波包。 KH 波的空间尺度首次通过两点测量受到限制。等离子体云内的离子通量比典型稳态逃逸通道中的离子通量高一到两个数量级。我们的结果表明，KHI 是太阳风与行星高层大气耦合的重要过程，并且在塑造未磁化行星的大气离子逃逸方面发挥着至关重要的作用。</w:t>
      </w:r>
    </w:p>
    <w:p>
      <w:pPr>
        <w:spacing w:before="0" w:after="200" w:lineRule="auto" w:line="276"/>
      </w:pPr>
      <w:r>
        <w:rPr>
          <w:b/>
        </w:rPr>
        <w:t xml:space="preserve">Abstract (EN): </w:t>
      </w:r>
      <w:r>
        <w:t>Atmospheric ion escape driven by the solar wind is a key process controlling the long-term loss of the Martian atmosphere. Localized plasma clouds can carry substantial fluxes of planetary ions away from Mars, representing episodes of bulk escape. However, their origin has remained unclear due to the absence of simultaneous upstream measurements. Using joint observations from the MAVEN and Tianwen-1 missions, which provide real-time upstream monitoring, we present direct evidence that these plasma clouds are nonlinear wave packets generated by the Kelvin-Helmholtz instability (KHI). The spatial scale of KH waves is constrained for the first time via two-point measurements. Ion fluxes within plasma clouds are one to two orders of magnitude higher than those in typical steady-state escape channels. Our results indicate that KHI is an important process for solar wind coupling to planetary upper atmospheres and plays a crucial role in shaping atmospheric ion escape for unmagnetized planets.</w:t>
      </w:r>
    </w:p>
    <w:p>
      <w:pPr>
        <w:spacing w:before="120" w:after="120"/>
      </w:pPr>
      <w:r>
        <w:rPr>
          <w:sz w:val="18"/>
        </w:rPr>
        <w:t>——————————————————————————————————————————————————————————————————————</w:t>
      </w:r>
    </w:p>
    <w:p>
      <w:pPr>
        <w:spacing w:before="160" w:after="40" w:line="240" w:lineRule="auto"/>
      </w:pPr>
      <w:r>
        <w:rPr>
          <w:b/>
        </w:rPr>
        <w:t xml:space="preserve">[60] </w:t>
      </w:r>
      <w:hyperlink r:id="rId658">
        <w:r>
          <w:rPr>
            <w:color w:val="1155CC"/>
            <w:u w:val="single"/>
          </w:rPr>
          <w:t>COF 膜中电化学定制的离子捕获纳米结构，用于选择性单价/二价离子筛分</w:t>
        </w:r>
      </w:hyperlink>
    </w:p>
    <w:p>
      <w:pPr>
        <w:spacing w:before="0" w:after="80"/>
      </w:pPr>
      <w:r>
        <w:rPr>
          <w:i/>
          <w:sz w:val="20"/>
        </w:rPr>
        <w:t>EN: Electrochemically tailored ion-trapping nanoarchitectures in COF membranes for selective monovalent/divalent ion sieving</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59">
        <w:r>
          <w:rPr>
            <w:color w:val="1155CC"/>
            <w:u w:val="single"/>
          </w:rPr>
          <w:t>10.1126/sciadv.aee3640</w:t>
        </w:r>
      </w:hyperlink>
    </w:p>
    <w:p>
      <w:pPr>
        <w:spacing w:before="0" w:after="120"/>
      </w:pPr>
      <w:r>
        <w:rPr>
          <w:b/>
        </w:rPr>
        <w:t xml:space="preserve">Notes: </w:t>
      </w:r>
      <w:r>
        <w:t>abstract_source=crossref</w:t>
      </w:r>
    </w:p>
    <w:p>
      <w:pPr>
        <w:spacing w:before="0" w:after="80" w:lineRule="auto" w:line="276"/>
      </w:pPr>
      <w:r>
        <w:rPr>
          <w:b/>
        </w:rPr>
        <w:t xml:space="preserve">摘要（ZH）: </w:t>
      </w:r>
      <w:r>
        <w:t>单价和二价离子的有效分离仍然是海水淡化和离子资源回收的核心挑战。在这里，我们提出了一种电化学限制策略，将 EDTA 在孔径为 1.1 nm 的 TFP-Tag 膜的一维传输通道内空间组织成对齐阵列。这种结构建立了仿生、梯度功能化的锥形纳米通道。带负电的上部通道区域捕获并阻挡二价离子，而下部区域具有较大的孔径和阴离子亲和局部环境，有利于单价离子传输，从而实现高选择性的单价/二价离子分离。该膜在多离子混合溶液中表现出优异的一价/二价离子分离性能，其中Na</w:t>
      </w:r>
      <w:r>
        <w:t xml:space="preserve"> </w:t>
      </w:r>
      <w:r>
        <w:t>+</w:t>
      </w:r>
      <w:r>
        <w:t xml:space="preserve"> </w:t>
      </w:r>
      <w:r>
        <w:t>通量达到10.6 mmol m</w:t>
      </w:r>
      <w:r>
        <w:t xml:space="preserve"> </w:t>
      </w:r>
      <w:r>
        <w:t>−2</w:t>
      </w:r>
      <w:r>
        <w:t xml:space="preserve"> </w:t>
      </w:r>
      <w:r>
        <w:t>小时</w:t>
      </w:r>
      <w:r>
        <w:t xml:space="preserve"> </w:t>
      </w:r>
      <w:r>
        <w:t>−1</w:t>
      </w:r>
      <w:r>
        <w:t xml:space="preserve"> </w:t>
      </w:r>
      <w:r>
        <w:t>和Na的选择性</w:t>
      </w:r>
      <w:r>
        <w:t xml:space="preserve"> </w:t>
      </w:r>
      <w:r>
        <w:t>+</w:t>
      </w:r>
      <w:r>
        <w:t xml:space="preserve"> </w:t>
      </w:r>
      <w:r>
        <w:t>/镁</w:t>
      </w:r>
      <w:r>
        <w:t xml:space="preserve"> </w:t>
      </w:r>
      <w:r>
        <w:t>2+</w:t>
      </w:r>
      <w:r>
        <w:t xml:space="preserve"> </w:t>
      </w:r>
      <w:r>
        <w:t>超过500。这种突破性的分离行为归因于COF结构与EDTA对二价离子的螯合辅助延迟之间的协同作用所产生的诱导传输滞后效应。这项研究为合理设计同时具有高选择性和高通量性能的离子分离膜建立了理论框架。</w:t>
      </w:r>
    </w:p>
    <w:p>
      <w:pPr>
        <w:spacing w:before="0" w:after="200" w:lineRule="auto" w:line="276"/>
      </w:pPr>
      <w:r>
        <w:rPr>
          <w:b/>
        </w:rPr>
        <w:t xml:space="preserve">Abstract (EN): </w:t>
      </w:r>
      <w:r>
        <w:t>The efficient separation of monovalent and divalent ions remains a core challenge in desalination and ion resource recovery. Here, we propose an electrochemical confinement strategy to spatially organize EDTA into aligned arrays within the one-dimensional transport channels of TFP-Tag membrane with a pore size of 1.1 nm. This structure establishes a biomimetic, gradient-functionalized conical nanochannel. The negatively charged upper channel regions capture and block divalent ions, while the lower regions with their larger pore size and an anion-affinitive local environment facilitate monovalent ion transport, thereby achieving highly selective monovalent/divalent ion separation. The membrane exhibits outstanding monovalent/divalent ion separation performance in multi-ion mixed solutions, with Na</w:t>
      </w:r>
      <w:r>
        <w:t xml:space="preserve"> </w:t>
      </w:r>
      <w:r>
        <w:t>+</w:t>
      </w:r>
      <w:r>
        <w:t xml:space="preserve"> </w:t>
      </w:r>
      <w:r>
        <w:t>flux reaching 10.6 mmol m</w:t>
      </w:r>
      <w:r>
        <w:t xml:space="preserve"> </w:t>
      </w:r>
      <w:r>
        <w:t>−2</w:t>
      </w:r>
      <w:r>
        <w:t xml:space="preserve"> </w:t>
      </w:r>
      <w:r>
        <w:t>hour</w:t>
      </w:r>
      <w:r>
        <w:t xml:space="preserve"> </w:t>
      </w:r>
      <w:r>
        <w:t>−1</w:t>
      </w:r>
      <w:r>
        <w:t xml:space="preserve"> </w:t>
      </w:r>
      <w:r>
        <w:t>and the selectivity of Na</w:t>
      </w:r>
      <w:r>
        <w:t xml:space="preserve"> </w:t>
      </w:r>
      <w:r>
        <w:t>+</w:t>
      </w:r>
      <w:r>
        <w:t xml:space="preserve"> </w:t>
      </w:r>
      <w:r>
        <w:t>/Mg</w:t>
      </w:r>
      <w:r>
        <w:t xml:space="preserve"> </w:t>
      </w:r>
      <w:r>
        <w:t>2+</w:t>
      </w:r>
      <w:r>
        <w:t xml:space="preserve"> </w:t>
      </w:r>
      <w:r>
        <w:t>exceeding 500. This breakthrough separation behavior is attributed to an induced transport lag effect arising from the synergy between the COF structure and the chelation-assisted retardation of divalent ions by EDTA. This study establishes a theoretical framework for the rational design of ion-separation membranes exhibiting simultaneous high-selectivity and high-flux performance.</w:t>
      </w:r>
    </w:p>
    <w:p>
      <w:pPr>
        <w:spacing w:before="120" w:after="120"/>
      </w:pPr>
      <w:r>
        <w:rPr>
          <w:sz w:val="18"/>
        </w:rPr>
        <w:t>——————————————————————————————————————————————————————————————————————</w:t>
      </w:r>
    </w:p>
    <w:p>
      <w:pPr>
        <w:spacing w:before="160" w:after="40" w:line="240" w:lineRule="auto"/>
      </w:pPr>
      <w:r>
        <w:rPr>
          <w:b/>
        </w:rPr>
        <w:t xml:space="preserve">[61] </w:t>
      </w:r>
      <w:hyperlink r:id="rId660">
        <w:r>
          <w:rPr>
            <w:color w:val="1155CC"/>
            <w:u w:val="single"/>
          </w:rPr>
          <w:t>通过等离子体时间边界的结构共振进行双向太赫兹频率转换</w:t>
        </w:r>
      </w:hyperlink>
    </w:p>
    <w:p>
      <w:pPr>
        <w:spacing w:before="0" w:after="80"/>
      </w:pPr>
      <w:r>
        <w:rPr>
          <w:i/>
          <w:sz w:val="20"/>
        </w:rPr>
        <w:t>EN: Bidirectional terahertz frequency conversion via structural resonances at a plasma time boundary</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61">
        <w:r>
          <w:rPr>
            <w:color w:val="1155CC"/>
            <w:u w:val="single"/>
          </w:rPr>
          <w:t>10.1126/sciadv.aed2916</w:t>
        </w:r>
      </w:hyperlink>
    </w:p>
    <w:p>
      <w:pPr>
        <w:spacing w:before="0" w:after="120"/>
      </w:pPr>
      <w:r>
        <w:rPr>
          <w:b/>
        </w:rPr>
        <w:t xml:space="preserve">Notes: </w:t>
      </w:r>
      <w:r>
        <w:t>abstract_source=crossref</w:t>
      </w:r>
    </w:p>
    <w:p>
      <w:pPr>
        <w:spacing w:before="0" w:after="80" w:lineRule="auto" w:line="276"/>
      </w:pPr>
      <w:r>
        <w:rPr>
          <w:b/>
        </w:rPr>
        <w:t xml:space="preserve">摘要（ZH）: </w:t>
      </w:r>
      <w:r>
        <w:t>时间边界是材料折射率的突然时间变化，在改变光频率的同时保持波矢量守恒，为动态光谱控制提供了一条强大的途径。先前对类似 Drude 材料的时间边界的演示主要产生简单的单向频移。在这里，我们通过实验在空气和激光诱导等离子体之间的界面上实现了太赫兹波的超快时间边界，该等离子体通过局域表面等离子体模式表现出洛伦兹共振响应。该边界是通过在 100 飞秒内将空气转化为圆柱形等离子体柱而创建的，从而实现强大的子循环指数调制。我们在单个边界处通过非常规双向（同时红移和蓝移）频率转换观察时间折射。一个简单的模型将等离子体形成的隧道电离描述与洛伦兹色散相结合，定量地再现了测量的光谱。通过精确调整等离子体产生和太赫兹波到达之间的延迟，我们解决了光谱随时间的演变，并直接确认时间折射是基本的子周期效应。这些结果将洛伦兹时间边界确立为丰富的时间光与物质相互作用的实验平台，并为动态太赫兹光子学奠定了基础，包括时间可重构光谱元件、放大方案以及光子时间晶体和时空超材料的构建模块。</w:t>
      </w:r>
    </w:p>
    <w:p>
      <w:pPr>
        <w:spacing w:before="0" w:after="200" w:lineRule="auto" w:line="276"/>
      </w:pPr>
      <w:r>
        <w:rPr>
          <w:b/>
        </w:rPr>
        <w:t xml:space="preserve">Abstract (EN): </w:t>
      </w:r>
      <w:r>
        <w:t>A time boundary, an abrupt temporal change in material refractive index that conserves wave vector while shifting optical frequency, offers a powerful route to dynamic spectral control. Prior demonstrations of time boundaries in Drude-like materials have predominantly produced simple, unidirectional frequency shifts. Here, we experimentally realize an ultrafast time boundary for terahertz waves at an interface between air and a laser-induced plasma that exhibits a Lorentzian resonant response via a localized surface-plasmon mode. The boundary is created by converting air into a cylindrical plasma column within 100 femtoseconds, enabling strong, sub-cycle index modulation. We observe time refraction with unconventional bidirectional (simultaneous red- and blue-shifted) frequency conversion at a single boundary. A simple model that couples a tunneling-ionization description of plasma formation with Lorentzian dispersion quantitatively reproduces the measured spectra. By precisely tuning the delay between plasma creation and terahertz-wave arrival, we resolve the spectral evolution in time and directly confirm time refraction as a fundamental sub-cycle effect. These results establish Lorentzian time boundaries as an experimental platform for rich temporal light-matter interactions and lay groundwork for dynamic terahertz photonics, including temporally reconfigurable spectral elements, amplification schemes, and building blocks for photonic time crystals and spatiotemporal metamaterials.</w:t>
      </w:r>
    </w:p>
    <w:p>
      <w:pPr>
        <w:spacing w:before="120" w:after="120"/>
      </w:pPr>
      <w:r>
        <w:rPr>
          <w:sz w:val="18"/>
        </w:rPr>
        <w:t>——————————————————————————————————————————————————————————————————————</w:t>
      </w:r>
    </w:p>
    <w:p>
      <w:pPr>
        <w:spacing w:before="160" w:after="40" w:line="240" w:lineRule="auto"/>
      </w:pPr>
      <w:r>
        <w:rPr>
          <w:b/>
        </w:rPr>
        <w:t xml:space="preserve">[62] </w:t>
      </w:r>
      <w:hyperlink r:id="rId662">
        <w:r>
          <w:rPr>
            <w:color w:val="1155CC"/>
            <w:u w:val="single"/>
          </w:rPr>
          <w:t>Cohesin 和 NuRD 通过 PLZF 转录因子拮抗地驱动不同的神经元命运</w:t>
        </w:r>
      </w:hyperlink>
    </w:p>
    <w:p>
      <w:pPr>
        <w:spacing w:before="0" w:after="80"/>
      </w:pPr>
      <w:r>
        <w:rPr>
          <w:i/>
          <w:sz w:val="20"/>
        </w:rPr>
        <w:t>EN: Cohesin and NuRD antagonistically drive alternative neuronal fates via PLZF transcription factors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63">
        <w:r>
          <w:rPr>
            <w:color w:val="1155CC"/>
            <w:u w:val="single"/>
          </w:rPr>
          <w:t>10.1126/sciadv.aec9329</w:t>
        </w:r>
      </w:hyperlink>
    </w:p>
    <w:p>
      <w:pPr>
        <w:spacing w:before="0" w:after="120"/>
      </w:pPr>
      <w:r>
        <w:rPr>
          <w:b/>
        </w:rPr>
        <w:t xml:space="preserve">Notes: </w:t>
      </w:r>
      <w:r>
        <w:t>abstract_source=crossref</w:t>
      </w:r>
    </w:p>
    <w:p>
      <w:pPr>
        <w:spacing w:before="0" w:after="80" w:lineRule="auto" w:line="276"/>
      </w:pPr>
      <w:r>
        <w:rPr>
          <w:b/>
        </w:rPr>
        <w:t xml:space="preserve">摘要（ZH）: </w:t>
      </w:r>
      <w:r>
        <w:t>多种遗传和表观遗传因素共同决定发育过程中的细胞命运。确定这些命运对于神经系统尤其重要，神经系统由多种神经元细胞类型组成。基因组结构如何与表观遗传调节因子相互作用来驱动神经元命运的转录程序仍然知之甚少。在这里，我们发现粘连蛋白（一种塑造基因组结构的蛋白质复合物）促进线虫神经元子集中的 GABA 命运规范</w:t>
      </w:r>
      <w:r>
        <w:t xml:space="preserve"> </w:t>
      </w:r>
      <w:r>
        <w:t>秀丽隐杆线虫</w:t>
      </w:r>
      <w:r>
        <w:t xml:space="preserve"> </w:t>
      </w:r>
      <w:r>
        <w:t>。这一过程由 EOR-1 促进，EOR-1 是人类早幼粒细胞白血病锌指 (PLZF) 转录因子的同源物。当粘连蛋白或 EOR-1 功能丧失时，核小体重塑和脱乙酰酶 (NuRD) 复合物和 TRA-4（另一种 PLZF 同源物）会促进正常 GABA 能神经元的酪胺能命运，揭示了决定替代神经元命运的拮抗机制。这些发现强调了神经元命运规范中基因组结构、表观遗传重塑和转录调控之间的关键相互作用，并且考虑到这些因素的进化保守性，提出了跨物种神经发育的潜在机制。</w:t>
      </w:r>
    </w:p>
    <w:p>
      <w:pPr>
        <w:spacing w:before="0" w:after="200" w:lineRule="auto" w:line="276"/>
      </w:pPr>
      <w:r>
        <w:rPr>
          <w:b/>
        </w:rPr>
        <w:t xml:space="preserve">Abstract (EN): </w:t>
      </w:r>
      <w:r>
        <w:t>Diverse genetic and epigenetic factors cooperate to specify cellular fates during development. Establishing these fates is especially critical in the nervous system, which comprises diverse neuronal cell types. How genomic architecture interfaces with epigenetic regulators to drive transcriptional programs underlying neuronal fates remains poorly understood. Here, we show that cohesin, a protein complex that shapes genomic architecture, promotes GABAergic fate specification in a subset of neurons in the nematode</w:t>
      </w:r>
      <w:r>
        <w:t xml:space="preserve"> </w:t>
      </w:r>
      <w:r>
        <w:t>Caenorhabditis elegans</w:t>
      </w:r>
      <w:r>
        <w:t xml:space="preserve"> </w:t>
      </w:r>
      <w:r>
        <w:t>. This process is facilitated by EOR-1, a homolog of the human promyelocytic leukemia zinc finger (PLZF) transcription factor. The nucleosome remodeling and deacetylase (NuRD) complex and TRA-4, another PLZF homolog, promote tyraminergic fate in the normally GABAergic neurons when cohesin or EOR-1 function is lost, revealing an antagonistic mechanism determining alternative neuronal fates. These findings highlight a critical interplay among genome architecture, epigenetic remodeling, and transcriptional regulation in neuronal fate specification and, given the evolutionary conservation of these factors, suggest a mechanism underlying neural development across species.</w:t>
      </w:r>
    </w:p>
    <w:p>
      <w:pPr>
        <w:spacing w:before="120" w:after="120"/>
      </w:pPr>
      <w:r>
        <w:rPr>
          <w:sz w:val="18"/>
        </w:rPr>
        <w:t>——————————————————————————————————————————————————————————————————————</w:t>
      </w:r>
    </w:p>
    <w:p>
      <w:pPr>
        <w:spacing w:before="160" w:after="40" w:line="240" w:lineRule="auto"/>
      </w:pPr>
      <w:r>
        <w:rPr>
          <w:b/>
        </w:rPr>
        <w:t xml:space="preserve">[63] </w:t>
      </w:r>
      <w:hyperlink r:id="rId664">
        <w:r>
          <w:rPr>
            <w:color w:val="1155CC"/>
            <w:u w:val="single"/>
          </w:rPr>
          <w:t>回复克鲁格：纹身引起的炎症和免疫反应：机制见解和考虑</w:t>
        </w:r>
      </w:hyperlink>
    </w:p>
    <w:p>
      <w:pPr>
        <w:spacing w:before="0" w:after="80"/>
      </w:pPr>
      <w:r>
        <w:rPr>
          <w:i/>
          <w:sz w:val="20"/>
        </w:rPr>
        <w:t>EN: Reply to Kluger: Tattoo-induced inflammation and immune responses: Mechanistic insights and considerations</w:t>
      </w:r>
    </w:p>
    <w:p>
      <w:pPr>
        <w:spacing w:before="0" w:after="120"/>
      </w:pPr>
      <w:r>
        <w:rPr>
          <w:b/>
        </w:rPr>
        <w:t xml:space="preserve">Source: </w:t>
      </w:r>
      <w:r>
        <w:t>Proceedings of the National Academy of Sciences: Keyword search for query</w:t>
      </w:r>
      <w:r>
        <w:t xml:space="preserve">    </w:t>
      </w:r>
      <w:r>
        <w:rPr>
          <w:b/>
        </w:rPr>
        <w:t xml:space="preserve">Pub date: </w:t>
      </w:r>
      <w:r>
        <w:t>2026-07-31 07:00:00+00:00</w:t>
      </w:r>
      <w:r>
        <w:t xml:space="preserve">    </w:t>
      </w:r>
      <w:r>
        <w:rPr>
          <w:b/>
        </w:rPr>
        <w:t xml:space="preserve">DOI: </w:t>
      </w:r>
      <w:hyperlink r:id="rId665">
        <w:r>
          <w:rPr>
            <w:color w:val="1155CC"/>
            <w:u w:val="single"/>
          </w:rPr>
          <w:t>10.1073/pnas.2613440123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666">
        <w:r>
          <w:rPr>
            <w:color w:val="1155CC"/>
            <w:u w:val="single"/>
          </w:rPr>
          <w:t>用于脊柱侧弯矫正闭环监测和管理的半球纬度梯度传感器</w:t>
        </w:r>
      </w:hyperlink>
    </w:p>
    <w:p>
      <w:pPr>
        <w:spacing w:before="0" w:after="80"/>
      </w:pPr>
      <w:r>
        <w:rPr>
          <w:i/>
          <w:sz w:val="20"/>
        </w:rPr>
        <w:t>EN: A hemispherical latitude-gradient sensor for closed-loop monitoring and management of scoliosis correction</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67">
        <w:r>
          <w:rPr>
            <w:color w:val="1155CC"/>
            <w:u w:val="single"/>
          </w:rPr>
          <w:t>10.1126/sciadv.aeh1421</w:t>
        </w:r>
      </w:hyperlink>
    </w:p>
    <w:p>
      <w:pPr>
        <w:spacing w:before="0" w:after="120"/>
      </w:pPr>
      <w:r>
        <w:rPr>
          <w:b/>
        </w:rPr>
        <w:t xml:space="preserve">Notes: </w:t>
      </w:r>
      <w:r>
        <w:t>abstract_source=crossref</w:t>
      </w:r>
    </w:p>
    <w:p>
      <w:pPr>
        <w:spacing w:before="0" w:after="80" w:lineRule="auto" w:line="276"/>
      </w:pPr>
      <w:r>
        <w:rPr>
          <w:b/>
        </w:rPr>
        <w:t xml:space="preserve">摘要（ZH）: </w:t>
      </w:r>
      <w:r>
        <w:t>脊柱侧弯的保守治疗依赖于物理治疗和支具，但这两种方法都缺乏定量、实时监测矫正力的工具。在这里，我们以脊柱侧弯作为临床范例，介绍了一种半球纬度梯度（HS-LG）传感器，作为以前未知的用于柔软弯曲身体界面的传感范例。利用非零高斯曲率 (</w:t>
      </w:r>
      <w:r>
        <w:t xml:space="preserve"> </w:t>
      </w:r>
      <w:r>
        <w:t>K</w:t>
      </w:r>
      <w:r>
        <w:t xml:space="preserve"> </w:t>
      </w:r>
      <w:r>
        <w:t>G</w:t>
      </w:r>
      <w:r>
        <w:t xml:space="preserve"> </w:t>
      </w:r>
      <w:r>
        <w:t>≠</w:t>
      </w:r>
      <w:r>
        <w:rPr>
          <w:vertAlign w:val="subscript"/>
        </w:rPr>
        <w:t>0</w:t>
      </w:r>
      <w:r>
        <w:t xml:space="preserve"> </w:t>
      </w:r>
      <w:r>
        <w:t>）几何形状，该设备充当时空机械过滤器，将法向压力转换为面内拉力，以克服限制传统传感器的剪切和应力伪影。 HS-LG 传感器集成到无线平台中，可在治疗过程中即时显示时空压力动态。在物理治疗中，双侧部署建立了第一个定量、闭环施罗斯疗法。实时视觉反馈将目标不对称呼吸放大约 40%，并将非目标区域努力解耦，将主观指令转化为数据驱动的神经肌肉内化。在支撑中，嵌入式传感器映射日常活动期间的压力，揭示高度动态、特定姿势的力重新分布，包括行走期间的瞬态压力梯度反转，这对传统的静态矫正提出了挑战</w:t>
      </w:r>
    </w:p>
    <w:p>
      <w:pPr>
        <w:spacing w:before="0" w:after="200" w:lineRule="auto" w:line="276"/>
      </w:pPr>
      <w:r>
        <w:rPr>
          <w:b/>
        </w:rPr>
        <w:t xml:space="preserve">Abstract (EN): </w:t>
      </w:r>
      <w:r>
        <w:t>Conservative treatment of scoliosis relies on physiotherapy and bracing, yet both approaches lack tools for quantitative, real-time monitoring of corrective forces. Here, we introduce a hemispherical latitude-gradient (HS-LG) sensor as a previously unknown sensing paradigm for soft, curved-body interfaces, using scoliosis as a clinical exemplar. Leveraging a nonzero Gaussian curvature (</w:t>
      </w:r>
      <w:r>
        <w:t xml:space="preserve"> </w:t>
      </w:r>
      <w:r>
        <w:t>K</w:t>
      </w:r>
      <w:r>
        <w:t xml:space="preserve"> </w:t>
      </w:r>
      <w:r>
        <w:t>G</w:t>
      </w:r>
      <w:r>
        <w:t xml:space="preserve"> </w:t>
      </w:r>
      <w:r>
        <w:t>≠</w:t>
      </w:r>
      <w:r>
        <w:rPr>
          <w:vertAlign w:val="subscript"/>
        </w:rPr>
        <w:t>0</w:t>
      </w:r>
      <w:r>
        <w:t xml:space="preserve"> </w:t>
      </w:r>
      <w:r>
        <w:t>) geometry, the device acts as a spatiotemporal mechanical filter, converting normal pressure into in-plane tensile forces to overcome shear and stress artifacts limiting conventional sensors. Integrated into a wireless platform, the HS-LG sensor enables immediate visualization of spatiotemporal pressure dynamics during therapy. In physiotherapy, bilateral deployment established the first quantitative, closed-loop Schroth regimen. Real-time visual feedback amplified targeted asymmetric breathing by ∼40% and decoupled nontargeted regional effort, transforming subjective instruction into data-driven neuromuscular internalization. In bracing, embedded sensors mapped pressures during daily activities, uncovering highly dynamic, posture-specific force redistributions, including transient pressure gradient reversals during ambulation, that challenge conventional static orthotic paradigms. Furthermore, age (</w:t>
      </w:r>
      <w:r>
        <w:t xml:space="preserve"> </w:t>
      </w:r>
      <w:r>
        <w:t>r</w:t>
      </w:r>
      <w:r>
        <w:t xml:space="preserve"> </w:t>
      </w:r>
      <w:r>
        <w:t>=</w:t>
      </w:r>
      <w:r>
        <w:t xml:space="preserve"> </w:t>
      </w:r>
      <w:r>
        <w:t>0.738</w:t>
      </w:r>
      <w:r>
        <w:t xml:space="preserve"> </w:t>
      </w:r>
      <w:r>
        <w:t>) and body mass index (BMI;</w:t>
      </w:r>
      <w:r>
        <w:t xml:space="preserve"> </w:t>
      </w:r>
      <w:r>
        <w:t>r</w:t>
      </w:r>
      <w:r>
        <w:t xml:space="preserve"> </w:t>
      </w:r>
      <w:r>
        <w:t>=</w:t>
      </w:r>
      <w:r>
        <w:t xml:space="preserve"> </w:t>
      </w:r>
      <w:r>
        <w:t>0.733</w:t>
      </w:r>
      <w:r>
        <w:t xml:space="preserve"> </w:t>
      </w:r>
      <w:r>
        <w:t>) emerged as strong predictors of daily wear compliance in the lumbar cohort, while BMI consistently drove interfacial mechanical loading across both spinal regions (lumbar</w:t>
      </w:r>
      <w:r>
        <w:t xml:space="preserve"> </w:t>
      </w:r>
      <w:r>
        <w:t>r</w:t>
      </w:r>
      <w:r>
        <w:t xml:space="preserve"> </w:t>
      </w:r>
      <w:r>
        <w:t>=</w:t>
      </w:r>
      <w:r>
        <w:t xml:space="preserve"> </w:t>
      </w:r>
      <w:r>
        <w:t>0.61</w:t>
      </w:r>
      <w:r>
        <w:t xml:space="preserve"> </w:t>
      </w:r>
      <w:r>
        <w:t>; thoracic</w:t>
      </w:r>
      <w:r>
        <w:t xml:space="preserve"> </w:t>
      </w:r>
      <w:r>
        <w:t>r</w:t>
      </w:r>
      <w:r>
        <w:t xml:space="preserve"> </w:t>
      </w:r>
      <w:r>
        <w:t>=</w:t>
      </w:r>
      <w:r>
        <w:t xml:space="preserve"> </w:t>
      </w:r>
      <w:r>
        <w:t>0.77</w:t>
      </w:r>
      <w:r>
        <w:t xml:space="preserve"> </w:t>
      </w:r>
      <w:r>
        <w:t>). Together, these results establish the HS-LG sensor design as a versatile, patient-ready platform that links geometry-driven sensing design to personalized, data-informed scoliosis management, while broadly advancing the development of wearable mechanosensing technologies for soft, curved biological surfaces.</w:t>
      </w:r>
    </w:p>
    <w:p>
      <w:pPr>
        <w:spacing w:before="120" w:after="120"/>
      </w:pPr>
      <w:r>
        <w:rPr>
          <w:sz w:val="18"/>
        </w:rPr>
        <w:t>——————————————————————————————————————————————————————————————————————</w:t>
      </w:r>
    </w:p>
    <w:p>
      <w:pPr>
        <w:spacing w:before="160" w:after="40" w:line="240" w:lineRule="auto"/>
      </w:pPr>
      <w:r>
        <w:rPr>
          <w:b/>
        </w:rPr>
        <w:t xml:space="preserve">[65] </w:t>
      </w:r>
      <w:hyperlink r:id="rId668">
        <w:r>
          <w:rPr>
            <w:color w:val="1155CC"/>
            <w:u w:val="single"/>
          </w:rPr>
          <w:t>细胞应激引发 RNAPII 降解和全局重新分布</w:t>
        </w:r>
      </w:hyperlink>
    </w:p>
    <w:p>
      <w:pPr>
        <w:spacing w:before="0" w:after="80"/>
      </w:pPr>
      <w:r>
        <w:rPr>
          <w:i/>
          <w:sz w:val="20"/>
        </w:rPr>
        <w:t>EN: Cellular stress triggers degradation and global redistribution of RNAPII</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69">
        <w:r>
          <w:rPr>
            <w:color w:val="1155CC"/>
            <w:u w:val="single"/>
          </w:rPr>
          <w:t>10.1126/sciadv.aec6649</w:t>
        </w:r>
      </w:hyperlink>
    </w:p>
    <w:p>
      <w:pPr>
        <w:spacing w:before="0" w:after="120"/>
      </w:pPr>
      <w:r>
        <w:rPr>
          <w:b/>
        </w:rPr>
        <w:t xml:space="preserve">Notes: </w:t>
      </w:r>
      <w:r>
        <w:t>abstract_source=crossref</w:t>
      </w:r>
    </w:p>
    <w:p>
      <w:pPr>
        <w:spacing w:before="0" w:after="80" w:lineRule="auto" w:line="276"/>
      </w:pPr>
      <w:r>
        <w:rPr>
          <w:b/>
        </w:rPr>
        <w:t xml:space="preserve">摘要（ZH）: </w:t>
      </w:r>
      <w:r>
        <w:t>转录对于细胞应激反应至关重要。然而，人们对 RNAPII 在应激过程中如何响应和调节的了解甚少。我们发现 RNAPII 在许多类型的细胞应激下都会降解。在渗透应激细胞中，TNFα-p38途径被激活并促进CUL1 E3连接酶复合物的neddylation，该复合物通过FBXO11与RPB1相互作用，泛素化并降解RNAPII。这导致全基因组 RNAPII 结合减少，但防止了启动子 GC 含量低的基因的 RNAPII 结合损失。这种重新分布保护了 RNAPII 免受细胞粘附、MAPK 和 GPCR 途径中应激反应基因的影响。 RNAPII 重新分布对于细胞生存至关重要，因为降解阻断会导致低 GC 启动子中 RNAPII 的丢失，以及细胞粘附破坏和细胞凋亡增加导致的应激反应受损。因此，RNAPII 的快速降解和 RNAPII 重新分布是细胞应激反应的组成部分，有利于细胞存活。</w:t>
      </w:r>
    </w:p>
    <w:p>
      <w:pPr>
        <w:spacing w:before="0" w:after="200" w:lineRule="auto" w:line="276"/>
      </w:pPr>
      <w:r>
        <w:rPr>
          <w:b/>
        </w:rPr>
        <w:t xml:space="preserve">Abstract (EN): </w:t>
      </w:r>
      <w:r>
        <w:t>Transcription is essential for cellular stress response. However, how RNAPII respond to and are regulated during stress are poorly understood. We show that RNAPII is degraded during many types of cellular stresses. In osmotic stressed cells, the TNFα-p38 pathway was activated and promoted the neddylation of the CUL1 E3 ligase complex, which interacted with RPB1 through FBXO11 to ubiquitylate and degrade RNAPII. This caused genome wide RNAPII binding reduction, but prevented RNAPII binding loss from genes with low promoter GC content. This redistribution protected the RNAPII loss from stress response genes in the cell adhesion, MAPK and GPCR pathways. RNAPII redistribution is vital for cell survival, as degradation blockage resulted in the loss of RNAPII from low GC promoters and compromised stress response from disrupted cell adhesion to increased apoptosis. Thus, rapid RNAPII degradation and RNAPII redistribution are components of the cellular stress response to benefit cell survival.</w:t>
      </w:r>
    </w:p>
    <w:p>
      <w:pPr>
        <w:spacing w:before="120" w:after="120"/>
      </w:pPr>
      <w:r>
        <w:rPr>
          <w:sz w:val="18"/>
        </w:rPr>
        <w:t>——————————————————————————————————————————————————————————————————————</w:t>
      </w:r>
    </w:p>
    <w:p>
      <w:pPr>
        <w:spacing w:before="160" w:after="40" w:line="240" w:lineRule="auto"/>
      </w:pPr>
      <w:r>
        <w:rPr>
          <w:b/>
        </w:rPr>
        <w:t xml:space="preserve">[66] </w:t>
      </w:r>
      <w:hyperlink r:id="rId670">
        <w:r>
          <w:rPr>
            <w:color w:val="1155CC"/>
            <w:u w:val="single"/>
          </w:rPr>
          <w:t>瞬时受体电位香草酸 2 作为赫泊西林 A3 介导的中性粒细胞迁移的定向驱动器</w:t>
        </w:r>
      </w:hyperlink>
    </w:p>
    <w:p>
      <w:pPr>
        <w:spacing w:before="0" w:after="80"/>
      </w:pPr>
      <w:r>
        <w:rPr>
          <w:i/>
          <w:sz w:val="20"/>
        </w:rPr>
        <w:t>EN: Transient receptor potential vanilloid 2 functions as a directional driver for hepoxilin A3–mediated neutrophil migration</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71">
        <w:r>
          <w:rPr>
            <w:color w:val="1155CC"/>
            <w:u w:val="single"/>
          </w:rPr>
          <w:t>10.1126/sciadv.adz1986</w:t>
        </w:r>
      </w:hyperlink>
    </w:p>
    <w:p>
      <w:pPr>
        <w:spacing w:before="0" w:after="120"/>
      </w:pPr>
      <w:r>
        <w:rPr>
          <w:b/>
        </w:rPr>
        <w:t xml:space="preserve">Notes: </w:t>
      </w:r>
      <w:r>
        <w:t>abstract_source=crossref</w:t>
      </w:r>
    </w:p>
    <w:p>
      <w:pPr>
        <w:spacing w:before="0" w:after="80" w:lineRule="auto" w:line="276"/>
      </w:pPr>
      <w:r>
        <w:rPr>
          <w:b/>
        </w:rPr>
        <w:t xml:space="preserve">摘要（ZH）: </w:t>
      </w:r>
      <w:r>
        <w:t>中性粒细胞迁移涉及趋化信号和抑制信号的动态平衡。我们之前鉴定了Hepoxilin A</w:t>
      </w:r>
      <w:r>
        <w:rPr>
          <w:vertAlign w:val="subscript"/>
        </w:rPr>
        <w:t>3</w:t>
      </w:r>
      <w:r>
        <w:t>(HxA</w:t>
      </w:r>
      <w:r>
        <w:rPr>
          <w:vertAlign w:val="subscript"/>
        </w:rPr>
        <w:t>3</w:t>
      </w:r>
      <w:r>
        <w:t>）作为一种有效的化学引诱剂，引导中性粒细胞穿过肠上皮细胞迁移，并表明内源性大麻素可以抑制通过大麻素 2 受体（CB</w:t>
      </w:r>
      <w:r>
        <w:rPr>
          <w:vertAlign w:val="subscript"/>
        </w:rPr>
        <w:t>2</w:t>
      </w:r>
      <w:r>
        <w:t>R）。在这里，我们揭示了 HxA</w:t>
      </w:r>
      <w:r>
        <w:rPr>
          <w:vertAlign w:val="subscript"/>
        </w:rPr>
        <w:t>3</w:t>
      </w:r>
      <w:r>
        <w:t>使用瞬时受体电位香草酸 2 型 (TRPV2) 阳离子通道来促进轮回，这是一个由物理 TRPV2-CB 微调的过程</w:t>
      </w:r>
      <w:r>
        <w:rPr>
          <w:vertAlign w:val="subscript"/>
        </w:rPr>
        <w:t>2</w:t>
      </w:r>
      <w:r>
        <w:t>R 交互作用。在静息中性粒细胞中，表面局部 CB</w:t>
      </w:r>
      <w:r>
        <w:rPr>
          <w:vertAlign w:val="subscript"/>
        </w:rPr>
        <w:t>2</w:t>
      </w:r>
      <w:r>
        <w:t>R 对内源性大麻素的反应抑制迁移，而质膜上的一小部分 TRPV2“感知”HxA</w:t>
      </w:r>
      <w:r>
        <w:rPr>
          <w:vertAlign w:val="subscript"/>
        </w:rPr>
        <w:t>3</w:t>
      </w:r>
      <w:r>
        <w:t>。乙烷</w:t>
      </w:r>
      <w:r>
        <w:rPr>
          <w:vertAlign w:val="subscript"/>
        </w:rPr>
        <w:t>3</w:t>
      </w:r>
      <w:r>
        <w:t>驱动 TRPV2 的细胞内“存储”库移动到迁移的前沿，在此与 CB 发生物理相互作用</w:t>
      </w:r>
      <w:r>
        <w:rPr>
          <w:vertAlign w:val="subscript"/>
        </w:rPr>
        <w:t>2</w:t>
      </w:r>
      <w:r>
        <w:t>R 建立细胞表面受体复合物来指导中性粒细胞迁移。激活后，TRPV2 被分流至降解，而 CB</w:t>
      </w:r>
      <w:r>
        <w:rPr>
          <w:vertAlign w:val="subscript"/>
        </w:rPr>
        <w:t>2</w:t>
      </w:r>
      <w:r>
        <w:t>R 被替换并循环到质膜，以建立一个能够维持 HxA 方向保真度的协调系统</w:t>
      </w:r>
      <w:r>
        <w:rPr>
          <w:vertAlign w:val="subscript"/>
        </w:rPr>
        <w:t>3</w:t>
      </w:r>
      <w:r>
        <w:t>梯度。这些发现揭示了一个预</w:t>
      </w:r>
    </w:p>
    <w:p>
      <w:pPr>
        <w:spacing w:before="0" w:after="200" w:lineRule="auto" w:line="276"/>
      </w:pPr>
      <w:r>
        <w:rPr>
          <w:b/>
        </w:rPr>
        <w:t xml:space="preserve">Abstract (EN): </w:t>
      </w:r>
      <w:r>
        <w:t>Neutrophil migration involves a dynamic balance of chemoattractant and inhibitory signals. We previously identified hepoxilin A</w:t>
      </w:r>
      <w:r>
        <w:rPr>
          <w:vertAlign w:val="subscript"/>
        </w:rPr>
        <w:t>3</w:t>
      </w:r>
      <w:r>
        <w:t>(HxA</w:t>
      </w:r>
      <w:r>
        <w:rPr>
          <w:vertAlign w:val="subscript"/>
        </w:rPr>
        <w:t>3</w:t>
      </w:r>
      <w:r>
        <w:t>) as a potent chemoattractant that directs neutrophil migration across intestinal epithelia and showed that endocannabinoids can suppress migration through the cannabinoid 2 receptor (CB</w:t>
      </w:r>
      <w:r>
        <w:rPr>
          <w:vertAlign w:val="subscript"/>
        </w:rPr>
        <w:t>2</w:t>
      </w:r>
      <w:r>
        <w:t>R). Here, we reveal that HxA</w:t>
      </w:r>
      <w:r>
        <w:rPr>
          <w:vertAlign w:val="subscript"/>
        </w:rPr>
        <w:t>3</w:t>
      </w:r>
      <w:r>
        <w:t>uses the transient receptor potential vanilloid type 2 (TRPV2) cation channel to promote transmigration, a process finely tuned by physical TRPV2-CB</w:t>
      </w:r>
      <w:r>
        <w:rPr>
          <w:vertAlign w:val="subscript"/>
        </w:rPr>
        <w:t>2</w:t>
      </w:r>
      <w:r>
        <w:t>R interaction. In resting neutrophils, surface-localized CB</w:t>
      </w:r>
      <w:r>
        <w:rPr>
          <w:vertAlign w:val="subscript"/>
        </w:rPr>
        <w:t>2</w:t>
      </w:r>
      <w:r>
        <w:t>R responding to endocannabinoids suppresses migration, while a small fraction of TRPV2 at the plasma membrane “senses” HxA</w:t>
      </w:r>
      <w:r>
        <w:rPr>
          <w:vertAlign w:val="subscript"/>
        </w:rPr>
        <w:t>3</w:t>
      </w:r>
      <w:r>
        <w:t>. HxA</w:t>
      </w:r>
      <w:r>
        <w:rPr>
          <w:vertAlign w:val="subscript"/>
        </w:rPr>
        <w:t>3</w:t>
      </w:r>
      <w:r>
        <w:t>drives the movement of an intracellular “storage” pool of TRPV2 to the leading edge of migration where physical interaction with CB</w:t>
      </w:r>
      <w:r>
        <w:rPr>
          <w:vertAlign w:val="subscript"/>
        </w:rPr>
        <w:t>2</w:t>
      </w:r>
      <w:r>
        <w:t>R establishes cell surface receptor complexes to direct neutrophil migration. Postactivation, TRPV2 is shunted toward degradation, while CB</w:t>
      </w:r>
      <w:r>
        <w:rPr>
          <w:vertAlign w:val="subscript"/>
        </w:rPr>
        <w:t>2</w:t>
      </w:r>
      <w:r>
        <w:t>R is both replaced and recycled to the plasma membrane to establish a coordinated system capable of maintaining directional fidelity to HxA</w:t>
      </w:r>
      <w:r>
        <w:rPr>
          <w:vertAlign w:val="subscript"/>
        </w:rPr>
        <w:t>3</w:t>
      </w:r>
      <w:r>
        <w:t>gradients. These findings uncover a previously unrecognized layer of neutrophil trafficking regulation.</w:t>
      </w:r>
    </w:p>
    <w:p>
      <w:pPr>
        <w:spacing w:before="120" w:after="120"/>
      </w:pPr>
      <w:r>
        <w:rPr>
          <w:sz w:val="18"/>
        </w:rPr>
        <w:t>——————————————————————————————————————————————————————————————————————</w:t>
      </w:r>
    </w:p>
    <w:p>
      <w:pPr>
        <w:spacing w:before="160" w:after="40" w:line="240" w:lineRule="auto"/>
      </w:pPr>
      <w:r>
        <w:rPr>
          <w:b/>
        </w:rPr>
        <w:t xml:space="preserve">[67] </w:t>
      </w:r>
      <w:hyperlink r:id="rId672">
        <w:r>
          <w:rPr>
            <w:color w:val="1155CC"/>
            <w:u w:val="single"/>
          </w:rPr>
          <w:t>基因筛查确定 WNT5A/RYK 是细胞外囊泡命运的决定因素</w:t>
        </w:r>
      </w:hyperlink>
    </w:p>
    <w:p>
      <w:pPr>
        <w:spacing w:before="0" w:after="80"/>
      </w:pPr>
      <w:r>
        <w:rPr>
          <w:i/>
          <w:sz w:val="20"/>
        </w:rPr>
        <w:t>EN: Genetic screening identifies WNT5A/RYK as a determinant of extracellular vesicle fate</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73">
        <w:r>
          <w:rPr>
            <w:color w:val="1155CC"/>
            <w:u w:val="single"/>
          </w:rPr>
          <w:t>10.1126/sciadv.aeb2877</w:t>
        </w:r>
      </w:hyperlink>
    </w:p>
    <w:p>
      <w:pPr>
        <w:spacing w:before="0" w:after="120"/>
      </w:pPr>
      <w:r>
        <w:rPr>
          <w:b/>
        </w:rPr>
        <w:t xml:space="preserve">Notes: </w:t>
      </w:r>
      <w:r>
        <w:t>abstract_source=crossref</w:t>
      </w:r>
    </w:p>
    <w:p>
      <w:pPr>
        <w:spacing w:before="0" w:after="80" w:lineRule="auto" w:line="276"/>
      </w:pPr>
      <w:r>
        <w:rPr>
          <w:b/>
        </w:rPr>
        <w:t xml:space="preserve">摘要（ZH）: </w:t>
      </w:r>
      <w:r>
        <w:t>细胞外囊泡 (EV) 是细胞间通讯的天然介质，通过将细胞质物质从供体细胞转移到受体细胞。受体细胞中控制 EV 摄取和货物递送的分子机制在很大程度上仍然难以捉摸。为了解决这一差距，我们进行了基因筛查，询问动态表面组的 300 个基因是否参与 EV 摄取。筛选中发现的激活剂在 EV 摄取和 Wnt 通路之间建立了以前未知的联系。然后我们观察到，与主要被运输到受体细胞中的溶酶体的 WNT-naïve EV 不同，携带 WNT5A 的 EV 徘徊在早期内吞结构中。这种重新路由取决于 RYK 的表达，RYK 是 WNT5A 的既定共受体。我们的结果描述了 EV 功能异质性的潜在机制，并揭示了非典型 WNT 信号传导的潜在调节系统。</w:t>
      </w:r>
    </w:p>
    <w:p>
      <w:pPr>
        <w:spacing w:before="0" w:after="200" w:lineRule="auto" w:line="276"/>
      </w:pPr>
      <w:r>
        <w:rPr>
          <w:b/>
        </w:rPr>
        <w:t xml:space="preserve">Abstract (EN): </w:t>
      </w:r>
      <w:r>
        <w:t>Extracellular vesicles (EVs) are natural mediators of intercellular communication through the transfer of cytoplasmic material from donor to recipient cells. The molecular mechanisms governing EV uptake and cargo delivery in recipient cells remain largely elusive. To address this gap, we performed a genetic screening interrogating 300 genes of the dynamic surfaceome for their involvement in EV uptake. Activators found in the screening establish a previously unknown connection between EV uptake and Wnt pathways. We then observed that, unlike WNT-naïve EVs that are primarily trafficked to lysosomes in recipient cells, WNT5A-bearing EVs linger in early endocytic structures. This rerouting is dependent on the expression of RYK, an established co-receptor for WNT5A. Our results depict a mechanism underlying EV functional heterogeneity as well as reveal a potential regulation system for noncanonical WNT signaling.</w:t>
      </w:r>
    </w:p>
    <w:p>
      <w:pPr>
        <w:spacing w:before="120" w:after="120"/>
      </w:pPr>
      <w:r>
        <w:rPr>
          <w:sz w:val="18"/>
        </w:rPr>
        <w:t>——————————————————————————————————————————————————————————————————————</w:t>
      </w:r>
    </w:p>
    <w:p>
      <w:pPr>
        <w:spacing w:before="160" w:after="40" w:line="240" w:lineRule="auto"/>
      </w:pPr>
      <w:r>
        <w:rPr>
          <w:b/>
        </w:rPr>
        <w:t xml:space="preserve">[68] </w:t>
      </w:r>
      <w:hyperlink r:id="rId674">
        <w:r>
          <w:rPr>
            <w:color w:val="1155CC"/>
            <w:u w:val="single"/>
          </w:rPr>
          <w:t>僵硬的基质在多个层面上损害细胞毒性 T 淋巴细胞功能</w:t>
        </w:r>
      </w:hyperlink>
    </w:p>
    <w:p>
      <w:pPr>
        <w:spacing w:before="0" w:after="80"/>
      </w:pPr>
      <w:r>
        <w:rPr>
          <w:i/>
          <w:sz w:val="20"/>
        </w:rPr>
        <w:t>EN: Stiff matrix impairs cytotoxic T lymphocyte function at multiple levels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75">
        <w:r>
          <w:rPr>
            <w:color w:val="1155CC"/>
            <w:u w:val="single"/>
          </w:rPr>
          <w:t>10.1126/sciadv.ady2299</w:t>
        </w:r>
      </w:hyperlink>
    </w:p>
    <w:p>
      <w:pPr>
        <w:spacing w:before="0" w:after="120"/>
      </w:pPr>
      <w:r>
        <w:rPr>
          <w:b/>
        </w:rPr>
        <w:t xml:space="preserve">Notes: </w:t>
      </w:r>
      <w:r>
        <w:t>abstract_source=crossref</w:t>
      </w:r>
    </w:p>
    <w:p>
      <w:pPr>
        <w:spacing w:before="0" w:after="80" w:lineRule="auto" w:line="276"/>
      </w:pPr>
      <w:r>
        <w:rPr>
          <w:b/>
        </w:rPr>
        <w:t xml:space="preserve">摘要（ZH）: </w:t>
      </w:r>
      <w:r>
        <w:t>细胞毒性 T 淋巴细胞 (CTL) 通过诱导癌细胞凋亡，在抗肿瘤免疫中发挥关键作用。然而，它们的效应器功能可能会因肿瘤微环境（TME）的扰动而受到损害。在 TME 的多种因素中，细胞外基质 (ECM) 的硬度对 CTL 介导的反应的影响需要更多的了解。为了解决这一差距，我们在基于聚乙二醇的 ECM 模拟物中进行了三维生物打印 CTL 和靶向细胞，具有可调节的刚度和均匀的孔隙率。我们的研究结果表明，较硬的 ECM 中的 CTL 表现出迁移速度降低和抗原特异性细胞毒性受损。突触形成分析表明，较硬的 ECM 不是通过降低 CTL 与靶细胞接触的频率来损害 CTL 功效，而是通过缩短这些细胞之间的接触时间（免疫突触形成被破坏的结果）来损害 CTL 功效。活钙</w:t>
      </w:r>
      <w:r>
        <w:t xml:space="preserve"> </w:t>
      </w:r>
      <w:r>
        <w:t>2+</w:t>
      </w:r>
      <w:r>
        <w:t xml:space="preserve"> </w:t>
      </w:r>
      <w:r>
        <w:t>磷酸化 ZAP70 的成像和表达证实了这些发现。总之，这些结果表明 ECM 硬度在多个层面上调节 CTL 功能，从迁移到细胞毒性和突触质量。</w:t>
      </w:r>
    </w:p>
    <w:p>
      <w:pPr>
        <w:spacing w:before="0" w:after="200" w:lineRule="auto" w:line="276"/>
      </w:pPr>
      <w:r>
        <w:rPr>
          <w:b/>
        </w:rPr>
        <w:t xml:space="preserve">Abstract (EN): </w:t>
      </w:r>
      <w:r>
        <w:t>Cytotoxic T lymphocytes (CTLs) play a pivotal role in antitumor immunity via inducing apoptosis in cancer cells. However, their effector functions can be compromised by the perturbations in the tumor microenvironment (TME). Among the diverse factors within the TME, the effects of stiffness of the extracellular matrix (ECM) on CTL-mediated responses require greater understanding. To address this gap, we three-dimensionally bioprinted CTLs and targeted cells in polyethylene glycol–based ECM mimics with tunable stiffness and uniform porosity. Our findings reveal that CTLs in stiffer ECMs showed reduced migration speed and impaired antigen-specific cytotoxicity. Synapse formation analysis revealed that stiffer ECMs impair CTL efficacy not by reducing the frequency of CTL-target cell contacts but by shortening the contact time between these cells, a consequence of disrupted immunological synapse formation. Live Ca</w:t>
      </w:r>
      <w:r>
        <w:t xml:space="preserve"> </w:t>
      </w:r>
      <w:r>
        <w:t>2+</w:t>
      </w:r>
      <w:r>
        <w:t xml:space="preserve"> </w:t>
      </w:r>
      <w:r>
        <w:t>imaging and expression of phospho-ZAP70 confirmed these findings. Together, these results suggest that ECM stiffness modulates CTL function at multiple levels, from migration to cytotoxicity and synapse quality.</w:t>
      </w:r>
    </w:p>
    <w:p>
      <w:pPr>
        <w:spacing w:before="120" w:after="120"/>
      </w:pPr>
      <w:r>
        <w:rPr>
          <w:sz w:val="18"/>
        </w:rPr>
        <w:t>——————————————————————————————————————————————————————————————————————</w:t>
      </w:r>
    </w:p>
    <w:p>
      <w:pPr>
        <w:spacing w:before="160" w:after="40" w:line="240" w:lineRule="auto"/>
      </w:pPr>
      <w:r>
        <w:rPr>
          <w:b/>
        </w:rPr>
        <w:t xml:space="preserve">[69] </w:t>
      </w:r>
      <w:hyperlink r:id="rId676">
        <w:r>
          <w:rPr>
            <w:color w:val="1155CC"/>
            <w:u w:val="single"/>
          </w:rPr>
          <w:t>纹状体尾部的间接通路神经元调节对感觉驱动行为的抑制控制</w:t>
        </w:r>
      </w:hyperlink>
    </w:p>
    <w:p>
      <w:pPr>
        <w:spacing w:before="0" w:after="80"/>
      </w:pPr>
      <w:r>
        <w:rPr>
          <w:i/>
          <w:sz w:val="20"/>
        </w:rPr>
        <w:t>EN: Indirect pathway neurons in the tail of the striatum regulate inhibitory control over sensory driven behavior</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77">
        <w:r>
          <w:rPr>
            <w:color w:val="1155CC"/>
            <w:u w:val="single"/>
          </w:rPr>
          <w:t>10.1126/sciadv.aeb5352</w:t>
        </w:r>
      </w:hyperlink>
    </w:p>
    <w:p>
      <w:pPr>
        <w:spacing w:before="0" w:after="120"/>
      </w:pPr>
      <w:r>
        <w:rPr>
          <w:b/>
        </w:rPr>
        <w:t xml:space="preserve">Notes: </w:t>
      </w:r>
      <w:r>
        <w:t>abstract_source=crossref</w:t>
      </w:r>
    </w:p>
    <w:p>
      <w:pPr>
        <w:spacing w:before="0" w:after="80" w:lineRule="auto" w:line="276"/>
      </w:pPr>
      <w:r>
        <w:rPr>
          <w:b/>
        </w:rPr>
        <w:t xml:space="preserve">摘要（ZH）: </w:t>
      </w:r>
      <w:r>
        <w:t>抑制控制，即在某些情况下抑制行动的能力，在行为上是至关重要的。抑制控制破坏与各种神经精神症状有关，因此了解潜在的神经基础至关重要。我们研究了纹状体尾部（TS）（基底神经节的主要感觉中枢）如何调节对感觉刺激的反应。小鼠执行听觉 Go/NoGo 任务，而我们记录 TS 神经元活动。两种多刺神经元亚型均在目标声音和非目标声音期间被招募，但非目标声音独特地参与持续的间接通路神经元活动。暂时抑制这种活动会增加对非目标刺激的错误，表明其在抑制不当行为中发挥作用。在缺乏 Neurexin1α（一种与 ASD 和 ADHD 相关的基因）的小鼠中，TS 间接通路募集减少，并且这些小鼠表现出听觉特异性抑制控制缺陷，通过提高间接通路兴奋性可以改善这种缺陷。这些发现强调了皮层下目标可能改善神经发育障碍的注意力和行为调节。</w:t>
      </w:r>
    </w:p>
    <w:p>
      <w:pPr>
        <w:spacing w:before="0" w:after="200" w:lineRule="auto" w:line="276"/>
      </w:pPr>
      <w:r>
        <w:rPr>
          <w:b/>
        </w:rPr>
        <w:t xml:space="preserve">Abstract (EN): </w:t>
      </w:r>
      <w:r>
        <w:t>Inhibitory control, the ability to withhold action in certain contexts, is behaviorally essential. Disrupted inhibitory control is linked to various neuropsychiatric symptoms, making it critical to understand the underlying neural basis. We examined how the tail of the striatum (TS), a major basal ganglia sensory hub, regulates actions to sensory stimuli. Mice performed an auditory Go/NoGo task, while we recorded TS neuron activity. Both spiny neuron subtypes were recruited during target and nontarget sounds, but nontarget sounds uniquely engaged persistent indirect pathway neuron activity. Temporarily silencing this activity increased errors to nontarget stimuli, indicating a role in suppressing inappropriate action. In mice deficient for Neurexin1α, a gene linked to ASD and ADHD, TS indirect pathway recruitment was reduced, and these mice demonstrated auditory-specific inhibitory control deficits that were ameliorated by boosting indirect pathway excitability. These findings highlight a subcortical target to potentially improve attentional and behavioral regulation in neurodevelopmental disorders.</w:t>
      </w:r>
    </w:p>
    <w:p>
      <w:pPr>
        <w:spacing w:before="120" w:after="120"/>
      </w:pPr>
      <w:r>
        <w:rPr>
          <w:sz w:val="18"/>
        </w:rPr>
        <w:t>——————————————————————————————————————————————————————————————————————</w:t>
      </w:r>
    </w:p>
    <w:p>
      <w:pPr>
        <w:spacing w:before="160" w:after="40" w:line="240" w:lineRule="auto"/>
      </w:pPr>
      <w:r>
        <w:rPr>
          <w:b/>
        </w:rPr>
        <w:t xml:space="preserve">[70] </w:t>
      </w:r>
      <w:hyperlink r:id="rId678">
        <w:r>
          <w:rPr>
            <w:color w:val="1155CC"/>
            <w:u w:val="single"/>
          </w:rPr>
          <w:t>ZMAT3 通过适应鞘脂代谢减轻范可尼贫血中的细胞死亡</w:t>
        </w:r>
      </w:hyperlink>
    </w:p>
    <w:p>
      <w:pPr>
        <w:spacing w:before="0" w:after="80"/>
      </w:pPr>
      <w:r>
        <w:rPr>
          <w:i/>
          <w:sz w:val="20"/>
        </w:rPr>
        <w:t>EN: ZMAT3 alleviates cell death in Fanconi anemia via adaptation of sphingolipid metabolism</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79">
        <w:r>
          <w:rPr>
            <w:color w:val="1155CC"/>
            <w:u w:val="single"/>
          </w:rPr>
          <w:t>10.1126/sciadv.aeb6444</w:t>
        </w:r>
      </w:hyperlink>
    </w:p>
    <w:p>
      <w:pPr>
        <w:spacing w:before="0" w:after="120"/>
      </w:pPr>
      <w:r>
        <w:rPr>
          <w:b/>
        </w:rPr>
        <w:t xml:space="preserve">Notes: </w:t>
      </w:r>
      <w:r>
        <w:t>abstract_source=crossref</w:t>
      </w:r>
    </w:p>
    <w:p>
      <w:pPr>
        <w:spacing w:before="0" w:after="80" w:lineRule="auto" w:line="276"/>
      </w:pPr>
      <w:r>
        <w:rPr>
          <w:b/>
        </w:rPr>
        <w:t xml:space="preserve">摘要（ZH）: </w:t>
      </w:r>
      <w:r>
        <w:t>范可尼贫血 (FA) 的特点是 DNA 修复缺陷和 p53 慢性激活，通过持续的基因组不稳定性诱发急性髓系白血病。使细胞在慢性应激下生存的分子适应仍知之甚少。本研究调查了 ZMAT3（一种在 FA 缺陷细胞中过表达的 p53 响应性 RNA 结合蛋白）的作用，以阐明其在细胞适应中的作用。使用 FA 患者成纤维细胞和</w:t>
      </w:r>
      <w:r>
        <w:t xml:space="preserve"> </w:t>
      </w:r>
      <w:r>
        <w:t>范奇</w:t>
      </w:r>
      <w:r>
        <w:t xml:space="preserve"> </w:t>
      </w:r>
      <w:r>
        <w:t>KO 小鼠模型，我们启动了转录组学分析、脂质组学和功能分析。 RNA-seq 和脂质组学分析揭示了 ZMAT3 耗尽后鞘脂代谢发生意外变化，这与神经酰胺积累和 ASAH1（酸性神经酰胺酶）下调有关。从功能上讲，ZMAT3 耗尽会增加 DNA 损伤并增强铁死亡（一种铁依赖性细胞死亡机制）的易感性。从机制上讲，我们的结果表明，ZMAT3 促进 ASAH1 表达，限制神经酰胺积累并保护细胞免遭铁死亡诱导的死亡，这可能参与白血病前期克隆进化，并为 FA 相关恶性肿瘤的进一步探索指明了方向。</w:t>
      </w:r>
    </w:p>
    <w:p>
      <w:pPr>
        <w:spacing w:before="0" w:after="200" w:lineRule="auto" w:line="276"/>
      </w:pPr>
      <w:r>
        <w:rPr>
          <w:b/>
        </w:rPr>
        <w:t xml:space="preserve">Abstract (EN): </w:t>
      </w:r>
      <w:r>
        <w:t>Fanconi anemia (FA) is characterized by defective DNA repair and chronic p53 activation, predisposing to acute myeloid leukemia through persistent genomic instability. The molecular adaptations enabling cell survival under chronic stress remain poorly understood. This study investigates the role of ZMAT3, a p53 responsive RNA binding protein overexpressed in FA deficient cells, to elucidate its role in cellular adaptation. Using FA patient fibroblasts and</w:t>
      </w:r>
      <w:r>
        <w:t xml:space="preserve"> </w:t>
      </w:r>
      <w:r>
        <w:t>Fancg</w:t>
      </w:r>
      <w:r>
        <w:t xml:space="preserve"> </w:t>
      </w:r>
      <w:r>
        <w:t>KO mouse models, we launched transcriptomic profiling, lipidomic, and functional analyses. RNA-seq and lipidomic analyses revealed unexpected alterations in sphingolipid metabolism upon ZMAT3 depletion, linked to ceramide accumulation and downregulation of ASAH1 (acid ceramidase). Functionally, ZMAT3 depletion increased DNA damage and enhanced ferroptosis susceptibility, an iron dependent cell death mechanism. Mechanistically, our results showed that ZMAT3 promotes ASAH1 expression, limits ceramide accumulation and protects cells from ferroptosis induced death which could participate to preleukemic clonal evolution and pointing to areas for further exploration in FA-associated malignancies.</w:t>
      </w:r>
    </w:p>
    <w:p>
      <w:pPr>
        <w:spacing w:before="120" w:after="120"/>
      </w:pPr>
      <w:r>
        <w:rPr>
          <w:sz w:val="18"/>
        </w:rPr>
        <w:t>——————————————————————————————————————————————————————————————————————</w:t>
      </w:r>
    </w:p>
    <w:p>
      <w:pPr>
        <w:spacing w:before="160" w:after="40" w:line="240" w:lineRule="auto"/>
      </w:pPr>
      <w:r>
        <w:rPr>
          <w:b/>
        </w:rPr>
        <w:t xml:space="preserve">[71] </w:t>
      </w:r>
      <w:hyperlink r:id="rId680">
        <w:r>
          <w:rPr>
            <w:color w:val="1155CC"/>
            <w:u w:val="single"/>
          </w:rPr>
          <w:t>宽带电子共振相干反斯托克斯/斯托克斯拉曼散射显微镜</w:t>
        </w:r>
      </w:hyperlink>
    </w:p>
    <w:p>
      <w:pPr>
        <w:spacing w:before="0" w:after="80"/>
      </w:pPr>
      <w:r>
        <w:rPr>
          <w:i/>
          <w:sz w:val="20"/>
        </w:rPr>
        <w:t>EN: Broadband electronic resonance coherent anti-Stokes/Stokes Raman scattering microscopy</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81">
        <w:r>
          <w:rPr>
            <w:color w:val="1155CC"/>
            <w:u w:val="single"/>
          </w:rPr>
          <w:t>10.1126/sciadv.aec4772</w:t>
        </w:r>
      </w:hyperlink>
    </w:p>
    <w:p>
      <w:pPr>
        <w:spacing w:before="0" w:after="120"/>
      </w:pPr>
      <w:r>
        <w:rPr>
          <w:b/>
        </w:rPr>
        <w:t xml:space="preserve">Notes: </w:t>
      </w:r>
      <w:r>
        <w:t>abstract_source=crossref</w:t>
      </w:r>
    </w:p>
    <w:p>
      <w:pPr>
        <w:spacing w:before="0" w:after="80" w:lineRule="auto" w:line="276"/>
      </w:pPr>
      <w:r>
        <w:rPr>
          <w:b/>
        </w:rPr>
        <w:t xml:space="preserve">摘要（ZH）: </w:t>
      </w:r>
      <w:r>
        <w:t>相干拉曼成像（CRI）可以实现基于内在分子振动的无标记化学成像，但其适用性往往受到低灵敏度的限制，阻碍了低丰度生物分子的检测。尽管电子共振提高了灵敏度，但大多数共振 CRI 实施依赖于窄带激发和/或检测，这限制了光谱覆盖范围并使目标分子与复杂背景的区分变得复杂。在这里，我们通过开发宽带电子共振相干反斯托克斯/斯托克斯拉曼散射（BER-CARS/CSRS）显微镜来应对这些挑战。我们证明，BER-CARS/CSRS 能够对内源生色团进行高灵敏度、无标记成像，并具有整个指纹区域的宽光谱覆盖范围。具体来说，我们捕获了延时图像，将活人胚胎肾 (HEK) 293 细胞中低丰度的细胞色素与丰富的生物分子（脂质、蛋白质和核酸）进行可视化。此外，我们将该方法应用于小鼠组织，突出显示了细胞色素在大脑皮层、脑室壁和肝脏中的特征定位。我们的结果表明，BER-CARS/CSRS 提供从细胞器动力学到组织图谱的高度灵敏、无标记的化学成像，从而实现定量表型分析和幻灯片组织病理学。</w:t>
      </w:r>
    </w:p>
    <w:p>
      <w:pPr>
        <w:spacing w:before="0" w:after="200" w:lineRule="auto" w:line="276"/>
      </w:pPr>
      <w:r>
        <w:rPr>
          <w:b/>
        </w:rPr>
        <w:t xml:space="preserve">Abstract (EN): </w:t>
      </w:r>
      <w:r>
        <w:t>Coherent Raman imaging (CRI) enables label-free chemical imaging based on intrinsic molecular vibrations, but its applicability is often limited by low sensitivity, hindering the detection of low-abundance biomolecules. Although electronic resonance enhances sensitivity, most resonance CRI implementations rely on narrowband excitation and/or detection, which limits spectral coverage and complicates the differentiation of target molecules from complex backgrounds. Here, we address these challenges by developing broadband electronic resonance coherent anti-Stokes/Stokes Raman scattering (BER-CARS/CSRS) microscopy. We show that BER-CARS/CSRS enables highly sensitive, label-free imaging of endogenous chromophores with broad spectral coverage of the entire fingerprint region. Specifically, we captured time-lapse images, visualizing low-abundance cytochromes alongside abundant biomolecules (lipids, proteins, and nucleic acids) in living human embryonic kidney (HEK) 293 cells. Furthermore, we applied the method to mouse tissues, highlighting characteristic localizations of cytochromes in the brain cortex, the cerebral ventricle wall, and the liver. Our results demonstrate that BER-CARS/CSRS provides highly sensitive, label-free chemical imaging from organelle dynamics to tissue mapping, enabling quantitative phenotyping and slide-scale histopathology.</w:t>
      </w:r>
    </w:p>
    <w:p>
      <w:pPr>
        <w:spacing w:before="120" w:after="120"/>
      </w:pPr>
      <w:r>
        <w:rPr>
          <w:sz w:val="18"/>
        </w:rPr>
        <w:t>——————————————————————————————————————————————————————————————————————</w:t>
      </w:r>
    </w:p>
    <w:p>
      <w:pPr>
        <w:spacing w:before="160" w:after="40" w:line="240" w:lineRule="auto"/>
      </w:pPr>
      <w:r>
        <w:rPr>
          <w:b/>
        </w:rPr>
        <w:t xml:space="preserve">[72] </w:t>
      </w:r>
      <w:hyperlink r:id="rId682">
        <w:r>
          <w:rPr>
            <w:color w:val="1155CC"/>
            <w:u w:val="single"/>
          </w:rPr>
          <w:t>小清蛋白中间神经元激活可挽救双基因失神性癫痫小鼠的癫痫发作和社交新颖性受损</w:t>
        </w:r>
      </w:hyperlink>
    </w:p>
    <w:p>
      <w:pPr>
        <w:spacing w:before="0" w:after="80"/>
      </w:pPr>
      <w:r>
        <w:rPr>
          <w:i/>
          <w:sz w:val="20"/>
        </w:rPr>
        <w:t>EN: Parvalbumin interneuron activation rescues both seizures and impaired social novelty in digenic absence epilepsy mice</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83">
        <w:r>
          <w:rPr>
            <w:color w:val="1155CC"/>
            <w:u w:val="single"/>
          </w:rPr>
          <w:t>10.1126/sciadv.aec6065</w:t>
        </w:r>
      </w:hyperlink>
    </w:p>
    <w:p>
      <w:pPr>
        <w:spacing w:before="0" w:after="120"/>
      </w:pPr>
      <w:r>
        <w:rPr>
          <w:b/>
        </w:rPr>
        <w:t xml:space="preserve">Notes: </w:t>
      </w:r>
      <w:r>
        <w:t>abstract_source=crossref</w:t>
      </w:r>
    </w:p>
    <w:p>
      <w:pPr>
        <w:spacing w:before="0" w:after="80" w:lineRule="auto" w:line="276"/>
      </w:pPr>
      <w:r>
        <w:rPr>
          <w:b/>
        </w:rPr>
        <w:t xml:space="preserve">摘要（ZH）: </w:t>
      </w:r>
      <w:r>
        <w:t>儿童失神癫痫（CAE）是一种常见的遗传性癫痫，具有复杂的多基因病因，但缺乏遗传上可控制的动物模型。目前的抗癫痫药物无法解决 CAE 的显着神经认知和社会合并症，突显了对综合治疗和更好地了解潜在机制的迫切需求尚未得到满足。为了解决这个问题，我们开发了双基因小鼠模型（</w:t>
      </w:r>
      <w:r>
        <w:t xml:space="preserve"> </w:t>
      </w:r>
      <w:r>
        <w:t>Cacng2</w:t>
      </w:r>
      <w:r>
        <w:t xml:space="preserve"> </w:t>
      </w:r>
      <w:r>
        <w:t>观星者/+</w:t>
      </w:r>
      <w:r>
        <w:t xml:space="preserve"> </w:t>
      </w:r>
      <w:r>
        <w:t>;</w:t>
      </w:r>
      <w:r>
        <w:t xml:space="preserve"> </w:t>
      </w:r>
      <w:r>
        <w:t>卡克纳1a</w:t>
      </w:r>
      <w:r>
        <w:t xml:space="preserve"> </w:t>
      </w:r>
      <w:r>
        <w:t>+/-</w:t>
      </w:r>
      <w:r>
        <w:t>，以下简称 DiG</w:t>
      </w:r>
      <w:r>
        <w:t xml:space="preserve"> </w:t>
      </w:r>
      <w:r>
        <w:t>钙+钙1A</w:t>
      </w:r>
      <w:r>
        <w:t xml:space="preserve"> </w:t>
      </w:r>
      <w:r>
        <w:t>）模仿人类多基因性。双突变小鼠表现出失神发作和改变的社交新奇偏好。我们发现乙磺酰亚胺（ethosuximide）是一种针对丘脑低阈值 T 型钙电流的一线抗 CAE 药物，可抑制 DiG 患者的癫痫发作</w:t>
      </w:r>
      <w:r>
        <w:t xml:space="preserve"> </w:t>
      </w:r>
      <w:r>
        <w:t>钙+钙1A</w:t>
      </w:r>
      <w:r>
        <w:t xml:space="preserve"> </w:t>
      </w:r>
      <w:r>
        <w:t>小鼠，但未能挽救它们的社交缺陷。同样，删除</w:t>
      </w:r>
      <w:r>
        <w:t xml:space="preserve"> </w:t>
      </w:r>
      <w:r>
        <w:t>卡纳1g</w:t>
      </w:r>
      <w:r>
        <w:t xml:space="preserve"> </w:t>
      </w:r>
      <w:r>
        <w:t>，编码 T 型 Ca</w:t>
      </w:r>
      <w:r>
        <w:t xml:space="preserve"> </w:t>
      </w:r>
      <w:r>
        <w:t>2+</w:t>
      </w:r>
      <w:r>
        <w:t xml:space="preserve"> </w:t>
      </w:r>
      <w:r>
        <w:t>钙通道</w:t>
      </w:r>
      <w:r>
        <w:t xml:space="preserve"> </w:t>
      </w:r>
      <w:r>
        <w:t>V</w:t>
      </w:r>
      <w:r>
        <w:t xml:space="preserve"> </w:t>
      </w:r>
      <w:r>
        <w:t>3.1，阻止了癫痫发作，但没有改善社会赤字。这些发现揭示了介导癫痫发作的 T 型电流与社交缺陷背后的机制之间的分离。我们进一步证明，在</w:t>
      </w:r>
      <w:r>
        <w:t xml:space="preserve"> </w:t>
      </w:r>
      <w:r>
        <w:t>Cacng2</w:t>
      </w:r>
      <w:r>
        <w:t xml:space="preserve"> </w:t>
      </w:r>
      <w:r>
        <w:t>观星者/+</w:t>
      </w:r>
      <w:r>
        <w:t xml:space="preserve"> </w:t>
      </w:r>
      <w:r>
        <w:t>小鼠，选择性删除一个拷贝o</w:t>
      </w:r>
    </w:p>
    <w:p>
      <w:pPr>
        <w:spacing w:before="0" w:after="200" w:lineRule="auto" w:line="276"/>
      </w:pPr>
      <w:r>
        <w:rPr>
          <w:b/>
        </w:rPr>
        <w:t xml:space="preserve">Abstract (EN): </w:t>
      </w:r>
      <w:r>
        <w:t>Childhood absence epilepsy (CAE) is a common genetic epilepsy with a frequently complex polygenic etiology, for which a genetically tractable animal model is lacking. Current anti-seizure medications fail to address the significant neurocognitive and social comorbidities of CAE, highlighting a critical unmet need for comprehensive therapies and a better understanding of the underlying mechanisms. To address this, we developed a digenic mouse model (</w:t>
      </w:r>
      <w:r>
        <w:t xml:space="preserve"> </w:t>
      </w:r>
      <w:r>
        <w:t>Cacng2</w:t>
      </w:r>
      <w:r>
        <w:t xml:space="preserve"> </w:t>
      </w:r>
      <w:r>
        <w:t>stargazer/+</w:t>
      </w:r>
      <w:r>
        <w:t xml:space="preserve"> </w:t>
      </w:r>
      <w:r>
        <w:t>;</w:t>
      </w:r>
      <w:r>
        <w:t xml:space="preserve"> </w:t>
      </w:r>
      <w:r>
        <w:t>Cacna1a</w:t>
      </w:r>
      <w:r>
        <w:t xml:space="preserve"> </w:t>
      </w:r>
      <w:r>
        <w:t>+/−</w:t>
      </w:r>
      <w:r>
        <w:t>, hereafter DiG</w:t>
      </w:r>
      <w:r>
        <w:t xml:space="preserve"> </w:t>
      </w:r>
      <w:r>
        <w:t>stg+Ca1A</w:t>
      </w:r>
      <w:r>
        <w:t xml:space="preserve"> </w:t>
      </w:r>
      <w:r>
        <w:t>) that mimics human polygenicity. The double mutant mice exhibit both absence seizures and altered social novelty preference. We found that ethosuximide, a first-line anti-CAE medication targeting thalamic low-threshold T-type calcium currents, suppressed seizures in DiG</w:t>
      </w:r>
      <w:r>
        <w:t xml:space="preserve"> </w:t>
      </w:r>
      <w:r>
        <w:t>stg+Ca1A</w:t>
      </w:r>
      <w:r>
        <w:t xml:space="preserve"> </w:t>
      </w:r>
      <w:r>
        <w:t>mice but failed to rescue their social deficit. Similarly, deletion of</w:t>
      </w:r>
      <w:r>
        <w:t xml:space="preserve"> </w:t>
      </w:r>
      <w:r>
        <w:t>Cacna1g</w:t>
      </w:r>
      <w:r>
        <w:t xml:space="preserve"> </w:t>
      </w:r>
      <w:r>
        <w:t>, which encodes the T-type Ca</w:t>
      </w:r>
      <w:r>
        <w:t xml:space="preserve"> </w:t>
      </w:r>
      <w:r>
        <w:t>2+</w:t>
      </w:r>
      <w:r>
        <w:t xml:space="preserve"> </w:t>
      </w:r>
      <w:r>
        <w:t>channel Ca</w:t>
      </w:r>
      <w:r>
        <w:t xml:space="preserve"> </w:t>
      </w:r>
      <w:r>
        <w:t>V</w:t>
      </w:r>
      <w:r>
        <w:t xml:space="preserve"> </w:t>
      </w:r>
      <w:r>
        <w:t>3.1, prevented seizure generation but did not ameliorate the social deficit. These findings reveal a dissociation between the T-type current that mediates seizures and the mechanism underlying the social deficits. We further demonstrate that in</w:t>
      </w:r>
      <w:r>
        <w:t xml:space="preserve"> </w:t>
      </w:r>
      <w:r>
        <w:t>Cacng2</w:t>
      </w:r>
      <w:r>
        <w:t xml:space="preserve"> </w:t>
      </w:r>
      <w:r>
        <w:t>stargazer/+</w:t>
      </w:r>
      <w:r>
        <w:t xml:space="preserve"> </w:t>
      </w:r>
      <w:r>
        <w:t>mice, selective deletion of one copy of</w:t>
      </w:r>
      <w:r>
        <w:t xml:space="preserve"> </w:t>
      </w:r>
      <w:r>
        <w:t>Cacna1a</w:t>
      </w:r>
      <w:r>
        <w:t xml:space="preserve"> </w:t>
      </w:r>
      <w:r>
        <w:t>in stargazin-enriched parvalbumin (PV) interneurons induced absence seizures and impaired social behavior. Remarkably, chemogenetic activation of cortical and thalamic PV interneurons using DREADDs not only suppressed seizures but also rescued the impaired social behavior. Together, our results suggest that selective modulation of PV interneuron activity in polygenic absence epilepsy could serve as a promising therapeutic strategy to address both absence seizures, and the often treatment-resistant neurocognitive comorbidities observed in CAE.</w:t>
      </w:r>
    </w:p>
    <w:p>
      <w:pPr>
        <w:spacing w:before="120" w:after="120"/>
      </w:pPr>
      <w:r>
        <w:rPr>
          <w:sz w:val="18"/>
        </w:rPr>
        <w:t>——————————————————————————————————————————————————————————————————————</w:t>
      </w:r>
    </w:p>
    <w:p>
      <w:pPr>
        <w:spacing w:before="160" w:after="40" w:line="240" w:lineRule="auto"/>
      </w:pPr>
      <w:r>
        <w:rPr>
          <w:b/>
        </w:rPr>
        <w:t xml:space="preserve">[73] </w:t>
      </w:r>
      <w:hyperlink r:id="rId684">
        <w:r>
          <w:rPr>
            <w:color w:val="1155CC"/>
            <w:u w:val="single"/>
          </w:rPr>
          <w:t>亚年度决议证据表明 74 ka 多巴火山喷发对东非气候影响有限</w:t>
        </w:r>
      </w:hyperlink>
    </w:p>
    <w:p>
      <w:pPr>
        <w:spacing w:before="0" w:after="80"/>
      </w:pPr>
      <w:r>
        <w:rPr>
          <w:i/>
          <w:sz w:val="20"/>
        </w:rPr>
        <w:t>EN: Sub-annual resolution evidence for limited impact of the 74-ka Toba eruption on eastern African climate</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85">
        <w:r>
          <w:rPr>
            <w:color w:val="1155CC"/>
            <w:u w:val="single"/>
          </w:rPr>
          <w:t>10.1126/sciadv.adv6851</w:t>
        </w:r>
      </w:hyperlink>
    </w:p>
    <w:p>
      <w:pPr>
        <w:spacing w:before="0" w:after="120"/>
      </w:pPr>
      <w:r>
        <w:rPr>
          <w:b/>
        </w:rPr>
        <w:t xml:space="preserve">Notes: </w:t>
      </w:r>
      <w:r>
        <w:t>abstract_source=crossref</w:t>
      </w:r>
    </w:p>
    <w:p>
      <w:pPr>
        <w:spacing w:before="0" w:after="80" w:lineRule="auto" w:line="276"/>
      </w:pPr>
      <w:r>
        <w:rPr>
          <w:b/>
        </w:rPr>
        <w:t xml:space="preserve">摘要（ZH）: </w:t>
      </w:r>
      <w:r>
        <w:t>大约 74,000 年前印度尼西亚多巴山的“超级喷发”，可能是人类目睹的最大的火山事件，激发了数十年的研究，研究喷发对全球气候和古代人类生态的影响。由于缺乏涵盖关键时间窗口且具有足够分辨率的地质代理记录来辨别火山喷发直接造成的环境影响，进展受到阻碍。在这里，我们提供了来自热带非洲东部的亚年度解析代理数据，这些数据将多巴火山喷发的时间限制在北半球冬季，并表明它引发了持续不到两年的适度降温和严重干旱。这种短暂的气候扰动叠加在数十年的变冷/干燥趋势之上，同时伴随着北部高纬度变冷阶段，标志着世界向末次冰期的过渡。我们的研究结果表明，与其他自然气候动态相比，东非多巴火山喷发的气候影响较小，因此可以改进评估其环境影响的地球系统模型的参数化。</w:t>
      </w:r>
    </w:p>
    <w:p>
      <w:pPr>
        <w:spacing w:before="0" w:after="200" w:lineRule="auto" w:line="276"/>
      </w:pPr>
      <w:r>
        <w:rPr>
          <w:b/>
        </w:rPr>
        <w:t xml:space="preserve">Abstract (EN): </w:t>
      </w:r>
      <w:r>
        <w:t>The “super-eruption” of Mt. Toba in Indonesia ∼74,000 years ago, probably the largest volcanic event witnessed by humanity, has stimulated decades of research into the eruption’s impacts on global climate and ancient human ecology. Progress has been hampered by lack of geological proxy records covering the critical time window with sufficient resolution to discern the environmental impacts directly due to the eruption. Here, we present sub-annually resolved proxy data from eastern tropical Africa which constrain the timing of the Toba eruption to Northern Hemisphere winter and suggest that it triggered modest cooling and acute drought lasting less than two years. This short-lived climate perturbation was superimposed on a multi-decadal cooling/drying trend coeval with a phase of northern high-latitude cooling characterizing the world’s transition into the last glacial period. Our findings indicate that climatic impacts of the Toba eruption in eastern Africa were modest compared with other natural climate dynamics, henceforth allowing improved parameterization of earth-system models assessing its environmental impact.</w:t>
      </w:r>
    </w:p>
    <w:p>
      <w:pPr>
        <w:spacing w:before="120" w:after="120"/>
      </w:pPr>
      <w:r>
        <w:rPr>
          <w:sz w:val="18"/>
        </w:rPr>
        <w:t>——————————————————————————————————————————————————————————————————————</w:t>
      </w:r>
    </w:p>
    <w:p>
      <w:pPr>
        <w:spacing w:before="160" w:after="40" w:line="240" w:lineRule="auto"/>
      </w:pPr>
      <w:r>
        <w:rPr>
          <w:b/>
        </w:rPr>
        <w:t xml:space="preserve">[74] </w:t>
      </w:r>
      <w:hyperlink r:id="rId686">
        <w:r>
          <w:rPr>
            <w:color w:val="1155CC"/>
            <w:u w:val="single"/>
          </w:rPr>
          <w:t>TRF2 将肌肉干细胞特性与再生修复结合起来</w:t>
        </w:r>
      </w:hyperlink>
    </w:p>
    <w:p>
      <w:pPr>
        <w:spacing w:before="0" w:after="80"/>
      </w:pPr>
      <w:r>
        <w:rPr>
          <w:i/>
          <w:sz w:val="20"/>
        </w:rPr>
        <w:t>EN: TRF2 couples muscle stem cell identity to regenerative repair</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87">
        <w:r>
          <w:rPr>
            <w:color w:val="1155CC"/>
            <w:u w:val="single"/>
          </w:rPr>
          <w:t>10.1126/sciadv.aei7316</w:t>
        </w:r>
      </w:hyperlink>
    </w:p>
    <w:p>
      <w:pPr>
        <w:spacing w:before="0" w:after="120"/>
      </w:pPr>
      <w:r>
        <w:rPr>
          <w:b/>
        </w:rPr>
        <w:t xml:space="preserve">Notes: </w:t>
      </w:r>
      <w:r>
        <w:t>abstract_source=crossref</w:t>
      </w:r>
    </w:p>
    <w:p>
      <w:pPr>
        <w:spacing w:before="0" w:after="80" w:lineRule="auto" w:line="276"/>
      </w:pPr>
      <w:r>
        <w:rPr>
          <w:b/>
        </w:rPr>
        <w:t xml:space="preserve">摘要（ZH）: </w:t>
      </w:r>
      <w:r>
        <w:t>干细胞介导的再生对于组织完整性至关重要。在骨骼肌中，组织修复很大程度上取决于肌肉干细胞（MuSC），它们通过在再生过程中做出精确的命运决定来经历动态的细胞状态转变。然而，MuSC 中细胞状态转换的分子调节因子仍不清楚。在这里，我们确定了 TRF2 在 MuSC 生物学中以前未被认识到的非典型作用。 TRF2 在损伤时受到动态调节，需要保持干细胞特性、支持修复性肌生成和维持自我更新。 MuSC 特异性 TRF2 破坏加剧了小鼠肌营养不良症的病理学，概括了人类疾病的关键特征。从机制上讲，TRF2 与谱系特异性基因上富含 DNA G 四链体形成序列的调节区域相关联，维持其表达。这些发现表明 TRF2 是成体干细胞功能和组织特异性再生反应的关键调节因子。</w:t>
      </w:r>
    </w:p>
    <w:p>
      <w:pPr>
        <w:spacing w:before="0" w:after="200" w:lineRule="auto" w:line="276"/>
      </w:pPr>
      <w:r>
        <w:rPr>
          <w:b/>
        </w:rPr>
        <w:t xml:space="preserve">Abstract (EN): </w:t>
      </w:r>
      <w:r>
        <w:t>Stem cell–mediated regeneration is essential for tissue integrity. In skeletal muscle, tissue repair largely depends on muscle stem cells (MuSCs), which undergo dynamic cell-state transitions through making precise fate decisions during regeneration. However, the molecular regulators of cell-state conversion in MuSCs remain unclear. Here, we identify a previously unrecognized, noncanonical role for TRF2 in MuSC biology. TRF2 is dynamically regulated upon injury and required to preserve stem cell identity, support reparative myogenesis, and sustain self-renewal. MuSC-specific TRF2 disruption exacerbates muscular dystrophy pathology in mice, recapitulating key features of human disease. Mechanistically, TRF2 associates with regulatory regions enriched for DNA G-quadruplex–forming sequences at lineage-specific genes, sustaining their expression. These findings establish TRF2 as a pivotal regulator of adult stem cell function and tissue-specific regenerative responses.</w:t>
      </w:r>
    </w:p>
    <w:p>
      <w:pPr>
        <w:spacing w:before="120" w:after="120"/>
      </w:pPr>
      <w:r>
        <w:rPr>
          <w:sz w:val="18"/>
        </w:rPr>
        <w:t>——————————————————————————————————————————————————————————————————————</w:t>
      </w:r>
    </w:p>
    <w:p>
      <w:pPr>
        <w:spacing w:before="160" w:after="40" w:line="240" w:lineRule="auto"/>
      </w:pPr>
      <w:r>
        <w:rPr>
          <w:b/>
        </w:rPr>
        <w:t xml:space="preserve">[75] </w:t>
      </w:r>
      <w:hyperlink r:id="rId688">
        <w:r>
          <w:rPr>
            <w:color w:val="1155CC"/>
            <w:u w:val="single"/>
          </w:rPr>
          <w:t>人SRCAP-CFDP1全酶交换组蛋白H2A.Z的结构机制</w:t>
        </w:r>
      </w:hyperlink>
    </w:p>
    <w:p>
      <w:pPr>
        <w:spacing w:before="0" w:after="80"/>
      </w:pPr>
      <w:r>
        <w:rPr>
          <w:i/>
          <w:sz w:val="20"/>
        </w:rPr>
        <w:t>EN: Structural mechanism of histone H2A.Z exchange by human SRCAP-CFDP1 holoenzyme</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89">
        <w:r>
          <w:rPr>
            <w:color w:val="1155CC"/>
            <w:u w:val="single"/>
          </w:rPr>
          <w:t>10.1126/sciadv.aei7728</w:t>
        </w:r>
      </w:hyperlink>
    </w:p>
    <w:p>
      <w:pPr>
        <w:spacing w:before="0" w:after="120"/>
      </w:pPr>
      <w:r>
        <w:rPr>
          <w:b/>
        </w:rPr>
        <w:t xml:space="preserve">Notes: </w:t>
      </w:r>
      <w:r>
        <w:t>abstract_source=crossref</w:t>
      </w:r>
    </w:p>
    <w:p>
      <w:pPr>
        <w:spacing w:before="0" w:after="80" w:lineRule="auto" w:line="276"/>
      </w:pPr>
      <w:r>
        <w:rPr>
          <w:b/>
        </w:rPr>
        <w:t xml:space="preserve">摘要（ZH）: </w:t>
      </w:r>
      <w:r>
        <w:t>保守的酵母 SWR1 和人 SRCAP 染色质重塑复合物催化核小体组蛋白 H2A 交换为 H2A.Z，但其潜在机制仍不清楚。在这里，我们表明 SRCAP 进行的组蛋白交换需要瞬时激活剂 CFDP1，并解析了 SRCAP-CFDP1 全酶的九个冷冻电子显微镜结构，这些结构定义了逐步交换机制。 CFDP1 通过与多个亚基的相互作用（包括与 ATP 酶结构域的直接接触）识别完全接合的 SRCAP-核小体复合物的构象，并诱导构象转变，从而驱动广泛的 DNA 解包、H2A-H2B 二聚体的驱逐以及 H2A.Z-H2B 二聚体的插入，所有这些都不需要水解结合的 ATP。总的来说，这些发现为激活剂和核苷酸驱动的从核小体 H2A 到 H2A.Z 的组蛋白交换机制提供了前所未有的见解。</w:t>
      </w:r>
    </w:p>
    <w:p>
      <w:pPr>
        <w:spacing w:before="0" w:after="200" w:lineRule="auto" w:line="276"/>
      </w:pPr>
      <w:r>
        <w:rPr>
          <w:b/>
        </w:rPr>
        <w:t xml:space="preserve">Abstract (EN): </w:t>
      </w:r>
      <w:r>
        <w:t>The conserved yeast SWR1 and human SRCAP chromatin remodeling complexes catalyze exchange of nucleosomal histone H2A for H2A.Z, but the underlying mechanism has remained obscure. Here, we show that histone exchange by SRCAP requires the transient activator CFDP1 and resolve nine cryo–electron microscopy structures of the SRCAP-CFDP1 holoenzyme that define the stepwise exchange mechanism. CFDP1 recognizes the conformation of the fully engaged SRCAP-nucleosome complex through interactions with multiple subunits—including direct contact with the ATPase domain—and induces conformational transitions that drive extensive DNA unwrapping, eviction of the H2A-H2B dimer, and insertion of the H2A.Z-H2B dimer, all without necessarily requiring hydrolysis of bound ATP. Collectively, these findings provide unprecedented insight into the mechanism of activator- and nucleotide-driven histone exchange from nucleosomal H2A to H2A.Z.</w:t>
      </w:r>
    </w:p>
    <w:p>
      <w:pPr>
        <w:spacing w:before="120" w:after="120"/>
      </w:pPr>
      <w:r>
        <w:rPr>
          <w:sz w:val="18"/>
        </w:rPr>
        <w:t>——————————————————————————————————————————————————————————————————————</w:t>
      </w:r>
    </w:p>
    <w:p>
      <w:pPr>
        <w:spacing w:before="160" w:after="40" w:line="240" w:lineRule="auto"/>
      </w:pPr>
      <w:r>
        <w:rPr>
          <w:b/>
        </w:rPr>
        <w:t xml:space="preserve">[76] </w:t>
      </w:r>
      <w:hyperlink r:id="rId690">
        <w:r>
          <w:rPr>
            <w:color w:val="1155CC"/>
            <w:u w:val="single"/>
          </w:rPr>
          <w:t>对电气化海水淡化中水传输的机理见解：渗透和电渗透解耦</w:t>
        </w:r>
      </w:hyperlink>
    </w:p>
    <w:p>
      <w:pPr>
        <w:spacing w:before="0" w:after="80"/>
      </w:pPr>
      <w:r>
        <w:rPr>
          <w:i/>
          <w:sz w:val="20"/>
        </w:rPr>
        <w:t>EN: Mechanistic insights into water transport in electrified desalination: Osmosis and electroosmosis decoupled</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91">
        <w:r>
          <w:rPr>
            <w:color w:val="1155CC"/>
            <w:u w:val="single"/>
          </w:rPr>
          <w:t>10.1126/sciadv.aed3128</w:t>
        </w:r>
      </w:hyperlink>
    </w:p>
    <w:p>
      <w:pPr>
        <w:spacing w:before="0" w:after="120"/>
      </w:pPr>
      <w:r>
        <w:rPr>
          <w:b/>
        </w:rPr>
        <w:t xml:space="preserve">Notes: </w:t>
      </w:r>
      <w:r>
        <w:t>abstract_source=crossref</w:t>
      </w:r>
    </w:p>
    <w:p>
      <w:pPr>
        <w:spacing w:before="0" w:after="80" w:lineRule="auto" w:line="276"/>
      </w:pPr>
      <w:r>
        <w:rPr>
          <w:b/>
        </w:rPr>
        <w:t xml:space="preserve">摘要（ZH）: </w:t>
      </w:r>
      <w:r>
        <w:t>高盐废水对传统海水淡化技术提出了严峻的挑战，传统海水淡化技术从根本上受到高渗透压的限制。电气化海水淡化可以克服这一限制，因为它是由电场而不是液压驱动的。然而，由渗透和电渗引起的通过离子交换膜的不需要的水传输仍然是其效率的关键瓶颈。迄今为止，离子交换膜中水传输的基本机制在很大程度上仍未被探索。在本研究中，我们基于不可逆热力学的框架，通过流电势测量确定了水传输离子的数量，为量化电渗奠定了理论基础。然后，我们证明了水传输的实验测量与理论预测之间的良好一致性，验证了我们的理论框架的稳健性和准确性。我们还将渗透和电渗透各自对整体水输送的贡献分开。在这些见解的指导下，我们提出了一种先前未确定的策略，通过利用浓差极化来降低有效渗透压梯度，从而抑制渗透水通量并提高能源效率，从而减轻渗透水损失。总体而言，这项工作增进了对离子交换膜中水传输的基本理解，并为优化高盐废水处理的电气化海水淡化系统提供了实用指导。</w:t>
      </w:r>
    </w:p>
    <w:p>
      <w:pPr>
        <w:spacing w:before="0" w:after="200" w:lineRule="auto" w:line="276"/>
      </w:pPr>
      <w:r>
        <w:rPr>
          <w:b/>
        </w:rPr>
        <w:t xml:space="preserve">Abstract (EN): </w:t>
      </w:r>
      <w:r>
        <w:t>High-salinity wastewaters pose a serious challenge for conventional desalination technologies that are fundamentally constrained by the high osmotic pressure. Electrified desalination can overcome this limitation as it is driven by an electric field rather than hydraulic pressure. However, undesired water transport through ion exchange membranes, arising from both osmosis and electroosmosis, remains a key bottleneck to their efficiency. To date, the underlying mechanisms of water transport in ion exchange membranes remain largely unexplored. In this study, we determine the water transport number of ions via streaming potential measurements, based on the framework of irreversible thermodynamics, establishing a theoretical basis for quantifying electroosmosis. We then demonstrate excellent agreement between experimental measurements of water transport and theoretical predictions, validating the robustness and accuracy of our theoretical framework. We also decouple the respective contributions of osmosis and electroosmosis to the overall water transport. Guided by these insights, we propose a previously unidentified strategy to mitigate osmotic water loss by leveraging concentration polarization to reduce the effective osmotic pressure gradient, thereby suppressing osmotic water flux and improving energy efficiency. Overall, this work advances the fundamental understanding of water transport in ion exchange membranes and provides practical guidance for optimizing electrified desalination systems for high-salinity wastewater treatment.</w:t>
      </w:r>
    </w:p>
    <w:p>
      <w:pPr>
        <w:spacing w:before="120" w:after="120"/>
      </w:pPr>
      <w:r>
        <w:rPr>
          <w:sz w:val="18"/>
        </w:rPr>
        <w:t>——————————————————————————————————————————————————————————————————————</w:t>
      </w:r>
    </w:p>
    <w:p>
      <w:pPr>
        <w:spacing w:before="160" w:after="40" w:line="240" w:lineRule="auto"/>
      </w:pPr>
      <w:r>
        <w:rPr>
          <w:b/>
        </w:rPr>
        <w:t xml:space="preserve">[77] </w:t>
      </w:r>
      <w:hyperlink r:id="rId692">
        <w:r>
          <w:rPr>
            <w:color w:val="1155CC"/>
            <w:u w:val="single"/>
          </w:rPr>
          <w:t>弧下地幔的硫含量和同位素组成</w:t>
        </w:r>
      </w:hyperlink>
    </w:p>
    <w:p>
      <w:pPr>
        <w:spacing w:before="0" w:after="80"/>
      </w:pPr>
      <w:r>
        <w:rPr>
          <w:i/>
          <w:sz w:val="20"/>
        </w:rPr>
        <w:t>EN: The sulfur content and isotopic composition of the subarc mantle</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93">
        <w:r>
          <w:rPr>
            <w:color w:val="1155CC"/>
            <w:u w:val="single"/>
          </w:rPr>
          <w:t>10.1126/sciadv.aeb9747</w:t>
        </w:r>
      </w:hyperlink>
    </w:p>
    <w:p>
      <w:pPr>
        <w:spacing w:before="0" w:after="120"/>
      </w:pPr>
      <w:r>
        <w:rPr>
          <w:b/>
        </w:rPr>
        <w:t xml:space="preserve">Notes: </w:t>
      </w:r>
      <w:r>
        <w:t>abstract_source=crossref</w:t>
      </w:r>
    </w:p>
    <w:p>
      <w:pPr>
        <w:spacing w:before="0" w:after="80" w:lineRule="auto" w:line="276"/>
      </w:pPr>
      <w:r>
        <w:rPr>
          <w:b/>
        </w:rPr>
        <w:t xml:space="preserve">摘要（ZH）: </w:t>
      </w:r>
      <w:r>
        <w:t>硫在调节地球氧化还原循环方面发挥着关键作用。然而，硫在俯冲和地幔氧化还原反应中的行为存在争议。我们分析了</w:t>
      </w:r>
      <w:r>
        <w:rPr>
          <w:vertAlign w:val="subscript"/>
        </w:rPr>
        <w:t>34</w:t>
      </w:r>
      <w:r>
        <w:t>小号/</w:t>
      </w:r>
      <w:r>
        <w:rPr>
          <w:vertAlign w:val="subscript"/>
        </w:rPr>
        <w:t>32</w:t>
      </w:r>
      <w:r>
        <w:t>来自对比俯冲带的镁铁质弧熔体包裹体中的硫和模拟板片-地幔相互作用以研究俯冲带硫循环。我们发现脱气可能会强烈富集或耗尽熔体</w:t>
      </w:r>
      <w:r>
        <w:rPr>
          <w:vertAlign w:val="subscript"/>
        </w:rPr>
        <w:t>34</w:t>
      </w:r>
      <w:r>
        <w:t>S 是熔体氧化还原态的函数。校正此效应后，弧岩浆的 δ 范围相当窄</w:t>
      </w:r>
      <w:r>
        <w:rPr>
          <w:vertAlign w:val="subscript"/>
        </w:rPr>
        <w:t>34</w:t>
      </w:r>
      <w:r>
        <w:t>S值（+3±2‰），高于周围的上地幔（−1‰）。板片衍生的硫被氧化，地幔铁的同时增加证明了这一点</w:t>
      </w:r>
      <w:r>
        <w:t xml:space="preserve"> </w:t>
      </w:r>
      <w:r>
        <w:t>3+</w:t>
      </w:r>
      <w:r>
        <w:t xml:space="preserve"> </w:t>
      </w:r>
      <w:r>
        <w:t>和硫含量，占地幔楔硫预算的 86%。弧岩浆δ</w:t>
      </w:r>
      <w:r>
        <w:rPr>
          <w:vertAlign w:val="subscript"/>
        </w:rPr>
        <w:t>34</w:t>
      </w:r>
      <w:r>
        <w:t>S 值反映了硫的常见板状来源：洋壳。俯冲带充当氧化能力的“过滤器”</w:t>
      </w:r>
      <w:r>
        <w:rPr>
          <w:vertAlign w:val="subscript"/>
        </w:rPr>
        <w:t>34</w:t>
      </w:r>
      <w:r>
        <w:t>S，在地质时间尺度上有效地将这些返回到地表。</w:t>
      </w:r>
    </w:p>
    <w:p>
      <w:pPr>
        <w:spacing w:before="0" w:after="200" w:lineRule="auto" w:line="276"/>
      </w:pPr>
      <w:r>
        <w:rPr>
          <w:b/>
        </w:rPr>
        <w:t xml:space="preserve">Abstract (EN): </w:t>
      </w:r>
      <w:r>
        <w:t>Sulfur plays a critical role in modulating redox cycling on Earth. Yet, sulfur’s behavior during subduction and in mantle redox reactions is debated. We analyzed</w:t>
      </w:r>
      <w:r>
        <w:rPr>
          <w:vertAlign w:val="subscript"/>
        </w:rPr>
        <w:t>34</w:t>
      </w:r>
      <w:r>
        <w:t>S/</w:t>
      </w:r>
      <w:r>
        <w:rPr>
          <w:vertAlign w:val="subscript"/>
        </w:rPr>
        <w:t>32</w:t>
      </w:r>
      <w:r>
        <w:t>S in mafic arc melt inclusions from contrasting subduction zones and modeled slab-mantle interaction to investigate the subduction zone sulfur cycle. We find that degassing may enrich or deplete the melt strongly in</w:t>
      </w:r>
      <w:r>
        <w:rPr>
          <w:vertAlign w:val="subscript"/>
        </w:rPr>
        <w:t>34</w:t>
      </w:r>
      <w:r>
        <w:t>S as a function of melt redox state. After correction for this effect, arc magmas have a substantially narrow range of δ</w:t>
      </w:r>
      <w:r>
        <w:rPr>
          <w:vertAlign w:val="subscript"/>
        </w:rPr>
        <w:t>34</w:t>
      </w:r>
      <w:r>
        <w:t>S values (+3 ± 2‰), higher than the ambient upper mantle (−1‰). Slab-derived sulfur is oxidized, evidenced by a concurrent increase in mantle Fe</w:t>
      </w:r>
      <w:r>
        <w:t xml:space="preserve"> </w:t>
      </w:r>
      <w:r>
        <w:t>3+</w:t>
      </w:r>
      <w:r>
        <w:t xml:space="preserve"> </w:t>
      </w:r>
      <w:r>
        <w:t>and sulfur contents, and contributes up to 86% of the mantle wedge’s sulfur budget. Arc magma δ</w:t>
      </w:r>
      <w:r>
        <w:rPr>
          <w:vertAlign w:val="subscript"/>
        </w:rPr>
        <w:t>34</w:t>
      </w:r>
      <w:r>
        <w:t>S values reflect a common slab source for sulfur: the oceanic crust. Subduction zones act as a “filter” for oxidative power and</w:t>
      </w:r>
      <w:r>
        <w:rPr>
          <w:vertAlign w:val="subscript"/>
        </w:rPr>
        <w:t>34</w:t>
      </w:r>
      <w:r>
        <w:t>S, effectively returning these to the surface over geological timescales.</w:t>
      </w:r>
    </w:p>
    <w:p>
      <w:pPr>
        <w:spacing w:before="120" w:after="120"/>
      </w:pPr>
      <w:r>
        <w:rPr>
          <w:sz w:val="18"/>
        </w:rPr>
        <w:t>——————————————————————————————————————————————————————————————————————</w:t>
      </w:r>
    </w:p>
    <w:p>
      <w:pPr>
        <w:spacing w:before="160" w:after="40" w:line="240" w:lineRule="auto"/>
      </w:pPr>
      <w:r>
        <w:rPr>
          <w:b/>
        </w:rPr>
        <w:t xml:space="preserve">[78] </w:t>
      </w:r>
      <w:hyperlink r:id="rId694">
        <w:r>
          <w:rPr>
            <w:color w:val="1155CC"/>
            <w:u w:val="single"/>
          </w:rPr>
          <w:t>NHEJ1 突变等位基因影响人类种系突变率（性别特异性）</w:t>
        </w:r>
      </w:hyperlink>
    </w:p>
    <w:p>
      <w:pPr>
        <w:spacing w:before="0" w:after="80"/>
      </w:pPr>
      <w:r>
        <w:rPr>
          <w:i/>
          <w:sz w:val="20"/>
        </w:rPr>
        <w:t>EN: A NHEJ1 mutator allele influencing germline mutation rates sex-specifically in humans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95">
        <w:r>
          <w:rPr>
            <w:color w:val="1155CC"/>
            <w:u w:val="single"/>
          </w:rPr>
          <w:t>10.1126/sciadv.aed2571</w:t>
        </w:r>
      </w:hyperlink>
    </w:p>
    <w:p>
      <w:pPr>
        <w:spacing w:before="0" w:after="120"/>
      </w:pPr>
      <w:r>
        <w:rPr>
          <w:b/>
        </w:rPr>
        <w:t xml:space="preserve">Notes: </w:t>
      </w:r>
      <w:r>
        <w:t>abstract_source=crossref</w:t>
      </w:r>
    </w:p>
    <w:p>
      <w:pPr>
        <w:spacing w:before="0" w:after="80" w:lineRule="auto" w:line="276"/>
      </w:pPr>
      <w:r>
        <w:rPr>
          <w:b/>
        </w:rPr>
        <w:t xml:space="preserve">摘要（ZH）: </w:t>
      </w:r>
      <w:r>
        <w:t>种系突变在进化中发挥着关键作用，是人类遗传性疾病的主要原因。尽管观察到突变率和谱的群体间和种间变异，但其潜在的遗传基础仍不清楚。在这项研究中，我们利用源自亲子全基因组测序的最大公开数据集之一探索种系突变率的遗传调控。我们首先表明，兄弟姐妹之间的种系突变率密切相关，这表明遗传因素的影响。然后，我们进行了全基因组关联研究 (GWAS)，确定了 14 个与突变率显着相关的位点，值得注意的是，</w:t>
      </w:r>
      <w:r>
        <w:t xml:space="preserve"> </w:t>
      </w:r>
      <w:r>
        <w:t>NHEJ1</w:t>
      </w:r>
      <w:r>
        <w:t xml:space="preserve"> </w:t>
      </w:r>
      <w:r>
        <w:t>该基因对 DNA 修复至关重要，它与母体突变率增加 27% 以及仅在女性中向 A 突变到 T 突变的显着转变有关。这种突变等位基因在东亚人群中尤其普遍，在东亚人群中也观察到了 A 到 T 突变谱的类似转变。进化分析表明，该等位基因可能出现在人类和人类的共同祖先中</w:t>
      </w:r>
      <w:r>
        <w:t xml:space="preserve"> </w:t>
      </w:r>
      <w:r>
        <w:t>潘</w:t>
      </w:r>
      <w:r>
        <w:t xml:space="preserve"> </w:t>
      </w:r>
      <w:r>
        <w:t>属。此外，领先 SNP 位置的基因型</w:t>
      </w:r>
      <w:r>
        <w:t xml:space="preserve"> </w:t>
      </w:r>
      <w:r>
        <w:t>潘</w:t>
      </w:r>
      <w:r>
        <w:t xml:space="preserve"> </w:t>
      </w:r>
      <w:r>
        <w:t>该物种也与人类突变等位基因相同，支持该等位基因在解释人类中观察到的加速 A 到 T 突变方面的潜在作用。</w:t>
      </w:r>
      <w:r>
        <w:t xml:space="preserve"> </w:t>
      </w:r>
      <w:r>
        <w:t>潘</w:t>
      </w:r>
      <w:r>
        <w:t xml:space="preserve"> </w:t>
      </w:r>
      <w:r>
        <w:t>血统。在一起，这些重新</w:t>
      </w:r>
    </w:p>
    <w:p>
      <w:pPr>
        <w:spacing w:before="0" w:after="200" w:lineRule="auto" w:line="276"/>
      </w:pPr>
      <w:r>
        <w:rPr>
          <w:b/>
        </w:rPr>
        <w:t xml:space="preserve">Abstract (EN): </w:t>
      </w:r>
      <w:r>
        <w:t>Germline mutations play a pivotal role in evolution and are the primary cause of hereditary diseases in humans. Although interpopulation and interspecific variations in the mutation rate and spectrum are observed, their underlying genetic basis is still unclear. In this study, we explore the genetic regulation of germline mutation rates using one of the largest publicly available datasets derived from parent-offspring whole-genome sequencing. We first showed that germline mutation rates are strongly correlated between siblings, suggesting the influence of heritable factors. We then performed a genome-wide association study (GWAS), identifying 14 loci significantly associated with mutation rates, Notably, a lead single-nucleotide polymorphism (SNP) in the</w:t>
      </w:r>
      <w:r>
        <w:t xml:space="preserve"> </w:t>
      </w:r>
      <w:r>
        <w:t>NHEJ1</w:t>
      </w:r>
      <w:r>
        <w:t xml:space="preserve"> </w:t>
      </w:r>
      <w:r>
        <w:t>gene, critical for DNA repair, was linked to a 27% increase in maternal mutation rates and a significant shift toward A-to-T mutations only in females. This mutator allele is particularly prevalent in East Asian populations, where a similar shift in the A-to-T mutation spectrum has been observed. Evolutionary analysis suggests that this allele likely emerged in the common ancestor of humans and the</w:t>
      </w:r>
      <w:r>
        <w:t xml:space="preserve"> </w:t>
      </w:r>
      <w:r>
        <w:t>Pan</w:t>
      </w:r>
      <w:r>
        <w:t xml:space="preserve"> </w:t>
      </w:r>
      <w:r>
        <w:t>genus. Furthermore, the genotype at the lead SNP position in</w:t>
      </w:r>
      <w:r>
        <w:t xml:space="preserve"> </w:t>
      </w:r>
      <w:r>
        <w:t>Pan</w:t>
      </w:r>
      <w:r>
        <w:t xml:space="preserve"> </w:t>
      </w:r>
      <w:r>
        <w:t>species is also the same as the human mutator allele, supporting the potential role for this allele to explain the accelerated A-to-T mutations observed in the human-</w:t>
      </w:r>
      <w:r>
        <w:t>Pan</w:t>
      </w:r>
      <w:r>
        <w:t xml:space="preserve"> </w:t>
      </w:r>
      <w:r>
        <w:t>lineage. Together, these results indicate that genetic variants, particularly in DNA repair pathways, contribute to variation in mutation rates and spectra across individuals and populations, with a notable sex-specific effect.</w:t>
      </w:r>
    </w:p>
    <w:p>
      <w:pPr>
        <w:spacing w:before="120" w:after="120"/>
      </w:pPr>
      <w:r>
        <w:rPr>
          <w:sz w:val="18"/>
        </w:rPr>
        <w:t>——————————————————————————————————————————————————————————————————————</w:t>
      </w:r>
    </w:p>
    <w:p>
      <w:pPr>
        <w:spacing w:before="160" w:after="40" w:line="240" w:lineRule="auto"/>
      </w:pPr>
      <w:r>
        <w:rPr>
          <w:b/>
        </w:rPr>
        <w:t xml:space="preserve">[79] </w:t>
      </w:r>
      <w:hyperlink r:id="rId696">
        <w:r>
          <w:rPr>
            <w:color w:val="1155CC"/>
            <w:u w:val="single"/>
          </w:rPr>
          <w:t>树突状细胞生物钟形状记忆CD8+ T细胞分化</w:t>
        </w:r>
      </w:hyperlink>
    </w:p>
    <w:p>
      <w:pPr>
        <w:spacing w:before="0" w:after="80"/>
      </w:pPr>
      <w:r>
        <w:rPr>
          <w:i/>
          <w:sz w:val="20"/>
        </w:rPr>
        <w:t>EN: Dendritic cell circadian clocks shape memory CD8+ T cell differentiation</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97">
        <w:r>
          <w:rPr>
            <w:color w:val="1155CC"/>
            <w:u w:val="single"/>
          </w:rPr>
          <w:t>10.1126/sciadv.aeh3719</w:t>
        </w:r>
      </w:hyperlink>
    </w:p>
    <w:p>
      <w:pPr>
        <w:spacing w:before="0" w:after="120"/>
      </w:pPr>
      <w:r>
        <w:rPr>
          <w:b/>
        </w:rPr>
        <w:t xml:space="preserve">Notes: </w:t>
      </w:r>
      <w:r>
        <w:t>abstract_source=crossref</w:t>
      </w:r>
    </w:p>
    <w:p>
      <w:pPr>
        <w:spacing w:before="0" w:after="80" w:lineRule="auto" w:line="276"/>
      </w:pPr>
      <w:r>
        <w:rPr>
          <w:b/>
        </w:rPr>
        <w:t xml:space="preserve">摘要（ZH）: </w:t>
      </w:r>
      <w:r>
        <w:t>昼夜节律调节不同的免疫过程，以及它们如何影响记忆 CD8</w:t>
      </w:r>
      <w:r>
        <w:t xml:space="preserve"> </w:t>
      </w:r>
      <w:r>
        <w:t>+</w:t>
      </w:r>
      <w:r>
        <w:t xml:space="preserve"> </w:t>
      </w:r>
      <w:r>
        <w:t>T 细胞分化仍不清楚。在这里，我们展示了一天中抗原相遇的时间形状 CD8</w:t>
      </w:r>
      <w:r>
        <w:t xml:space="preserve"> </w:t>
      </w:r>
      <w:r>
        <w:t>+</w:t>
      </w:r>
      <w:r>
        <w:t xml:space="preserve"> </w:t>
      </w:r>
      <w:r>
        <w:t>T 细胞命运和抗病毒免疫。活跃期免疫促进类祖细胞记忆CD8的产生</w:t>
      </w:r>
      <w:r>
        <w:t xml:space="preserve"> </w:t>
      </w:r>
      <w:r>
        <w:t>+</w:t>
      </w:r>
      <w:r>
        <w:t xml:space="preserve"> </w:t>
      </w:r>
      <w:r>
        <w:t>T 细胞并增强 T 细胞介导的病毒攻击保护。从机制上讲，树突状细胞固有的生物钟调节共刺激配体 CD70 的表达，从而指导 T 细胞分化。这些发现揭示了树突状细胞介导的昼夜节律机制，该机制控制记忆 T 细胞的命运决定，并表明将免疫启动与昼夜节律时间相结合可用于优化 T 细胞免疫。</w:t>
      </w:r>
    </w:p>
    <w:p>
      <w:pPr>
        <w:spacing w:before="0" w:after="200" w:lineRule="auto" w:line="276"/>
      </w:pPr>
      <w:r>
        <w:rPr>
          <w:b/>
        </w:rPr>
        <w:t xml:space="preserve">Abstract (EN): </w:t>
      </w:r>
      <w:r>
        <w:t>Circadian rhythms regulate diverse immune processes, yet how they influence memory CD8</w:t>
      </w:r>
      <w:r>
        <w:t xml:space="preserve"> </w:t>
      </w:r>
      <w:r>
        <w:t>+</w:t>
      </w:r>
      <w:r>
        <w:t xml:space="preserve"> </w:t>
      </w:r>
      <w:r>
        <w:t>T cell differentiation remains unclear. Here, we show that the time of day of antigen encounter shapes CD8</w:t>
      </w:r>
      <w:r>
        <w:t xml:space="preserve"> </w:t>
      </w:r>
      <w:r>
        <w:t>+</w:t>
      </w:r>
      <w:r>
        <w:t xml:space="preserve"> </w:t>
      </w:r>
      <w:r>
        <w:t>T cell fate and antiviral immunity. Immunization during the active phase promotes the generation of progenitor-like memory CD8</w:t>
      </w:r>
      <w:r>
        <w:t xml:space="preserve"> </w:t>
      </w:r>
      <w:r>
        <w:t>+</w:t>
      </w:r>
      <w:r>
        <w:t xml:space="preserve"> </w:t>
      </w:r>
      <w:r>
        <w:t>T cells and enhances T cell-mediated protection upon viral challenge. Mechanistically, dendritic cell-intrinsic circadian clocks regulate expression of the costimulatory ligand CD70, thereby directing T cell differentiation. These findings uncover a dendritic cell-mediated circadian mechanism that governs memory T cell fate decisions and suggest that aligning immune priming with circadian time may be leveraged to optimize T cell immunity.</w:t>
      </w:r>
    </w:p>
    <w:p>
      <w:pPr>
        <w:spacing w:before="120" w:after="120"/>
      </w:pPr>
      <w:r>
        <w:rPr>
          <w:sz w:val="18"/>
        </w:rPr>
        <w:t>——————————————————————————————————————————————————————————————————————</w:t>
      </w:r>
    </w:p>
    <w:p>
      <w:pPr>
        <w:spacing w:before="160" w:after="40" w:line="240" w:lineRule="auto"/>
      </w:pPr>
      <w:r>
        <w:rPr>
          <w:b/>
        </w:rPr>
        <w:t xml:space="preserve">[80] </w:t>
      </w:r>
      <w:hyperlink r:id="rId698">
        <w:r>
          <w:rPr>
            <w:color w:val="1155CC"/>
            <w:u w:val="single"/>
          </w:rPr>
          <w:t>月球冰的地震特征</w:t>
        </w:r>
      </w:hyperlink>
    </w:p>
    <w:p>
      <w:pPr>
        <w:spacing w:before="0" w:after="80"/>
      </w:pPr>
      <w:r>
        <w:rPr>
          <w:i/>
          <w:sz w:val="20"/>
        </w:rPr>
        <w:t>EN: The seismic signature of lunar ice</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699">
        <w:r>
          <w:rPr>
            <w:color w:val="1155CC"/>
            <w:u w:val="single"/>
          </w:rPr>
          <w:t>10.1126/sciadv.adz7220</w:t>
        </w:r>
      </w:hyperlink>
    </w:p>
    <w:p>
      <w:pPr>
        <w:spacing w:before="0" w:after="120"/>
      </w:pPr>
      <w:r>
        <w:rPr>
          <w:b/>
        </w:rPr>
        <w:t xml:space="preserve">Notes: </w:t>
      </w:r>
      <w:r>
        <w:t>abstract_source=crossref</w:t>
      </w:r>
    </w:p>
    <w:p>
      <w:pPr>
        <w:spacing w:before="0" w:after="80" w:lineRule="auto" w:line="276"/>
      </w:pPr>
      <w:r>
        <w:rPr>
          <w:b/>
        </w:rPr>
        <w:t xml:space="preserve">摘要（ZH）: </w:t>
      </w:r>
      <w:r>
        <w:t>识别月球上的水冰沉积物对于进行长期科学研究和支持未来的月球基础设施至关重要。尽管多种证据表明月球近地表内存在大量的极地水，但这些冰资源的精确位置、丰度和分布在很大程度上仍然不受限制。风化层中冰的存在改变了地球物理特性，可以使用类似于陆地地下资源勘探中使用的地球物理技术来定量表征这些地球物理特性。在这项研究中，我们将通过同步加速器 X 射线显微断层扫描获得的冰冷风化层模拟物的实验测量与先进的岩石物理模型和月球近地表热模型相结合。这种多管齐下的方法使我们能够为月球南极的理论冰沉积构建现实的地震模型。我们的方法使我们能够将地震特性的变化与冰的存在和分布联系起来，为使用地震方法推断地下冰沉积物的位置和丰度提供了一个框架。我们的结果强调，地震勘探技术是表征月球水资源的强大工具。从这些模型中获得的见解不仅增强了我们对月球风化层物理状态的理解，而且为优化即将到来的月球任务中的地球物理调查策略铺平了道路。</w:t>
      </w:r>
    </w:p>
    <w:p>
      <w:pPr>
        <w:spacing w:before="0" w:after="200" w:lineRule="auto" w:line="276"/>
      </w:pPr>
      <w:r>
        <w:rPr>
          <w:b/>
        </w:rPr>
        <w:t xml:space="preserve">Abstract (EN): </w:t>
      </w:r>
      <w:r>
        <w:t>Identifying water ice deposits on the Moon is critical for enabling long-term scientific investigations and supporting future lunar infrastructure. Although multiple lines of evidence suggest that substantial quantities of poleward water exist within the lunar near-surface, the precise location, abundance, and distribution of these ice resources remain largely unconstrained. The presence of ice in the regolith alters geophysical properties that can be quantitatively characterized using geophysical techniques analogous to those employed in terrestrial subsurface resource exploration. In this study, we integrate experimental measurements of icy regolith simulants obtained through synchrotron x-ray microtomography with advanced rock physics modeling and a thermal model of the lunar near-surface. This multi-pronged approach enables us to construct realistic seismic models for theoretical ice deposits at the lunar south pole. Our methodology allows us to link variations in seismic properties to the presence and distribution of ice, providing a framework for using seismic methods to infer both the location and the abundance of subsurface ice deposits. Our results underscore that seismic exploration techniques are a robust tool for characterizing lunar water resources. The insights gained from these models not only enhance our understanding of the physical state of the lunar regolith but also pave the way for optimizing geophysical survey strategies in upcoming lunar missions.</w:t>
      </w:r>
    </w:p>
    <w:p>
      <w:pPr>
        <w:spacing w:before="120" w:after="120"/>
      </w:pPr>
      <w:r>
        <w:rPr>
          <w:sz w:val="18"/>
        </w:rPr>
        <w:t>——————————————————————————————————————————————————————————————————————</w:t>
      </w:r>
    </w:p>
    <w:p>
      <w:pPr>
        <w:spacing w:before="160" w:after="40" w:line="240" w:lineRule="auto"/>
      </w:pPr>
      <w:r>
        <w:rPr>
          <w:b/>
        </w:rPr>
        <w:t xml:space="preserve">[81] </w:t>
      </w:r>
      <w:hyperlink r:id="rId700">
        <w:r>
          <w:rPr>
            <w:color w:val="1155CC"/>
            <w:u w:val="single"/>
          </w:rPr>
          <w:t>工程心肝轴纳米调节剂协同自噬激活和全身代谢重编程对抗动脉粥样硬化</w:t>
        </w:r>
      </w:hyperlink>
    </w:p>
    <w:p>
      <w:pPr>
        <w:spacing w:before="0" w:after="80"/>
      </w:pPr>
      <w:r>
        <w:rPr>
          <w:i/>
          <w:sz w:val="20"/>
        </w:rPr>
        <w:t>EN: Engineered heart-liver axis nanoregulators synergize autophagy activation and systemic metabolic reprogramming against atherosclerosis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01">
        <w:r>
          <w:rPr>
            <w:color w:val="1155CC"/>
            <w:u w:val="single"/>
          </w:rPr>
          <w:t>10.1126/sciadv.aee3352</w:t>
        </w:r>
      </w:hyperlink>
    </w:p>
    <w:p>
      <w:pPr>
        <w:spacing w:before="0" w:after="120"/>
      </w:pPr>
      <w:r>
        <w:rPr>
          <w:b/>
        </w:rPr>
        <w:t xml:space="preserve">Notes: </w:t>
      </w:r>
      <w:r>
        <w:t>abstract_source=crossref</w:t>
      </w:r>
    </w:p>
    <w:p>
      <w:pPr>
        <w:spacing w:before="0" w:after="80" w:lineRule="auto" w:line="276"/>
      </w:pPr>
      <w:r>
        <w:rPr>
          <w:b/>
        </w:rPr>
        <w:t xml:space="preserve">摘要（ZH）: </w:t>
      </w:r>
      <w:r>
        <w:t>动脉粥样硬化（AS）是全世界心血管疾病最重要的病理基础。然而，目前AS的主流治疗策略仅针对孤立的病理环节，忽视了肝脂肪变性作为AS的相关危险因素，导致控制动脉粥样硬化整体病程的效果有限。在此，首次报道了一种可以协同调节AS和肝脂肪变性的智能纳米平台，该平台以硫化铁纳米片为核心，接枝牛髓系抗菌肽27（BMAP-27），巧妙地涂覆红细胞-巨噬细胞混合仿生膜。首先，该纳米平台能够针对动脉粥样硬化斑块。当与低强度聚焦超声结合时，纳米平台显着增强了局部药物积累。近红外激光照射产生的局部温升打开了TRPV1通道，促进Ca</w:t>
      </w:r>
      <w:r>
        <w:t xml:space="preserve"> </w:t>
      </w:r>
      <w:r>
        <w:t>2+</w:t>
      </w:r>
      <w:r>
        <w:t xml:space="preserve"> </w:t>
      </w:r>
      <w:r>
        <w:t>条目。胞质 Ca 的增加</w:t>
      </w:r>
      <w:r>
        <w:t xml:space="preserve"> </w:t>
      </w:r>
      <w:r>
        <w:t>2+</w:t>
      </w:r>
      <w:r>
        <w:t xml:space="preserve"> </w:t>
      </w:r>
      <w:r>
        <w:t>激活泡沫细胞中的自噬，上调 ABCA1 介导的胆固醇流出，并减少氧化低密度脂蛋白的积累。同时，FPRM 有效清除动脉粥样硬化斑块内的活性氧 (ROS)，并与 BMAP-27 协同抑制 AS 相关炎症。有趣的是，FPRM经典的肝脏积聚代谢途径能够持续消除肝脏中的ROS，有效缓解肝脏脂肪变性并降低血浆甘油三酯水平，</w:t>
      </w:r>
    </w:p>
    <w:p>
      <w:pPr>
        <w:spacing w:before="0" w:after="200" w:lineRule="auto" w:line="276"/>
      </w:pPr>
      <w:r>
        <w:rPr>
          <w:b/>
        </w:rPr>
        <w:t xml:space="preserve">Abstract (EN): </w:t>
      </w:r>
      <w:r>
        <w:t>Atherosclerosis (AS) is the most important pathological basis for cardiovascular diseases worldwide. However, the current mainstream therapeutic strategies for AS only target isolated pathological links, ignoring hepatic steatosis as a related risk factor for AS, which leads to limited effectiveness in controlling the overall course of atherosclerosis. Herein, a smart nanoplatform that can synergistically regulate AS and hepatic steatosis was first reported, which featured sulfide iron nanosheets as the core, grafted with bovine myeloid antimicrobial peptide 27 (BMAP-27), skillfully coated with an erythrocyte-macrophage hybrid biomimetic membrane. First, this nanoplatform is capable of targeting atherosclerotic plaques. When combined with low-intensity focused ultrasound, the nanoplatform markedly enhanced local drug accumulation. The localized temperature rise generated by near-infrared laser irradiation acted to open TRPV1 channels, facilitating Ca</w:t>
      </w:r>
      <w:r>
        <w:t xml:space="preserve"> </w:t>
      </w:r>
      <w:r>
        <w:t>2+</w:t>
      </w:r>
      <w:r>
        <w:t xml:space="preserve"> </w:t>
      </w:r>
      <w:r>
        <w:t>entry. This increase in cytosolic Ca</w:t>
      </w:r>
      <w:r>
        <w:t xml:space="preserve"> </w:t>
      </w:r>
      <w:r>
        <w:t>2+</w:t>
      </w:r>
      <w:r>
        <w:t xml:space="preserve"> </w:t>
      </w:r>
      <w:r>
        <w:t>activated autophagy in foam cells, upregulated ABCA1-mediated cholesterol efflux, and reduced oxidized low-density lipoprotein accumulation. Meanwhile, FPRM efficiently scavenged reactive oxygen species (ROS) within atherosclerotic plaques and synergized with BMAP-27 to suppress AS-related inflammation. Intriguingly, the classic hepatic accumulation-metabolism pathway of FPRM enabled continuous ROS elimination in the liver, effectively alleviating hepatic steatosis and lowering plasma triglyceride levels, thereby achieving metabolic reprogramming and ultimately inhibiting the progression of atherosclerosis.</w:t>
      </w:r>
    </w:p>
    <w:p>
      <w:pPr>
        <w:spacing w:before="120" w:after="120"/>
      </w:pPr>
      <w:r>
        <w:rPr>
          <w:sz w:val="18"/>
        </w:rPr>
        <w:t>——————————————————————————————————————————————————————————————————————</w:t>
      </w:r>
    </w:p>
    <w:p>
      <w:pPr>
        <w:spacing w:before="160" w:after="40" w:line="240" w:lineRule="auto"/>
      </w:pPr>
      <w:r>
        <w:rPr>
          <w:b/>
        </w:rPr>
        <w:t xml:space="preserve">[82] </w:t>
      </w:r>
      <w:hyperlink r:id="rId702">
        <w:r>
          <w:rPr>
            <w:color w:val="1155CC"/>
            <w:u w:val="single"/>
          </w:rPr>
          <w:t>sPLA2 反应的细胞外囊泡 (SPLEV) 作为细胞因子风暴综合征的治疗方式</w:t>
        </w:r>
      </w:hyperlink>
    </w:p>
    <w:p>
      <w:pPr>
        <w:spacing w:before="0" w:after="80"/>
      </w:pPr>
      <w:r>
        <w:rPr>
          <w:i/>
          <w:sz w:val="20"/>
        </w:rPr>
        <w:t>EN: sPLA2-reacted extracellular vesicles (SPLEVs) as a therapeutic modality for cytokine storm syndromes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03">
        <w:r>
          <w:rPr>
            <w:color w:val="1155CC"/>
            <w:u w:val="single"/>
          </w:rPr>
          <w:t>10.1126/sciadv.adr9135</w:t>
        </w:r>
      </w:hyperlink>
    </w:p>
    <w:p>
      <w:pPr>
        <w:spacing w:before="0" w:after="120"/>
      </w:pPr>
      <w:r>
        <w:rPr>
          <w:b/>
        </w:rPr>
        <w:t xml:space="preserve">Notes: </w:t>
      </w:r>
      <w:r>
        <w:t>abstract_source=crossref</w:t>
      </w:r>
    </w:p>
    <w:p>
      <w:pPr>
        <w:spacing w:before="0" w:after="80" w:lineRule="auto" w:line="276"/>
      </w:pPr>
      <w:r>
        <w:rPr>
          <w:b/>
        </w:rPr>
        <w:t xml:space="preserve">摘要（ZH）: </w:t>
      </w:r>
      <w:r>
        <w:t>由于脓毒症、急性呼吸窘迫综合征 (ARDS) 和凝血病（包括 COVID-19 中出现的细胞因子风暴综合征）等细胞因子风暴综合征是致命的，因此迫切需要开发高效的治疗方法。最近的证据表明，分泌的磷脂酶 A 可以水解细胞外囊泡 (EV) 中的磷脂</w:t>
      </w:r>
      <w:r>
        <w:rPr>
          <w:vertAlign w:val="subscript"/>
        </w:rPr>
        <w:t>2</w:t>
      </w:r>
      <w:r>
        <w:t>（PLA</w:t>
      </w:r>
      <w:r>
        <w:rPr>
          <w:vertAlign w:val="subscript"/>
        </w:rPr>
        <w:t>2</w:t>
      </w:r>
      <w:r>
        <w:t>）可以增强 EV 调节炎症、过敏和癌症的能力。我们的目标是使用“sPLA”在技术上应用这种现象</w:t>
      </w:r>
      <w:r>
        <w:rPr>
          <w:vertAlign w:val="subscript"/>
        </w:rPr>
        <w:t>2</w:t>
      </w:r>
      <w:r>
        <w:t>-反应EV（SPLEV）”，它对ARDS和其他疾病表现出很高的治疗效果。从机制上讲，SPLEV 与 II 型肺泡上皮细胞结合，通过甾醇调节元件结合蛋白 1 途径用更多的多不饱和脂肪酸重组磷脂结构单元来增加膜流动性，并通过增加组织保护性脂质介质引发“脂质反风暴”。 SPLEV 的有效治疗效果部分取决于 sPLA</w:t>
      </w:r>
      <w:r>
        <w:rPr>
          <w:vertAlign w:val="subscript"/>
        </w:rPr>
        <w:t>2</w:t>
      </w:r>
      <w:r>
        <w:t>-驱动溶血磷脂酰甘油的产生。因此，SPLEV 有望成为治疗广泛炎症性疾病的有效治疗工具，包括 COVID-19 和其他新的流行病。</w:t>
      </w:r>
    </w:p>
    <w:p>
      <w:pPr>
        <w:spacing w:before="0" w:after="200" w:lineRule="auto" w:line="276"/>
      </w:pPr>
      <w:r>
        <w:rPr>
          <w:b/>
        </w:rPr>
        <w:t xml:space="preserve">Abstract (EN): </w:t>
      </w:r>
      <w:r>
        <w:t>Because cytokine storm syndromes such as sepsis, acute respiratory distress syndrome (ARDS), and coagulopathy, including those seen in COVID-19, are fatal, development of highly effective therapeutics is urgently needed. Recent evidence suggests that the hydrolysis of phospholipids in extracellular vesicles (EVs) by secreted phospholipase A</w:t>
      </w:r>
      <w:r>
        <w:rPr>
          <w:vertAlign w:val="subscript"/>
        </w:rPr>
        <w:t>2</w:t>
      </w:r>
      <w:r>
        <w:t>(sPLA</w:t>
      </w:r>
      <w:r>
        <w:rPr>
          <w:vertAlign w:val="subscript"/>
        </w:rPr>
        <w:t>2</w:t>
      </w:r>
      <w:r>
        <w:t>) can augment the ability of EVs to modulate inflammation, allergy, and cancer. We aimed to apply this phenomenon technically using “sPLA</w:t>
      </w:r>
      <w:r>
        <w:rPr>
          <w:vertAlign w:val="subscript"/>
        </w:rPr>
        <w:t>2</w:t>
      </w:r>
      <w:r>
        <w:t>-reacted EVs (SPLEVs),” which showed high therapeutic efficacies against ARDS and other diseases. Mechanistically, SPLEVs bind to type II alveolar epithelial cells, increase membrane fluidity by reorganizing phospholipid building blocks with more polyunsaturated fatty acids through the sterol regulatory element–binding protein 1 pathway, and elicit “lipid counterstorm” by increasing tissue-protective lipid mediators. The potent therapeutic effects of SPLEVs depend partly on sPLA</w:t>
      </w:r>
      <w:r>
        <w:rPr>
          <w:vertAlign w:val="subscript"/>
        </w:rPr>
        <w:t>2</w:t>
      </w:r>
      <w:r>
        <w:t>-driven generation of lysophosphatidylglycerol. Thus, SPLEVs are expected to be an effective therapeutic tool for treatment of broad ranges of inflammatory diseases including COVID-19 and other new pandemic diseases.</w:t>
      </w:r>
    </w:p>
    <w:p>
      <w:pPr>
        <w:spacing w:before="120" w:after="120"/>
      </w:pPr>
      <w:r>
        <w:rPr>
          <w:sz w:val="18"/>
        </w:rPr>
        <w:t>——————————————————————————————————————————————————————————————————————</w:t>
      </w:r>
    </w:p>
    <w:p>
      <w:pPr>
        <w:spacing w:before="160" w:after="40" w:line="240" w:lineRule="auto"/>
      </w:pPr>
      <w:r>
        <w:rPr>
          <w:b/>
        </w:rPr>
        <w:t xml:space="preserve">[83] </w:t>
      </w:r>
      <w:hyperlink r:id="rId704">
        <w:r>
          <w:rPr>
            <w:color w:val="1155CC"/>
            <w:u w:val="single"/>
          </w:rPr>
          <w:t>大多数同意你观点的人不会抗议：六十年研究对游行和示威的预测</w:t>
        </w:r>
      </w:hyperlink>
    </w:p>
    <w:p>
      <w:pPr>
        <w:spacing w:before="0" w:after="80"/>
      </w:pPr>
      <w:r>
        <w:rPr>
          <w:i/>
          <w:sz w:val="20"/>
        </w:rPr>
        <w:t>EN: Most people who agree with you won’t protest: Predictors of marches and demonstrations from six decades of research</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05">
        <w:r>
          <w:rPr>
            <w:color w:val="1155CC"/>
            <w:u w:val="single"/>
          </w:rPr>
          <w:t>10.1126/sciadv.aea8409</w:t>
        </w:r>
      </w:hyperlink>
    </w:p>
    <w:p>
      <w:pPr>
        <w:spacing w:before="0" w:after="120"/>
      </w:pPr>
      <w:r>
        <w:rPr>
          <w:b/>
        </w:rPr>
        <w:t xml:space="preserve">Notes: </w:t>
      </w:r>
      <w:r>
        <w:t>abstract_source=crossref</w:t>
      </w:r>
    </w:p>
    <w:p>
      <w:pPr>
        <w:spacing w:before="0" w:after="80" w:lineRule="auto" w:line="276"/>
      </w:pPr>
      <w:r>
        <w:rPr>
          <w:b/>
        </w:rPr>
        <w:t xml:space="preserve">摘要（ZH）: </w:t>
      </w:r>
      <w:r>
        <w:t>抗议和激进主义是许多国家政治生活中普遍存在的有力特征，也是对抗民主倒退和威权主义的重要潜在力量。在这篇评论文章中，我们对六十年来关于解释参与的研究结果进行了荟萃分析，特别关注两种经过充分研究的抗议形式：游行和示威。关注这些标志性和常见的抗议参与形式可以确保准确的研究比较，使我们能够识别出始终重要的变量组、其他并不始终重要的变量以及需要额外研究的变量。我们对基于调查的研究的关注也使我们能够比较包括参与者和非参与者的研究，这对于方法论上合理的比较至关重要。我们对 181 项基于调查的研究（超过 1800 种不同的估计）的分析表明，调查研究强烈支持政治兴趣、政治意识形态、组织成员资格和数字/社交媒体使用在解释参与方面的相关性，以及教育、年龄和居住在城市中心等人口变量。我们的综述还为未来的调查研究和更广泛的微移动化研究提供了重要的建议。</w:t>
      </w:r>
    </w:p>
    <w:p>
      <w:pPr>
        <w:spacing w:before="0" w:after="200" w:lineRule="auto" w:line="276"/>
      </w:pPr>
      <w:r>
        <w:rPr>
          <w:b/>
        </w:rPr>
        <w:t xml:space="preserve">Abstract (EN): </w:t>
      </w:r>
      <w:r>
        <w:t>Protest and activism are endemic and potent features of many nations’ political life and critical potential counters to democratic backsliding and authoritarianism. In this review article, we meta-analytically examine six decades of research findings on what explains participation, focusing particularly on two well-studied protest forms: marches and demonstrations. Focusing on these iconic and common forms of protest participation ensures accurate research comparison, allowing us to identify sets of variables that are consistently important, others that are not consistently important, and still others that need additional research. Our focus on survey-based studies also allows us to compare research that includes both participants and nonparticipants, which is critical for methodologically sound comparisons. Our analysis of 181 survey-based studies (with more than 1800 different estimates) shows that survey research strongly supports the relevance of political interest, political ideology, membership in organizations, and digital/social media use in explaining participation, as well as demographic variables such as education, age, and living in an urban center. Our review also offers important suggestions for future survey research and micromobilization research more broadly.</w:t>
      </w:r>
    </w:p>
    <w:p>
      <w:pPr>
        <w:spacing w:before="120" w:after="120"/>
      </w:pPr>
      <w:r>
        <w:rPr>
          <w:sz w:val="18"/>
        </w:rPr>
        <w:t>——————————————————————————————————————————————————————————————————————</w:t>
      </w:r>
    </w:p>
    <w:p>
      <w:pPr>
        <w:spacing w:before="160" w:after="40" w:line="240" w:lineRule="auto"/>
      </w:pPr>
      <w:r>
        <w:rPr>
          <w:b/>
        </w:rPr>
        <w:t xml:space="preserve">[84] </w:t>
      </w:r>
      <w:hyperlink r:id="rId706">
        <w:r>
          <w:rPr>
            <w:color w:val="1155CC"/>
            <w:u w:val="single"/>
          </w:rPr>
          <w:t>PPARG 控制高分化和去分化脂肪肉瘤的成脂分化和细胞状态可塑性</w:t>
        </w:r>
      </w:hyperlink>
    </w:p>
    <w:p>
      <w:pPr>
        <w:spacing w:before="0" w:after="80"/>
      </w:pPr>
      <w:r>
        <w:rPr>
          <w:i/>
          <w:sz w:val="20"/>
        </w:rPr>
        <w:t>EN: PPARG governs adipogenic differentiation and cell state plasticity in well-differentiated and dedifferentiated liposarcoma</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07">
        <w:r>
          <w:rPr>
            <w:color w:val="1155CC"/>
            <w:u w:val="single"/>
          </w:rPr>
          <w:t>10.1126/sciadv.aea6516</w:t>
        </w:r>
      </w:hyperlink>
    </w:p>
    <w:p>
      <w:pPr>
        <w:spacing w:before="0" w:after="120"/>
      </w:pPr>
      <w:r>
        <w:rPr>
          <w:b/>
        </w:rPr>
        <w:t xml:space="preserve">Notes: </w:t>
      </w:r>
      <w:r>
        <w:t>abstract_source=crossref</w:t>
      </w:r>
    </w:p>
    <w:p>
      <w:pPr>
        <w:spacing w:before="0" w:after="80" w:lineRule="auto" w:line="276"/>
      </w:pPr>
      <w:r>
        <w:rPr>
          <w:b/>
        </w:rPr>
        <w:t xml:space="preserve">摘要（ZH）: </w:t>
      </w:r>
      <w:r>
        <w:t>高分化和去分化脂肪肉瘤（WD/DD LPS）代表病理连续体，通常共存于同一肿瘤内。虽然去分化成分在临床上具有侵袭性，以快速生长和转移潜力为标志，但 WD 和 DD LPS 之间的进化关系仍然未知。为了研究这一点，我们对匹配的 WD 和 DD 肿瘤区域进行了单核 RNA 测序。两个区室共享主要的未分化间充质细胞群，但只有 WD 区域包含表达脂肪细胞分化标记物和 PPARG 靶基因的细胞。鉴于 PPARG 在脂肪形成过程中协调脂质代谢中的核心作用，这些发现表明该程序的丧失可能是 DD LPS 分化差、增殖表型的基础。功能研究证实，DD LPS 细胞中的 PPARG 激活会诱导脂质积累、减少增殖并损害体内肿瘤生长。这些支持了一种模型，其中脂肪形成分化受损是 DD LPS 病理学的基础，并将 PPARG 确定为促进分化和抑制肿瘤进展的潜在治疗靶点。</w:t>
      </w:r>
    </w:p>
    <w:p>
      <w:pPr>
        <w:spacing w:before="0" w:after="200" w:lineRule="auto" w:line="276"/>
      </w:pPr>
      <w:r>
        <w:rPr>
          <w:b/>
        </w:rPr>
        <w:t xml:space="preserve">Abstract (EN): </w:t>
      </w:r>
      <w:r>
        <w:t>Well-differentiated and dedifferentiated liposarcoma (WD/DD LPS) represent a pathological continuum, often coexisting within the same tumor. While the dedifferentiated component is clinically aggressive, marked by rapid growth and metastatic potential, the evolutionary relationship between WD and DD LPS remains unknown. To investigate this, we performed single-nucleus RNA sequencing on matched WD and DD tumor regions. Both compartments shared a predominant population of undifferentiated mesenchymal cells, but only WD regions contained cells expressing adipocytic differentiation markers and PPARG target genes. Given the central role of PPARG in coordinating lipid metabolism during adipogenesis, these findings suggest that loss of this program may underlie the poorly differentiated, proliferative phenotype of DD LPS. Functional studies confirmed that PPARG activation in DD LPS cells induces lipid accumulation, reduces proliferation, and impairs tumor growth in vivo. These support a model in which impaired adipogenic differentiation underlies DD LPS pathology and identify PPARG as a potential therapeutic target to promote differentiation and suppress tumor progression.</w:t>
      </w:r>
    </w:p>
    <w:p>
      <w:pPr>
        <w:spacing w:before="120" w:after="120"/>
      </w:pPr>
      <w:r>
        <w:rPr>
          <w:sz w:val="18"/>
        </w:rPr>
        <w:t>——————————————————————————————————————————————————————————————————————</w:t>
      </w:r>
    </w:p>
    <w:p>
      <w:pPr>
        <w:spacing w:before="160" w:after="40" w:line="240" w:lineRule="auto"/>
      </w:pPr>
      <w:r>
        <w:rPr>
          <w:b/>
        </w:rPr>
        <w:t xml:space="preserve">[85] </w:t>
      </w:r>
      <w:hyperlink r:id="rId708">
        <w:r>
          <w:rPr>
            <w:color w:val="1155CC"/>
            <w:u w:val="single"/>
          </w:rPr>
          <w:t>家长教育决策中人工智能采用的社会动态</w:t>
        </w:r>
      </w:hyperlink>
    </w:p>
    <w:p>
      <w:pPr>
        <w:spacing w:before="0" w:after="80"/>
      </w:pPr>
      <w:r>
        <w:rPr>
          <w:i/>
          <w:sz w:val="20"/>
        </w:rPr>
        <w:t>EN: Social dynamics of AI adoption in parents’ educational decisions</w:t>
      </w:r>
    </w:p>
    <w:p>
      <w:pPr>
        <w:spacing w:before="0" w:after="120"/>
      </w:pPr>
      <w:r>
        <w:rPr>
          <w:b/>
        </w:rPr>
        <w:t xml:space="preserve">Source: </w:t>
      </w:r>
      <w:r>
        <w:t>Proceedings of the National Academy of Sciences: Keyword search for query</w:t>
      </w:r>
      <w:r>
        <w:t xml:space="preserve">    </w:t>
      </w:r>
      <w:r>
        <w:rPr>
          <w:b/>
        </w:rPr>
        <w:t xml:space="preserve">Pub date: </w:t>
      </w:r>
      <w:r>
        <w:t>2026-07-31 07:00:00+00:00</w:t>
      </w:r>
      <w:r>
        <w:t xml:space="preserve">    </w:t>
      </w:r>
      <w:r>
        <w:rPr>
          <w:b/>
        </w:rPr>
        <w:t xml:space="preserve">DOI: </w:t>
      </w:r>
      <w:hyperlink r:id="rId709">
        <w:r>
          <w:rPr>
            <w:color w:val="1155CC"/>
            <w:u w:val="single"/>
          </w:rPr>
          <w:t>10.1073/pnas.2533193123</w:t>
        </w:r>
      </w:hyperlink>
    </w:p>
    <w:p>
      <w:pPr>
        <w:spacing w:before="0" w:after="120"/>
      </w:pPr>
      <w:r>
        <w:rPr>
          <w:b/>
        </w:rPr>
        <w:t xml:space="preserve">Notes: </w:t>
      </w:r>
      <w:r>
        <w:t>abstract_source=crossref</w:t>
      </w:r>
    </w:p>
    <w:p>
      <w:pPr>
        <w:spacing w:before="0" w:after="80" w:lineRule="auto" w:line="276"/>
      </w:pPr>
      <w:r>
        <w:rPr>
          <w:b/>
        </w:rPr>
        <w:t xml:space="preserve">摘要（ZH）: </w:t>
      </w:r>
      <w:r>
        <w:t>当采用性能增强技术提供短期相对优势时，即使大多数采用者更愿意集体禁止，竞争压力也会推动扩散。我们在青少年教育不受限制的人工智能工具的背景下研究这种动态。在对美国、加拿大和英国约 2,000 名家长进行的预先注册、激励兼容的实验中，我们征求了为领先的通用人工智能平台支付三个月高级订阅费用的意愿。随着使用人工智能的其他青少年比例的增加，需求急剧增加：将感知到的同龄人接受率从 20% 提高到 80%，支付意愿提高了 60% 以上。然后，我们测试有关潜在下游技能影响的新证据的信息是否会改变行为。风险信息极大地改变了关于长期影响的激励信念，但对个人需求影响不大，但却大大增加了对学校层面限制的支持。后续实验表明，同伴收养信息不会显着改变感知的人工智能质量、父母对核心技能的重视程度或对禁令的支持，这表明社会压力而不是社会学习是主要渠道。结果揭示了一种激烈的竞争动态，即使集体偏好转向限制，个人的采用也会对同伴做出反应。</w:t>
      </w:r>
    </w:p>
    <w:p>
      <w:pPr>
        <w:spacing w:before="0" w:after="200" w:lineRule="auto" w:line="276"/>
      </w:pPr>
      <w:r>
        <w:rPr>
          <w:b/>
        </w:rPr>
        <w:t xml:space="preserve">Abstract (EN): </w:t>
      </w:r>
      <w:r>
        <w:t>When adopting a performance-enhancing technology offers short-run relative advantages, competitive pressure can drive diffusion even if most adopters would prefer a collective ban. We study this dynamic in the context of unrestricted AI tools for teenagers’ education. In preregistered, incentive-compatible experiments with approximately 2,000 parents in the United States, Canada, and the United Kingdom, we elicit willingness to pay for a three-month premium subscription to a leading general-purpose AI platform. Demand increases steeply with the share of other teenagers using AI: Moving perceived peer take-up from 20% to 80% raises willingness to pay by more than 60%. We then test whether information about emerging evidence on potential downstream skill effects changes behavior. Risk information substantially shifts incentivized beliefs about longer-run impacts but has little effect on individual demand, yet it strongly increases support for school-level restrictions. Follow-up experiments show that peer-adoption information does not significantly shift perceived AI quality, the importance parents assign to core skills, or support for bans, pointing to social pressure rather than social learning as the primary channel. The results reveal a rat-race dynamic in which individual adoption responds to peers even as collective preferences shift toward restriction.</w:t>
      </w:r>
    </w:p>
    <w:p>
      <w:pPr>
        <w:spacing w:before="120" w:after="120"/>
      </w:pPr>
      <w:r>
        <w:rPr>
          <w:sz w:val="18"/>
        </w:rPr>
        <w:t>——————————————————————————————————————————————————————————————————————</w:t>
      </w:r>
    </w:p>
    <w:p>
      <w:pPr>
        <w:spacing w:before="160" w:after="40" w:line="240" w:lineRule="auto"/>
      </w:pPr>
      <w:r>
        <w:rPr>
          <w:b/>
        </w:rPr>
        <w:t xml:space="preserve">[86] </w:t>
      </w:r>
      <w:hyperlink r:id="rId710">
        <w:r>
          <w:rPr>
            <w:color w:val="1155CC"/>
            <w:u w:val="single"/>
          </w:rPr>
          <w:t>从权衡到转化：神经技术的跨学科路线图</w:t>
        </w:r>
      </w:hyperlink>
    </w:p>
    <w:p>
      <w:pPr>
        <w:spacing w:before="0" w:after="80"/>
      </w:pPr>
      <w:r>
        <w:rPr>
          <w:i/>
          <w:sz w:val="20"/>
        </w:rPr>
        <w:t>EN: From trade-offs to translation: An interdisciplinary roadmap for neurotechnology</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11">
        <w:r>
          <w:rPr>
            <w:color w:val="1155CC"/>
            <w:u w:val="single"/>
          </w:rPr>
          <w:t>10.1126/sciadv.aee8595</w:t>
        </w:r>
      </w:hyperlink>
    </w:p>
    <w:p>
      <w:pPr>
        <w:spacing w:before="0" w:after="120"/>
      </w:pPr>
      <w:r>
        <w:rPr>
          <w:b/>
        </w:rPr>
        <w:t xml:space="preserve">Notes: </w:t>
      </w:r>
      <w:r>
        <w:t>abstract_source=crossref</w:t>
      </w:r>
    </w:p>
    <w:p>
      <w:pPr>
        <w:spacing w:before="0" w:after="80" w:lineRule="auto" w:line="276"/>
      </w:pPr>
      <w:r>
        <w:rPr>
          <w:b/>
        </w:rPr>
        <w:t xml:space="preserve">摘要（ZH）: </w:t>
      </w:r>
      <w:r>
        <w:t>神经技术正在改变我们测量、解释和调节脑体相互作用的方式，集成实时传感、计算和刺激以实现精确的生理控制。它们在临床和非临床领域（从治疗疾病到增强认知和表现）具有变革潜力。实现这一潜力需要应对神经科学、材料科学、工程、信号处理以及监管和伦理框架等复杂的跨学科挑战。本视角提出了神经技术发展的战略路线图，由跨学科的早期职业研究人员创建。我们确定了影响神经技术开发和转化的五个交叉权衡：材料功能与长期稳定性、创新开发与可扩展制造、时空分辨率与实时能力、多尺度多模态集成与系统适应性、技术复杂性与临床或商业可转化性。我们不是针对特定领域进行审查，而是关注超越学科的共同挑战和战略机遇，提出协作创新和教育的统一框架，强调道德和监管优先事项，并概述克服关键瓶颈的时间表。</w:t>
      </w:r>
    </w:p>
    <w:p>
      <w:pPr>
        <w:spacing w:before="0" w:after="200" w:lineRule="auto" w:line="276"/>
      </w:pPr>
      <w:r>
        <w:rPr>
          <w:b/>
        </w:rPr>
        <w:t xml:space="preserve">Abstract (EN): </w:t>
      </w:r>
      <w:r>
        <w:t>Neurotechnologies are transforming how we measure, interpret, and modulate brain-body interactions, integrating real-time sensing, computation, and stimulation to enable precise physiological control. They hold transformative potential across clinical and nonclinical domains, from treating disorders to enhancing cognition and performance. Realizing this potential requires navigating complex, interdisciplinary challenges spanning neuroscience, materials science, engineering, signal processing, and regulatory and ethical frameworks. This Perspective presents a strategic roadmap for neurotechnology development, created by early-career researchers at the intersection of disciplines. We identify five cross-cutting trade-offs that shape the development and translation of neurotechnology: material functionality versus long-term stability, innovative development versus scalable manufacturing, spatiotemporal resolution versus real-time capability, multiscale multimodal integration versus system adaptability, and technological complexity versus clinical or commercial translatability. Rather than a domain-specific review, we focus on shared challenges and strategic opportunities that transcend disciplines, propose a unified framework for collaborative innovation and education, highlight ethical and regulatory priorities, and outline a timeline for overcoming key bottlenecks.</w:t>
      </w:r>
    </w:p>
    <w:p>
      <w:pPr>
        <w:spacing w:before="120" w:after="120"/>
      </w:pPr>
      <w:r>
        <w:rPr>
          <w:sz w:val="18"/>
        </w:rPr>
        <w:t>——————————————————————————————————————————————————————————————————————</w:t>
      </w:r>
    </w:p>
    <w:p>
      <w:pPr>
        <w:spacing w:before="160" w:after="40" w:line="240" w:lineRule="auto"/>
      </w:pPr>
      <w:r>
        <w:rPr>
          <w:b/>
        </w:rPr>
        <w:t xml:space="preserve">[87] </w:t>
      </w:r>
      <w:hyperlink r:id="rId712">
        <w:r>
          <w:rPr>
            <w:color w:val="1155CC"/>
            <w:u w:val="single"/>
          </w:rPr>
          <w:t>apo、激动剂和拮抗剂结合的异聚红藻氨酸受体的冷冻电镜结构</w:t>
        </w:r>
      </w:hyperlink>
    </w:p>
    <w:p>
      <w:pPr>
        <w:spacing w:before="0" w:after="80"/>
      </w:pPr>
      <w:r>
        <w:rPr>
          <w:i/>
          <w:sz w:val="20"/>
        </w:rPr>
        <w:t>EN: Cryo-EM structures of apo, agonist- and antagonist-bound heteromeric kainate receptors</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13">
        <w:r>
          <w:rPr>
            <w:color w:val="1155CC"/>
            <w:u w:val="single"/>
          </w:rPr>
          <w:t>10.1126/sciadv.ady7558</w:t>
        </w:r>
      </w:hyperlink>
    </w:p>
    <w:p>
      <w:pPr>
        <w:spacing w:before="0" w:after="120"/>
      </w:pPr>
      <w:r>
        <w:rPr>
          <w:b/>
        </w:rPr>
        <w:t xml:space="preserve">Notes: </w:t>
      </w:r>
      <w:r>
        <w:t>abstract_source=crossref</w:t>
      </w:r>
    </w:p>
    <w:p>
      <w:pPr>
        <w:spacing w:before="0" w:after="80" w:lineRule="auto" w:line="276"/>
      </w:pPr>
      <w:r>
        <w:rPr>
          <w:b/>
        </w:rPr>
        <w:t xml:space="preserve">摘要（ZH）: </w:t>
      </w:r>
      <w:r>
        <w:t>红藻氨酸受体 (KAR) 介导兴奋性突触传递并调节神经递质释放。在中枢神经系统中，KAR 主要以异四聚体形式存在，包含低亲和力 (GluK1–3) 和高亲和力 (GluK4–5) 亚基，其中 GluK2/GluK5 最为丰富。为了阐明它们的构象转变，我们确定了 GluK2/GluK5 KAR 在 apo 和不同配体结合状态下的冷冻电子显微镜 (cryo-EM) 结构。 apo 结构揭示了除了保守的 D1-D1 上叶接触之外，配体结合域 (LBD) 之间存在紧密堆积和广泛的亚基间相互作用。谷氨酸结合结构表现出增强的堆积，通过相对于同聚 KAR 增加的亚基间接触来稳定脱敏构象，表明异四聚体在构象上动态性较低。为了研究亚型特异性拮抗作用，我们设计了 GluK2 和 GluK5 突变体，其对竞争性拮抗剂 UBP310 的亲和力发生了改变。这些突变体的结构分析揭示了 GluK2 与 GluK5 亚基上不同的 UBP310 结合模式。此外，我们证明靶向 GluK5 比靶向 GluK2 更有效。具体来说，阻断 GluK5 将受体锁定在孔闭塞构象中，而拮抗 GluK2 则保留了孔上方的结构灵活性。这些发现为理解 GluK2 和 GluK5 亚基对 KAR 功能的独特贡献提供了一个结构框架。</w:t>
      </w:r>
    </w:p>
    <w:p>
      <w:pPr>
        <w:spacing w:before="0" w:after="200" w:lineRule="auto" w:line="276"/>
      </w:pPr>
      <w:r>
        <w:rPr>
          <w:b/>
        </w:rPr>
        <w:t xml:space="preserve">Abstract (EN): </w:t>
      </w:r>
      <w:r>
        <w:t>Kainate receptors (KARs) mediate excitatory synaptic transmission and regulate neurotransmitter release. In the central nervous system, KARs predominantly exist as heterotetramers comprising low-affinity (GluK1–3) and high-affinity (GluK4–5) subunits, with GluK2/GluK5 being the most abundant. To elucidate their conformational transitions, we determined the cryo–electron microscopy (cryo-EM) structures of GluK2/GluK5 KARs in the apo and distinct ligand-bound states. The apo structure revealed compact packing with extensive intersubunit interactions between the ligand-binding domains (LBDs) beyond the conserved D1-D1 upper-lobe contacts. The glutamate-bound structure exhibited enhanced packing that stabilized the desensitized conformation through increased intersubunit contacts relative to the homomeric KARs, indicating that the heterotetramers were conformationally less dynamic. To investigate subtype-specific antagonism, we engineered GluK2 and GluK5 mutants with altered affinities for the competitive antagonist UBP310. Structural analysis of these mutants revealed distinct UBP310 binding modes on the GluK2 versus the GluK5 subunits. Furthermore, we demonstrated that targeting GluK5 was more effective than targeting GluK2. Specifically, blocking GluK5 locked the receptor in a pore-occluded conformation, whereas antagonizing GluK2 retained structural flexibility above the pore. These findings provide a structural framework for understanding the distinct contributions of the GluK2 and GluK5 subunits to KAR function.</w:t>
      </w:r>
    </w:p>
    <w:p>
      <w:pPr>
        <w:spacing w:before="120" w:after="120"/>
      </w:pPr>
      <w:r>
        <w:rPr>
          <w:sz w:val="18"/>
        </w:rPr>
        <w:t>——————————————————————————————————————————————————————————————————————</w:t>
      </w:r>
    </w:p>
    <w:p>
      <w:pPr>
        <w:spacing w:before="160" w:after="40" w:line="240" w:lineRule="auto"/>
      </w:pPr>
      <w:r>
        <w:rPr>
          <w:b/>
        </w:rPr>
        <w:t xml:space="preserve">[88] </w:t>
      </w:r>
      <w:hyperlink r:id="rId714">
        <w:r>
          <w:rPr>
            <w:color w:val="1155CC"/>
            <w:u w:val="single"/>
          </w:rPr>
          <w:t>自适应鞘内纳米机器人在小鼠和非人类灵长类动物中用于导航中枢神经系统治疗</w:t>
        </w:r>
      </w:hyperlink>
    </w:p>
    <w:p>
      <w:pPr>
        <w:spacing w:before="0" w:after="80"/>
      </w:pPr>
      <w:r>
        <w:rPr>
          <w:i/>
          <w:sz w:val="20"/>
        </w:rPr>
        <w:t>EN: Adaptive intrathecal nanorobotics in mice and nonhuman primates for navigated CNS therapy</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15">
        <w:r>
          <w:rPr>
            <w:color w:val="1155CC"/>
            <w:u w:val="single"/>
          </w:rPr>
          <w:t>10.1126/sciadv.aec2918</w:t>
        </w:r>
      </w:hyperlink>
    </w:p>
    <w:p>
      <w:pPr>
        <w:spacing w:before="0" w:after="120"/>
      </w:pPr>
      <w:r>
        <w:rPr>
          <w:b/>
        </w:rPr>
        <w:t xml:space="preserve">Notes: </w:t>
      </w:r>
      <w:r>
        <w:t>abstract_source=crossref</w:t>
      </w:r>
    </w:p>
    <w:p>
      <w:pPr>
        <w:spacing w:before="0" w:after="80" w:lineRule="auto" w:line="276"/>
      </w:pPr>
      <w:r>
        <w:rPr>
          <w:b/>
        </w:rPr>
        <w:t xml:space="preserve">摘要（ZH）: </w:t>
      </w:r>
      <w:r>
        <w:t>由于椎管解剖学的限制，尤其是在人体尺度上，用于中枢神经系统（CNS）治疗的鞘内递送缺乏时空控制。我们开发了一种自适应磁性纳米机器人平台，可实现多模式群体移动性，用于小鼠和非人类灵长类动物的体内椎管导航。实现了可编程链状、涡旋状和带状群，并且涡旋群被认为是自适应鞘内导航的最佳策略。在机械臂产生的磁场驱动下，涡流群在椎管内进行厘米距离的导航，从而增强了中枢神经系统目标部位的磁性积累并延长了其在体内的保留时间，从而与传统的被动血管内输送相比，大大提高了其治疗效果，且副作用最小。对非人类灵长类动物的测试表明，纳米机器人群体迁移是从马尾束和纺绳之间的间隙开始的，揭示了它们在马尾交界处的形态适应，以规避解剖学限制。</w:t>
      </w:r>
    </w:p>
    <w:p>
      <w:pPr>
        <w:spacing w:before="0" w:after="200" w:lineRule="auto" w:line="276"/>
      </w:pPr>
      <w:r>
        <w:rPr>
          <w:b/>
        </w:rPr>
        <w:t xml:space="preserve">Abstract (EN): </w:t>
      </w:r>
      <w:r>
        <w:t>Intrathecal delivery for central nervous system (CNS) therapy lacks spatiotemporal control due to spinal canal anatomical constraints, especially at human scale. We developed an adaptive magnetic nanorobotic platform enabling multimode swarm mobility for in vivo spinal canal navigation in mice and nonhuman primates. Programmable chain-like, vortex-like, and ribbon-like swarm were accomplished, and vortex swarm was indicated as optimal strategy for adaptive intrathecal navigation. Driven by a robotic arm–generated magnetic field, the vortex swarms indicate navigation within spinal canal over centimeter distances, which magnetically enhanced accumulation at CNS target sites and prolonged their in vivo retention, thereby substantially enhancing their therapeutic efficacy compared with conventional passive intravascular delivery, with minimal side effects. Tests in nonhuman primates indicate that the nanorobotic swarm migration is from the gap between the bundles of cauda equina and then the spin cord, revealing their morphological adaption at the cauda equina interface to circumvent anatomical constraints.</w:t>
      </w:r>
    </w:p>
    <w:p>
      <w:pPr>
        <w:spacing w:before="120" w:after="120"/>
      </w:pPr>
      <w:r>
        <w:rPr>
          <w:sz w:val="18"/>
        </w:rPr>
        <w:t>——————————————————————————————————————————————————————————————————————</w:t>
      </w:r>
    </w:p>
    <w:p>
      <w:pPr>
        <w:spacing w:before="160" w:after="40" w:line="240" w:lineRule="auto"/>
      </w:pPr>
      <w:r>
        <w:rPr>
          <w:b/>
        </w:rPr>
        <w:t xml:space="preserve">[89] </w:t>
      </w:r>
      <w:hyperlink r:id="rId716">
        <w:r>
          <w:rPr>
            <w:color w:val="1155CC"/>
            <w:u w:val="single"/>
          </w:rPr>
          <w:t>蓝宝石上单层 MoS2 的非常规交叉台阶生长</w:t>
        </w:r>
      </w:hyperlink>
    </w:p>
    <w:p>
      <w:pPr>
        <w:spacing w:before="0" w:after="80"/>
      </w:pPr>
      <w:r>
        <w:rPr>
          <w:i/>
          <w:sz w:val="20"/>
        </w:rPr>
        <w:t>EN: Unconventional cross-step growth of monolayer MoS2 on sapphire</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17">
        <w:r>
          <w:rPr>
            <w:color w:val="1155CC"/>
            <w:u w:val="single"/>
          </w:rPr>
          <w:t>10.1126/sciadv.aee6153</w:t>
        </w:r>
      </w:hyperlink>
    </w:p>
    <w:p>
      <w:pPr>
        <w:spacing w:before="0" w:after="120"/>
      </w:pPr>
      <w:r>
        <w:rPr>
          <w:b/>
        </w:rPr>
        <w:t xml:space="preserve">Notes: </w:t>
      </w:r>
      <w:r>
        <w:t>abstract_source=crossref</w:t>
      </w:r>
    </w:p>
    <w:p>
      <w:pPr>
        <w:spacing w:before="0" w:after="80" w:lineRule="auto" w:line="276"/>
      </w:pPr>
      <w:r>
        <w:rPr>
          <w:b/>
        </w:rPr>
        <w:t xml:space="preserve">摘要（ZH）: </w:t>
      </w:r>
      <w:r>
        <w:t>关于薄膜生长，人们广泛认识到薄膜通常遵循表面纹理，并且高尖锐台阶可能导致生长终止和薄膜不连续。在这里，我们证明了单层 MoS2 的异常现象</w:t>
      </w:r>
      <w:r>
        <w:rPr>
          <w:vertAlign w:val="subscript"/>
        </w:rPr>
        <w:t>2</w:t>
      </w:r>
      <w:r>
        <w:t>成长于</w:t>
      </w:r>
      <w:r>
        <w:t xml:space="preserve"> </w:t>
      </w:r>
      <w:r>
        <w:t>C</w:t>
      </w:r>
      <w:r>
        <w:t xml:space="preserve"> </w:t>
      </w:r>
      <w:r>
        <w:t>-平面蓝宝石能够跨越高度高达∼10 nm的尖锐台阶。在理论模拟的帮助下，我们揭示了单层MoS2的跨步生长</w:t>
      </w:r>
      <w:r>
        <w:rPr>
          <w:vertAlign w:val="subscript"/>
        </w:rPr>
        <w:t>2</w:t>
      </w:r>
      <w:r>
        <w:t>这是其变形能量成本与吸附能量增益之间竞争的结果。值得注意的是，跨步生长会导致转移后在目标基板上形成一维 (1D) 波纹，从而导致对称性破缺和应变工程，从而触发各向异性特性并提高晶体管性能。与垂直于纹波方向的室温迁移率（通态电流）相比，沿纹波方向的室温迁移率（通态电流）提高了~67.6%（~118.4%）。我们的工作展示了一种奇特的跨步生长范例来创建和操纵二维材料，为新兴电子、光子和光电应用的广泛组合带来了前景。</w:t>
      </w:r>
    </w:p>
    <w:p>
      <w:pPr>
        <w:spacing w:before="0" w:after="200" w:lineRule="auto" w:line="276"/>
      </w:pPr>
      <w:r>
        <w:rPr>
          <w:b/>
        </w:rPr>
        <w:t xml:space="preserve">Abstract (EN): </w:t>
      </w:r>
      <w:r>
        <w:t>Regarding thin film growth, it has been widely recognized that the film typically follows the surface texture and high sharp steps potentially lead to growth termination and film discontinuity. Here, we demonstrate an abnormality that monolayer MoS</w:t>
      </w:r>
      <w:r>
        <w:rPr>
          <w:vertAlign w:val="subscript"/>
        </w:rPr>
        <w:t>2</w:t>
      </w:r>
      <w:r>
        <w:t>grown on</w:t>
      </w:r>
      <w:r>
        <w:t xml:space="preserve"> </w:t>
      </w:r>
      <w:r>
        <w:t>C</w:t>
      </w:r>
      <w:r>
        <w:t xml:space="preserve"> </w:t>
      </w:r>
      <w:r>
        <w:t>-plane sapphire is able to cross sharp steps up to ∼10 nm in height. Assisted by theoretical simulations, we unveil that the cross-step growth of monolayer MoS</w:t>
      </w:r>
      <w:r>
        <w:rPr>
          <w:vertAlign w:val="subscript"/>
        </w:rPr>
        <w:t>2</w:t>
      </w:r>
      <w:r>
        <w:t>results from the competition between its deformation energy cost and adsorption energy gain. Notably, cross-step growth leads to the formation of one-dimensional (1D) ripples on target substrates after transfer, resulting in symmetry breaking and strain engineering to trigger anisotropic properties and boost transistor performances. The room-temperature mobility (on-state current) along the ripple direction is improved by ∼67.6% (∼118.4%) compared to that perpendicular to the ripple direction. Our work showcases an exotic cross-step growth paradigm to create and manipulate 2D materials, promising the prospect for a broad portfolio of emerging electronic, photonic, and optoelectronic applications.</w:t>
      </w:r>
    </w:p>
    <w:p>
      <w:pPr>
        <w:spacing w:before="120" w:after="120"/>
      </w:pPr>
      <w:r>
        <w:rPr>
          <w:sz w:val="18"/>
        </w:rPr>
        <w:t>——————————————————————————————————————————————————————————————————————</w:t>
      </w:r>
    </w:p>
    <w:p>
      <w:pPr>
        <w:spacing w:before="160" w:after="40" w:line="240" w:lineRule="auto"/>
      </w:pPr>
      <w:r>
        <w:rPr>
          <w:b/>
        </w:rPr>
        <w:t xml:space="preserve">[90] </w:t>
      </w:r>
      <w:hyperlink r:id="rId718">
        <w:r>
          <w:rPr>
            <w:color w:val="1155CC"/>
            <w:u w:val="single"/>
          </w:rPr>
          <w:t>用于高效识别的颜色和方向特征注意力传感器</w:t>
        </w:r>
      </w:hyperlink>
    </w:p>
    <w:p>
      <w:pPr>
        <w:spacing w:before="0" w:after="80"/>
      </w:pPr>
      <w:r>
        <w:rPr>
          <w:i/>
          <w:sz w:val="20"/>
        </w:rPr>
        <w:t>EN: Color and orientation feature-attention sensors for efficient recognition</w:t>
      </w:r>
    </w:p>
    <w:p>
      <w:pPr>
        <w:spacing w:before="0" w:after="120"/>
      </w:pPr>
      <w:r>
        <w:rPr>
          <w:b/>
        </w:rPr>
        <w:t xml:space="preserve">Source: </w:t>
      </w:r>
      <w:r>
        <w:t>AAAS: Science Advances: Table of Contents</w:t>
      </w:r>
      <w:r>
        <w:t xml:space="preserve">    </w:t>
      </w:r>
      <w:r>
        <w:rPr>
          <w:b/>
        </w:rPr>
        <w:t xml:space="preserve">Pub date: </w:t>
      </w:r>
      <w:r>
        <w:t>2026-07-31 07:00:00+00:00</w:t>
      </w:r>
      <w:r>
        <w:t xml:space="preserve">    </w:t>
      </w:r>
      <w:r>
        <w:rPr>
          <w:b/>
        </w:rPr>
        <w:t xml:space="preserve">DOI: </w:t>
      </w:r>
      <w:hyperlink r:id="rId719">
        <w:r>
          <w:rPr>
            <w:color w:val="1155CC"/>
            <w:u w:val="single"/>
          </w:rPr>
          <w:t>10.1126/sciadv.aeg8598</w:t>
        </w:r>
      </w:hyperlink>
    </w:p>
    <w:p>
      <w:pPr>
        <w:spacing w:before="0" w:after="120"/>
      </w:pPr>
      <w:r>
        <w:rPr>
          <w:b/>
        </w:rPr>
        <w:t xml:space="preserve">Notes: </w:t>
      </w:r>
      <w:r>
        <w:t>abstract_source=crossref</w:t>
      </w:r>
    </w:p>
    <w:p>
      <w:pPr>
        <w:spacing w:before="0" w:after="80" w:lineRule="auto" w:line="276"/>
      </w:pPr>
      <w:r>
        <w:rPr>
          <w:b/>
        </w:rPr>
        <w:t xml:space="preserve">摘要（ZH）: </w:t>
      </w:r>
      <w:r>
        <w:t>视觉搜索的一个关键挑战是由特定特征定义的目标对象通常与干扰因素混合在一起。这需要智能视觉系统能够执行选择性特征采集，而不是随机或详尽地扫描环境。在这里，我们报告了一种特征注意视觉传感器，它直接在硬件级别集成了语义和几何“双重注意”机制。该传感器具有从可见光到近红外范围的可重新配置光谱响应度，可实现可调颜色注意力，光谱抑制比高达 2 × 10</w:t>
      </w:r>
      <w:r>
        <w:rPr>
          <w:vertAlign w:val="subscript"/>
        </w:rPr>
        <w:t>4</w:t>
      </w:r>
      <w:r>
        <w:t>。此外，我们通过强度响应矩阵实现可调方向注意力。在自动驾驶中，特征注意力视觉传感器识别无停车标志的准确度高达 99.52%，与 RGB 摄像头相当，同时减少了 66.7% 的数据生成。这种方法模仿了这种生物“只感知有用”的策略，消除了对笨重光学滤波器和后处理算法的需求，并为实现紧凑、资源高效的智能视觉系统提供了一条有前途的途径。</w:t>
      </w:r>
    </w:p>
    <w:p>
      <w:pPr>
        <w:spacing w:before="0" w:after="200" w:lineRule="auto" w:line="276"/>
      </w:pPr>
      <w:r>
        <w:rPr>
          <w:b/>
        </w:rPr>
        <w:t xml:space="preserve">Abstract (EN): </w:t>
      </w:r>
      <w:r>
        <w:t>A key challenge in visual search is that target objects defined by specific features are often mixed with distractors. This demands intelligent vision systems capable of performing selective feature acquisition instead of randomly or exhaustively scanning the environment. Here, we report a feature-attention vision sensor that integrates a semantic and geometric “dual-attention” mechanism directly at the hardware level. The sensor features reconfigurable spectral responsivity from the visible to near-infrared range, enabling tunable color attention with a spectral rejection ratio of up to 2 × 10</w:t>
      </w:r>
      <w:r>
        <w:rPr>
          <w:vertAlign w:val="subscript"/>
        </w:rPr>
        <w:t>4</w:t>
      </w:r>
      <w:r>
        <w:t>. Furthermore, we implement tunable orientation attention through an intensity-responsivity matrix. In automatic driving, the feature-attention vision sensor recognizes no stopping sign with 99.52% accuracy comparable to RGB cameras while reducing data generation by 66.7%. This approach mimics this biological “sense-only-the-useful” strategy, eliminating the need for bulky optical filters and postprocessing algorithms and offering a promising pathway for the realization of compact, resource-efficient intelligent vision systems.</w:t>
      </w:r>
    </w:p>
    <w:p>
      <w:pPr>
        <w:spacing w:before="120" w:after="120"/>
      </w:pPr>
      <w:r>
        <w:rPr>
          <w:sz w:val="18"/>
        </w:rPr>
        <w:t>——————————————————————————————————————————————————————————————————————</w:t>
      </w:r>
    </w:p>
    <w:p>
      <w:pPr>
        <w:spacing w:before="160" w:after="40" w:line="240" w:lineRule="auto"/>
      </w:pPr>
      <w:r>
        <w:rPr>
          <w:b/>
        </w:rPr>
        <w:t xml:space="preserve">[91] </w:t>
      </w:r>
      <w:hyperlink r:id="rId720">
        <w:r>
          <w:rPr>
            <w:color w:val="1155CC"/>
            <w:u w:val="single"/>
          </w:rPr>
          <w:t>铈(IV)光催化中长寿命电荷分离态的溶剂和配体控制</w:t>
        </w:r>
      </w:hyperlink>
    </w:p>
    <w:p>
      <w:pPr>
        <w:spacing w:before="0" w:after="80"/>
      </w:pPr>
      <w:r>
        <w:rPr>
          <w:i/>
          <w:sz w:val="20"/>
        </w:rPr>
        <w:t>EN: Solvent and Ligand Control of Long‐Lived Charge‐Separated States in Cerium(IV) Photocatalysis</w:t>
      </w:r>
    </w:p>
    <w:p>
      <w:pPr>
        <w:spacing w:before="0" w:after="120"/>
      </w:pPr>
      <w:r>
        <w:rPr>
          <w:b/>
        </w:rPr>
        <w:t xml:space="preserve">Source: </w:t>
      </w:r>
      <w:r>
        <w:t>Wiley: Angewandte Chemie International Edition: Table of Contents</w:t>
      </w:r>
      <w:r>
        <w:t xml:space="preserve">    </w:t>
      </w:r>
      <w:r>
        <w:rPr>
          <w:b/>
        </w:rPr>
        <w:t xml:space="preserve">Pub date: </w:t>
      </w:r>
      <w:r>
        <w:t>2026-07-31 08:03:11+00:00</w:t>
      </w:r>
      <w:r>
        <w:t xml:space="preserve">    </w:t>
      </w:r>
      <w:r>
        <w:rPr>
          <w:b/>
        </w:rPr>
        <w:t xml:space="preserve">DOI: </w:t>
      </w:r>
      <w:hyperlink r:id="rId721">
        <w:r>
          <w:rPr>
            <w:color w:val="1155CC"/>
            <w:u w:val="single"/>
          </w:rPr>
          <w:t>10.1002/anie.6538194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铈(IV)络合物是强大的光氧化剂，在有机合成和环境修复方面具有广泛的应用。我们采用跨时间（fs-μs）的宽带瞬态吸收光谱来绘制溶剂和配体特性对硝酸铈（IV）铵（CAN）激发态动力学的影响。在乙腈中，光激发触发 LMCT 事件，产生由硝酸根自由基 (NO</w:t>
      </w:r>
      <w:r>
        <w:rPr>
          <w:vertAlign w:val="subscript"/>
        </w:rPr>
        <w:t>3</w:t>
      </w:r>
      <w:r>
        <w:t>•</w:t>
      </w:r>
      <w:r>
        <w:t xml:space="preserve"> </w:t>
      </w:r>
      <w:r>
        <w:t>）和还原的 Ce(III) 中心。在质子溶剂中，有效的光化学受到抑制：甲醇由于其混合的 Ce(IV) 配位环境而驱动超快失活 (τ = 1.5 ps)，而水中的硝酸盐完全置换则强制快速双联重组 (τ &lt; 100 ps)。至关重要的是，在乙腈中用硝酸盐配体交换氯化物会产生更稳定的电荷分离状态（τ &gt; 100 µs），其中涉及氯自由基（Cl</w:t>
      </w:r>
      <w:r>
        <w:t xml:space="preserve"> </w:t>
      </w:r>
      <w:r>
        <w:t>•</w:t>
      </w:r>
      <w:r>
        <w:t xml:space="preserve"> </w:t>
      </w:r>
      <w:r>
        <w:t>），其与甲苯的相互作用在动力学上比 NO 的相互作用更快（τ = 4 ns vs. τ = 10 µs）</w:t>
      </w:r>
      <w:r>
        <w:rPr>
          <w:vertAlign w:val="subscript"/>
        </w:rPr>
        <w:t>3</w:t>
      </w:r>
      <w:r>
        <w:t>•</w:t>
      </w:r>
      <w:r>
        <w:t xml:space="preserve"> </w:t>
      </w:r>
      <w:r>
        <w:t>，与 DFT 计算证实的热力学上有利的加合物形成一致。这种增强的反应性转化为一系列芳香族底物的光催化产率的显着提高。这项工作为设计更高效的地球丰富的光催化剂提供了合理的基础。</w:t>
      </w:r>
    </w:p>
    <w:p>
      <w:pPr>
        <w:spacing w:before="0" w:after="200" w:lineRule="auto" w:line="276"/>
      </w:pPr>
      <w:r>
        <w:rPr>
          <w:b/>
        </w:rPr>
        <w:t xml:space="preserve">Abstract (EN): </w:t>
      </w:r>
      <w:r>
        <w:t>Cerium(IV) complexes are powerful photooxidants with broad applications in organic synthesis and environmental remediation. We employ broadband transient absorption spectroscopy spanning in time (fs—µs) to map the influence of solvent and ligand identity on the excited‐state dynamics of cerium(IV) ammonium nitrate (CAN). In acetonitrile, photoexcitation triggers an LMCT event that generates a remarkably long‐lived (τ = 40 µs) charge‐separated state comprising free nitrate radicals (NO</w:t>
      </w:r>
      <w:r>
        <w:rPr>
          <w:vertAlign w:val="subscript"/>
        </w:rPr>
        <w:t>3</w:t>
      </w:r>
      <w:r>
        <w:t>•</w:t>
      </w:r>
      <w:r>
        <w:t xml:space="preserve"> </w:t>
      </w:r>
      <w:r>
        <w:t>) and a reduced Ce(III) center. In protic solvents, productive photochemistry is suppressed: methanol drives ultrafast deactivation (τ = 1.5 ps) arising from its mixed Ce(IV) coordination environment, whereas complete nitrate displacement in water enforces rapid geminate recombination (τ &amp;lt; 100 ps). Crucially, exchanging the nitrate ligand for chloride in acetonitrile generates a more stable charge‐separated state (τ &amp;gt; 100 µs) involving chloride radicals (Cl</w:t>
      </w:r>
      <w:r>
        <w:t xml:space="preserve"> </w:t>
      </w:r>
      <w:r>
        <w:t>•</w:t>
      </w:r>
      <w:r>
        <w:t xml:space="preserve"> </w:t>
      </w:r>
      <w:r>
        <w:t>), whose interaction with toluene is kinetically faster (τ = 4 ns vs. τ = 10 µs) than that of NO</w:t>
      </w:r>
      <w:r>
        <w:rPr>
          <w:vertAlign w:val="subscript"/>
        </w:rPr>
        <w:t>3</w:t>
      </w:r>
      <w:r>
        <w:t>•</w:t>
      </w:r>
      <w:r>
        <w:t xml:space="preserve"> </w:t>
      </w:r>
      <w:r>
        <w:t>, consistent with the thermodynamically favorable adduct formation confirmed by DFT calculations. This enhanced reactivity translates into dramatically improved photocatalytic yields across a range of aromatic substrates. This work offers a rational basis for the design of more efficient earth‐abundant photocatalysts.</w:t>
      </w:r>
    </w:p>
    <w:p>
      <w:pPr>
        <w:spacing w:before="120" w:after="120"/>
      </w:pPr>
      <w:r>
        <w:rPr>
          <w:sz w:val="18"/>
        </w:rPr>
        <w:t>——————————————————————————————————————————————————————————————————————</w:t>
      </w:r>
    </w:p>
    <w:p>
      <w:pPr>
        <w:spacing w:before="160" w:after="40" w:line="240" w:lineRule="auto"/>
      </w:pPr>
      <w:r>
        <w:rPr>
          <w:b/>
        </w:rPr>
        <w:t xml:space="preserve">[92] </w:t>
      </w:r>
      <w:hyperlink r:id="rId722">
        <w:r>
          <w:rPr>
            <w:color w:val="1155CC"/>
            <w:u w:val="single"/>
          </w:rPr>
          <w:t>ppb 浓度两性离子光催化剂的光和酸碱双调控原子转移自由基聚合</w:t>
        </w:r>
      </w:hyperlink>
    </w:p>
    <w:p>
      <w:pPr>
        <w:spacing w:before="0" w:after="80"/>
      </w:pPr>
      <w:r>
        <w:rPr>
          <w:i/>
          <w:sz w:val="20"/>
        </w:rPr>
        <w:t>EN: Light and Acid‐Base Dual‐Regulated Atom Transfer Radical Polymerization With ppb Concentrations of Zwitterionic Photocatalysts</w:t>
      </w:r>
    </w:p>
    <w:p>
      <w:pPr>
        <w:spacing w:before="0" w:after="120"/>
      </w:pPr>
      <w:r>
        <w:rPr>
          <w:b/>
        </w:rPr>
        <w:t xml:space="preserve">Source: </w:t>
      </w:r>
      <w:r>
        <w:t>Wiley: Angewandte Chemie International Edition: Table of Contents</w:t>
      </w:r>
      <w:r>
        <w:t xml:space="preserve">    </w:t>
      </w:r>
      <w:r>
        <w:rPr>
          <w:b/>
        </w:rPr>
        <w:t xml:space="preserve">Pub date: </w:t>
      </w:r>
      <w:r>
        <w:t>2026-07-31 08:07:15+00:00</w:t>
      </w:r>
      <w:r>
        <w:t xml:space="preserve">    </w:t>
      </w:r>
      <w:r>
        <w:rPr>
          <w:b/>
        </w:rPr>
        <w:t xml:space="preserve">DOI: </w:t>
      </w:r>
      <w:hyperlink r:id="rId723">
        <w:r>
          <w:rPr>
            <w:color w:val="1155CC"/>
            <w:u w:val="single"/>
          </w:rPr>
          <w:t>10.1002/anie.7075058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里，我们介绍了用于光诱导原子转移自由基聚合（photoATRP）的高效酸/碱响应性两性离子光催化剂（PC）。吸电子甲基吡啶取代基增强了苯并咪唑/萘并咪唑的酸性，能够在弱碱性甚至中性条件下形成有效的给电子苯并咪唑阴离子/萘并咪唑阴离子。 PC 表现出可见光吸收和高度还原的激发态。它们的荧光被 ATRP 引发剂猝灭，其速率常数为</w:t>
      </w:r>
      <w:r>
        <w:t xml:space="preserve"> </w:t>
      </w:r>
      <w:r>
        <w:t>k</w:t>
      </w:r>
      <w:r>
        <w:t xml:space="preserve"> </w:t>
      </w:r>
      <w:r>
        <w:t>q</w:t>
      </w:r>
      <w:r>
        <w:t xml:space="preserve"> </w:t>
      </w:r>
      <w:r>
        <w:t>&gt; 10</w:t>
      </w:r>
      <w:r>
        <w:rPr>
          <w:vertAlign w:val="subscript"/>
        </w:rPr>
        <w:t>9</w:t>
      </w:r>
      <w:r>
        <w:t>中号</w:t>
      </w:r>
      <w:r>
        <w:t xml:space="preserve"> </w:t>
      </w:r>
      <w:r>
        <w:t>−1</w:t>
      </w:r>
      <w:r>
        <w:t xml:space="preserve"> </w:t>
      </w:r>
      <w:r>
        <w:t>s</w:t>
      </w:r>
      <w:r>
        <w:t xml:space="preserve"> </w:t>
      </w:r>
      <w:r>
        <w:t>−1</w:t>
      </w:r>
      <w:r>
        <w:t xml:space="preserve"> </w:t>
      </w:r>
      <w:r>
        <w:t>，比传统PC高出一个数量级以上。在 PC 浓度低至十亿分之 100 (ppb) 时，丙烯酸酯的 photoATRP 表现出高引发效率以及对分子量和分散性的出色控制（</w:t>
      </w:r>
      <w:r>
        <w:t xml:space="preserve"> </w:t>
      </w:r>
      <w:r>
        <w:t>Đ</w:t>
      </w:r>
      <w:r>
        <w:t xml:space="preserve"> </w:t>
      </w:r>
      <w:r>
        <w:t>&lt; 1.1）。值得注意的是，PC在酸性环境中的质子化导致光催化活性和可见光吸收的丧失。通过光开关结合弱碱和酸刺激来实现对聚合物链增长的严格时间控制。据我们所知，这是使用 ppb 级 PC 浓度进行双调节聚合的首次演示。</w:t>
      </w:r>
    </w:p>
    <w:p>
      <w:pPr>
        <w:spacing w:before="0" w:after="200" w:lineRule="auto" w:line="276"/>
      </w:pPr>
      <w:r>
        <w:rPr>
          <w:b/>
        </w:rPr>
        <w:t xml:space="preserve">Abstract (EN): </w:t>
      </w:r>
      <w:r>
        <w:t>Here, we introduce highly efficient, and acid/base‐responsive zwitterionic photocatalysts (PC) for photoinduced atom transfer radical polymerization (photoATRP). The electron‐withdrawing methylpyridinium substituent enhances the acidity of benzimidazole/naphthoimidazole, enabling the formation of potent electron‐donating benzimidazolate anion/naphthoimidazolate anion under weakly alkaline or even neutral conditions. The PCs exhibit visible light absorption and highly reducing excited states. Their fluorescence is quenched by the ATRP initiator with exceptional rate constants of</w:t>
      </w:r>
      <w:r>
        <w:t xml:space="preserve"> </w:t>
      </w:r>
      <w:r>
        <w:t>k</w:t>
      </w:r>
      <w:r>
        <w:t xml:space="preserve"> </w:t>
      </w:r>
      <w:r>
        <w:t>q</w:t>
      </w:r>
      <w:r>
        <w:t xml:space="preserve"> </w:t>
      </w:r>
      <w:r>
        <w:t>&amp;gt; 10</w:t>
      </w:r>
      <w:r>
        <w:rPr>
          <w:vertAlign w:val="subscript"/>
        </w:rPr>
        <w:t>9</w:t>
      </w:r>
      <w:r>
        <w:t>M</w:t>
      </w:r>
      <w:r>
        <w:t xml:space="preserve"> </w:t>
      </w:r>
      <w:r>
        <w:t>−1</w:t>
      </w:r>
      <w:r>
        <w:t xml:space="preserve"> </w:t>
      </w:r>
      <w:r>
        <w:t>s</w:t>
      </w:r>
      <w:r>
        <w:t xml:space="preserve"> </w:t>
      </w:r>
      <w:r>
        <w:t>−1</w:t>
      </w:r>
      <w:r>
        <w:t xml:space="preserve"> </w:t>
      </w:r>
      <w:r>
        <w:t>, more than one order of magnitude higher than those of traditional PCs. At PC concentrations as low as 100 parts per billion (ppb), photoATRP of acrylates exhibits high initiation efficiency and excellent control over molecular weights and dispersity (</w:t>
      </w:r>
      <w:r>
        <w:t xml:space="preserve"> </w:t>
      </w:r>
      <w:r>
        <w:t>Đ</w:t>
      </w:r>
      <w:r>
        <w:t xml:space="preserve"> </w:t>
      </w:r>
      <w:r>
        <w:t>&amp;lt; 1.1). Notably, the protonation of the PCs in acidic environments leads to the loss of photocatalytic activity and visible‐light absorption. Strict temporal control over polymer‐chain propagation is achieved through light on‐off switching combined with the weak base and acid stimuli. To our knowledge, this is the first demonstration of dual‐regulated polymerization using ppb‐level of PC concentrations.</w:t>
      </w:r>
    </w:p>
    <w:p>
      <w:pPr>
        <w:spacing w:before="120" w:after="120"/>
      </w:pPr>
      <w:r>
        <w:rPr>
          <w:sz w:val="18"/>
        </w:rPr>
        <w:t>——————————————————————————————————————————————————————————————————————</w:t>
      </w:r>
    </w:p>
    <w:p>
      <w:pPr>
        <w:spacing w:before="160" w:after="40" w:line="240" w:lineRule="auto"/>
      </w:pPr>
      <w:r>
        <w:rPr>
          <w:b/>
        </w:rPr>
        <w:t xml:space="preserve">[93] </w:t>
      </w:r>
      <w:hyperlink r:id="rId724">
        <w:r>
          <w:rPr>
            <w:color w:val="1155CC"/>
            <w:u w:val="single"/>
          </w:rPr>
          <w:t>通过原子级协调工程定制簇组装晶体中的光子传输</w:t>
        </w:r>
      </w:hyperlink>
    </w:p>
    <w:p>
      <w:pPr>
        <w:spacing w:before="0" w:after="80"/>
      </w:pPr>
      <w:r>
        <w:rPr>
          <w:i/>
          <w:sz w:val="20"/>
        </w:rPr>
        <w:t>EN: Tailoring Photonic Transport in Cluster‐Assembled Crystals via Atomic‐Level Coordination Engineering</w:t>
      </w:r>
    </w:p>
    <w:p>
      <w:pPr>
        <w:spacing w:before="0" w:after="120"/>
      </w:pPr>
      <w:r>
        <w:rPr>
          <w:b/>
        </w:rPr>
        <w:t xml:space="preserve">Source: </w:t>
      </w:r>
      <w:r>
        <w:t>Wiley: Angewandte Chemie International Edition: Table of Contents</w:t>
      </w:r>
      <w:r>
        <w:t xml:space="preserve">    </w:t>
      </w:r>
      <w:r>
        <w:rPr>
          <w:b/>
        </w:rPr>
        <w:t xml:space="preserve">Pub date: </w:t>
      </w:r>
      <w:r>
        <w:t>2026-07-31 08:10:38+00:00</w:t>
      </w:r>
      <w:r>
        <w:t xml:space="preserve">    </w:t>
      </w:r>
      <w:r>
        <w:rPr>
          <w:b/>
        </w:rPr>
        <w:t xml:space="preserve">DOI: </w:t>
      </w:r>
      <w:hyperlink r:id="rId725">
        <w:r>
          <w:rPr>
            <w:color w:val="1155CC"/>
            <w:u w:val="single"/>
          </w:rPr>
          <w:t>10.1002/anie.8418370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光波导的开发需要精确控制光子传输特性，但将原子级结构与器件性能联系起来仍然具有挑战性。这项研究表明，金属纳米团簇的原子级配位工程能够在团簇组装的晶体中实现定制的光子传输。使用双齿膦配体作为分子手术刀，我们构建了一系列Pt</w:t>
      </w:r>
      <w:r>
        <w:rPr>
          <w:vertAlign w:val="subscript"/>
        </w:rPr>
        <w:t>1</w:t>
      </w:r>
      <w:r>
        <w:t>银</w:t>
      </w:r>
      <w:r>
        <w:t xml:space="preserve"> </w:t>
      </w:r>
      <w:r>
        <w:t>x</w:t>
      </w:r>
      <w:r>
        <w:t xml:space="preserve"> </w:t>
      </w:r>
      <w:r>
        <w:t>（</w:t>
      </w:r>
      <w:r>
        <w:t xml:space="preserve"> </w:t>
      </w:r>
      <w:r>
        <w:t>x</w:t>
      </w:r>
      <w:r>
        <w:t xml:space="preserve"> </w:t>
      </w:r>
      <w:r>
        <w:t>= 18–37) 具有相同二十面体内核但外围结构系统不同的纳米团簇。所得晶体表现出极低的光损耗系数，其中 Pt</w:t>
      </w:r>
      <w:r>
        <w:rPr>
          <w:vertAlign w:val="subscript"/>
        </w:rPr>
        <w:t>1</w:t>
      </w:r>
      <w:r>
        <w:t>银</w:t>
      </w:r>
      <w:r>
        <w:rPr>
          <w:vertAlign w:val="subscript"/>
        </w:rPr>
        <w:t>18</w:t>
      </w:r>
      <w:r>
        <w:t>SR</w:t>
      </w:r>
      <w:r>
        <w:rPr>
          <w:vertAlign w:val="subscript"/>
        </w:rPr>
        <w:t>8</w:t>
      </w:r>
      <w:r>
        <w:t>氯</w:t>
      </w:r>
      <w:r>
        <w:rPr>
          <w:vertAlign w:val="subscript"/>
        </w:rPr>
        <w:t>2</w:t>
      </w:r>
      <w:r>
        <w:t>（民进党）</w:t>
      </w:r>
      <w:r>
        <w:rPr>
          <w:vertAlign w:val="subscript"/>
        </w:rPr>
        <w:t>4</w:t>
      </w:r>
      <w:r>
        <w:t>（SR = 1-金刚烷硫醇，DPPP = 1,3-双（二苯基膦）丙烷。</w:t>
      </w:r>
      <w:r>
        <w:t xml:space="preserve"> </w:t>
      </w:r>
      <w:r>
        <w:t>铂</w:t>
      </w:r>
      <w:r>
        <w:rPr>
          <w:vertAlign w:val="subscript"/>
        </w:rPr>
        <w:t>1</w:t>
      </w:r>
      <w:r>
        <w:t>银</w:t>
      </w:r>
      <w:r>
        <w:rPr>
          <w:vertAlign w:val="subscript"/>
        </w:rPr>
        <w:t>18</w:t>
      </w:r>
      <w:r>
        <w:t>‐I</w:t>
      </w:r>
      <w:r>
        <w:t xml:space="preserve"> </w:t>
      </w:r>
      <w:r>
        <w:t>简称。）晶体实现了基于团簇的有源光波导中的历史最低值 6.4 × 10</w:t>
      </w:r>
      <w:r>
        <w:t xml:space="preserve"> </w:t>
      </w:r>
      <w:r>
        <w:t>−4</w:t>
      </w:r>
      <w:r>
        <w:t xml:space="preserve"> </w:t>
      </w:r>
      <w:r>
        <w:t>分贝微米</w:t>
      </w:r>
      <w:r>
        <w:t xml:space="preserve"> </w:t>
      </w:r>
      <w:r>
        <w:t>−1</w:t>
      </w:r>
      <w:r>
        <w:t xml:space="preserve"> </w:t>
      </w:r>
      <w:r>
        <w:t>。我们建立了波导性能之间的定量正相关性</w:t>
      </w:r>
    </w:p>
    <w:p>
      <w:pPr>
        <w:spacing w:before="0" w:after="200" w:lineRule="auto" w:line="276"/>
      </w:pPr>
      <w:r>
        <w:rPr>
          <w:b/>
        </w:rPr>
        <w:t xml:space="preserve">Abstract (EN): </w:t>
      </w:r>
      <w:r>
        <w:t>The development of efficient optical waveguides requires precise control over photonic transport properties, yet linking atomic‐level structure to device performance remains challenging. This study demonstrates that atomic‐level coordination engineering of metal nanoclusters enables tailored photonic transport in cluster‐assembled crystals. Using bidentate phosphine ligands as molecular scalpels, we constructed a series of Pt</w:t>
      </w:r>
      <w:r>
        <w:rPr>
          <w:vertAlign w:val="subscript"/>
        </w:rPr>
        <w:t>1</w:t>
      </w:r>
      <w:r>
        <w:t>Ag</w:t>
      </w:r>
      <w:r>
        <w:t xml:space="preserve"> </w:t>
      </w:r>
      <w:r>
        <w:t>x</w:t>
      </w:r>
      <w:r>
        <w:t xml:space="preserve"> </w:t>
      </w:r>
      <w:r>
        <w:t>(</w:t>
      </w:r>
      <w:r>
        <w:t xml:space="preserve"> </w:t>
      </w:r>
      <w:r>
        <w:t>x</w:t>
      </w:r>
      <w:r>
        <w:t xml:space="preserve"> </w:t>
      </w:r>
      <w:r>
        <w:t>= 18–37) nanoclusters with identical icosahedral kernels but systematically varied peripheral structures. The resulting crystals exhibit exceptionally low optical loss coefficient, with the Pt</w:t>
      </w:r>
      <w:r>
        <w:rPr>
          <w:vertAlign w:val="subscript"/>
        </w:rPr>
        <w:t>1</w:t>
      </w:r>
      <w:r>
        <w:t>Ag</w:t>
      </w:r>
      <w:r>
        <w:rPr>
          <w:vertAlign w:val="subscript"/>
        </w:rPr>
        <w:t>18</w:t>
      </w:r>
      <w:r>
        <w:t>SR</w:t>
      </w:r>
      <w:r>
        <w:rPr>
          <w:vertAlign w:val="subscript"/>
        </w:rPr>
        <w:t>8</w:t>
      </w:r>
      <w:r>
        <w:t>Cl</w:t>
      </w:r>
      <w:r>
        <w:rPr>
          <w:vertAlign w:val="subscript"/>
        </w:rPr>
        <w:t>2</w:t>
      </w:r>
      <w:r>
        <w:t>(DPPP)</w:t>
      </w:r>
      <w:r>
        <w:rPr>
          <w:vertAlign w:val="subscript"/>
        </w:rPr>
        <w:t>4</w:t>
      </w:r>
      <w:r>
        <w:t>(SR = 1‐adamantanethiol, DPPP = 1,3‐bis(diphenylphosphino)propane.</w:t>
      </w:r>
      <w:r>
        <w:t xml:space="preserve"> </w:t>
      </w:r>
      <w:r>
        <w:t>Pt</w:t>
      </w:r>
      <w:r>
        <w:rPr>
          <w:vertAlign w:val="subscript"/>
        </w:rPr>
        <w:t>1</w:t>
      </w:r>
      <w:r>
        <w:t>Ag</w:t>
      </w:r>
      <w:r>
        <w:rPr>
          <w:vertAlign w:val="subscript"/>
        </w:rPr>
        <w:t>18</w:t>
      </w:r>
      <w:r>
        <w:t>‐I</w:t>
      </w:r>
      <w:r>
        <w:t xml:space="preserve"> </w:t>
      </w:r>
      <w:r>
        <w:t>for short.) crystal achieving a record‐low among cluster‐based active optical waveguides value of 6.4 × 10</w:t>
      </w:r>
      <w:r>
        <w:t xml:space="preserve"> </w:t>
      </w:r>
      <w:r>
        <w:t>−4</w:t>
      </w:r>
      <w:r>
        <w:t xml:space="preserve"> </w:t>
      </w:r>
      <w:r>
        <w:t>dB µm</w:t>
      </w:r>
      <w:r>
        <w:t xml:space="preserve"> </w:t>
      </w:r>
      <w:r>
        <w:t>−1</w:t>
      </w:r>
      <w:r>
        <w:t xml:space="preserve"> </w:t>
      </w:r>
      <w:r>
        <w:t>. We establish quantitative positive correlations between waveguide performance and four key photophysical parameters: photoluminescence quantum yield, lifetime, refractive index, and polarization degree. This work provides a quantitative empirical structure–activity relationship (SAR) model for designing advanced photonic materials, bridging atomic‐scale precision with macroscopic optical device functionality for next‐generation integrated photonics.</w:t>
      </w:r>
    </w:p>
    <w:p>
      <w:pPr>
        <w:spacing w:before="120" w:after="120"/>
      </w:pPr>
      <w:r>
        <w:rPr>
          <w:sz w:val="18"/>
        </w:rPr>
        <w:t>——————————————————————————————————————————————————————————————————————</w:t>
      </w:r>
    </w:p>
    <w:p>
      <w:pPr>
        <w:spacing w:before="160" w:after="40" w:line="240" w:lineRule="auto"/>
      </w:pPr>
      <w:r>
        <w:rPr>
          <w:b/>
        </w:rPr>
        <w:t xml:space="preserve">[94] </w:t>
      </w:r>
      <w:hyperlink r:id="rId726">
        <w:r>
          <w:rPr>
            <w:color w:val="1155CC"/>
            <w:u w:val="single"/>
          </w:rPr>
          <w:t>使用离散硅氧烷的相分离动态共价网络中的自发长程有序和排列</w:t>
        </w:r>
      </w:hyperlink>
    </w:p>
    <w:p>
      <w:pPr>
        <w:spacing w:before="0" w:after="80"/>
      </w:pPr>
      <w:r>
        <w:rPr>
          <w:i/>
          <w:sz w:val="20"/>
        </w:rPr>
        <w:t>EN: Spontaneous Long‐Range Order and Alignment in Phase‐Separated Dynamic Covalent Networks Using Discrete Siloxanes</w:t>
      </w:r>
    </w:p>
    <w:p>
      <w:pPr>
        <w:spacing w:before="0" w:after="120"/>
      </w:pPr>
      <w:r>
        <w:rPr>
          <w:b/>
        </w:rPr>
        <w:t xml:space="preserve">Source: </w:t>
      </w:r>
      <w:r>
        <w:t>Wiley: Angewandte Chemie International Edition: Table of Contents</w:t>
      </w:r>
      <w:r>
        <w:t xml:space="preserve">    </w:t>
      </w:r>
      <w:r>
        <w:rPr>
          <w:b/>
        </w:rPr>
        <w:t xml:space="preserve">Pub date: </w:t>
      </w:r>
      <w:r>
        <w:t>2026-07-31 08:11:37+00:00</w:t>
      </w:r>
      <w:r>
        <w:t xml:space="preserve">    </w:t>
      </w:r>
      <w:r>
        <w:rPr>
          <w:b/>
        </w:rPr>
        <w:t xml:space="preserve">DOI: </w:t>
      </w:r>
      <w:hyperlink r:id="rId727">
        <w:r>
          <w:rPr>
            <w:color w:val="1155CC"/>
            <w:u w:val="single"/>
          </w:rPr>
          <w:t>10.1002/anie.5399898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首次制备了显示自发排列和长程六角柱状有序的动态共价网络。这是硅氧烷连接体和诱导氢键作用的动态共价酰基氨基脲键之间相分离的结果。离散硅氧烷连接体的使用至关重要，因为基于分散硅氧烷的网络不能提供有序或对齐的网络结构。硅氧烷长度的优化是实现最显着效果的关键。有趣的是，优化的有序网络是通过简单的溶剂蒸发获得的，允许引入近乎完美的垂直排列，如透射电子显微镜成像和掠入射小角X射线散射所证实。与无序网络相比，有序网络具有改善的（热）机械性能。此外，系统中的秩序会减慢网络动态并提高抗蠕变性。我们通过组合有序和无序网络以简单的方式准备执行器，消除了任何对齐步骤的需要并显着简化了整个过程。</w:t>
      </w:r>
    </w:p>
    <w:p>
      <w:pPr>
        <w:spacing w:before="0" w:after="200" w:lineRule="auto" w:line="276"/>
      </w:pPr>
      <w:r>
        <w:rPr>
          <w:b/>
        </w:rPr>
        <w:t xml:space="preserve">Abstract (EN): </w:t>
      </w:r>
      <w:r>
        <w:t>For the first time, dynamic covalent networks are prepared that show spontaneous alignment and long‐range hexagonal columnar ordering. This is a consequence of the phase‐separation between the siloxane linkers and dynamic covalent acylsemicarbazide bonds that induce hydrogen bonding. The use of discrete siloxane linkers is crucial, as networks based on disperse siloxanes do not give ordered or aligned network structures. Optimization of the siloxane length is key in achieving the most pronounced effect. Interestingly, the optimized ordered networks are obtained through simple solvent evaporation, allowing to introduce near‐perfect homeotropic alignment as imaged with transmission electron microscopy and corroborated with grazing incidence small angle x‐ray scattering. The ordered network has improved (thermo)mechanical properties compared to the disordered networks. Additionally, order in the system slows down the network dynamics and improves creep resistance. We prepare actuators in a straightforward fashion by combining ordered and disordered networks, removing the need for any alignment step and simplifying the overall process significantly.</w:t>
      </w:r>
    </w:p>
    <w:p>
      <w:pPr>
        <w:spacing w:before="120" w:after="120"/>
      </w:pPr>
      <w:r>
        <w:rPr>
          <w:sz w:val="18"/>
        </w:rPr>
        <w:t>——————————————————————————————————————————————————————————————————————</w:t>
      </w:r>
    </w:p>
    <w:p>
      <w:pPr>
        <w:spacing w:before="160" w:after="40" w:line="240" w:lineRule="auto"/>
      </w:pPr>
      <w:r>
        <w:rPr>
          <w:b/>
        </w:rPr>
        <w:t xml:space="preserve">[95] </w:t>
      </w:r>
      <w:hyperlink r:id="rId728">
        <w:r>
          <w:rPr>
            <w:color w:val="1155CC"/>
            <w:u w:val="single"/>
          </w:rPr>
          <w:t>手性超分子聚合中的反离子动力学</w:t>
        </w:r>
      </w:hyperlink>
    </w:p>
    <w:p>
      <w:pPr>
        <w:spacing w:before="0" w:after="80"/>
      </w:pPr>
      <w:r>
        <w:rPr>
          <w:i/>
          <w:sz w:val="20"/>
        </w:rPr>
        <w:t>EN: Counterion Dynamics in Chiral Supramolecular Polymerization</w:t>
      </w:r>
    </w:p>
    <w:p>
      <w:pPr>
        <w:spacing w:before="0" w:after="120"/>
      </w:pPr>
      <w:r>
        <w:rPr>
          <w:b/>
        </w:rPr>
        <w:t xml:space="preserve">Source: </w:t>
      </w:r>
      <w:r>
        <w:t>Wiley: Angewandte Chemie International Edition: Table of Contents</w:t>
      </w:r>
      <w:r>
        <w:t xml:space="preserve">    </w:t>
      </w:r>
      <w:r>
        <w:rPr>
          <w:b/>
        </w:rPr>
        <w:t xml:space="preserve">Pub date: </w:t>
      </w:r>
      <w:r>
        <w:t>2026-07-31 08:14:26+00:00</w:t>
      </w:r>
      <w:r>
        <w:t xml:space="preserve">    </w:t>
      </w:r>
      <w:r>
        <w:rPr>
          <w:b/>
        </w:rPr>
        <w:t xml:space="preserve">DOI: </w:t>
      </w:r>
      <w:hyperlink r:id="rId729">
        <w:r>
          <w:rPr>
            <w:color w:val="1155CC"/>
            <w:u w:val="single"/>
          </w:rPr>
          <w:t>10.1002/anie.1807439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抗衡离子已在广泛的化学和生物系统中进行了研究，通常通过比较不同的离子种类来评估其效果。然而，对于给定系统内单个反离子的动态效应仍然知之甚少。在这项研究中，我们证明反离子动力学控制超分子聚合中的组装途径和手性。为了研究这一现象，我们设计了带有两个 BF 的双阳离子四吡啶 Pd(II) 配合物</w:t>
      </w:r>
      <w:r>
        <w:rPr>
          <w:vertAlign w:val="subscript"/>
        </w:rPr>
        <w:t>4</w:t>
      </w:r>
      <w:r>
        <w:t>-</w:t>
      </w:r>
      <w:r>
        <w:t>抗衡离子、用于氢键键合的酰胺基团，以及</w:t>
      </w:r>
      <w:r>
        <w:t xml:space="preserve"> </w:t>
      </w:r>
      <w:r>
        <w:t>S</w:t>
      </w:r>
      <w:r>
        <w:t xml:space="preserve"> </w:t>
      </w:r>
      <w:r>
        <w:t>- 或</w:t>
      </w:r>
      <w:r>
        <w:t xml:space="preserve"> </w:t>
      </w:r>
      <w:r>
        <w:t>右</w:t>
      </w:r>
      <w:r>
        <w:t xml:space="preserve"> </w:t>
      </w:r>
      <w:r>
        <w:t>‐手性侧链，并研究了它们在非极性介质中的超分子聚合。在动力学条件下，</w:t>
      </w:r>
      <w:r>
        <w:t xml:space="preserve"> </w:t>
      </w:r>
      <w:r>
        <w:t>S</w:t>
      </w:r>
      <w:r>
        <w:t xml:space="preserve"> </w:t>
      </w:r>
      <w:r>
        <w:t>‐手性复合物最初自组装成纳米颗粒状亚稳态聚集体</w:t>
      </w:r>
      <w:r>
        <w:t xml:space="preserve"> </w:t>
      </w:r>
      <w:r>
        <w:t>(聚集体)</w:t>
      </w:r>
      <w:r>
        <w:t xml:space="preserve"> </w:t>
      </w:r>
      <w:r>
        <w:t>，随着时间的推移演变成热力学控制的超分子聚合物</w:t>
      </w:r>
      <w:r>
        <w:t xml:space="preserve"> </w:t>
      </w:r>
      <w:r>
        <w:t>(聚集体II)</w:t>
      </w:r>
      <w:r>
        <w:t xml:space="preserve"> </w:t>
      </w:r>
      <w:r>
        <w:t>通过竞争途径产生反向手性光学信号。光谱、显微镜和计算研究表明 BF 位置的细微变化</w:t>
      </w:r>
      <w:r>
        <w:rPr>
          <w:vertAlign w:val="subscript"/>
        </w:rPr>
        <w:t>4</w:t>
      </w:r>
      <w:r>
        <w:t>-</w:t>
      </w:r>
      <w:r>
        <w:t>抗衡离子调节 π 延伸吡啶配体的堆积和氢键排列，产生独特的不对称放大行为和超分子手性</w:t>
      </w:r>
    </w:p>
    <w:p>
      <w:pPr>
        <w:spacing w:before="0" w:after="200" w:lineRule="auto" w:line="276"/>
      </w:pPr>
      <w:r>
        <w:rPr>
          <w:b/>
        </w:rPr>
        <w:t xml:space="preserve">Abstract (EN): </w:t>
      </w:r>
      <w:r>
        <w:t>Counterions have been studied in a broad range of chemical and biological systems, and their effects are typically evaluated by comparing different ionic species. However, the dynamic effects of a single counterion within a given system remain poorly understood. In this study, we demonstrate that counterion dynamics governs assembly pathways and chirality in supramolecular polymerization. To investigate this phenomenon, we designed dicationic tetrapyridyl Pd(II) complexes bearing two BF</w:t>
      </w:r>
      <w:r>
        <w:rPr>
          <w:vertAlign w:val="subscript"/>
        </w:rPr>
        <w:t>4</w:t>
      </w:r>
      <w:r>
        <w:t>−</w:t>
      </w:r>
      <w:r>
        <w:t>counterions, amide groups for hydrogen bonding, and either</w:t>
      </w:r>
      <w:r>
        <w:t xml:space="preserve"> </w:t>
      </w:r>
      <w:r>
        <w:t>S</w:t>
      </w:r>
      <w:r>
        <w:t xml:space="preserve"> </w:t>
      </w:r>
      <w:r>
        <w:t>‐ or</w:t>
      </w:r>
      <w:r>
        <w:t xml:space="preserve"> </w:t>
      </w:r>
      <w:r>
        <w:t>R</w:t>
      </w:r>
      <w:r>
        <w:t xml:space="preserve"> </w:t>
      </w:r>
      <w:r>
        <w:t>‐chiral side chains, and studied their supramolecular polymerization in nonpolar media. Under kinetic conditions, the</w:t>
      </w:r>
      <w:r>
        <w:t xml:space="preserve"> </w:t>
      </w:r>
      <w:r>
        <w:t>S</w:t>
      </w:r>
      <w:r>
        <w:t xml:space="preserve"> </w:t>
      </w:r>
      <w:r>
        <w:t>‐chiral complex initially self‐assembles into nanoparticle‐like metastable aggregates</w:t>
      </w:r>
      <w:r>
        <w:t xml:space="preserve"> </w:t>
      </w:r>
      <w:r>
        <w:t>(AggI)</w:t>
      </w:r>
      <w:r>
        <w:t xml:space="preserve"> </w:t>
      </w:r>
      <w:r>
        <w:t>, which over time evolve into thermodynamically controlled supramolecular polymers</w:t>
      </w:r>
      <w:r>
        <w:t xml:space="preserve"> </w:t>
      </w:r>
      <w:r>
        <w:t>(AggII)</w:t>
      </w:r>
      <w:r>
        <w:t xml:space="preserve"> </w:t>
      </w:r>
      <w:r>
        <w:t>with inverted chiroptical signal through a competitive pathway. Spectroscopic, microscopic, and computational studies indicate that subtle changes in the position of the BF</w:t>
      </w:r>
      <w:r>
        <w:rPr>
          <w:vertAlign w:val="subscript"/>
        </w:rPr>
        <w:t>4</w:t>
      </w:r>
      <w:r>
        <w:t>−</w:t>
      </w:r>
      <w:r>
        <w:t>counterions modulate the packing of the π‐extended pyridine ligands and the hydrogen‐bonding arrangement, giving rise to distinct asymmetry amplification behavior and supramolecular chirality. These findings demonstrate that a single counterion can direct pathway‐dependent supramolecular polymerization into distinct helical states, highlighting the crucial role of charge desolvation and dynamics in governing supramolecular self‐assembly.</w:t>
      </w:r>
    </w:p>
    <w:p>
      <w:pPr>
        <w:spacing w:before="120" w:after="120"/>
      </w:pPr>
      <w:r>
        <w:rPr>
          <w:sz w:val="18"/>
        </w:rPr>
        <w:t>——————————————————————————————————————————————————————————————————————</w:t>
      </w:r>
    </w:p>
    <w:p>
      <w:pPr>
        <w:spacing w:before="160" w:after="40" w:line="240" w:lineRule="auto"/>
      </w:pPr>
      <w:r>
        <w:rPr>
          <w:b/>
        </w:rPr>
        <w:t xml:space="preserve">[96] </w:t>
      </w:r>
      <w:hyperlink r:id="rId730">
        <w:r>
          <w:rPr>
            <w:color w:val="1155CC"/>
            <w:u w:val="single"/>
          </w:rPr>
          <w:t>来自天然基质的原位声余辉超分子水凝胶用于术后胶质母细胞瘤治疗</w:t>
        </w:r>
      </w:hyperlink>
    </w:p>
    <w:p>
      <w:pPr>
        <w:spacing w:before="0" w:after="80"/>
      </w:pPr>
      <w:r>
        <w:rPr>
          <w:i/>
          <w:sz w:val="20"/>
        </w:rPr>
        <w:t>EN: In Situ Sonoafterglow Supramolecular Hydrogel From Natural Substrate for Post‐Surgical Glioblastoma Treatment</w:t>
      </w:r>
    </w:p>
    <w:p>
      <w:pPr>
        <w:spacing w:before="0" w:after="120"/>
      </w:pPr>
      <w:r>
        <w:rPr>
          <w:b/>
        </w:rPr>
        <w:t xml:space="preserve">Source: </w:t>
      </w:r>
      <w:r>
        <w:t>Wiley: Angewandte Chemie International Edition: Table of Contents</w:t>
      </w:r>
      <w:r>
        <w:t xml:space="preserve">    </w:t>
      </w:r>
      <w:r>
        <w:rPr>
          <w:b/>
        </w:rPr>
        <w:t xml:space="preserve">Pub date: </w:t>
      </w:r>
      <w:r>
        <w:t>2026-07-31 08:19:22+00:00</w:t>
      </w:r>
      <w:r>
        <w:t xml:space="preserve">    </w:t>
      </w:r>
      <w:r>
        <w:rPr>
          <w:b/>
        </w:rPr>
        <w:t xml:space="preserve">DOI: </w:t>
      </w:r>
      <w:hyperlink r:id="rId731">
        <w:r>
          <w:rPr>
            <w:color w:val="1155CC"/>
            <w:u w:val="single"/>
          </w:rPr>
          <w:t>10.1002/anie.8630985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实时激发，荧光成像受到大量背景干扰和低信号背景比的影响。相比之下，余辉发光体可以在激发停止后延长发射时间，有效抑制生物背景噪声并提高成像信背景比。然而，现有的余辉探针很大程度上局限于半导体聚合物或合成有机分子的纳米颗粒，没有关于水凝胶形式的天然产物衍生的余辉系统的报道。这项研究开创了绿原酸（CA）这种天然抗肿瘤剂具有独特的声余辉特性的发现。这一发现促使我们设计了一种能够在水中自组装成基于 CA 的超分子水凝胶的 CA 前药，这是声余辉水凝胶而不是传统纳米颗粒制剂的第一个例子。 VP@Pro‑CA 凝胶配方含有声敏剂维替泊芬 (VP)，允许术后局部注射进行声动力疗法 (SDT)，以预防胶质母细胞瘤 (GBM) 复发。至关重要的是，ONOO</w:t>
      </w:r>
      <w:r>
        <w:t xml:space="preserve"> </w:t>
      </w:r>
      <w:r>
        <w:t>-</w:t>
      </w:r>
      <w:r>
        <w:t>触发余辉发射可实现实时治疗监测，展示了 GBM 治疗诊断学的非凡潜力。值得注意的是，CA 构成了一类新型生物安全、小分子声余辉底物，具有内在药理活性，为这一新兴领域的临床转化提供了无与伦比的优势。</w:t>
      </w:r>
    </w:p>
    <w:p>
      <w:pPr>
        <w:spacing w:before="0" w:after="200" w:lineRule="auto" w:line="276"/>
      </w:pPr>
      <w:r>
        <w:rPr>
          <w:b/>
        </w:rPr>
        <w:t xml:space="preserve">Abstract (EN): </w:t>
      </w:r>
      <w:r>
        <w:t>Fluorescence imaging suffers from substantial background interference and a low signal‑to‑background ratio due to real‑time excitation. In contrast, afterglow luminophores enable prolonged emission after excitation ceases, effectively suppressing biological background noise and enhancing the imaging signal‑to‑background ratio. However, existing afterglow probes are largely limited to nanoparticles of semiconducting polymer or synthetic organic molecules, with no report of a natural‐product‐derived afterglow system in hydrogel form. This study pioneers the discovery that chlorogenic acid (CA), a natural antitumor agent, exhibits unique sonoafterglow properties. This finding prompted the design of a CA prodrug capable of self‑assembling in water into a CA‑based supramolecular hydrogel—representing the first example of a sonoafterglow hydrogel rather than conventional nanoparticle formulations. The VP@Pro‑CA gel formulation, which incorporates the sonosensitizer verteporfin (VP), allows post‑operative local injection for sonodynamic therapy (SDT) to prevent glioblastoma (GBM) recurrence. Crucially, the ONOO</w:t>
      </w:r>
      <w:r>
        <w:t xml:space="preserve"> </w:t>
      </w:r>
      <w:r>
        <w:t>−</w:t>
      </w:r>
      <w:r>
        <w:t>‑triggered afterglow emission enables real‑time therapeutic monitoring, demonstrating exceptional potential for GBM theranostics. Notably, CA constitutes a novel class of biosafe, small‑molecule sonoafterglow substrates with intrinsic pharmacological activity, offering unparalleled advantages for clinical translation in this emerging field.</w:t>
      </w:r>
    </w:p>
    <w:p>
      <w:pPr>
        <w:spacing w:before="120" w:after="120"/>
      </w:pPr>
      <w:r>
        <w:rPr>
          <w:sz w:val="18"/>
        </w:rPr>
        <w:t>——————————————————————————————————————————————————————————————————————</w:t>
      </w:r>
    </w:p>
    <w:p>
      <w:pPr>
        <w:spacing w:before="160" w:after="40" w:line="240" w:lineRule="auto"/>
      </w:pPr>
      <w:r>
        <w:rPr>
          <w:b/>
        </w:rPr>
        <w:t xml:space="preserve">[97] </w:t>
      </w:r>
      <w:hyperlink r:id="rId732">
        <w:r>
          <w:rPr>
            <w:color w:val="1155CC"/>
            <w:u w:val="single"/>
          </w:rPr>
          <w:t>使用 n 型有机光电化学突触的端到端神经形态密码系统</w:t>
        </w:r>
      </w:hyperlink>
    </w:p>
    <w:p>
      <w:pPr>
        <w:spacing w:before="0" w:after="80"/>
      </w:pPr>
      <w:r>
        <w:rPr>
          <w:i/>
          <w:sz w:val="20"/>
        </w:rPr>
        <w:t>EN: End‐to‐End Neuromorphic Cryptosystems Using n‐type Organic Optoelectrochemical Synapses</w:t>
      </w:r>
    </w:p>
    <w:p>
      <w:pPr>
        <w:spacing w:before="0" w:after="120"/>
      </w:pPr>
      <w:r>
        <w:rPr>
          <w:b/>
        </w:rPr>
        <w:t xml:space="preserve">Source: </w:t>
      </w:r>
      <w:r>
        <w:t>Wiley: Advanced Materials: Table of Contents</w:t>
      </w:r>
      <w:r>
        <w:t xml:space="preserve">    </w:t>
      </w:r>
      <w:r>
        <w:rPr>
          <w:b/>
        </w:rPr>
        <w:t xml:space="preserve">Pub date: </w:t>
      </w:r>
      <w:r>
        <w:t>2026-07-31 09:46:13+00:00</w:t>
      </w:r>
      <w:r>
        <w:t xml:space="preserve">    </w:t>
      </w:r>
      <w:r>
        <w:rPr>
          <w:b/>
        </w:rPr>
        <w:t xml:space="preserve">DOI: </w:t>
      </w:r>
      <w:hyperlink r:id="rId733">
        <w:r>
          <w:rPr>
            <w:color w:val="1155CC"/>
            <w:u w:val="single"/>
          </w:rPr>
          <w:t>10.1002/adma.74383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密码仿生学旨在模拟安全信息处理的生物学原理，但在硬件层面上仍未得到充分探索。在这里，我们报告了一种光学加密的神经形态密码系统，该系统利用 n 型有机光电化学突触（n-OOECS），为端到端安全通信提供受大脑启发的加密逻辑和自适应信息保护。这种全固态突触装置基于单组分熔融低聚有机混合离子电子导体，表现出多模态可重构可塑性，具有创纪录的10位电导状态、可重新编程的时间脉冲波形和可调谐的易失性到非易失性切换。光电化学共调制可实现双向补偿和强大的暗到亮切换。 7 英寸基板上的晶圆级集成展示了出色的器件均匀性。该系统利用可编程脉冲工程和非线性光电动力学原理，通过卷积神经网络同时执行莫尔斯脉冲识别、光学加密传输和神经机器翻译。值得注意的是，它直观地展示了从输入代表“中山大学”的脉冲编码波形到最终准确的中文翻译输出的整个过程。这项工作建立了一个 OOECS 平台，将神经拟态计算与加密功能集成在一起，为安全、自适应和仿生硬件加密提供可扩展的材料框架。</w:t>
      </w:r>
    </w:p>
    <w:p>
      <w:pPr>
        <w:spacing w:before="0" w:after="200" w:lineRule="auto" w:line="276"/>
      </w:pPr>
      <w:r>
        <w:rPr>
          <w:b/>
        </w:rPr>
        <w:t xml:space="preserve">Abstract (EN): </w:t>
      </w:r>
      <w:r>
        <w:t>Cryptographic bionics, which seeks to emulate biological principles for secure information processing, remains largely unexplored at the hardware level. Here, we report an optically encrypted neuromorphic cryptosystem that utilizes an n‐type organic optoelectrochemical synapse (n‐OOECS), enabling brain‐inspired encryption logic and adaptive information protection for end‐to‐end secure communication. This all‐solid‐state synaptic device, based on a single‐component fused oligomeric organic mixed ionic‐electronic conductor, exhibits multimodal reconfigurable plasticity, featuring record‐high 10‐bit conductance states, reprogrammable temporal pulse‐waveforms, and tunable volatile‐to‐nonvolatile switching. Optoelectrochemical co‐modulation enables bidirectional compensation and robust dark‐to‐light switching. Wafer‐scale integration on 7‐inch substrates demonstrates excellent device uniformity. By leveraging the principles of programmable‐pulse engineering and nonlinear optoelectronic dynamics, the system simultaneously performs Morse pulse identification, optically encrypted transmission, and neural machine translation via convolutional neural networks. Notably, it visually demonstrates the entire process, from the input of pulse‐encoded waveforms representing “SUN YAT SEN UNIVERSITY” to the final accurate Chinese translation output. This work establishes an OOECS platform that integrates neuromorphic computing with cryptographic functionality, offering a scalable materials framework for secure, adaptive, and bioinspired hardware encryption.</w:t>
      </w:r>
    </w:p>
    <w:p>
      <w:pPr>
        <w:spacing w:before="120" w:after="120"/>
      </w:pPr>
      <w:r>
        <w:rPr>
          <w:sz w:val="18"/>
        </w:rPr>
        <w:t>——————————————————————————————————————————————————————————————————————</w:t>
      </w:r>
    </w:p>
    <w:p>
      <w:pPr>
        <w:spacing w:before="160" w:after="40" w:line="240" w:lineRule="auto"/>
      </w:pPr>
      <w:r>
        <w:rPr>
          <w:b/>
        </w:rPr>
        <w:t xml:space="preserve">[98] </w:t>
      </w:r>
      <w:hyperlink r:id="rId734">
        <w:r>
          <w:rPr>
            <w:color w:val="1155CC"/>
            <w:u w:val="single"/>
          </w:rPr>
          <w:t>二维范德华晶体 LiInP2S6 中极序和大非线性光学响应的​​可逆水合调节</w:t>
        </w:r>
      </w:hyperlink>
    </w:p>
    <w:p>
      <w:pPr>
        <w:spacing w:before="0" w:after="80"/>
      </w:pPr>
      <w:r>
        <w:rPr>
          <w:i/>
          <w:sz w:val="20"/>
        </w:rPr>
        <w:t>EN: Reversible Hydration Tuning of Polar Order and Large Nonlinear Optical Response in a 2D van der Waals Crystal, LiInP2S6</w:t>
      </w:r>
    </w:p>
    <w:p>
      <w:pPr>
        <w:spacing w:before="0" w:after="120"/>
      </w:pPr>
      <w:r>
        <w:rPr>
          <w:b/>
        </w:rPr>
        <w:t xml:space="preserve">Source: </w:t>
      </w:r>
      <w:r>
        <w:t>Wiley: Advanced Materials: Table of Contents</w:t>
      </w:r>
      <w:r>
        <w:t xml:space="preserve">    </w:t>
      </w:r>
      <w:r>
        <w:rPr>
          <w:b/>
        </w:rPr>
        <w:t xml:space="preserve">Pub date: </w:t>
      </w:r>
      <w:r>
        <w:t>2026-07-31 09:47:39+00:00</w:t>
      </w:r>
      <w:r>
        <w:t xml:space="preserve">    </w:t>
      </w:r>
      <w:r>
        <w:rPr>
          <w:b/>
        </w:rPr>
        <w:t xml:space="preserve">DOI: </w:t>
      </w:r>
      <w:hyperlink r:id="rId735">
        <w:r>
          <w:rPr>
            <w:color w:val="1155CC"/>
            <w:u w:val="single"/>
          </w:rPr>
          <w:t>10.1002/adma.74177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常，水分会降低吸湿性商业光学晶体的性能。相比之下，在层状范德华化合物中发现了水合驱动的对称变换，该化合物诱导了一种新的极性相，该极性相表现出较大的非共振非线性光学响应。水插层将原始的手性非极性相（点群 32 和间接能隙 3.0 eV）转化为手性极性结构（点群 3 和间接能隙 3.15 eV），并通过亚埃晶格畸变稳定。这种结构变化产生了新的对称性，允许在 1550 nm 电信波长下 pm/V 和 pm/V 的水合相中存在非共振光学二次谐波产生 (SHG) 系数；它们的大小是其他具有类似带隙的知名材料的两倍。密度泛函理论计算预测了与水合中的三角点群 3 一致的极性模式的出现，并告知大倍频系数的出现。通过温度依赖性二次谐波产生、X射线衍射和差示扫描量热法证实了通过水合和脱水的可逆结构转变。这些发现表明插层是调整极性顺序、增强非线性光学响应以及按需创建和擦除光子集成电路可调谐光学元件的有力手段。</w:t>
      </w:r>
    </w:p>
    <w:p>
      <w:pPr>
        <w:spacing w:before="0" w:after="200" w:lineRule="auto" w:line="276"/>
      </w:pPr>
      <w:r>
        <w:rPr>
          <w:b/>
        </w:rPr>
        <w:t xml:space="preserve">Abstract (EN): </w:t>
      </w:r>
      <w:r>
        <w:t>Typically, moisture degrades the performance of commercial optical crystals that are hygroscopic. In contrast, a hydration‐driven symmetry transformation is discovered in a layered van der Waals compound that induces a new polar phase that exhibits a large nonresonant nonlinear optical response. Water intercalation converts the chiral‐nonpolar phase of pristine  (point group 32 and an indirect gap of 3.0 eV) into  that exhibits a chiral‐polar structure (point group 3 and an indirect gap of  3.15 eV), stabilized by sub‐angstrom lattice distortions. This structural change results in new symmetry, allowing nonresonant optical second‐harmonic generation (SHG) coefficients in the hydrated phase of  pm/V and  pm/V at the 1550 nm telecom wavelength; these are up to twice as large as other well‐known materials with similar bandgaps. Density functional theory calculations predict the emergence of a  polar mode consistent with the trigonal point group 3 in hydrated , as well as inform the emergence of large SHG coefficients. The reversible structural transformation via hydration and dehydration is confirmed through temperature‐dependent SHG, x‐ray diffraction, and differential scanning calorimetry. These findings demonstrate intercalation as a powerful means for tuning polar order, enhancing the nonlinear optical response and on‐demand creation and erasure of tunable optical elements for photonic integrated circuits.</w:t>
      </w:r>
    </w:p>
    <w:p>
      <w:pPr>
        <w:spacing w:before="120" w:after="120"/>
      </w:pPr>
      <w:r>
        <w:rPr>
          <w:sz w:val="18"/>
        </w:rPr>
        <w:t>——————————————————————————————————————————————————————————————————————</w:t>
      </w:r>
    </w:p>
    <w:p>
      <w:pPr>
        <w:spacing w:before="160" w:after="40" w:line="240" w:lineRule="auto"/>
      </w:pPr>
      <w:r>
        <w:rPr>
          <w:b/>
        </w:rPr>
        <w:t xml:space="preserve">[99] </w:t>
      </w:r>
      <w:hyperlink r:id="rId736">
        <w:r>
          <w:rPr>
            <w:color w:val="1155CC"/>
            <w:u w:val="single"/>
          </w:rPr>
          <w:t>三维吩嗪集成共价有机框架在中性条件下高效电合成 H2O2</w:t>
        </w:r>
      </w:hyperlink>
    </w:p>
    <w:p>
      <w:pPr>
        <w:spacing w:before="0" w:after="80"/>
      </w:pPr>
      <w:r>
        <w:rPr>
          <w:i/>
          <w:sz w:val="20"/>
        </w:rPr>
        <w:t>EN: Three‐Dimensional Phenazine‐Integrated Covalent Organic Framework for Efficient Electrosynthesis of H2O2 Under Neutral Conditions</w:t>
      </w:r>
    </w:p>
    <w:p>
      <w:pPr>
        <w:spacing w:before="0" w:after="120"/>
      </w:pPr>
      <w:r>
        <w:rPr>
          <w:b/>
        </w:rPr>
        <w:t xml:space="preserve">Source: </w:t>
      </w:r>
      <w:r>
        <w:t>Wiley: Advanced Materials: Table of Contents</w:t>
      </w:r>
      <w:r>
        <w:t xml:space="preserve">    </w:t>
      </w:r>
      <w:r>
        <w:rPr>
          <w:b/>
        </w:rPr>
        <w:t xml:space="preserve">Pub date: </w:t>
      </w:r>
      <w:r>
        <w:t>2026-07-31 09:48:52+00:00</w:t>
      </w:r>
      <w:r>
        <w:t xml:space="preserve">    </w:t>
      </w:r>
      <w:r>
        <w:rPr>
          <w:b/>
        </w:rPr>
        <w:t xml:space="preserve">DOI: </w:t>
      </w:r>
      <w:hyperlink r:id="rId737">
        <w:r>
          <w:rPr>
            <w:color w:val="1155CC"/>
            <w:u w:val="single"/>
          </w:rPr>
          <w:t>10.1002/adma.74395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由于其可调节的结构和明确的活性位点，已成为过氧化氢合成的有前途的电催化平台。然而，大多数基于COF的催化剂仅限于二维（2D）结构和碱性条件，这限制了它们的实际应用。在此，我们报告了一种构建三维（3D）COF的策略，该策略可实现高效的H</w:t>
      </w:r>
      <w:r>
        <w:rPr>
          <w:vertAlign w:val="subscript"/>
        </w:rPr>
        <w:t>2</w:t>
      </w:r>
      <w:r>
        <w:t>氧</w:t>
      </w:r>
      <w:r>
        <w:rPr>
          <w:vertAlign w:val="subscript"/>
        </w:rPr>
        <w:t>2</w:t>
      </w:r>
      <w:r>
        <w:t>中性条件下的电合成。通过将吩嗪单元作为连接核，我们实现了具有 6 倍互穿结构的 3D COF</w:t>
      </w:r>
      <w:r>
        <w:t xml:space="preserve"> </w:t>
      </w:r>
      <w:r>
        <w:t>直径</w:t>
      </w:r>
      <w:r>
        <w:t xml:space="preserve"> </w:t>
      </w:r>
      <w:r>
        <w:t>拓扑，其中吩嗪的扭转特性促进了从 2D 到 3D 架构的尺寸转换。与苯连接的对应物（BCTA-TPTC-COF）相比，所得的 BCTA-PZDC-COF 表现出增强的电子特性和电荷转移动力学。 BCTA-PZDC-COF 展现出卓越的 2e</w:t>
      </w:r>
      <w:r>
        <w:t xml:space="preserve"> </w:t>
      </w:r>
      <w:r>
        <w:t>-</w:t>
      </w:r>
      <w:r>
        <w:t>中性电解质中的氧还原反应（ORR），实现91% H</w:t>
      </w:r>
      <w:r>
        <w:rPr>
          <w:vertAlign w:val="subscript"/>
        </w:rPr>
        <w:t>2</w:t>
      </w:r>
      <w:r>
        <w:t>氧</w:t>
      </w:r>
      <w:r>
        <w:rPr>
          <w:vertAlign w:val="subscript"/>
        </w:rPr>
        <w:t>2</w:t>
      </w:r>
      <w:r>
        <w:t>选择性和质量活度为 4.46 A g</w:t>
      </w:r>
      <w:r>
        <w:t xml:space="preserve"> </w:t>
      </w:r>
      <w:r>
        <w:t>−1</w:t>
      </w:r>
      <w:r>
        <w:t xml:space="preserve"> </w:t>
      </w:r>
      <w:r>
        <w:t>，分别比 BCTA-TPTC-COF 提高了 68% 和 79%。值得注意的是，在流通池配置中，催化剂实现了 H</w:t>
      </w:r>
      <w:r>
        <w:rPr>
          <w:vertAlign w:val="subscript"/>
        </w:rPr>
        <w:t>2</w:t>
      </w:r>
      <w:r>
        <w:t>氧</w:t>
      </w:r>
      <w:r>
        <w:rPr>
          <w:vertAlign w:val="subscript"/>
        </w:rPr>
        <w:t>2</w:t>
      </w:r>
      <w:r>
        <w:t>p</w:t>
      </w:r>
    </w:p>
    <w:p>
      <w:pPr>
        <w:spacing w:before="0" w:after="200" w:lineRule="auto" w:line="276"/>
      </w:pPr>
      <w:r>
        <w:rPr>
          <w:b/>
        </w:rPr>
        <w:t xml:space="preserve">Abstract (EN): </w:t>
      </w:r>
      <w:r>
        <w:t>Covalent organic frameworks (COFs) have emerged as promising electrocatalytic platforms for hydrogen peroxide synthesis due to their tunable structures and well‐defined active sites. However, most COF‐based catalysts are limited to two‐dimensional (2D) architectures and alkaline conditions, which restrict their practical application. Herein, we report a strategy for constructing three‐dimensional (3D) COFs that enable efficient H</w:t>
      </w:r>
      <w:r>
        <w:rPr>
          <w:vertAlign w:val="subscript"/>
        </w:rPr>
        <w:t>2</w:t>
      </w:r>
      <w:r>
        <w:t>O</w:t>
      </w:r>
      <w:r>
        <w:rPr>
          <w:vertAlign w:val="subscript"/>
        </w:rPr>
        <w:t>2</w:t>
      </w:r>
      <w:r>
        <w:t>electrosynthesis under neutral conditions. By incorporating phenazine units as linked cores, we achieved a 3D COF with a 6‐fold interpenetrated</w:t>
      </w:r>
      <w:r>
        <w:t xml:space="preserve"> </w:t>
      </w:r>
      <w:r>
        <w:t>dia</w:t>
      </w:r>
      <w:r>
        <w:t xml:space="preserve"> </w:t>
      </w:r>
      <w:r>
        <w:t>topology, where the torsional characteristics of phenazine promote dimensional transformation from 2D to 3D architectures. The resulting BCTA‐PZDC‐COF exhibits enhanced electronic properties and charge transfer dynamics compared to its benzene‐linked counterpart (BCTA‐TPTC‐COF). The BCTA‐PZDC‐COF demonstrates exceptional 2e</w:t>
      </w:r>
      <w:r>
        <w:t xml:space="preserve"> </w:t>
      </w:r>
      <w:r>
        <w:t>−</w:t>
      </w:r>
      <w:r>
        <w:t>oxygen reduction reaction (ORR) in neutral electrolyte, achieving 91% H</w:t>
      </w:r>
      <w:r>
        <w:rPr>
          <w:vertAlign w:val="subscript"/>
        </w:rPr>
        <w:t>2</w:t>
      </w:r>
      <w:r>
        <w:t>O</w:t>
      </w:r>
      <w:r>
        <w:rPr>
          <w:vertAlign w:val="subscript"/>
        </w:rPr>
        <w:t>2</w:t>
      </w:r>
      <w:r>
        <w:t>selectivity and a mass activity of 4.46 A g</w:t>
      </w:r>
      <w:r>
        <w:t xml:space="preserve"> </w:t>
      </w:r>
      <w:r>
        <w:t>−1</w:t>
      </w:r>
      <w:r>
        <w:t xml:space="preserve"> </w:t>
      </w:r>
      <w:r>
        <w:t>, representing 68% and 79% improvements over the BCTA‐TPTC‐COF, respectively. Notably, in a flow cell configuration, the catalyst achieves an H</w:t>
      </w:r>
      <w:r>
        <w:rPr>
          <w:vertAlign w:val="subscript"/>
        </w:rPr>
        <w:t>2</w:t>
      </w:r>
      <w:r>
        <w:t>O</w:t>
      </w:r>
      <w:r>
        <w:rPr>
          <w:vertAlign w:val="subscript"/>
        </w:rPr>
        <w:t>2</w:t>
      </w:r>
      <w:r>
        <w:t>production rate of 6.7 mol g</w:t>
      </w:r>
      <w:r>
        <w:t xml:space="preserve"> </w:t>
      </w:r>
      <w:r>
        <w:t>−1</w:t>
      </w:r>
      <w:r>
        <w:t xml:space="preserve"> </w:t>
      </w:r>
      <w:r>
        <w:t>h</w:t>
      </w:r>
      <w:r>
        <w:t xml:space="preserve"> </w:t>
      </w:r>
      <w:r>
        <w:t>−1</w:t>
      </w:r>
      <w:r>
        <w:t xml:space="preserve"> </w:t>
      </w:r>
      <w:r>
        <w:t>with a Faradaic efficiency of 90.6%. Theoretical studies indicate that the phenazine structure facilitates optimal adsorption of *OOH intermediates on the catalytic sites, thereby enhancing electrocatalytic performance. This work provides a strategic approach for designing COF electrocatalysts under environmentally benign conditions.</w:t>
      </w:r>
    </w:p>
    <w:p>
      <w:pPr>
        <w:spacing w:before="120" w:after="120"/>
      </w:pPr>
      <w:r>
        <w:rPr>
          <w:sz w:val="18"/>
        </w:rPr>
        <w:t>——————————————————————————————————————————————————————————————————————</w:t>
      </w:r>
    </w:p>
    <w:p>
      <w:pPr>
        <w:spacing w:before="160" w:after="40" w:line="240" w:lineRule="auto"/>
      </w:pPr>
      <w:r>
        <w:rPr>
          <w:b/>
        </w:rPr>
        <w:t xml:space="preserve">[100] </w:t>
      </w:r>
      <w:hyperlink r:id="rId738">
        <w:r>
          <w:rPr>
            <w:color w:val="1155CC"/>
            <w:u w:val="single"/>
          </w:rPr>
          <w:t>超声响应压电芬顿类微球调节线粒体膜电位以减轻椎间盘退变</w:t>
        </w:r>
      </w:hyperlink>
    </w:p>
    <w:p>
      <w:pPr>
        <w:spacing w:before="0" w:after="80"/>
      </w:pPr>
      <w:r>
        <w:rPr>
          <w:i/>
          <w:sz w:val="20"/>
        </w:rPr>
        <w:t>EN: Ultrasound‐Responsive Piezo‐Fenton‐Like Microspheres for Modulating Mitochondrial Membrane Potential to Alleviate Intervertebral Disc Degeneration</w:t>
      </w:r>
    </w:p>
    <w:p>
      <w:pPr>
        <w:spacing w:before="0" w:after="120"/>
      </w:pPr>
      <w:r>
        <w:rPr>
          <w:b/>
        </w:rPr>
        <w:t xml:space="preserve">Source: </w:t>
      </w:r>
      <w:r>
        <w:t>Wiley: Advanced Materials: Table of Contents</w:t>
      </w:r>
      <w:r>
        <w:t xml:space="preserve">    </w:t>
      </w:r>
      <w:r>
        <w:rPr>
          <w:b/>
        </w:rPr>
        <w:t xml:space="preserve">Pub date: </w:t>
      </w:r>
      <w:r>
        <w:t>2026-07-31 09:49:53+00:00</w:t>
      </w:r>
      <w:r>
        <w:t xml:space="preserve">    </w:t>
      </w:r>
      <w:r>
        <w:rPr>
          <w:b/>
        </w:rPr>
        <w:t xml:space="preserve">DOI: </w:t>
      </w:r>
      <w:hyperlink r:id="rId739">
        <w:r>
          <w:rPr>
            <w:color w:val="1155CC"/>
            <w:u w:val="single"/>
          </w:rPr>
          <w:t>10.1002/adma.74317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机药物干预无法精确地重新校准异常的线粒体膜电位（MMP），这对退化椎间盘组织的修复提出了挑战。基于临床单细胞RNA测序分析提供的生物学原理，我们开发了一种基于超声激活压电驱动类芬顿系统（Fe-BTO）的微球（PF@MS）。美国触发了 Fe-BTO 的压电势与超声相关的铁价态调制相关，以减轻与 Fe 相关的催化瓶颈</w:t>
      </w:r>
      <w:r>
        <w:rPr>
          <w:vertAlign w:val="subscript"/>
        </w:rPr>
        <w:t>3</w:t>
      </w:r>
      <w:r>
        <w:t>+</w:t>
      </w:r>
      <w:r>
        <w:t xml:space="preserve"> </w:t>
      </w:r>
      <w:r>
        <w:t>/铁</w:t>
      </w:r>
      <w:r>
        <w:rPr>
          <w:vertAlign w:val="subscript"/>
        </w:rPr>
        <w:t>2</w:t>
      </w:r>
      <w:r>
        <w:t>+</w:t>
      </w:r>
      <w:r>
        <w:t xml:space="preserve"> </w:t>
      </w:r>
      <w:r>
        <w:t>相互转化，消耗局部质子将 MMP 从病理状态上调至生理水平。该过程在测试剂量和超声窗口内表现出类似自限性的反应性，因为 pH 值上升充当反馈开关以防止超极化。我们开发了一种基于硼酸酯的递送策略，其特点是硼酸酯/唾液酸辅助细胞关联，主要是网格蛋白介导的内吞作用和对 ATP 消耗的部分耐受。这种类压电芬顿介导的线粒体调节挽救了受损的自噬通量（从 8% 至 35%），并在体内大鼠模型中相对于未经治疗的空白对照组保留了 89% 的平均椎间盘高度。这项工作提供了一种机械调节的代谢重编程范例，并强调了超声响应的广阔应用前景</w:t>
      </w:r>
    </w:p>
    <w:p>
      <w:pPr>
        <w:spacing w:before="0" w:after="200" w:lineRule="auto" w:line="276"/>
      </w:pPr>
      <w:r>
        <w:rPr>
          <w:b/>
        </w:rPr>
        <w:t xml:space="preserve">Abstract (EN): </w:t>
      </w:r>
      <w:r>
        <w:t>The inability of stochastic pharmacological interventions to precisely recalibrate aberrant mitochondrial membrane potential (MMP) poses a challenge to degenerated intervertebral disc tissue repair. Based on the biological rationale provided by clinical single‐cell RNA sequencing analysis, we developed an ultrasound‐activated piezo‐driven Fenton‐like system (Fe‐BTO) based microsphere (PF@MS). The US triggered piezopotential of the Fe‐BTO correlates with ultrasound‐associated iron valence modulation to mitigate catalytic bottlenecks linked to Fe</w:t>
      </w:r>
      <w:r>
        <w:rPr>
          <w:vertAlign w:val="subscript"/>
        </w:rPr>
        <w:t>3</w:t>
      </w:r>
      <w:r>
        <w:t>+</w:t>
      </w:r>
      <w:r>
        <w:t xml:space="preserve"> </w:t>
      </w:r>
      <w:r>
        <w:t>/Fe</w:t>
      </w:r>
      <w:r>
        <w:rPr>
          <w:vertAlign w:val="subscript"/>
        </w:rPr>
        <w:t>2</w:t>
      </w:r>
      <w:r>
        <w:t>+</w:t>
      </w:r>
      <w:r>
        <w:t xml:space="preserve"> </w:t>
      </w:r>
      <w:r>
        <w:t>interconversion, consuming local protons to upregulate MMP from pathological states to the physiological level. This process exhibits self‐limiting‐like reactivity within the tested dose and ultrasound window, as rising pH acts as a feedback switch to prevent hyperpolarization. We developed a boronate ester‐based delivery strategy featuring boronate ester/sialic‐acid‐assisted cellular association with mainly clathrin‐mediated endocytosis and partial tolerance to ATP depletion. This piezo‐Fenton‐like mediated mitochondrial modulation rescued impaired autophagic flux (from 8% to 35%) and preserved 89% of the average intervertebral disc height relative to the untreated blank control group in the in vivo rat model. This work provides a mechanically modulated metabolic reprogramming paradigm and highlights the promising application prospect of ultrasound‐responsive biomaterials in the treatment of degenerative diseases.</w:t>
      </w:r>
    </w:p>
    <w:p>
      <w:pPr>
        <w:spacing w:before="120" w:after="120"/>
      </w:pPr>
      <w:r>
        <w:rPr>
          <w:sz w:val="18"/>
        </w:rPr>
        <w:t>——————————————————————————————————————————————————————————————————————</w:t>
      </w:r>
    </w:p>
    <w:p>
      <w:pPr>
        <w:spacing w:before="160" w:after="40" w:line="240" w:lineRule="auto"/>
      </w:pPr>
      <w:r>
        <w:rPr>
          <w:b/>
        </w:rPr>
        <w:t xml:space="preserve">[101] </w:t>
      </w:r>
      <w:hyperlink r:id="rId740">
        <w:r>
          <w:rPr>
            <w:color w:val="1155CC"/>
            <w:u w:val="single"/>
          </w:rPr>
          <w:t>用多点能量相关器剖析夸克-胶子等离子体中的射流修改</w:t>
        </w:r>
      </w:hyperlink>
    </w:p>
    <w:p>
      <w:pPr>
        <w:spacing w:before="0" w:after="80"/>
      </w:pPr>
      <w:r>
        <w:rPr>
          <w:i/>
          <w:sz w:val="20"/>
        </w:rPr>
        <w:t>EN: Dissecting Jet Modification in the Quark-Gluon Plasma with Multipoint Energy Correlators</w:t>
      </w:r>
    </w:p>
    <w:p>
      <w:pPr>
        <w:spacing w:before="0" w:after="120"/>
      </w:pPr>
      <w:r>
        <w:rPr>
          <w:b/>
        </w:rPr>
        <w:t xml:space="preserve">Source: </w:t>
      </w:r>
      <w:r>
        <w:t>Recent Articles in Phys. Rev. Lett.</w:t>
      </w:r>
      <w:r>
        <w:t xml:space="preserve">    </w:t>
      </w:r>
      <w:r>
        <w:rPr>
          <w:b/>
        </w:rPr>
        <w:t xml:space="preserve">Pub date: </w:t>
      </w:r>
      <w:r>
        <w:t>2026-07-31 10:00:00+00:00</w:t>
      </w:r>
      <w:r>
        <w:t xml:space="preserve">    </w:t>
      </w:r>
      <w:r>
        <w:rPr>
          <w:b/>
        </w:rPr>
        <w:t xml:space="preserve">DOI: </w:t>
      </w:r>
      <w:hyperlink r:id="rId741">
        <w:r>
          <w:rPr>
            <w:color w:val="1155CC"/>
            <w:u w:val="single"/>
          </w:rPr>
          <w:t>10.1103/9jzc-7jcv</w:t>
        </w:r>
      </w:hyperlink>
    </w:p>
    <w:p>
      <w:pPr>
        <w:spacing w:before="0" w:after="120"/>
      </w:pPr>
      <w:r>
        <w:rPr>
          <w:b/>
        </w:rPr>
        <w:t xml:space="preserve">Notes: </w:t>
      </w:r>
      <w:r>
        <w:t>abstract_source=rss_description</w:t>
      </w:r>
    </w:p>
    <w:p>
      <w:pPr>
        <w:spacing w:before="0" w:after="80" w:lineRule="auto" w:line="276"/>
      </w:pPr>
      <w:r>
        <w:rPr>
          <w:b/>
        </w:rPr>
        <w:t xml:space="preserve">摘要（ZH）: </w:t>
      </w:r>
      <w:r>
        <w:t>作者：João Barata、Ian Moult、Andrey V. Sadofyev 和 João M. Silva 能量相关器最近在重离子碰撞研究中引起了极大的关注，因为它们具有将实验测量与基础量子场论描述牢固地联系起来的潜力。虽然迄今为止的理论研究主要集中在最简单的...[物理。莱特牧师。 137, 052302] 发表于 2026 年 7 月 31 日星期五</w:t>
      </w:r>
    </w:p>
    <w:p>
      <w:pPr>
        <w:spacing w:before="0" w:after="200" w:lineRule="auto" w:line="276"/>
      </w:pPr>
      <w:r>
        <w:rPr>
          <w:b/>
        </w:rPr>
        <w:t xml:space="preserve">Abstract (EN): </w:t>
      </w:r>
      <w:r>
        <w:t>Author(s): João Barata, Ian Moult, Andrey V. Sadofyev, and João M. SilvaEnergy correlators have recently attracted significant attention in the study of heavy ion collisions due to their potential to robustly connect experimental measurements with an underlying quantum field theoretic description. While theoretical studies have so far primarily focused on the simplest t…[Phys. Rev. Lett. 137, 052302] Published Fri Jul 31, 2026</w:t>
      </w:r>
    </w:p>
    <w:p>
      <w:pPr>
        <w:spacing w:before="120" w:after="120"/>
      </w:pPr>
      <w:r>
        <w:rPr>
          <w:sz w:val="18"/>
        </w:rPr>
        <w:t>——————————————————————————————————————————————————————————————————————</w:t>
      </w:r>
    </w:p>
    <w:p>
      <w:pPr>
        <w:spacing w:before="160" w:after="40" w:line="240" w:lineRule="auto"/>
      </w:pPr>
      <w:r>
        <w:rPr>
          <w:b/>
        </w:rPr>
        <w:t xml:space="preserve">[102] </w:t>
      </w:r>
      <w:hyperlink r:id="rId742">
        <w:r>
          <w:rPr>
            <w:color w:val="1155CC"/>
            <w:u w:val="single"/>
          </w:rPr>
          <w:t>$^{4}\mathrm{He}\phantom{\rule{0.16em}{0ex}}(d,γ)^{6}\mathrm{Li}$反应中的$M1$辐射捕获分析</w:t>
        </w:r>
      </w:hyperlink>
    </w:p>
    <w:p>
      <w:pPr>
        <w:spacing w:before="0" w:after="80"/>
      </w:pPr>
      <w:r>
        <w:rPr>
          <w:i/>
          <w:sz w:val="20"/>
        </w:rPr>
        <w:t>EN: Analysis of $M1$ radiative capture in the $^{4}\mathrm{He}\phantom{\rule{0.16em}{0ex}}(d,γ)^{6}\mathrm{Li}$ reaction</w:t>
      </w:r>
    </w:p>
    <w:p>
      <w:pPr>
        <w:spacing w:before="0" w:after="120"/>
      </w:pPr>
      <w:r>
        <w:rPr>
          <w:b/>
        </w:rPr>
        <w:t xml:space="preserve">Source: </w:t>
      </w:r>
      <w:r>
        <w:t>Recent Articles in Phys. Rev. C</w:t>
      </w:r>
      <w:r>
        <w:t xml:space="preserve">    </w:t>
      </w:r>
      <w:r>
        <w:rPr>
          <w:b/>
        </w:rPr>
        <w:t xml:space="preserve">Pub date: </w:t>
      </w:r>
      <w:r>
        <w:t>2026-07-31 10:00:00+00:00</w:t>
      </w:r>
      <w:r>
        <w:t xml:space="preserve">    </w:t>
      </w:r>
      <w:r>
        <w:rPr>
          <w:b/>
        </w:rPr>
        <w:t xml:space="preserve">DOI: </w:t>
      </w:r>
      <w:hyperlink r:id="rId743">
        <w:r>
          <w:rPr>
            <w:color w:val="1155CC"/>
            <w:u w:val="single"/>
          </w:rPr>
          <w:t>10.1103/lp1x-blc9</w:t>
        </w:r>
      </w:hyperlink>
    </w:p>
    <w:p>
      <w:pPr>
        <w:spacing w:before="0" w:after="120"/>
      </w:pPr>
      <w:r>
        <w:rPr>
          <w:b/>
        </w:rPr>
        <w:t xml:space="preserve">Notes: </w:t>
      </w:r>
      <w:r>
        <w:t>abstract_source=rss_description</w:t>
      </w:r>
    </w:p>
    <w:p>
      <w:pPr>
        <w:spacing w:before="0" w:after="80" w:lineRule="auto" w:line="276"/>
      </w:pPr>
      <w:r>
        <w:rPr>
          <w:b/>
        </w:rPr>
        <w:t xml:space="preserve">摘要（ZH）: </w:t>
      </w:r>
      <w:r>
        <w:t>作者：Ergash M. Tursunov 和 Daniel Baye 有效算子完全等价于转移矩阵元素中 $M1$ 算子的长波长形式。它使我们能够通过分析和数值分析 $M1$ 对 $^{4}\mathrm{He}{(d,γ)}^{6}\mathrm{Li}$ 反应的贡献。等标量 $M1$ 从初始 $...[Phys. Rev. C 114, 014636] 2026 年 7 月 31 日星期五发布</w:t>
      </w:r>
    </w:p>
    <w:p>
      <w:pPr>
        <w:spacing w:before="0" w:after="200" w:lineRule="auto" w:line="276"/>
      </w:pPr>
      <w:r>
        <w:rPr>
          <w:b/>
        </w:rPr>
        <w:t xml:space="preserve">Abstract (EN): </w:t>
      </w:r>
      <w:r>
        <w:t>Author(s): Ergash M. Tursunov and Daniel BayeAn effective operator is exactly equivalent to the long-wavelength form of the $M1$ operator in transition matrix elements. It allows us to analytically and numerically analyze the $M1$ contribution to the $^{4}\mathrm{He}{(d,γ)}^{6}\mathrm{Li}$ reaction. Isoscalar $M1$ transitions from an initial $…[Phys. Rev. C 114, 014636] Published Fri Jul 31, 2026</w:t>
      </w:r>
    </w:p>
    <w:p>
      <w:pPr>
        <w:spacing w:before="120" w:after="120"/>
      </w:pPr>
      <w:r>
        <w:rPr>
          <w:sz w:val="18"/>
        </w:rPr>
        <w:t>——————————————————————————————————————————————————————————————————————</w:t>
      </w:r>
    </w:p>
    <w:p>
      <w:pPr>
        <w:spacing w:before="160" w:after="40" w:line="240" w:lineRule="auto"/>
      </w:pPr>
      <w:r>
        <w:rPr>
          <w:b/>
        </w:rPr>
        <w:t xml:space="preserve">[103] </w:t>
      </w:r>
      <w:hyperlink r:id="rId744">
        <w:r>
          <w:rPr>
            <w:color w:val="1155CC"/>
            <w:u w:val="single"/>
          </w:rPr>
          <w:t>强耦合介观导体中的量子动力学不确定性关系</w:t>
        </w:r>
      </w:hyperlink>
    </w:p>
    <w:p>
      <w:pPr>
        <w:spacing w:before="0" w:after="80"/>
      </w:pPr>
      <w:r>
        <w:rPr>
          <w:i/>
          <w:sz w:val="20"/>
        </w:rPr>
        <w:t>EN: Quantum Kinetic Uncertainty Relations in Mesoscopic Conductors at Strong Coupling</w:t>
      </w:r>
    </w:p>
    <w:p>
      <w:pPr>
        <w:spacing w:before="0" w:after="120"/>
      </w:pPr>
      <w:r>
        <w:rPr>
          <w:b/>
        </w:rPr>
        <w:t xml:space="preserve">Source: </w:t>
      </w:r>
      <w:r>
        <w:t>Recent Articles in Phys. Rev. Lett.</w:t>
      </w:r>
      <w:r>
        <w:t xml:space="preserve">    </w:t>
      </w:r>
      <w:r>
        <w:rPr>
          <w:b/>
        </w:rPr>
        <w:t xml:space="preserve">Pub date: </w:t>
      </w:r>
      <w:r>
        <w:t>2026-07-31 10:00:00+00:00</w:t>
      </w:r>
      <w:r>
        <w:t xml:space="preserve">    </w:t>
      </w:r>
      <w:r>
        <w:rPr>
          <w:b/>
        </w:rPr>
        <w:t xml:space="preserve">DOI: </w:t>
      </w:r>
      <w:hyperlink r:id="rId745">
        <w:r>
          <w:rPr>
            <w:color w:val="1155CC"/>
            <w:u w:val="single"/>
          </w:rPr>
          <w:t>10.1103/9xcz-nlqk</w:t>
        </w:r>
      </w:hyperlink>
    </w:p>
    <w:p>
      <w:pPr>
        <w:spacing w:before="0" w:after="120"/>
      </w:pPr>
      <w:r>
        <w:rPr>
          <w:b/>
        </w:rPr>
        <w:t xml:space="preserve">Notes: </w:t>
      </w:r>
      <w:r>
        <w:t>abstract_source=rss_description</w:t>
      </w:r>
    </w:p>
    <w:p>
      <w:pPr>
        <w:spacing w:before="0" w:after="80" w:lineRule="auto" w:line="276"/>
      </w:pPr>
      <w:r>
        <w:rPr>
          <w:b/>
        </w:rPr>
        <w:t xml:space="preserve">摘要（ZH）: </w:t>
      </w:r>
      <w:r>
        <w:t>作者：Gianmichele Blasi、Ricard Ravell Rodríguez、Mykhailo Moskalets、Rosa López 和 Géraldine Haack 动力学不确定性关系 (KUR) 通过限制动态活动（计算系统及其储库之间交换事件的数量）方面的电流信噪比，对非平衡输运的精度设置了基本限制。这个框架已经很好地建立了……[物理。莱特牧师。 137, 056302] 发表于 2026 年 7 月 31 日星期五</w:t>
      </w:r>
    </w:p>
    <w:p>
      <w:pPr>
        <w:spacing w:before="0" w:after="200" w:lineRule="auto" w:line="276"/>
      </w:pPr>
      <w:r>
        <w:rPr>
          <w:b/>
        </w:rPr>
        <w:t xml:space="preserve">Abstract (EN): </w:t>
      </w:r>
      <w:r>
        <w:t>Author(s): Gianmichele Blasi, Ricard Ravell Rodríguez, Mykhailo Moskalets, Rosa López, and Géraldine HaackKinetic uncertainty relations (KURs) set fundamental limits on the precision of nonequilibrium transport by bounding the signal-to-noise ratio of currents in terms of the dynamical activity, a quantity that counts exchange events between a system and its reservoirs. This framework is well establishe…[Phys. Rev. Lett. 137, 056302] Published Fri Jul 31, 2026</w:t>
      </w:r>
    </w:p>
    <w:p>
      <w:pPr>
        <w:spacing w:before="120" w:after="120"/>
      </w:pPr>
      <w:r>
        <w:rPr>
          <w:sz w:val="18"/>
        </w:rPr>
        <w:t>——————————————————————————————————————————————————————————————————————</w:t>
      </w:r>
    </w:p>
    <w:p>
      <w:pPr>
        <w:spacing w:before="160" w:after="40" w:line="240" w:lineRule="auto"/>
      </w:pPr>
      <w:r>
        <w:rPr>
          <w:b/>
        </w:rPr>
        <w:t xml:space="preserve">[104] </w:t>
      </w:r>
      <w:hyperlink r:id="rId746">
        <w:r>
          <w:rPr>
            <w:color w:val="1155CC"/>
            <w:u w:val="single"/>
          </w:rPr>
          <w:t>硼碳化物超导体中的费米面片相关电子声子耦合 ${\text{YNi}}_{2}{\mathrm{B}}_{2}\mathrm{C}$</w:t>
        </w:r>
      </w:hyperlink>
    </w:p>
    <w:p>
      <w:pPr>
        <w:spacing w:before="0" w:after="80"/>
      </w:pPr>
      <w:r>
        <w:rPr>
          <w:i/>
          <w:sz w:val="20"/>
        </w:rPr>
        <w:t>EN: Fermi-Surface-Sheet Dependent Electron-Phonon Coupling in a Borocarbide Superconductor ${\text{YNi}}_{2}{\mathrm{B}}_{2}\mathrm{C}$</w:t>
      </w:r>
    </w:p>
    <w:p>
      <w:pPr>
        <w:spacing w:before="0" w:after="120"/>
      </w:pPr>
      <w:r>
        <w:rPr>
          <w:b/>
        </w:rPr>
        <w:t xml:space="preserve">Source: </w:t>
      </w:r>
      <w:r>
        <w:t>Recent Articles in Phys. Rev. Lett.</w:t>
      </w:r>
      <w:r>
        <w:t xml:space="preserve">    </w:t>
      </w:r>
      <w:r>
        <w:rPr>
          <w:b/>
        </w:rPr>
        <w:t xml:space="preserve">Pub date: </w:t>
      </w:r>
      <w:r>
        <w:t>2026-07-31 10:00:00+00:00</w:t>
      </w:r>
      <w:r>
        <w:t xml:space="preserve">    </w:t>
      </w:r>
      <w:r>
        <w:rPr>
          <w:b/>
        </w:rPr>
        <w:t xml:space="preserve">DOI: </w:t>
      </w:r>
      <w:hyperlink r:id="rId747">
        <w:r>
          <w:rPr>
            <w:color w:val="1155CC"/>
            <w:u w:val="single"/>
          </w:rPr>
          <w:t>10.1103/m6r6-vpdg</w:t>
        </w:r>
      </w:hyperlink>
    </w:p>
    <w:p>
      <w:pPr>
        <w:spacing w:before="0" w:after="120"/>
      </w:pPr>
      <w:r>
        <w:rPr>
          <w:b/>
        </w:rPr>
        <w:t xml:space="preserve">Notes: </w:t>
      </w:r>
      <w:r>
        <w:t>abstract_source=rss_description</w:t>
      </w:r>
    </w:p>
    <w:p>
      <w:pPr>
        <w:spacing w:before="0" w:after="80" w:lineRule="auto" w:line="276"/>
      </w:pPr>
      <w:r>
        <w:rPr>
          <w:b/>
        </w:rPr>
        <w:t xml:space="preserve">摘要（ZH）: </w:t>
      </w:r>
      <w:r>
        <w:t>作者：Taichi Terashima、Hiroyuki Takeya 和 Hisatomo Harima我们对 ${\text{YNi}}_{2}{\mathrm{B}}_{2}\mathrm{C}$ 进行了 Haas–van Alphen (dHvA) 振荡测量和能带结构计算。我们改进的能带结构成功地解释了大 dHvA 频率 $β$ 和 $ζ$ 的起源，这在以前的工作中无法解释。通过共同...[物理。牧师神父。莱特。 137, 056003] 2026 年 7 月 31 日免费发布</w:t>
      </w:r>
    </w:p>
    <w:p>
      <w:pPr>
        <w:spacing w:before="0" w:after="200" w:lineRule="auto" w:line="276"/>
      </w:pPr>
      <w:r>
        <w:rPr>
          <w:b/>
        </w:rPr>
        <w:t xml:space="preserve">Abstract (EN): </w:t>
      </w:r>
      <w:r>
        <w:t>Author(s): Taichi Terashima, Hiroyuki Takeya, and Hisatomo HarimaWe performed de Haas–van Alphen (dHvA) oscillation measurements and band-structure calculations for ${\text{YNi}}_{2}{\mathrm{B}}_{2}\mathrm{C}$. Our improved band structure successfully explained the origins of the large dHvA frequencies $β$ and $ζ$, which were inexplicable in previous works. By co…[Phys. Rev. Lett. 137, 056003] Published Fri Jul 31, 2026</w:t>
      </w:r>
    </w:p>
    <w:p>
      <w:pPr>
        <w:spacing w:before="120" w:after="120"/>
      </w:pPr>
      <w:r>
        <w:rPr>
          <w:sz w:val="18"/>
        </w:rPr>
        <w:t>——————————————————————————————————————————————————————————————————————</w:t>
      </w:r>
    </w:p>
    <w:p>
      <w:pPr>
        <w:spacing w:before="160" w:after="40" w:line="240" w:lineRule="auto"/>
      </w:pPr>
      <w:r>
        <w:rPr>
          <w:b/>
        </w:rPr>
        <w:t xml:space="preserve">[105] </w:t>
      </w:r>
      <w:hyperlink r:id="rId748">
        <w:r>
          <w:rPr>
            <w:color w:val="1155CC"/>
            <w:u w:val="single"/>
          </w:rPr>
          <w:t>激发${\mathrm{Yb}}^{+}$中的亚赫兹光学跃迁</w:t>
        </w:r>
      </w:hyperlink>
    </w:p>
    <w:p>
      <w:pPr>
        <w:spacing w:before="0" w:after="80"/>
      </w:pPr>
      <w:r>
        <w:rPr>
          <w:i/>
          <w:sz w:val="20"/>
        </w:rPr>
        <w:t>EN: Sub-Hertz Optical Transitions in Excited ${\mathrm{Yb}}^{+}$</w:t>
      </w:r>
    </w:p>
    <w:p>
      <w:pPr>
        <w:spacing w:before="0" w:after="120"/>
      </w:pPr>
      <w:r>
        <w:rPr>
          <w:b/>
        </w:rPr>
        <w:t xml:space="preserve">Source: </w:t>
      </w:r>
      <w:r>
        <w:t>Recent Articles in Phys. Rev. Lett.</w:t>
      </w:r>
      <w:r>
        <w:t xml:space="preserve">    </w:t>
      </w:r>
      <w:r>
        <w:rPr>
          <w:b/>
        </w:rPr>
        <w:t xml:space="preserve">Pub date: </w:t>
      </w:r>
      <w:r>
        <w:t>2026-07-31 10:00:00+00:00</w:t>
      </w:r>
      <w:r>
        <w:t xml:space="preserve">    </w:t>
      </w:r>
      <w:r>
        <w:rPr>
          <w:b/>
        </w:rPr>
        <w:t xml:space="preserve">DOI: </w:t>
      </w:r>
      <w:hyperlink r:id="rId749">
        <w:r>
          <w:rPr>
            <w:color w:val="1155CC"/>
            <w:u w:val="single"/>
          </w:rPr>
          <w:t>10.1103/tz6r-9wj4</w:t>
        </w:r>
      </w:hyperlink>
    </w:p>
    <w:p>
      <w:pPr>
        <w:spacing w:before="0" w:after="120"/>
      </w:pPr>
      <w:r>
        <w:rPr>
          <w:b/>
        </w:rPr>
        <w:t xml:space="preserve">Notes: </w:t>
      </w:r>
      <w:r>
        <w:t>abstract_source=rss_description</w:t>
      </w:r>
    </w:p>
    <w:p>
      <w:pPr>
        <w:spacing w:before="0" w:after="80" w:lineRule="auto" w:line="276"/>
      </w:pPr>
      <w:r>
        <w:rPr>
          <w:b/>
        </w:rPr>
        <w:t xml:space="preserve">摘要（ZH）: </w:t>
      </w:r>
      <w:r>
        <w:t>作者：Patrick McMillin、Hassan Farhat、William Liu 和 Wesley C. Campbell 我们提出了对单电离镱从亚稳态 $^{2}{\mathrm{F}}_{7/2}^{o}$ 状态的三个半禁禁跃迁的观察。由于所涉及的上态和下态的寿命都很长，这些转变很窄，并且补充了本领域已经经常使用的转变……[物理。莱特牧师。 137, 053002] 发表于 2026 年 7 月 31 日星期五</w:t>
      </w:r>
    </w:p>
    <w:p>
      <w:pPr>
        <w:spacing w:before="0" w:after="200" w:lineRule="auto" w:line="276"/>
      </w:pPr>
      <w:r>
        <w:rPr>
          <w:b/>
        </w:rPr>
        <w:t xml:space="preserve">Abstract (EN): </w:t>
      </w:r>
      <w:r>
        <w:t>Author(s): Patrick McMillin, Hassan Farhat, William Liu, and Wesley C. CampbellWe present the observation of three semiforbidden transitions in singly ionized ytterbium from the metastable $^{2}{\mathrm{F}}_{7/2}^{o}$ state. Owing to the long lifetimes of both the upper and lower states involved, these transitions are narrow and complement those already frequently used in this…[Phys. Rev. Lett. 137, 053002] Published Fri Jul 31, 2026</w:t>
      </w:r>
    </w:p>
    <w:p>
      <w:pPr>
        <w:spacing w:before="120" w:after="120"/>
      </w:pPr>
      <w:r>
        <w:rPr>
          <w:sz w:val="18"/>
        </w:rPr>
        <w:t>——————————————————————————————————————————————————————————————————————</w:t>
      </w:r>
    </w:p>
    <w:p>
      <w:pPr>
        <w:spacing w:before="160" w:after="40" w:line="240" w:lineRule="auto"/>
      </w:pPr>
      <w:r>
        <w:rPr>
          <w:b/>
        </w:rPr>
        <w:t xml:space="preserve">[106] </w:t>
      </w:r>
      <w:hyperlink r:id="rId750">
        <w:r>
          <w:rPr>
            <w:color w:val="1155CC"/>
            <w:u w:val="single"/>
          </w:rPr>
          <w:t>染色质和活性聚合物动力学的复合公式方法</w:t>
        </w:r>
      </w:hyperlink>
    </w:p>
    <w:p>
      <w:pPr>
        <w:spacing w:before="0" w:after="80"/>
      </w:pPr>
      <w:r>
        <w:rPr>
          <w:i/>
          <w:sz w:val="20"/>
        </w:rPr>
        <w:t>EN: Compounding Formula Approach to Chromatin and Active Polymer Dynamics</w:t>
      </w:r>
    </w:p>
    <w:p>
      <w:pPr>
        <w:spacing w:before="0" w:after="120"/>
      </w:pPr>
      <w:r>
        <w:rPr>
          <w:b/>
        </w:rPr>
        <w:t xml:space="preserve">Source: </w:t>
      </w:r>
      <w:r>
        <w:t>Recent Articles in Phys. Rev. Lett.</w:t>
      </w:r>
      <w:r>
        <w:t xml:space="preserve">    </w:t>
      </w:r>
      <w:r>
        <w:rPr>
          <w:b/>
        </w:rPr>
        <w:t xml:space="preserve">Pub date: </w:t>
      </w:r>
      <w:r>
        <w:t>2026-07-31 10:00:00+00:00</w:t>
      </w:r>
      <w:r>
        <w:t xml:space="preserve">    </w:t>
      </w:r>
      <w:r>
        <w:rPr>
          <w:b/>
        </w:rPr>
        <w:t xml:space="preserve">DOI: </w:t>
      </w:r>
      <w:hyperlink r:id="rId751">
        <w:r>
          <w:rPr>
            <w:color w:val="1155CC"/>
            <w:u w:val="single"/>
          </w:rPr>
          <w:t>10.1103/y2y6-jfyt</w:t>
        </w:r>
      </w:hyperlink>
    </w:p>
    <w:p>
      <w:pPr>
        <w:spacing w:before="0" w:after="120"/>
      </w:pPr>
      <w:r>
        <w:rPr>
          <w:b/>
        </w:rPr>
        <w:t xml:space="preserve">Notes: </w:t>
      </w:r>
      <w:r>
        <w:t>abstract_source=rss_description</w:t>
      </w:r>
    </w:p>
    <w:p>
      <w:pPr>
        <w:spacing w:before="0" w:after="80" w:lineRule="auto" w:line="276"/>
      </w:pPr>
      <w:r>
        <w:rPr>
          <w:b/>
        </w:rPr>
        <w:t xml:space="preserve">摘要（ZH）: </w:t>
      </w:r>
      <w:r>
        <w:t>作者：Takahiro Sakaue 和 Enrico Carlon 活性聚合物在自然界中无处不在，并且经常受到破坏细节平衡的持续噪音的影响。为了捕获此类活性聚合物的不平衡动力学，我们提出了一个基于复合公式的简单而可靠的分析框架。连接聚合物动态……[物理。莱特牧师。 137, 058101] 发表于 2026 年 7 月 31 日星期五</w:t>
      </w:r>
    </w:p>
    <w:p>
      <w:pPr>
        <w:spacing w:before="0" w:after="200" w:lineRule="auto" w:line="276"/>
      </w:pPr>
      <w:r>
        <w:rPr>
          <w:b/>
        </w:rPr>
        <w:t xml:space="preserve">Abstract (EN): </w:t>
      </w:r>
      <w:r>
        <w:t>Author(s): Takahiro Sakaue and Enrico CarlonActive polymers are ubiquitous in nature, and often kicked by persistent noises that break detailed balance. In order to capture the out-of-equilibrium dynamics of such active polymers, we propose a simple yet reliable analytical framework based on a compounding formula. Connecting polymeric dynamic…[Phys. Rev. Lett. 137, 058101] Published Fri Jul 31, 2026</w:t>
      </w:r>
    </w:p>
    <w:p>
      <w:pPr>
        <w:spacing w:before="120" w:after="120"/>
      </w:pPr>
      <w:r>
        <w:rPr>
          <w:sz w:val="18"/>
        </w:rPr>
        <w:t>——————————————————————————————————————————————————————————————————————</w:t>
      </w:r>
    </w:p>
    <w:p>
      <w:pPr>
        <w:spacing w:before="160" w:after="40" w:line="240" w:lineRule="auto"/>
      </w:pPr>
      <w:r>
        <w:rPr>
          <w:b/>
        </w:rPr>
        <w:t xml:space="preserve">[107] </w:t>
      </w:r>
      <w:hyperlink r:id="rId752">
        <w:r>
          <w:rPr>
            <w:color w:val="1155CC"/>
            <w:u w:val="single"/>
          </w:rPr>
          <w:t>通过二级结构调制和协同分子偶极子实现高性能生物有机压电体的多巴胺驱动双放大器策略</w:t>
        </w:r>
      </w:hyperlink>
    </w:p>
    <w:p>
      <w:pPr>
        <w:spacing w:before="0" w:after="80"/>
      </w:pPr>
      <w:r>
        <w:rPr>
          <w:i/>
          <w:sz w:val="20"/>
        </w:rPr>
        <w:t>EN: A Dopamine Driven Dual‐Amplifier Strategy for High Performance Bioorganic Piezoelectrics via Secondary‐Structure Modulation and Synergistic Molecular Dipoles</w:t>
      </w:r>
    </w:p>
    <w:p>
      <w:pPr>
        <w:spacing w:before="0" w:after="120"/>
      </w:pPr>
      <w:r>
        <w:rPr>
          <w:b/>
        </w:rPr>
        <w:t xml:space="preserve">Source: </w:t>
      </w:r>
      <w:r>
        <w:t>Wiley: Advanced Materials: Table of Contents</w:t>
      </w:r>
      <w:r>
        <w:t xml:space="preserve">    </w:t>
      </w:r>
      <w:r>
        <w:rPr>
          <w:b/>
        </w:rPr>
        <w:t xml:space="preserve">Pub date: </w:t>
      </w:r>
      <w:r>
        <w:t>2026-07-31 10:12:48+00:00</w:t>
      </w:r>
      <w:r>
        <w:t xml:space="preserve">    </w:t>
      </w:r>
      <w:r>
        <w:rPr>
          <w:b/>
        </w:rPr>
        <w:t xml:space="preserve">DOI: </w:t>
      </w:r>
      <w:hyperlink r:id="rId753">
        <w:r>
          <w:rPr>
            <w:color w:val="1155CC"/>
            <w:u w:val="single"/>
          </w:rPr>
          <w:t>10.1002/adma.74240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固有压电性的生物蛋白由于其可调节的构象、生物相容性和生物可降解性，在生物电子学方面非常有前景。然而，它们的实际应用受到压电域调节困难和固有的机械脆性的严重限制。在这项研究中，我们提出了一种小分子双放大器策略来实现高性能压电生物材料。通过引入多巴胺介导的调制方法，丝素蛋白基薄膜的压电系数高达 12.7 pC N</w:t>
      </w:r>
      <w:r>
        <w:t xml:space="preserve"> </w:t>
      </w:r>
      <w:r>
        <w:t>-</w:t>
      </w:r>
      <w:r>
        <w:rPr>
          <w:vertAlign w:val="subscript"/>
        </w:rPr>
        <w:t>1</w:t>
      </w:r>
      <w:r>
        <w:t>获得。这种性能提升归因于双重机制：多巴胺诱导促进丝素蛋白中β折叠的形成，从而增强其固有压电性，以及多巴胺压电偶极矩的协同贡献。此外，该薄膜还表现出优异的机械强度和柔韧性、水环境中的可调稳定性以及优异的体外/体内生物相容性。当应用于颞下颌关节运动和口腔咬合接触模式的传感时，所得传感器表现出高灵敏度和长期稳定性。此外，产生的电压信号可以有效地编码并转换为数字信息，便于数据处理和分析。这些结果表明小分子调制是增强结构共轭压电材料的可靠方法。</w:t>
      </w:r>
    </w:p>
    <w:p>
      <w:pPr>
        <w:spacing w:before="0" w:after="200" w:lineRule="auto" w:line="276"/>
      </w:pPr>
      <w:r>
        <w:rPr>
          <w:b/>
        </w:rPr>
        <w:t xml:space="preserve">Abstract (EN): </w:t>
      </w:r>
      <w:r>
        <w:t>Bio‐proteins with intrinsic piezoelectricity are highly promising for bioelectronics due to their tunable conformations, biocompatibility, and biodegradability. However, their practical applications are severely constrained by difficulties in regulating piezoelectric domains and inherent mechanical brittleness. In this study, we propose a small‐molecule dual‐amplifier strategy to achieve high performance piezoelectric biomaterials. By introducing a dopamine‐mediated modulation approach, a silk fibroin‐based film with an enhanced piezoelectric coefficient of up to 12.7 pC N</w:t>
      </w:r>
      <w:r>
        <w:t xml:space="preserve"> </w:t>
      </w:r>
      <w:r>
        <w:t>−</w:t>
      </w:r>
      <w:r>
        <w:rPr>
          <w:vertAlign w:val="subscript"/>
        </w:rPr>
        <w:t>1</w:t>
      </w:r>
      <w:r>
        <w:t>is obtained. This performance boost is attributed to a dual mechanism: the dopamine‐induced promotion of β‐sheet formation in silk fibroin, which strengthens its intrinsic piezoelectricity, and the synergistic contribution of piezoelectric dipole moments from dopamine. In addition, the film exhibits superior mechanical robustness and flexibility, tunable stability in aqueous environments, as well as excellent in vitro/vivo biocompatibility. When applied to the sensing of temporomandibular joint motion and oral occlusal contact patterns, the resulting sensors demonstrate high sensitivity and long‐term stability. Furthermore, the generated voltage signals can be effectively encoded and converted into digital information, facilitating data processing and analysis. These results demonstrate small‐molecule modulation represents a reliable approach for enhancing the piezoelectricity of structurally complex proteins, offering a simple and innovative pathway toward the development of high‐performance bio‐piezoelectric materials for digital healthcare.</w:t>
      </w:r>
    </w:p>
    <w:p>
      <w:pPr>
        <w:spacing w:before="120" w:after="120"/>
      </w:pPr>
      <w:r>
        <w:rPr>
          <w:sz w:val="18"/>
        </w:rPr>
        <w:t>——————————————————————————————————————————————————————————————————————</w:t>
      </w:r>
    </w:p>
    <w:p>
      <w:pPr>
        <w:spacing w:before="160" w:after="40" w:line="240" w:lineRule="auto"/>
      </w:pPr>
      <w:r>
        <w:rPr>
          <w:b/>
        </w:rPr>
        <w:t xml:space="preserve">[108] </w:t>
      </w:r>
      <w:hyperlink r:id="rId754">
        <w:r>
          <w:rPr>
            <w:color w:val="1155CC"/>
            <w:u w:val="single"/>
          </w:rPr>
          <w:t>机械平面手性轮烷在扭曲苝二酰亚胺中诱导单手螺旋性</w:t>
        </w:r>
      </w:hyperlink>
    </w:p>
    <w:p>
      <w:pPr>
        <w:spacing w:before="0" w:after="80"/>
      </w:pPr>
      <w:r>
        <w:rPr>
          <w:i/>
          <w:sz w:val="20"/>
        </w:rPr>
        <w:t>EN: A Mechanical Planar Chiral Rotaxane Induces Single‐Handed Helicity in a Twisted Perylene Diimide</w:t>
      </w:r>
    </w:p>
    <w:p>
      <w:pPr>
        <w:spacing w:before="0" w:after="120"/>
      </w:pPr>
      <w:r>
        <w:rPr>
          <w:b/>
        </w:rPr>
        <w:t xml:space="preserve">Source: </w:t>
      </w:r>
      <w:r>
        <w:t>Wiley: Angewandte Chemie International Edition: Table of Contents</w:t>
      </w:r>
      <w:r>
        <w:t xml:space="preserve">    </w:t>
      </w:r>
      <w:r>
        <w:rPr>
          <w:b/>
        </w:rPr>
        <w:t xml:space="preserve">Pub date: </w:t>
      </w:r>
      <w:r>
        <w:t>2026-07-31 12:41:31+00:00</w:t>
      </w:r>
      <w:r>
        <w:t xml:space="preserve">    </w:t>
      </w:r>
      <w:r>
        <w:rPr>
          <w:b/>
        </w:rPr>
        <w:t xml:space="preserve">DOI: </w:t>
      </w:r>
      <w:hyperlink r:id="rId755">
        <w:r>
          <w:rPr>
            <w:color w:val="1155CC"/>
            <w:u w:val="single"/>
          </w:rPr>
          <w:t>10.1002/anie.1877364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将苝二酰亚胺 (PDI) 等发色团扭曲成螺旋结构，可提供离散分子的手性光学特性，这对于手性传感、成像和催化具有重要价值。由于大多数螺旋 PDI 衍生物容易发生外消旋化，因此手性诱导为生成具有持久手性光学特性的材料提供了一种有前途但尚未开发的策略。我们首次使用机械平面手性轮烷作为构型稳定的手性源来诱导分子发色团中的单手螺旋性，产生持久的圆二色性和圆偏振发光。 PDI 的大 π 表面还可以实现轮烷自组装，这在机械互锁分子中很少见。虽然机械键合显示会影响所得 PDI 二聚体的几何形状，但机械平面手性指导其旋向性，从而提供分子和超分子水平的控制。</w:t>
      </w:r>
    </w:p>
    <w:p>
      <w:pPr>
        <w:spacing w:before="0" w:after="200" w:lineRule="auto" w:line="276"/>
      </w:pPr>
      <w:r>
        <w:rPr>
          <w:b/>
        </w:rPr>
        <w:t xml:space="preserve">Abstract (EN): </w:t>
      </w:r>
      <w:r>
        <w:t>The twisting of chromophores such as perylene diimides (PDIs) into helical structures affords chiroptical properties from discrete molecules, which are of significant value for chiral sensing, imaging and catalysis. Since most helical PDI derivatives are susceptible to racemisation, chiral induction provides a promising, yet underdeveloped, strategy for generating materials with persistent chiroptical properties. For the first time, we use a mechanically planar chiral rotaxane as a configurationally stable chirality source to induce single‐handed helicity in a molecular chromophore, yielding persistent circular dichroism and circularly polarised luminescence. The large π‐surface of the PDI also enables rotaxane self‐assembly, which is rare among mechanically interlocked molecules. While mechanical bonding is shown to influence the geometry of the resulting PDI dimers, mechanical planar chirality directs their handedness, thereby providing control at both the molecular and supramolecular levels.</w:t>
      </w:r>
    </w:p>
    <w:p>
      <w:pPr>
        <w:spacing w:before="120" w:after="120"/>
      </w:pPr>
      <w:r>
        <w:rPr>
          <w:sz w:val="18"/>
        </w:rPr>
        <w:t>——————————————————————————————————————————————————————————————————————</w:t>
      </w:r>
    </w:p>
    <w:p>
      <w:pPr>
        <w:spacing w:before="160" w:after="40" w:line="240" w:lineRule="auto"/>
      </w:pPr>
      <w:r>
        <w:rPr>
          <w:b/>
        </w:rPr>
        <w:t xml:space="preserve">[109] </w:t>
      </w:r>
      <w:hyperlink r:id="rId756">
        <w:r>
          <w:rPr>
            <w:color w:val="1155CC"/>
            <w:u w:val="single"/>
          </w:rPr>
          <w:t>工程益生菌的代谢重编程增强肿瘤化学动力学免疫治疗</w:t>
        </w:r>
      </w:hyperlink>
    </w:p>
    <w:p>
      <w:pPr>
        <w:spacing w:before="0" w:after="80"/>
      </w:pPr>
      <w:r>
        <w:rPr>
          <w:i/>
          <w:sz w:val="20"/>
        </w:rPr>
        <w:t>EN: Metabolic Reprogramming by Engineered Probiotics Potentiates Tumor Chemodynamic Immunotherapy</w:t>
      </w:r>
    </w:p>
    <w:p>
      <w:pPr>
        <w:spacing w:before="0" w:after="120"/>
      </w:pPr>
      <w:r>
        <w:rPr>
          <w:b/>
        </w:rPr>
        <w:t xml:space="preserve">Source: </w:t>
      </w:r>
      <w:r>
        <w:t>Wiley: Advanced Materials: Table of Contents</w:t>
      </w:r>
      <w:r>
        <w:t xml:space="preserve">    </w:t>
      </w:r>
      <w:r>
        <w:rPr>
          <w:b/>
        </w:rPr>
        <w:t xml:space="preserve">Pub date: </w:t>
      </w:r>
      <w:r>
        <w:t>2026-07-31 14:10:16+00:00</w:t>
      </w:r>
      <w:r>
        <w:t xml:space="preserve">    </w:t>
      </w:r>
      <w:r>
        <w:rPr>
          <w:b/>
        </w:rPr>
        <w:t xml:space="preserve">DOI: </w:t>
      </w:r>
      <w:hyperlink r:id="rId757">
        <w:r>
          <w:rPr>
            <w:color w:val="1155CC"/>
            <w:u w:val="single"/>
          </w:rPr>
          <w:t>10.1002/adma.74353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工程细菌有望通过先天免疫原性和局部治疗递送来重塑免疫抑制肿瘤微环境。虽然细菌衍生的代谢物越来越被认为是关键介质，但它们在界间串扰中的具体作用仍未得到充分探索。在这里，我们开发了一个可编程益生菌平台，利用</w:t>
      </w:r>
      <w:r>
        <w:t xml:space="preserve"> </w:t>
      </w:r>
      <w:r>
        <w:t>加氏乳杆菌</w:t>
      </w:r>
      <w:r>
        <w:t xml:space="preserve"> </w:t>
      </w:r>
      <w:r>
        <w:t>(LG)-肿瘤代谢相互作用增强膀胱癌治疗。所选的 LG 菌株表现出优异的肿瘤定植能力和内在的 H</w:t>
      </w:r>
      <w:r>
        <w:rPr>
          <w:vertAlign w:val="subscript"/>
        </w:rPr>
        <w:t>2</w:t>
      </w:r>
      <w:r>
        <w:t>氧</w:t>
      </w:r>
      <w:r>
        <w:rPr>
          <w:vertAlign w:val="subscript"/>
        </w:rPr>
        <w:t>2</w:t>
      </w:r>
      <w:r>
        <w:t>/乳酸生物合成，为血红蛋白修饰的MnOx纳米颗粒创造最佳的肿瘤微环境，以增强化学动力学治疗效果。从机制上讲，微生物代谢物（包括 L-亮氨酸）通过抑制促血管生成 dcTRAIL-R1 来协调中性粒细胞表型重编程</w:t>
      </w:r>
      <w:r>
        <w:t xml:space="preserve"> </w:t>
      </w:r>
      <w:r>
        <w:t>+</w:t>
      </w:r>
      <w:r>
        <w:t xml:space="preserve"> </w:t>
      </w:r>
      <w:r>
        <w:t>中性粒细胞同时激活抗原呈递 CD74</w:t>
      </w:r>
      <w:r>
        <w:t xml:space="preserve"> </w:t>
      </w:r>
      <w:r>
        <w:t>+</w:t>
      </w:r>
      <w:r>
        <w:t xml:space="preserve"> </w:t>
      </w:r>
      <w:r>
        <w:t>中性粒细胞群。该工程系统通过多种机制引发协调免疫调节：(1) 促进树突状细胞成熟，(2) 增加 CD74</w:t>
      </w:r>
      <w:r>
        <w:t xml:space="preserve"> </w:t>
      </w:r>
      <w:r>
        <w:t>+</w:t>
      </w:r>
      <w:r>
        <w:t xml:space="preserve"> </w:t>
      </w:r>
      <w:r>
        <w:t>中性粒细胞群，(3) 诱导巨噬细胞从 M2 表型极化为 M1 表型，(4) 增强 CD8 的肿瘤浸润</w:t>
      </w:r>
      <w:r>
        <w:t xml:space="preserve"> </w:t>
      </w:r>
      <w:r>
        <w:t>+</w:t>
      </w:r>
      <w:r>
        <w:t xml:space="preserve"> </w:t>
      </w:r>
      <w:r>
        <w:t>T 细胞和自然杀伤细胞。这项研究揭示</w:t>
      </w:r>
    </w:p>
    <w:p>
      <w:pPr>
        <w:spacing w:before="0" w:after="200" w:lineRule="auto" w:line="276"/>
      </w:pPr>
      <w:r>
        <w:rPr>
          <w:b/>
        </w:rPr>
        <w:t xml:space="preserve">Abstract (EN): </w:t>
      </w:r>
      <w:r>
        <w:t>Engineered bacteria hold promise for remodeling immunosuppressive tumor microenvironments through innate immunogenicity and localized therapeutic delivery. While bacterial‐derived metabolites are increasingly recognized as key mediators, their specific roles in interkingdom crosstalk remain underexplored. Here, we develop a programmable probiotic platform leveraging</w:t>
      </w:r>
      <w:r>
        <w:t xml:space="preserve"> </w:t>
      </w:r>
      <w:r>
        <w:t>Lactobacillus gasseri</w:t>
      </w:r>
      <w:r>
        <w:t xml:space="preserve"> </w:t>
      </w:r>
      <w:r>
        <w:t>(LG)‐tumor metabolic interplay to potentiate bladder cancer therapy. The selected LG strain demonstrates superior tumor‐colonizing ability and intrinsic H</w:t>
      </w:r>
      <w:r>
        <w:rPr>
          <w:vertAlign w:val="subscript"/>
        </w:rPr>
        <w:t>2</w:t>
      </w:r>
      <w:r>
        <w:t>O</w:t>
      </w:r>
      <w:r>
        <w:rPr>
          <w:vertAlign w:val="subscript"/>
        </w:rPr>
        <w:t>2</w:t>
      </w:r>
      <w:r>
        <w:t>/lactate biosynthesis, creating an optimal tumor microenvironment for hemoglobin‐modified MnOx nanoparticles to enhance chemodynamic therapy efficacy. Mechanistically, microbial metabolites, including L‐leucine, orchestrate neutrophil phenotypic reprogramming by suppressing pro‐angiogenic dcTRAIL‐R1</w:t>
      </w:r>
      <w:r>
        <w:t xml:space="preserve"> </w:t>
      </w:r>
      <w:r>
        <w:t>+</w:t>
      </w:r>
      <w:r>
        <w:t xml:space="preserve"> </w:t>
      </w:r>
      <w:r>
        <w:t>neutrophils while activating antigen‐presenting CD74</w:t>
      </w:r>
      <w:r>
        <w:t xml:space="preserve"> </w:t>
      </w:r>
      <w:r>
        <w:t>+</w:t>
      </w:r>
      <w:r>
        <w:t xml:space="preserve"> </w:t>
      </w:r>
      <w:r>
        <w:t>neutrophil populations. The engineered system elicites coordinated immunomodulation through multiple mechanisms: (1) promoting dendritic cell maturation, (2) increasing CD74</w:t>
      </w:r>
      <w:r>
        <w:t xml:space="preserve"> </w:t>
      </w:r>
      <w:r>
        <w:t>+</w:t>
      </w:r>
      <w:r>
        <w:t xml:space="preserve"> </w:t>
      </w:r>
      <w:r>
        <w:t>neutrophil populations, (3) inducing macrophage polarization from M2 to M1 phenotypes, and (4) enhancing tumor infiltration of CD8</w:t>
      </w:r>
      <w:r>
        <w:t xml:space="preserve"> </w:t>
      </w:r>
      <w:r>
        <w:t>+</w:t>
      </w:r>
      <w:r>
        <w:t xml:space="preserve"> </w:t>
      </w:r>
      <w:r>
        <w:t>T cells and natural killer cells. This study reveals that bacteria‐tumor metabolic crosstalk upregulates beneficial metabolites, notably leucine, which promotes phenotypic reprogramming of neutrophils toward the antigen‑presenting CD74</w:t>
      </w:r>
      <w:r>
        <w:t xml:space="preserve"> </w:t>
      </w:r>
      <w:r>
        <w:t>+</w:t>
      </w:r>
      <w:r>
        <w:t xml:space="preserve"> </w:t>
      </w:r>
      <w:r>
        <w:t>subset, thereby bridging innate metabolic regulation with adaptive antitumor immunity. This finding goes beyond the material‐centric logic of previous probiotic‐nanomaterial systems and establishes a metabolism‐centric framework for bacteria‑mediated cancer immunotherapy.</w:t>
      </w:r>
    </w:p>
    <w:p>
      <w:pPr>
        <w:spacing w:before="120" w:after="120"/>
      </w:pPr>
      <w:r>
        <w:rPr>
          <w:sz w:val="18"/>
        </w:rPr>
        <w:t>——————————————————————————————————————————————————————————————————————</w:t>
      </w:r>
    </w:p>
    <w:p>
      <w:pPr>
        <w:spacing w:before="160" w:after="40" w:line="240" w:lineRule="auto"/>
      </w:pPr>
      <w:r>
        <w:rPr>
          <w:b/>
        </w:rPr>
        <w:t xml:space="preserve">[110] </w:t>
      </w:r>
      <w:hyperlink r:id="rId758">
        <w:r>
          <w:rPr>
            <w:color w:val="1155CC"/>
            <w:u w:val="single"/>
          </w:rPr>
          <w:t>通过液态金属赋予传统材料先进功能：迈向智能材料系统的途径</w:t>
        </w:r>
      </w:hyperlink>
    </w:p>
    <w:p>
      <w:pPr>
        <w:spacing w:before="0" w:after="80"/>
      </w:pPr>
      <w:r>
        <w:rPr>
          <w:i/>
          <w:sz w:val="20"/>
        </w:rPr>
        <w:t>EN: Endowing Conventional Materials with Advanced Functions via Liquid Metals: A Route Toward Intelligent Material Systems</w:t>
      </w:r>
    </w:p>
    <w:p>
      <w:pPr>
        <w:spacing w:before="0" w:after="120"/>
      </w:pPr>
      <w:r>
        <w:rPr>
          <w:b/>
        </w:rPr>
        <w:t xml:space="preserve">Source: </w:t>
      </w:r>
      <w:r>
        <w:t>Wiley: Advanced Materials: Table of Contents</w:t>
      </w:r>
      <w:r>
        <w:t xml:space="preserve">    </w:t>
      </w:r>
      <w:r>
        <w:rPr>
          <w:b/>
        </w:rPr>
        <w:t xml:space="preserve">Pub date: </w:t>
      </w:r>
      <w:r>
        <w:t>2026-07-31 14:28:42+00:00</w:t>
      </w:r>
      <w:r>
        <w:t xml:space="preserve">    </w:t>
      </w:r>
      <w:r>
        <w:rPr>
          <w:b/>
        </w:rPr>
        <w:t xml:space="preserve">DOI: </w:t>
      </w:r>
      <w:hyperlink r:id="rId759">
        <w:r>
          <w:rPr>
            <w:color w:val="1155CC"/>
            <w:u w:val="single"/>
          </w:rPr>
          <w:t>10.1002/adma.74392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软和自适应技术日益增长的需求需要能够在复杂的机械和环境条件下可靠地感知、响应和操作的材料。然而，大多数智能材料是通过从头合成或多步骤化学设计构建的，这使得它们难以定制并且难以与现有材料系统集成。室温液态金属提供了一条实用途径，通过表面、界面或受限集成向传统材料赋予电、热、机械和电化学功能，而不需要重新设计主体材料框架。这篇综述总结了液态金属智能功能的最新进展，并将集成策略分为表面涂层、封装、分层集成和块体复合。这些方法允许聚合物、纺织品、刚性材料和生物相容性基材等材​​料实现可拉伸传感、自适应驱动、热调节、能量收集和氧化物介导的电阻记忆等功能。这些行为源于液态金属的流动性、界面化学和相可调性，这些特性支持固体填料无法实现的响应。讨论了界面稳定性、长期可靠性、可扩展加工和可持续材料选择等关键挑战，以及可编程多场响应、数据驱动设计和标准化制造的机遇。液态金属集成提供了广泛的应用</w:t>
      </w:r>
    </w:p>
    <w:p>
      <w:pPr>
        <w:spacing w:before="0" w:after="200" w:lineRule="auto" w:line="276"/>
      </w:pPr>
      <w:r>
        <w:rPr>
          <w:b/>
        </w:rPr>
        <w:t xml:space="preserve">Abstract (EN): </w:t>
      </w:r>
      <w:r>
        <w:t>The growing demand for soft and adaptive technologies requires materials that can sense, respond, and operate reliably under complex mechanical and environmental conditions. However, most smart materials are constructed through de novo synthesis or multi‐step chemical design, making them difficult to customize and challenging to integrate with established material systems. Room‐temperature liquid metals provide a practical route by imparting electrical, thermal, mechanical, and electrochemical functions to conventional materials through surface, interfacial, or confined integration, without requiring redesign of the host material framework. This review summarizes recent advances in liquid‐metal‐enabled intelligent functions and categorizes integration strategies into surface coating, encapsulation, layered integration, and bulk compositing. These approaches allow materials including, polymers, textiles, rigid materials, and biocompatible substrates, to achieve capabilities such as stretchable sensing, adaptive actuation, thermal regulation, energy harvesting, and oxide‐mediated resistive memory. The behaviors arise from the fluidity, interfacial chemistry, and phase tunability of liquid metals, which support responses not attainable with solid fillers. Key challenges including interfacial stability, long‐term reliability, scalable processing, and sustainable material choices are discussed, along with opportunities in programmable multi‐field responses, data‐driven design, and standardized manufacturing. Liquid metal integration offers a broadly applicable route to transform common materials into intelligent systems with minimal processing complexity.</w:t>
      </w:r>
    </w:p>
    <w:p>
      <w:pPr>
        <w:spacing w:before="120" w:after="120"/>
      </w:pPr>
      <w:r>
        <w:rPr>
          <w:sz w:val="18"/>
        </w:rPr>
        <w:t>——————————————————————————————————————————————————————————————————————</w:t>
      </w:r>
    </w:p>
    <w:p>
      <w:pPr>
        <w:spacing w:before="160" w:after="40" w:line="240" w:lineRule="auto"/>
      </w:pPr>
      <w:r>
        <w:rPr>
          <w:b/>
        </w:rPr>
        <w:t xml:space="preserve">[111] </w:t>
      </w:r>
      <w:hyperlink r:id="rId760">
        <w:r>
          <w:rPr>
            <w:color w:val="1155CC"/>
            <w:u w:val="single"/>
          </w:rPr>
          <w:t>用于神经形态视觉计算的低维钙钛矿</w:t>
        </w:r>
      </w:hyperlink>
    </w:p>
    <w:p>
      <w:pPr>
        <w:spacing w:before="0" w:after="80"/>
      </w:pPr>
      <w:r>
        <w:rPr>
          <w:i/>
          <w:sz w:val="20"/>
        </w:rPr>
        <w:t>EN: Low‐Dimensional Perovskites for Neuromorphic Vision Computing</w:t>
      </w:r>
    </w:p>
    <w:p>
      <w:pPr>
        <w:spacing w:before="0" w:after="120"/>
      </w:pPr>
      <w:r>
        <w:rPr>
          <w:b/>
        </w:rPr>
        <w:t xml:space="preserve">Source: </w:t>
      </w:r>
      <w:r>
        <w:t>Wiley: Advanced Materials: Table of Contents</w:t>
      </w:r>
      <w:r>
        <w:t xml:space="preserve">    </w:t>
      </w:r>
      <w:r>
        <w:rPr>
          <w:b/>
        </w:rPr>
        <w:t xml:space="preserve">Pub date: </w:t>
      </w:r>
      <w:r>
        <w:t>2026-07-31 14:31:31+00:00</w:t>
      </w:r>
      <w:r>
        <w:t xml:space="preserve">    </w:t>
      </w:r>
      <w:r>
        <w:rPr>
          <w:b/>
        </w:rPr>
        <w:t xml:space="preserve">DOI: </w:t>
      </w:r>
      <w:hyperlink r:id="rId761">
        <w:r>
          <w:rPr>
            <w:color w:val="1155CC"/>
            <w:u w:val="single"/>
          </w:rPr>
          <w:t>10.1002/adma.74278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神经形态计算为克服冯·诺依曼架构的能量和数据移动限制提供了一条有前途的途径，特别是对于传感器内和边缘智能应用。实现此类系统依赖于本质上集成传感、存储和计算的功能材料。金属卤化物钙钛矿因其出色的光电特性、可调谐的低维结构和显着的离子迁移动力学而成为一个引人注目的平台。本综述重点关注用于神经形态视觉设备的低维钙钛矿纳米结构。我们总结了零维、一维和二维钙钛矿合成和集成的最新进展，并分析了突触和神经元行为背后的离子迁移驱动的光电和忆阻机制。通过将材料和设备特性与神经网络算法相关联，我们讨论了高效神经形态计算的途径。最后，讨论了基于钙钛矿的内存内、传感器内和近传感器计算的代表性机会，强调了单片传感-内存-计算集成的关键挑战。</w:t>
      </w:r>
    </w:p>
    <w:p>
      <w:pPr>
        <w:spacing w:before="0" w:after="200" w:lineRule="auto" w:line="276"/>
      </w:pPr>
      <w:r>
        <w:rPr>
          <w:b/>
        </w:rPr>
        <w:t xml:space="preserve">Abstract (EN): </w:t>
      </w:r>
      <w:r>
        <w:t>Neuromorphic computing offers a promising route to overcome the energy and data‐movement limitations of von Neumann architectures, particularly for in‐sensor and edge‐intelligence applications. Achieving such systems relies on functional materials that intrinsically integrate sensing, memory, and computation. Metal halide perovskites have emerged as a compelling platform due to their outstanding optoelectronic properties, tunable low‐dimensional structures, and pronounced ion‐migration dynamics. This review focuses on low‐dimensional perovskite nanostructures for neuromorphic vision devices. We summarize recent advances in the synthesis and integration of zero‐, one‐, and two‐dimensional perovskites, and analyze ion‐migration‐driven optoelectronic and memristive mechanisms underlying synaptic and neuronal behaviors. By correlating material and device characteristics with neural network algorithms, we discuss pathways toward efficient neuromorphic computing. Finally, representative opportunities for perovskite‐based in‐memory, in‐sensor, and near‐sensor computing are discussed, highlighting key challenges toward monolithic sensing–memory–computing integration.</w:t>
      </w:r>
    </w:p>
    <w:p>
      <w:pPr>
        <w:spacing w:before="120" w:after="120"/>
      </w:pPr>
      <w:r>
        <w:rPr>
          <w:sz w:val="18"/>
        </w:rPr>
        <w:t>——————————————————————————————————————————————————————————————————————</w:t>
      </w:r>
    </w:p>
    <w:p>
      <w:pPr>
        <w:spacing w:before="160" w:after="40" w:line="240" w:lineRule="auto"/>
      </w:pPr>
      <w:r>
        <w:rPr>
          <w:b/>
        </w:rPr>
        <w:t xml:space="preserve">[112] </w:t>
      </w:r>
      <w:hyperlink r:id="rId762">
        <w:r>
          <w:rPr>
            <w:color w:val="1155CC"/>
            <w:u w:val="single"/>
          </w:rPr>
          <w:t>De Novo 自生工程活性功能材料</w:t>
        </w:r>
      </w:hyperlink>
    </w:p>
    <w:p>
      <w:pPr>
        <w:spacing w:before="0" w:after="80"/>
      </w:pPr>
      <w:r>
        <w:rPr>
          <w:i/>
          <w:sz w:val="20"/>
        </w:rPr>
        <w:t>EN: De Novo Autogenic Engineered Living Functional Materials</w:t>
      </w:r>
    </w:p>
    <w:p>
      <w:pPr>
        <w:spacing w:before="0" w:after="120"/>
      </w:pPr>
      <w:r>
        <w:rPr>
          <w:b/>
        </w:rPr>
        <w:t xml:space="preserve">Source: </w:t>
      </w:r>
      <w:r>
        <w:t>Wiley: Advanced Materials: Table of Contents</w:t>
      </w:r>
      <w:r>
        <w:t xml:space="preserve">    </w:t>
      </w:r>
      <w:r>
        <w:rPr>
          <w:b/>
        </w:rPr>
        <w:t xml:space="preserve">Pub date: </w:t>
      </w:r>
      <w:r>
        <w:t>2026-07-31 14:32:18+00:00</w:t>
      </w:r>
      <w:r>
        <w:t xml:space="preserve">    </w:t>
      </w:r>
      <w:r>
        <w:rPr>
          <w:b/>
        </w:rPr>
        <w:t xml:space="preserve">DOI: </w:t>
      </w:r>
      <w:hyperlink r:id="rId763">
        <w:r>
          <w:rPr>
            <w:color w:val="1155CC"/>
            <w:u w:val="single"/>
          </w:rPr>
          <w:t>10.1002/adma.74312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自生工程活性材料 (ELM) 能够原位生产和工程化天然细胞外基质 (ECM)。然而，现有的自生 ELM 的范围和功能仍然有限。在这里，我们提供了一个多功能平台</w:t>
      </w:r>
      <w:r>
        <w:t xml:space="preserve"> </w:t>
      </w:r>
      <w:r>
        <w:t>从头</w:t>
      </w:r>
      <w:r>
        <w:t xml:space="preserve"> </w:t>
      </w:r>
      <w:r>
        <w:t>自生功能 ELM，利用蛋白质挖掘、计算建模和合成生物学。通过分析 33,564 个 CsgA 样同源物，我们确定了候选者</w:t>
      </w:r>
      <w:r>
        <w:t xml:space="preserve"> </w:t>
      </w:r>
      <w:r>
        <w:t>从头</w:t>
      </w:r>
      <w:r>
        <w:t xml:space="preserve"> </w:t>
      </w:r>
      <w:r>
        <w:t>ECM 蛋白质纳米纤维。使用 AlphaFold2 和分子动力学模拟，我们阐明了这些 β-螺线管蛋白的结构稳定性。通过重新编程</w:t>
      </w:r>
      <w:r>
        <w:t xml:space="preserve"> </w:t>
      </w:r>
      <w:r>
        <w:t>大肠杆菌</w:t>
      </w:r>
      <w:r>
        <w:t xml:space="preserve"> </w:t>
      </w:r>
      <w:r>
        <w:t>Curli 机械，我们实现了从非模型细菌生物合成 CsgA 类 ELM，其分子量增加了 9 倍，并且扩大了 β 片层重复单元。此外，我们制造了机械性能增强（储能模量增加 3 倍）的宏观生物材料，其细胞外纤维网络减弱了 UV-C 辐射，使嵌入细胞的存活时间延长了 5 倍。我们进一步展示了可编程功能，包括 3D 打印性以及与纳米粒子和抗体的选择性结合。这项工作建立了一个强大的框架，用于发现、设计和利用天然生物分子系统来推进下一代自体 ELM。</w:t>
      </w:r>
    </w:p>
    <w:p>
      <w:pPr>
        <w:spacing w:before="0" w:after="200" w:lineRule="auto" w:line="276"/>
      </w:pPr>
      <w:r>
        <w:rPr>
          <w:b/>
        </w:rPr>
        <w:t xml:space="preserve">Abstract (EN): </w:t>
      </w:r>
      <w:r>
        <w:t>Autogenic engineered living materials (ELMs) enable the in situ production and engineering of native extracellular matrix (ECM). However, existing autogenic ELMs remain limited in scope and functionality. Here, we present a versatile platform for</w:t>
      </w:r>
      <w:r>
        <w:t xml:space="preserve"> </w:t>
      </w:r>
      <w:r>
        <w:t>de novo</w:t>
      </w:r>
      <w:r>
        <w:t xml:space="preserve"> </w:t>
      </w:r>
      <w:r>
        <w:t>autogenic functional ELMs, leveraging protein mining, computational modeling, and synthetic biology. By analyzing 33,564 CsgA‐like homologs, we identify candidates for</w:t>
      </w:r>
      <w:r>
        <w:t xml:space="preserve"> </w:t>
      </w:r>
      <w:r>
        <w:t>de novo</w:t>
      </w:r>
      <w:r>
        <w:t xml:space="preserve"> </w:t>
      </w:r>
      <w:r>
        <w:t>ECM protein nanofibers. Using AlphaFold2 and molecular dynamics simulations, we elucidate the structural stability of these β‐solenoid proteins. By reprogramming the</w:t>
      </w:r>
      <w:r>
        <w:t xml:space="preserve"> </w:t>
      </w:r>
      <w:r>
        <w:t>Escherichia coli</w:t>
      </w:r>
      <w:r>
        <w:t xml:space="preserve"> </w:t>
      </w:r>
      <w:r>
        <w:t>curli machinery, we achieve the biosynthesis of CsgA‐like ELMs from non‐model bacteria, featuring up to a 9‐fold increased molecular weight and expanded β‐sheet repeat units. Furthermore, we fabricate macroscopic biomaterials with enhanced mechanical properties (a 3‐fold increase in storage modulus), and their extracellular fiber networks attenuate UV‐C irradiation, extending the survival of embedded cells by 5‐fold. We further demonstrate programmable functionalities, including 3D printability and selective binding to nanoparticles and antibodies. This work establishes a powerful framework for discovering, designing, and harnessing natural biomolecular systems to advance next‐generation autogenic ELMs.</w:t>
      </w:r>
    </w:p>
    <w:p>
      <w:pPr>
        <w:spacing w:before="120" w:after="120"/>
      </w:pPr>
      <w:r>
        <w:rPr>
          <w:sz w:val="18"/>
        </w:rPr>
        <w:t>——————————————————————————————————————————————————————————————————————</w:t>
      </w:r>
    </w:p>
    <w:p>
      <w:pPr>
        <w:spacing w:before="160" w:after="40" w:line="240" w:lineRule="auto"/>
      </w:pPr>
      <w:r>
        <w:rPr>
          <w:b/>
        </w:rPr>
        <w:t xml:space="preserve">[113] </w:t>
      </w:r>
      <w:hyperlink r:id="rId764">
        <w:r>
          <w:rPr>
            <w:color w:val="1155CC"/>
            <w:u w:val="single"/>
          </w:rPr>
          <w:t>用于芯片互连嵌入式逻辑和铁电存储器的高迁移率和可靠性超薄沟道氧化物半导体场效应晶体管</w:t>
        </w:r>
      </w:hyperlink>
    </w:p>
    <w:p>
      <w:pPr>
        <w:spacing w:before="0" w:after="80"/>
      </w:pPr>
      <w:r>
        <w:rPr>
          <w:i/>
          <w:sz w:val="20"/>
        </w:rPr>
        <w:t>EN: High‐Mobility and Reliability Ultra‐Thin‐Channel Oxide Semiconductor Field‐Effect Transistors for Chip‐Interconnect‐Embedded Logic and Ferroelectric Memory</w:t>
      </w:r>
    </w:p>
    <w:p>
      <w:pPr>
        <w:spacing w:before="0" w:after="120"/>
      </w:pPr>
      <w:r>
        <w:rPr>
          <w:b/>
        </w:rPr>
        <w:t xml:space="preserve">Source: </w:t>
      </w:r>
      <w:r>
        <w:t>Wiley: Advanced Materials: Table of Contents</w:t>
      </w:r>
      <w:r>
        <w:t xml:space="preserve">    </w:t>
      </w:r>
      <w:r>
        <w:rPr>
          <w:b/>
        </w:rPr>
        <w:t xml:space="preserve">Pub date: </w:t>
      </w:r>
      <w:r>
        <w:t>2026-07-31 14:33:02+00:00</w:t>
      </w:r>
      <w:r>
        <w:t xml:space="preserve">    </w:t>
      </w:r>
      <w:r>
        <w:rPr>
          <w:b/>
        </w:rPr>
        <w:t xml:space="preserve">DOI: </w:t>
      </w:r>
      <w:hyperlink r:id="rId765">
        <w:r>
          <w:rPr>
            <w:color w:val="1155CC"/>
            <w:u w:val="single"/>
          </w:rPr>
          <w:t>10.1002/adma.74279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与氧化物半导体集成的逻辑和存储晶体管有望用于单片 3D 系统，实现可重新配置的功能和增强的片上通信。然而，控制载流子迁移率、载流子浓度和缺陷密度方面的挑战阻碍了它们在先进芯片技术中的部署。在这里，我们报告了一种异质结氧化物半导体沟道方法，该方法可减轻界面/沟道缺陷密度并实现场效应迁移率&gt; 100 cm</w:t>
      </w:r>
      <w:r>
        <w:rPr>
          <w:vertAlign w:val="subscript"/>
        </w:rPr>
        <w:t>2</w:t>
      </w:r>
      <w:r>
        <w:t>/V.s，与薄膜硅通道竞争。通过设计双层氧化物通道，我们展示了一种低热预算、超大规模、存储器逻辑双模铁电晶体管，该晶体管在 V 时表现出 800 µA/µm 的高通态电流</w:t>
      </w:r>
      <w:r>
        <w:t xml:space="preserve"> </w:t>
      </w:r>
      <w:r>
        <w:t>d</w:t>
      </w:r>
      <w:r>
        <w:t xml:space="preserve"> </w:t>
      </w:r>
      <w:r>
        <w:t>= 1 V，正阈值电压，具有出色的可靠性，在 5000 秒的栅极偏置应力后阈值漂移仅为 30 mV。此外，它还表现出超过 10 的强大内存耐力</w:t>
      </w:r>
      <w:r>
        <w:rPr>
          <w:vertAlign w:val="subscript"/>
        </w:rPr>
        <w:t>7</w:t>
      </w:r>
      <w:r>
        <w:t>周期和 180 ns 的快速铁电读后写延迟。 TCAD 模拟（Ginestra）表明，性能的提高归因于双层通道中的缺陷自补偿效应，它稳定了无序的金属键和弱键合的氧态。这项工作建立了一条通往可靠、高性能氧化物晶体管的途径，为专为生成人工智能量身定制的下一代低功耗可重构芯片提供了可扩展的解决方案。</w:t>
      </w:r>
    </w:p>
    <w:p>
      <w:pPr>
        <w:spacing w:before="0" w:after="200" w:lineRule="auto" w:line="276"/>
      </w:pPr>
      <w:r>
        <w:rPr>
          <w:b/>
        </w:rPr>
        <w:t xml:space="preserve">Abstract (EN): </w:t>
      </w:r>
      <w:r>
        <w:t>Logic and memory transistors integrated with oxide semiconductors are promising for monolithic 3D systems that enable reconfigurable functionality and enhanced on‐chip communication. However, challenges in controlling carrier mobility, carrier concentration, and defect density have hindered their deployment in advanced chip technologies. Here, we report a heterojunction oxide semiconductor channel approach that mitigates the interface/channel defect density and achieves field‐effect mobility to &amp;gt;100 cm</w:t>
      </w:r>
      <w:r>
        <w:rPr>
          <w:vertAlign w:val="subscript"/>
        </w:rPr>
        <w:t>2</w:t>
      </w:r>
      <w:r>
        <w:t>/V.s, competitive with thin‐film silicon channels. By engineering a bilayer oxide channel, we demonstrate a low‐thermal‐budget, ultra‐scaled, memory‐logic dual‐mode ferroelectric transistor that exhibits a high on‐state current of 800 µA/µm at V</w:t>
      </w:r>
      <w:r>
        <w:t xml:space="preserve"> </w:t>
      </w:r>
      <w:r>
        <w:t>d</w:t>
      </w:r>
      <w:r>
        <w:t xml:space="preserve"> </w:t>
      </w:r>
      <w:r>
        <w:t>= 1 V, a positive threshold voltage, and excellent reliability with only 30 mV threshold shift after 5000s of gate‐bias stress. Furthermore, it exhibits robust memory endurance exceeding 10</w:t>
      </w:r>
      <w:r>
        <w:rPr>
          <w:vertAlign w:val="subscript"/>
        </w:rPr>
        <w:t>7</w:t>
      </w:r>
      <w:r>
        <w:t>cycles and a fast ferroelectric read‐after‐write delay of 180 ns. TCAD simulation (Ginestra) reveals that performance improvement is attributed to the defect self‐compensation effect in bilayer channel, which stabilizes disordered metal bonds and weakly bonded oxygen states. This work establishes a pathway towards reliable, high‐performance oxide‐based transistors, offering a scalable solution for next‐generation low‐power reconfigurable chips tailored for generative artificial intelligence.</w:t>
      </w:r>
    </w:p>
    <w:p>
      <w:pPr>
        <w:spacing w:before="120" w:after="120"/>
      </w:pPr>
      <w:r>
        <w:rPr>
          <w:sz w:val="18"/>
        </w:rPr>
        <w:t>——————————————————————————————————————————————————————————————————————</w:t>
      </w:r>
    </w:p>
    <w:p>
      <w:pPr>
        <w:spacing w:before="160" w:after="40" w:line="240" w:lineRule="auto"/>
      </w:pPr>
      <w:r>
        <w:rPr>
          <w:b/>
        </w:rPr>
        <w:t xml:space="preserve">[114] </w:t>
      </w:r>
      <w:hyperlink r:id="rId766">
        <w:r>
          <w:rPr>
            <w:color w:val="1155CC"/>
            <w:u w:val="single"/>
          </w:rPr>
          <w:t>圆二色性和先进光子学的超表面多维对称工程</w:t>
        </w:r>
      </w:hyperlink>
    </w:p>
    <w:p>
      <w:pPr>
        <w:spacing w:before="0" w:after="80"/>
      </w:pPr>
      <w:r>
        <w:rPr>
          <w:i/>
          <w:sz w:val="20"/>
        </w:rPr>
        <w:t>EN: Multidimensional Symmetry Engineering of Metasurfaces for Circular Dichroism and Advanced Photonics</w:t>
      </w:r>
    </w:p>
    <w:p>
      <w:pPr>
        <w:spacing w:before="0" w:after="120"/>
      </w:pPr>
      <w:r>
        <w:rPr>
          <w:b/>
        </w:rPr>
        <w:t xml:space="preserve">Source: </w:t>
      </w:r>
      <w:r>
        <w:t>Wiley: Advanced Materials: Table of Contents</w:t>
      </w:r>
      <w:r>
        <w:t xml:space="preserve">    </w:t>
      </w:r>
      <w:r>
        <w:rPr>
          <w:b/>
        </w:rPr>
        <w:t xml:space="preserve">Pub date: </w:t>
      </w:r>
      <w:r>
        <w:t>2026-07-31 14:35:05+00:00</w:t>
      </w:r>
      <w:r>
        <w:t xml:space="preserve">    </w:t>
      </w:r>
      <w:r>
        <w:rPr>
          <w:b/>
        </w:rPr>
        <w:t xml:space="preserve">DOI: </w:t>
      </w:r>
      <w:hyperlink r:id="rId767">
        <w:r>
          <w:rPr>
            <w:color w:val="1155CC"/>
            <w:u w:val="single"/>
          </w:rPr>
          <w:t>10.1002/adma.74368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超表面提供了一个强大的人工平台，用于在亚波长尺度上操纵光的自旋、相位和振幅。产生强圆二色性（CD）、光学活性和自旋选择性光物质相互作用的能力为平面光学中的手性传感、发射和非线性光子学创造了新的机会。然而，在巨大而复杂的几何参数空间中导航以最大化手性光学响应仍然是一个艰巨的挑战。为了解决这个问题，我们从对称性破缺的角度对核心设计原理进行了分类，包括面内对称性破缺、面外对称性破缺和低对称性晶格工程。此外，这篇综述强调了机器学习和逆向设计在克服传统启发式优化的计算瓶颈方面的变革性作用。然后，我们回顾了这些手性平台在线性和非线性领域的实际应用，重点关注成像和全息术、手性传感和偏振检测、圆偏振光（CPL）发射和先进的非线性手性功能。最后，概述了主要挑战和未来的研究方向，以指导下一代光子系统中手性超表面的合理设计和可扩展实施。</w:t>
      </w:r>
    </w:p>
    <w:p>
      <w:pPr>
        <w:spacing w:before="0" w:after="200" w:lineRule="auto" w:line="276"/>
      </w:pPr>
      <w:r>
        <w:rPr>
          <w:b/>
        </w:rPr>
        <w:t xml:space="preserve">Abstract (EN): </w:t>
      </w:r>
      <w:r>
        <w:t>Chiral metasurfaces provide a powerful artificial platform for manipulating the spin, phase, and amplitude of light at the subwavelength scale. The ability to generate strong circular dichroism (CD), optical activity, and spin‐selective light‐matter interaction creates new opportunities in chiral sensing, emission, and nonlinear photonics within flat optics. However, navigating the vast and complex geometric parameter space to maximize chiroptical responses remains a formidable challenge. To address this problem, we categorize the core design principles from the perspective of symmetry breaking including in‐plane symmetry breaking, out‐of‐plane symmetry breaking, and low‐symmetry lattice engineering. Furthermore, this review highlights the transformative role of machine learning and inverse design in overcoming the computational bottlenecks of traditional heuristic optimizations. We then review the practical applications of these chiral platforms across both linear and nonlinear regimes, focusing on imaging and holography, chiral sensing and polarization detection, circularly polarized light (CPL) emission, and advanced nonlinear chiral functionalities. Finally, major challenges and future research directions are outlined to guide the rational design and scalable implementation of chiral metasurfaces in next‐generation photonic systems.</w:t>
      </w:r>
    </w:p>
    <w:p>
      <w:pPr>
        <w:spacing w:before="120" w:after="120"/>
      </w:pPr>
      <w:r>
        <w:rPr>
          <w:sz w:val="18"/>
        </w:rPr>
        <w:t>——————————————————————————————————————————————————————————————————————</w:t>
      </w:r>
    </w:p>
    <w:p>
      <w:pPr>
        <w:spacing w:before="160" w:after="40" w:line="240" w:lineRule="auto"/>
      </w:pPr>
      <w:r>
        <w:rPr>
          <w:b/>
        </w:rPr>
        <w:t xml:space="preserve">[115] </w:t>
      </w:r>
      <w:hyperlink r:id="rId768">
        <w:r>
          <w:rPr>
            <w:color w:val="1155CC"/>
            <w:u w:val="single"/>
          </w:rPr>
          <w:t>晶界启用金刚石忆阻器</w:t>
        </w:r>
      </w:hyperlink>
    </w:p>
    <w:p>
      <w:pPr>
        <w:spacing w:before="0" w:after="80"/>
      </w:pPr>
      <w:r>
        <w:rPr>
          <w:i/>
          <w:sz w:val="20"/>
        </w:rPr>
        <w:t>EN: Grain Boundary Enabled Diamond Memristor</w:t>
      </w:r>
    </w:p>
    <w:p>
      <w:pPr>
        <w:spacing w:before="0" w:after="120"/>
      </w:pPr>
      <w:r>
        <w:rPr>
          <w:b/>
        </w:rPr>
        <w:t xml:space="preserve">Source: </w:t>
      </w:r>
      <w:r>
        <w:t>Wiley: Advanced Materials: Table of Contents</w:t>
      </w:r>
      <w:r>
        <w:t xml:space="preserve">    </w:t>
      </w:r>
      <w:r>
        <w:rPr>
          <w:b/>
        </w:rPr>
        <w:t xml:space="preserve">Pub date: </w:t>
      </w:r>
      <w:r>
        <w:t>2026-07-31 14:38:40+00:00</w:t>
      </w:r>
      <w:r>
        <w:t xml:space="preserve">    </w:t>
      </w:r>
      <w:r>
        <w:rPr>
          <w:b/>
        </w:rPr>
        <w:t xml:space="preserve">DOI: </w:t>
      </w:r>
      <w:hyperlink r:id="rId769">
        <w:r>
          <w:rPr>
            <w:color w:val="1155CC"/>
            <w:u w:val="single"/>
          </w:rPr>
          <w:t>10.1002/adma.74418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刚石因其超宽带隙、出色的载流子迁移率、高击穿电压和优异的导热性而被公认为终极半导体。然而，其在忆阻器中的应用受到调节其电导率和化学稳定性方面的挑战的极大限制。在这里，通过利用金刚石晶界（GB）处的快速金属-金刚石反应，我们沿着晶界构建了垂直离子迁移通道，并实现了多晶金刚石（Poly-D）中的非易失性电阻开关行为。金刚石忆阻器具有高开关比（∼10</w:t>
      </w:r>
      <w:r>
        <w:rPr>
          <w:vertAlign w:val="subscript"/>
        </w:rPr>
        <w:t>4</w:t>
      </w:r>
      <w:r>
        <w:t>）以及在‐150°C 至 600°C 的宽温度范围内可靠的循环和保持性能。原位偏置透射电子显微镜观察证实了银导电丝（Ag CF）沿着 GB 处构建的通道可重复形成和破裂。金刚石忆阻器展示了其作为人工突触和生物伤害感受的能力。我们的工作展示了金刚石在忆阻器中的应用，并强调了其在神经形态计算方面的潜力，特别是在极端条件下。</w:t>
      </w:r>
    </w:p>
    <w:p>
      <w:pPr>
        <w:spacing w:before="0" w:after="200" w:lineRule="auto" w:line="276"/>
      </w:pPr>
      <w:r>
        <w:rPr>
          <w:b/>
        </w:rPr>
        <w:t xml:space="preserve">Abstract (EN): </w:t>
      </w:r>
      <w:r>
        <w:t>Diamond has been recognized as the ultimate semiconductor due to its ultra‐wide bandgap, exceptional carrier mobility, high breakdown voltage, and superior thermal conductivity. However, its application in memristors is significantly limited by challenges in modulating its electrical conductivity and its chemical stability. Here, by leveraging the rapid metal‐diamond reactions at diamond grain boundaries (GBs), we constructed vertical ion migration channels along the GBs and realized the nonvolatile resistive switching behavior in polycrystalline diamond (Poly‐D). The diamond memristor presents a high switching ratio (∼10</w:t>
      </w:r>
      <w:r>
        <w:rPr>
          <w:vertAlign w:val="subscript"/>
        </w:rPr>
        <w:t>4</w:t>
      </w:r>
      <w:r>
        <w:t>) along with reliable cycling and retention performance over a wide temperature range from ‐150°C to 600°C. In‐situ biasing transmission electron microscopy observations confirm the reproducible formation and rupture of Ag conductive filaments (Ag CFs) along the constructed channels at the GBs. The diamond memristor demonstrates its capabilities as an artificial synapse and in biological nociception. Our work demonstrates the application of diamond in memristors and highlights its potential for neuromorphic computing, particularly under extreme conditions.</w:t>
      </w:r>
    </w:p>
    <w:p>
      <w:pPr>
        <w:spacing w:before="120" w:after="120"/>
      </w:pPr>
      <w:r>
        <w:rPr>
          <w:sz w:val="18"/>
        </w:rPr>
        <w:t>——————————————————————————————————————————————————————————————————————</w:t>
      </w:r>
    </w:p>
    <w:p>
      <w:pPr>
        <w:spacing w:before="160" w:after="40" w:line="240" w:lineRule="auto"/>
      </w:pPr>
      <w:r>
        <w:rPr>
          <w:b/>
        </w:rPr>
        <w:t xml:space="preserve">[116] </w:t>
      </w:r>
      <w:hyperlink r:id="rId770">
        <w:r>
          <w:rPr>
            <w:color w:val="1155CC"/>
            <w:u w:val="single"/>
          </w:rPr>
          <w:t>分子魔术贴自愈水泥</w:t>
        </w:r>
      </w:hyperlink>
    </w:p>
    <w:p>
      <w:pPr>
        <w:spacing w:before="0" w:after="80"/>
      </w:pPr>
      <w:r>
        <w:rPr>
          <w:i/>
          <w:sz w:val="20"/>
        </w:rPr>
        <w:t>EN: A molecular velcro self-healing cement</w:t>
      </w:r>
    </w:p>
    <w:p>
      <w:pPr>
        <w:spacing w:before="0" w:after="120"/>
      </w:pPr>
      <w:r>
        <w:rPr>
          <w:b/>
        </w:rPr>
        <w:t xml:space="preserve">Source: </w:t>
      </w:r>
      <w:r>
        <w:t>Physical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开裂从根本上限制了水泥材料的耐久性，而大多数自修复策略依赖于封装剂或高添加剂含量，这限制了可重复性、可扩展性或机械性能。在这里，我们报告了一种含有超低聚合物浓度的水泥复合材料（</w:t>
      </w:r>
    </w:p>
    <w:p>
      <w:pPr>
        <w:spacing w:before="0" w:after="200" w:lineRule="auto" w:line="276"/>
      </w:pPr>
      <w:r>
        <w:rPr>
          <w:b/>
        </w:rPr>
        <w:t xml:space="preserve">Abstract (EN): </w:t>
      </w:r>
      <w:r>
        <w:t>Cracking fundamentally limits the durability of cementitious materials, while most self-healing strategies rely on encapsulated agents or high additive loadings that restrict repeatability, scalability, or mechanical performance. Here we report a cement composite incorporating an ultra-low polymer concentration (</w:t>
      </w:r>
    </w:p>
    <w:p>
      <w:pPr>
        <w:spacing w:before="120" w:after="120"/>
      </w:pPr>
      <w:r>
        <w:rPr>
          <w:sz w:val="18"/>
        </w:rPr>
        <w:t>——————————————————————————————————————————————————————————————————————</w:t>
      </w:r>
    </w:p>
    <w:p>
      <w:pPr>
        <w:spacing w:before="160" w:after="40" w:line="240" w:lineRule="auto"/>
      </w:pPr>
      <w:r>
        <w:rPr>
          <w:b/>
        </w:rPr>
        <w:t xml:space="preserve">[117] </w:t>
      </w:r>
      <w:hyperlink r:id="rId771">
        <w:r>
          <w:rPr>
            <w:color w:val="1155CC"/>
            <w:u w:val="single"/>
          </w:rPr>
          <w:t>用于安全有效光防护的全小分子水凝胶</w:t>
        </w:r>
      </w:hyperlink>
    </w:p>
    <w:p>
      <w:pPr>
        <w:spacing w:before="0" w:after="80"/>
      </w:pPr>
      <w:r>
        <w:rPr>
          <w:i/>
          <w:sz w:val="20"/>
        </w:rPr>
        <w:t>EN: All-small-molecule Hydrogels for Safe and Efficient Photoprotection</w:t>
      </w:r>
    </w:p>
    <w:p>
      <w:pPr>
        <w:spacing w:before="0" w:after="120"/>
      </w:pPr>
      <w:r>
        <w:rPr>
          <w:b/>
        </w:rPr>
        <w:t xml:space="preserve">Source: </w:t>
      </w:r>
      <w:r>
        <w:t>Physical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长期暴露于紫外线 (UV) 辐射会导致晒伤、皮肤老化和皮肤癌。传统的防晒霜通常结合有机紫外线过滤剂和无机颗粒来实现光防护，但人们仍然担心皮肤渗透、全身效应和活性氧的产生。受植物天然光保护机制的启发，我们通过简单的一锅组装工艺开发了一系列基于天然多酚的全小分子防晒水凝胶。所得水凝胶具有高效屏蔽紫外线、高防晒系数、强生物粘附性、抗氧化和抗菌活性、高可见光透过率和低皮肤渗透倾向。该水凝胶还在小鼠和巴马小型猪中表现出良好的环境稳定性和有效的光保护作用。这项工作凸显了仿生全小分子组装体在高效、安全的光防护方面的潜力。</w:t>
      </w:r>
    </w:p>
    <w:p>
      <w:pPr>
        <w:spacing w:before="0" w:after="200" w:lineRule="auto" w:line="276"/>
      </w:pPr>
      <w:r>
        <w:rPr>
          <w:b/>
        </w:rPr>
        <w:t xml:space="preserve">Abstract (EN): </w:t>
      </w:r>
      <w:r>
        <w:t>Long-term exposure to ultraviolet (UV) radiation can cause sunburn, skin aging, and skin cancers. Conventional sunscreens typically combine organic UV filters and inorganic particles for photoprotection, yet concerns remain regarding skin penetration, systemic effects, and reactive oxygen species generation. Inspired by natural photoprotective mechanisms in plants, we develop a series of all-small-molecule sunscreen hydrogels based on natural polyphenols through a facile one-pot assembly process. The resulting hydrogels exhibit efficient UV shielding with high sun protection factors, strong bioadhesion, antioxidant and antibacterial activities, high visible-light transmittance, and low skin penetration tendency. The hydrogels also demonstrate good environmental stability and effective photoprotection in both mice and Bama miniature pigs. This work highlights the potential of bioinspired all-small-molecule assemblies for efficient and safe photoprotection.</w:t>
      </w:r>
    </w:p>
    <w:p>
      <w:pPr>
        <w:spacing w:before="120" w:after="120"/>
      </w:pPr>
      <w:r>
        <w:rPr>
          <w:sz w:val="18"/>
        </w:rPr>
        <w:t>——————————————————————————————————————————————————————————————————————</w:t>
      </w:r>
    </w:p>
    <w:p>
      <w:pPr>
        <w:spacing w:before="160" w:after="40" w:line="240" w:lineRule="auto"/>
      </w:pPr>
      <w:r>
        <w:rPr>
          <w:b/>
        </w:rPr>
        <w:t xml:space="preserve">[118] </w:t>
      </w:r>
      <w:hyperlink r:id="rId772">
        <w:r>
          <w:rPr>
            <w:color w:val="1155CC"/>
            <w:u w:val="single"/>
          </w:rPr>
          <w:t>畸变工程 C1 对称无机分子笼可实现具有宽红外透明度的可调谐手性非线性光学器件</w:t>
        </w:r>
      </w:hyperlink>
    </w:p>
    <w:p>
      <w:pPr>
        <w:spacing w:before="0" w:after="80"/>
      </w:pPr>
      <w:r>
        <w:rPr>
          <w:i/>
          <w:sz w:val="20"/>
        </w:rPr>
        <w:t>EN: Distortion-engineered C1-symmetric inorganic molecular cages enable tunable chiroptical nonlinear optics with broad infrared transparency</w:t>
      </w:r>
    </w:p>
    <w:p>
      <w:pPr>
        <w:spacing w:before="0" w:after="120"/>
      </w:pPr>
      <w:r>
        <w:rPr>
          <w:b/>
        </w:rPr>
        <w:t xml:space="preserve">Source: </w:t>
      </w:r>
      <w:r>
        <w:t>Physical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将手性与二次谐波产生相结合的手性光学材料对于偏振分辨光子学很有吸引力，但集成强手性非线性活性、宽红外透明度和无机鲁棒性的例子仍然有限。在这里，我们报告了一种纯无机策略，其中本质上 C1 对称的磷硫族笼的分子级几何畸变调节二次谐波圆二色性（SHG-CD）。位点选择性同源取代产生对映体纯分子笼晶体，S/R-P4S5、S/R-AsP3S5、S/R-P4S4Se 和 S/R-AsP3S4Se，涵盖受控的畸变系列。这些晶体表现出明显的 SHG-CD，在 1064 nm 激发下，gSHG−CD" role="presentation"&gt;gSHG−CD{{\mbox{g}}}_{{\mbox{SHG}}-{\mbox{CD}}} = 0.48–1.70，在 2050 nm 下具有 1.1–2.8 × AgGaS2 的强 SHG 输出，具有宽红外透明度和高激光诱导损伤阈值。在该系列中，SHG-CD 与畸变驱动的分子不对称性相关，表明笼偶极矩可以作为该同构分子笼家族中手性光学非线性响应的实用描述符。这些结果将无机分子笼建立为红外透明手性光学非线性材料的可调手性光学非线性平台。</w:t>
      </w:r>
    </w:p>
    <w:p>
      <w:pPr>
        <w:spacing w:before="0" w:after="200" w:lineRule="auto" w:line="276"/>
      </w:pPr>
      <w:r>
        <w:rPr>
          <w:b/>
        </w:rPr>
        <w:t xml:space="preserve">Abstract (EN): </w:t>
      </w:r>
      <w:r>
        <w:t>Chiroptical materials combining chirality with second-harmonic generation are attractive for polarization-resolved photonics, yet examples integrating strong chiroptical nonlinear activity, broad infrared transparency and inorganic robustness remain limited. Here we report a purely inorganic strategy in which molecular-level geometric distortion of intrinsically C1-symmetric phosphorus–chalcogen cages tunes second-harmonic generation circular dichroism (SHG-CD). Site-selective homologous substitution yields enantiopure molecular cage crystals, S/R-P4S5, S/R-AsP3S5, S/R-P4S4Se and S/R-AsP3S4Se, spanning a controlled distortion series. These crystals exhibit pronounced SHG-CD, with gSHG&amp;#x2212;CD" role="presentation"&gt;gSHG−CD{{\mbox{g}}}_{{\mbox{SHG}}-{\mbox{CD}}} = 0.48–1.70 under 1064 nm excitation, strong SHG outputs of 1.1–2.8 × AgGaS2 at 2050 nm, broad infrared transparency and high laser-induced damage thresholds. Across this series, SHG-CD correlates with distortion-driven molecular asymmetry, indicating that the cage dipole moment can serve as a practical descriptor for chiroptical nonlinear response within this isostructural molecular cage family. These results establish inorganic molecular cages as a tunable chiroptical nonlinear platform for infrared-transparent chiroptical nonlinear materials.</w:t>
      </w:r>
    </w:p>
    <w:p>
      <w:pPr>
        <w:spacing w:before="120" w:after="120"/>
      </w:pPr>
      <w:r>
        <w:rPr>
          <w:sz w:val="18"/>
        </w:rPr>
        <w:t>——————————————————————————————————————————————————————————————————————</w:t>
      </w:r>
    </w:p>
    <w:p>
      <w:pPr>
        <w:spacing w:before="160" w:after="40" w:line="240" w:lineRule="auto"/>
      </w:pPr>
      <w:r>
        <w:rPr>
          <w:b/>
        </w:rPr>
        <w:t xml:space="preserve">[119] </w:t>
      </w:r>
      <w:hyperlink r:id="rId773">
        <w:r>
          <w:rPr>
            <w:color w:val="1155CC"/>
            <w:u w:val="single"/>
          </w:rPr>
          <w:t>通过飞秒脉冲光学后处理对碳纳米管薄膜进行局域偏振引导对准控制</w:t>
        </w:r>
      </w:hyperlink>
    </w:p>
    <w:p>
      <w:pPr>
        <w:spacing w:before="0" w:after="80"/>
      </w:pPr>
      <w:r>
        <w:rPr>
          <w:i/>
          <w:sz w:val="20"/>
        </w:rPr>
        <w:t>EN: Localized polarization-guided alignment control in carbon nanotube films via femtosecond-pulse optical post-processing</w:t>
      </w:r>
    </w:p>
    <w:p>
      <w:pPr>
        <w:spacing w:before="0" w:after="120"/>
      </w:pPr>
      <w:r>
        <w:rPr>
          <w:b/>
        </w:rPr>
        <w:t xml:space="preserve">Source: </w:t>
      </w:r>
      <w:r>
        <w:t>Physical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单壁碳纳米管（CNT）的物理性质对其排列高度敏感；因此，精确的对准控制成为高性能设备架构的核心要求。然而，传统的对准技术提供的空间可编程性有限，并且仍然不足以将异质碳纳米管结构集成到单个薄膜中。在这里，我们报告了一种光学后处理技术来局部控制碳纳米管的排列。我们证明，飞秒脉冲激光加工能够在成膜（后处理）后对碳纳米管进行偏振引导对准控制。该工艺生产出亚微米级局部排列的碳纳米管，厚度超过200纳米，向列有序参数为0.93（强方向有序），展示了高度的定向有序性，解决了空间异质碳纳米管集成的关键瓶颈。此外，这些激光对准的碳纳米管表现出方向相关的光学和电学响应，充当偏振比为 24.7 的太赫兹偏振器；因此，该技术使得集成异质结构（如焦平面分割偏振相机和片上偏振路由）的CNT器件的应用成为可能。</w:t>
      </w:r>
    </w:p>
    <w:p>
      <w:pPr>
        <w:spacing w:before="0" w:after="200" w:lineRule="auto" w:line="276"/>
      </w:pPr>
      <w:r>
        <w:rPr>
          <w:b/>
        </w:rPr>
        <w:t xml:space="preserve">Abstract (EN): </w:t>
      </w:r>
      <w:r>
        <w:t>The physical properties of single-walled carbon nanotubes (CNTs) are highly sensitive to their alignment; therefore, making precise alignment control a central requirement for high-performance device architectures. However, conventional alignment techniques offer limited spatial programmability and remain inadequate for integrating heterogeneous CNT structures within a single film. Here, we report an optical post-processing technique to locally control the alignment of CNTs. We demonstrate that femtosecond-pulsed laser processing enables polarisation-guided alignment control of CNTs after film formation (post-processing). This process produces sub-micrometre scale locally aligned CNTs with thickness exceeding 200 nm and a nematic order parameter of 0.93 (strong directional order), demonstrating a high degree of orientational order and addressing a key bottleneck in spatially heterogeneous CNT integration. Additionally, these laser-aligned CNTs exhibit a direction-dependent optical and electrical response, functioning as a terahertz polariser with a polarisation ratio of 24.7; therefore, this technique enables the applications of CNT devices integrating heterogeneous structures like division-of-focal-plane polarisation cameras and on-chip polarisation routing.</w:t>
      </w:r>
    </w:p>
    <w:p>
      <w:pPr>
        <w:spacing w:before="120" w:after="120"/>
      </w:pPr>
      <w:r>
        <w:rPr>
          <w:sz w:val="18"/>
        </w:rPr>
        <w:t>——————————————————————————————————————————————————————————————————————</w:t>
      </w:r>
    </w:p>
    <w:p>
      <w:pPr>
        <w:spacing w:before="160" w:after="40" w:line="240" w:lineRule="auto"/>
      </w:pPr>
      <w:r>
        <w:rPr>
          <w:b/>
        </w:rPr>
        <w:t xml:space="preserve">[120] </w:t>
      </w:r>
      <w:hyperlink r:id="rId774">
        <w:r>
          <w:rPr>
            <w:color w:val="1155CC"/>
            <w:u w:val="single"/>
          </w:rPr>
          <w:t>储能可以减少碳排放吗？</w:t>
        </w:r>
      </w:hyperlink>
    </w:p>
    <w:p>
      <w:pPr>
        <w:spacing w:before="0" w:after="80"/>
      </w:pPr>
      <w:r>
        <w:rPr>
          <w:i/>
          <w:sz w:val="20"/>
        </w:rPr>
        <w:t>EN: Does energy storage abate carbon?</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775">
        <w:r>
          <w:rPr>
            <w:color w:val="1155CC"/>
            <w:u w:val="single"/>
          </w:rPr>
          <w:t>10.1016/j.apenergy.2026.128525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[121] </w:t>
      </w:r>
      <w:hyperlink r:id="rId776">
        <w:r>
          <w:rPr>
            <w:color w:val="1155CC"/>
            <w:u w:val="single"/>
          </w:rPr>
          <w:t>河流变老的地方：城市化的三角洲在出口到海洋的黑碳上留下了化石特征</w:t>
        </w:r>
      </w:hyperlink>
    </w:p>
    <w:p>
      <w:pPr>
        <w:spacing w:before="0" w:after="80"/>
      </w:pPr>
      <w:r>
        <w:rPr>
          <w:i/>
          <w:sz w:val="20"/>
        </w:rPr>
        <w:t>EN: Where the river turns old: urbanized deltas imprint a fossil signature on black carbon exported to the ocean</w:t>
      </w:r>
    </w:p>
    <w:p>
      <w:pPr>
        <w:spacing w:before="0" w:after="120"/>
      </w:pPr>
      <w:r>
        <w:rPr>
          <w:b/>
        </w:rPr>
        <w:t xml:space="preserve">Source: </w:t>
      </w:r>
      <w:r>
        <w:t>Earth and environmental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生物质燃烧产生的黑碳（BC）是全球碳循环的关键组成部分，河流黑碳的放射性碳（14C）年龄通常用于限制其在陆地上的停留时间。然而，来自化石来源的不含 14C 的 BC 是否对河流 BC 产生了显着影响并导致这些年龄产生偏差，目前尚不清楚。在这里，我们沿着从森林覆盖的源头到城市化河口的河流连续体追踪溶解的和颗粒的BC（DBC、PBC）。这种城市化梯度使我们能够区分化石BC和预老化生物质衍生的BC。我们估计，城市地区化石来源贡献了 DBC 的 18 ± 3% 和 PBC 的 24 ± 6%，将其表观 14C 年龄分别增加了 1,475-1,972 和 1,619-2,877 年。 DBC 老化主要与低缩合芳烃有关，而 PBC 老化（尤其是在旱季）则由高度缩合芳烃驱动。我们的研究结果将城市化的三角洲确定为化石 BC 进入海洋的关键通道，并强调了在将河流 BC 14C 年龄解释为陆地停留时间的估计时纳入土地利用背景的重要性。</w:t>
      </w:r>
    </w:p>
    <w:p>
      <w:pPr>
        <w:spacing w:before="0" w:after="200" w:lineRule="auto" w:line="276"/>
      </w:pPr>
      <w:r>
        <w:rPr>
          <w:b/>
        </w:rPr>
        <w:t xml:space="preserve">Abstract (EN): </w:t>
      </w:r>
      <w:r>
        <w:t>Black carbon (BC) from biomass burning is a key component of the global carbon cycle, and radiocarbon (14C) age of riverine BC is commonly used to constrain its terrestrial residence time. However, whether 14C-free BC from fossil sources significantly contributes to riverine BC and biases these ages remains unclear. Here, we track dissolved and particulate BC (DBC, PBC) along a river continuum from forested headwaters to an urbanized estuary. This urbanization gradient allows us to distinguish fossil BC from pre-aged biomass-derived BC. We estimate fossil sources contribute 18 ± 3% of DBC and 24 ± 6% of PBC in the urban zone, increasing their apparent 14C ages by 1,475–1,972 and 1,619–2,877 years, respectively. DBC aging is primarily linked to less-condensed aromatics, while PBC aging, especially during the dry season, is driven by highly condensed aromatics. Our findings identify urbanized deltas as critical conduits of fossil BC to the ocean and underscore the importance of incorporating land-use context when interpreting riverine BC 14C ages as estimates of terrestrial residence time.</w:t>
      </w:r>
    </w:p>
    <w:p>
      <w:pPr>
        <w:spacing w:before="120" w:after="120"/>
      </w:pPr>
      <w:r>
        <w:rPr>
          <w:sz w:val="18"/>
        </w:rPr>
        <w:t>——————————————————————————————————————————————————————————————————————</w:t>
      </w:r>
    </w:p>
    <w:p>
      <w:pPr>
        <w:spacing w:before="160" w:after="40" w:line="240" w:lineRule="auto"/>
      </w:pPr>
      <w:r>
        <w:rPr>
          <w:b/>
        </w:rPr>
        <w:t xml:space="preserve">[122] </w:t>
      </w:r>
      <w:hyperlink r:id="rId777">
        <w:r>
          <w:rPr>
            <w:color w:val="1155CC"/>
            <w:u w:val="single"/>
          </w:rPr>
          <w:t>互联电网进口电力的负外部性：机制分析与内部化方法</w:t>
        </w:r>
      </w:hyperlink>
    </w:p>
    <w:p>
      <w:pPr>
        <w:spacing w:before="0" w:after="80"/>
      </w:pPr>
      <w:r>
        <w:rPr>
          <w:i/>
          <w:sz w:val="20"/>
        </w:rPr>
        <w:t>EN: Negative externalities of imported electricity in interconnected power network: mechanism analysis and internalization approach</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778">
        <w:r>
          <w:rPr>
            <w:color w:val="1155CC"/>
            <w:u w:val="single"/>
          </w:rPr>
          <w:t>10.1016/j.apenergy.2026.128566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779">
        <w:r>
          <w:rPr>
            <w:color w:val="1155CC"/>
            <w:u w:val="single"/>
          </w:rPr>
          <w:t>有效图电阻作为累积散热量</w:t>
        </w:r>
      </w:hyperlink>
    </w:p>
    <w:p>
      <w:pPr>
        <w:spacing w:before="0" w:after="80"/>
      </w:pPr>
      <w:r>
        <w:rPr>
          <w:i/>
          <w:sz w:val="20"/>
        </w:rPr>
        <w:t>EN: Effective graph resistance as cumulative heat dissipation</w:t>
      </w:r>
    </w:p>
    <w:p>
      <w:pPr>
        <w:spacing w:before="0" w:after="120"/>
      </w:pPr>
      <w:r>
        <w:rPr>
          <w:b/>
        </w:rPr>
        <w:t xml:space="preserve">Source: </w:t>
      </w:r>
      <w:r>
        <w:t>Physical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有效图阻力是网络科学中的基本结构度量，广泛用于量化全局连接、比较网络架构以及评估基于流的系统的鲁棒性。尽管它很重要，但当前的公式主要依赖于谱或伪逆拉普拉斯表示，对于结构如何塑造这个量或如何有效地优化它提供了有限的物理见解。在这里，我们在有效图形电阻和拉普拉斯扩散动力学产生的累积散热之间建立了精确且物理透明的关系。我们证明，弛豫过程中耗散的总热量精确等于有效图电阻，从而提供了时间分辨的解释。这种动力学观点揭示了拉普拉斯谱的自然多尺度分解：早期反映基于度的局部结构，中间时间隔离低于谱平均值的特征值，而长时间则由代数连通性控制。这种分解能够识别主导有效图电阻的谱分量，并产生连续的、可解释的结构优化策略，以补充现有的组合优化方法。总的来说，我们的结果将有效的图形阻力转化为可控的动态可观察量，为分析、比较和优化跨领域的复杂网络提供了一个操作框架。</w:t>
      </w:r>
    </w:p>
    <w:p>
      <w:pPr>
        <w:spacing w:before="0" w:after="200" w:lineRule="auto" w:line="276"/>
      </w:pPr>
      <w:r>
        <w:rPr>
          <w:b/>
        </w:rPr>
        <w:t xml:space="preserve">Abstract (EN): </w:t>
      </w:r>
      <w:r>
        <w:t>Effective graph resistance is a fundamental structural metric in network science, widely used to quantify global connectivity, compare network architectures, and assess robustness in flow-based systems. Despite its importance, current formulations rely mainly on spectral or pseudo-inverse Laplacian representations, offering limited physical insight into how structure shapes this quantity or how it can be efficiently optimized. Here, we establish an exact and physically transparent relationship between effective graph resistance and cumulative heat dissipation generated by Laplacian diffusion dynamics. We show that the total heat dissipated during relaxation precisely equals the effective graph resistance, providing a time-resolved interpretation. This dynamical viewpoint uncovers a natural multi-scale decomposition of the Laplacian spectrum: early times reflect degree-based local structure, intermediate times isolate eigenvalues below the spectral mean, and long times are governed by the algebraic connectivity. This decomposition enables the identification of the spectral components that dominate the effective graph resistance and yields continuous, interpretable strategies for structural optimization that complement existing combinatorial optimization methods. Overall, our results transform effective graph resistance into a controllable dynamical observable, providing an operational framework for analyzing, comparing, and optimizing complex networks across domains.</w:t>
      </w:r>
    </w:p>
    <w:p>
      <w:pPr>
        <w:spacing w:before="120" w:after="120"/>
      </w:pPr>
      <w:r>
        <w:rPr>
          <w:sz w:val="18"/>
        </w:rPr>
        <w:t>——————————————————————————————————————————————————————————————————————</w:t>
      </w:r>
    </w:p>
    <w:p>
      <w:pPr>
        <w:spacing w:before="160" w:after="40" w:line="240" w:lineRule="auto"/>
      </w:pPr>
      <w:r>
        <w:rPr>
          <w:b/>
        </w:rPr>
        <w:t xml:space="preserve">[124] </w:t>
      </w:r>
      <w:hyperlink r:id="rId780">
        <w:r>
          <w:rPr>
            <w:color w:val="1155CC"/>
            <w:u w:val="single"/>
          </w:rPr>
          <w:t>数据驱动的混合动力电动汽车充电基础设施优化：从跨城市需求预测到动态分配</w:t>
        </w:r>
      </w:hyperlink>
    </w:p>
    <w:p>
      <w:pPr>
        <w:spacing w:before="0" w:after="80"/>
      </w:pPr>
      <w:r>
        <w:rPr>
          <w:i/>
          <w:sz w:val="20"/>
        </w:rPr>
        <w:t>EN: Data-driven optimization of hybrid EV charging infrastructure: From cross-city demand forecasting to dynamic allocation</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781">
        <w:r>
          <w:rPr>
            <w:color w:val="1155CC"/>
            <w:u w:val="single"/>
          </w:rPr>
          <w:t>10.1016/j.apenergy.2026.128564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782">
        <w:r>
          <w:rPr>
            <w:color w:val="1155CC"/>
            <w:u w:val="single"/>
          </w:rPr>
          <w:t>电池储能的高频盘中交易</w:t>
        </w:r>
      </w:hyperlink>
    </w:p>
    <w:p>
      <w:pPr>
        <w:spacing w:before="0" w:after="80"/>
      </w:pPr>
      <w:r>
        <w:rPr>
          <w:i/>
          <w:sz w:val="20"/>
        </w:rPr>
        <w:t>EN: High-frequency intraday trading for battery storages</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783">
        <w:r>
          <w:rPr>
            <w:color w:val="1155CC"/>
            <w:u w:val="single"/>
          </w:rPr>
          <w:t>10.1016/j.apenergy.2026.128550</w:t>
        </w:r>
      </w:hyperlink>
    </w:p>
    <w:p>
      <w:pPr>
        <w:spacing w:before="0" w:after="120"/>
      </w:pPr>
      <w:r>
        <w:rPr>
          <w:b/>
        </w:rPr>
        <w:t xml:space="preserve">Notes: </w:t>
      </w:r>
      <w:r>
        <w:t>abstract_source=openalex</w:t>
      </w:r>
    </w:p>
    <w:p>
      <w:pPr>
        <w:spacing w:before="0" w:after="80" w:lineRule="auto" w:line="276"/>
      </w:pPr>
      <w:r>
        <w:rPr>
          <w:b/>
        </w:rPr>
        <w:t xml:space="preserve">摘要（ZH）: </w:t>
      </w:r>
      <w:r>
        <w:t>在连续的日内电力市场中，最大化电网规模电池储能系统的收入需要能够在新信息到来时立即抓住交易机会的策略。本文介绍并评估了一种计算效率高、频率高的电池储能系统滚动内在交易策略在日内电力市场上的实现。通过将已建立的滚动内在逻辑与完整的限价订单簿表示和快速动态规划近似相结合，我们的方法明确考虑了持续更新的买入和卖出报价列表、市场规则、退化的线性近似以及其他毫秒分辨率的技术参数。标准滚动内在策略适用于连续的日内电力市场，并使用动态规划近似来求解，该近似比精确的混合整数线性规划解决方案快两到三个数量级。对一整年的德国订单簿数据进行的详细回测表明，所提出的动态规划公式不会减少交易利润，并使策略能够对每个相关订单簿更新做出反应，从而实现现实的快速回测。我们的结果显示了高频交易的巨大收入潜力：我们的策略比每小时重新优化一次的策略多赚 58%，比每分钟重新优化一次的策略多赚 14%，这凸显了利润主要取决于交易速度。此外，我们利用算法的速度来跟踪</w:t>
      </w:r>
    </w:p>
    <w:p>
      <w:pPr>
        <w:spacing w:before="0" w:after="200" w:lineRule="auto" w:line="276"/>
      </w:pPr>
      <w:r>
        <w:rPr>
          <w:b/>
        </w:rPr>
        <w:t xml:space="preserve">Abstract (EN): </w:t>
      </w:r>
      <w:r>
        <w:t>Maximizing revenue for grid-scale battery energy storage systems in continuous intraday electricity markets requires strategies that are able to seize trading opportunities as soon as new information arrives. This paper introduces and evaluates a computationally efficient, high-frequency implementation of the rolling intrinsic trading strategy for battery energy storage systems on the intraday market for power. By combining the established rolling intrinsic logic with a full limit order book representation and a fast dynamic programming approximation, our method explicitly considers the continuously updated list of buy and sell offers, market rules, a linear approximation of degradation, and other technical parameters at a millisecond resolution. The standard rolling intrinsic strategy is adapted for continuous intraday electricity markets and solved using a dynamic programming approximation that is two to three orders of magnitude faster than an exact mixed-integer linear programming solution. A detailed backtest over a full year of German order book data demonstrates that the proposed dynamic programming formulation does not reduce trading profits and enables the policy to react to every relevant order book update, enabling realistic rapid backtesting. Our results show the significant revenue potential of high-frequency trading: our policy earns 58 % more than when re-optimizing only once every hour and 14 % more than when re-optimizing once per minute, highlighting that profits critically depend on trading speed. Furthermore, we leverage the speed of our algorithm to train a parametric extension of the rolling intrinsic, increasing yearly revenue by 8.4 % out of sample.</w:t>
      </w:r>
    </w:p>
    <w:p>
      <w:pPr>
        <w:spacing w:before="120" w:after="120"/>
      </w:pPr>
      <w:r>
        <w:rPr>
          <w:sz w:val="18"/>
        </w:rPr>
        <w:t>——————————————————————————————————————————————————————————————————————</w:t>
      </w:r>
    </w:p>
    <w:p>
      <w:pPr>
        <w:spacing w:before="160" w:after="40" w:line="240" w:lineRule="auto"/>
      </w:pPr>
      <w:r>
        <w:rPr>
          <w:b/>
        </w:rPr>
        <w:t xml:space="preserve">[126] </w:t>
      </w:r>
      <w:hyperlink r:id="rId784">
        <w:r>
          <w:rPr>
            <w:color w:val="1155CC"/>
            <w:u w:val="single"/>
          </w:rPr>
          <w:t>PVDINO：通过视觉基础模型和双流边缘挖掘从高分辨率遥感图像中提取光伏板</w:t>
        </w:r>
      </w:hyperlink>
    </w:p>
    <w:p>
      <w:pPr>
        <w:spacing w:before="0" w:after="80"/>
      </w:pPr>
      <w:r>
        <w:rPr>
          <w:i/>
          <w:sz w:val="20"/>
        </w:rPr>
        <w:t>EN: PVDINO: Extracting photovoltaic panels from high-resolution remote sensing imagery via vision foundation model and dual-stream edge mining</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785">
        <w:r>
          <w:rPr>
            <w:color w:val="1155CC"/>
            <w:u w:val="single"/>
          </w:rPr>
          <w:t>10.1016/j.apenergy.2026.128571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[127] </w:t>
      </w:r>
      <w:hyperlink r:id="rId786">
        <w:r>
          <w:rPr>
            <w:color w:val="1155CC"/>
            <w:u w:val="single"/>
          </w:rPr>
          <w:t>拓扑不确定性下电力系统运行的结构可推广大模型：基于图的基础学习框架</w:t>
        </w:r>
      </w:hyperlink>
    </w:p>
    <w:p>
      <w:pPr>
        <w:spacing w:before="0" w:after="80"/>
      </w:pPr>
      <w:r>
        <w:rPr>
          <w:i/>
          <w:sz w:val="20"/>
        </w:rPr>
        <w:t>EN: Structure-generalizable large models for power system operation under topology uncertainty: A graph-based foundation learning framework</w:t>
      </w:r>
    </w:p>
    <w:p>
      <w:pPr>
        <w:spacing w:before="0" w:after="120"/>
      </w:pPr>
      <w:r>
        <w:rPr>
          <w:b/>
        </w:rPr>
        <w:t xml:space="preserve">Source: </w:t>
      </w:r>
      <w:r>
        <w:t>ScienceDirect Publication: Applied Energy</w:t>
      </w:r>
      <w:r>
        <w:t xml:space="preserve">    </w:t>
      </w:r>
      <w:r>
        <w:rPr>
          <w:b/>
        </w:rPr>
        <w:t xml:space="preserve">Pub date: </w:t>
      </w:r>
      <w:r>
        <w:t>2026-08-01 00:00:00+00:00</w:t>
      </w:r>
      <w:r>
        <w:t xml:space="preserve">    </w:t>
      </w:r>
      <w:r>
        <w:rPr>
          <w:b/>
        </w:rPr>
        <w:t xml:space="preserve">DOI: </w:t>
      </w:r>
      <w:hyperlink r:id="rId787">
        <w:r>
          <w:rPr>
            <w:color w:val="1155CC"/>
            <w:u w:val="single"/>
          </w:rPr>
          <w:t>10.1016/j.apenergy.2026.128479</w:t>
        </w:r>
      </w:hyperlink>
    </w:p>
    <w:p>
      <w:pPr>
        <w:spacing w:before="0" w:after="120"/>
      </w:pPr>
      <w:r>
        <w:rPr>
          <w:b/>
        </w:rPr>
        <w:t xml:space="preserve">Notes: </w:t>
      </w:r>
      <w:r>
        <w:t>abstract_source=openalex</w:t>
      </w:r>
    </w:p>
    <w:p>
      <w:pPr>
        <w:spacing w:before="0" w:after="80" w:lineRule="auto" w:line="276"/>
      </w:pPr>
      <w:r>
        <w:rPr>
          <w:b/>
        </w:rPr>
        <w:t xml:space="preserve">摘要（ZH）: </w:t>
      </w:r>
      <w:r>
        <w:t>本文解决了现有数据驱动电力系统模型的一个基本限制，即它们无法在频繁的拓扑变化下进行泛化。由于现代配电网络由于开关操作和分布式能源的高渗透率而经历动态重新配置，在固定结构上训练的模型在应用于不可见的配置时通常会表现出显着的性能下降。为了克服这个问题，我们提出了一种结构可概括的大型模型框架，将电力系统运行重新表述为拓扑感知学习问题。该方法利用基于图的拓扑编码和多拓扑训练来构建统一的潜在表示空间，使模型能够捕获不同网络结构中不变的物理和操作模式。进一步引入结构感知学习机制以增强跨拓扑适应性，同时置信感知预测模块量化不确定性并支持分布变化下的可靠部署。对基准分发系统的大量实验表明，与传统的特定于拓扑的模型相比，所提出的框架将泛化精度提高了 18.7% 以上，将预测误差降低了 22.4%，并将推理速度提高了 35.2%。这些结果表明，所提出的大模型范式为未来自适应能源系统在固有拓扑不确定性下的实时运行提供了可扩展、稳健且实用的解决方案。</w:t>
      </w:r>
    </w:p>
    <w:p>
      <w:pPr>
        <w:spacing w:before="0" w:after="200" w:lineRule="auto" w:line="276"/>
      </w:pPr>
      <w:r>
        <w:rPr>
          <w:b/>
        </w:rPr>
        <w:t xml:space="preserve">Abstract (EN): </w:t>
      </w:r>
      <w:r>
        <w:t>This paper addresses a fundamental limitation of existing data-driven power system models, namely their inability to generalize under frequent topology changes. As modern distribution networks undergo dynamic reconfiguration due to switching operations and high penetration of distributed energy resources, models trained on fixed structures often exhibit significant performance degradation when applied to unseen configurations. To overcome this issue, we propose a structure-generalizable large model framework that reformulates power system operation as a topology-aware learning problem. The approach leverages graph-based topology encoding and multi-topology training to construct a unified latent representation space, enabling the model to capture invariant physical and operational patterns across diverse network structures. A structure-aware learning mechanism is further introduced to enhance cross-topology adaptability, while a confidence-aware prediction module quantifies uncertainty and supports reliable deployment under distribution shifts. Extensive experiments on benchmark distribution systems demonstrate that the proposed framework improves generalization accuracy by over 18.7%, reduces prediction error by 22.4%, and achieves 35.2% faster inference compared to conventional topology-specific models. These results indicate that the proposed large model paradigm provides a scalable, robust, and practical solution for real-time operation of future adaptive energy systems under inherent topology uncertainty.</w:t>
      </w:r>
    </w:p>
    <w:p>
      <w:pPr>
        <w:spacing w:before="120" w:after="120"/>
      </w:pPr>
      <w:r>
        <w:rPr>
          <w:sz w:val="18"/>
        </w:rPr>
        <w:t>——————————————————————————————————————————————————————————————————————</w:t>
      </w:r>
    </w:p>
    <w:p>
      <w:pPr>
        <w:spacing w:before="160" w:after="40" w:line="240" w:lineRule="auto"/>
      </w:pPr>
      <w:r>
        <w:rPr>
          <w:b/>
        </w:rPr>
        <w:t xml:space="preserve">[128] </w:t>
      </w:r>
      <w:hyperlink r:id="rId788">
        <w:r>
          <w:rPr>
            <w:color w:val="1155CC"/>
            <w:u w:val="single"/>
          </w:rPr>
          <w:t>具有有序水通道的原子精度π驱动肽水凝胶纳米纤维</w:t>
        </w:r>
      </w:hyperlink>
    </w:p>
    <w:p>
      <w:pPr>
        <w:spacing w:before="0" w:after="80"/>
      </w:pPr>
      <w:r>
        <w:rPr>
          <w:i/>
          <w:sz w:val="20"/>
        </w:rPr>
        <w:t>EN: Atomic-precision π-driven peptide hydrogel nanofibers with ordered water channels</w:t>
      </w:r>
    </w:p>
    <w:p>
      <w:pPr>
        <w:spacing w:before="0" w:after="120"/>
      </w:pPr>
      <w:r>
        <w:rPr>
          <w:b/>
        </w:rPr>
        <w:t xml:space="preserve">Source: </w:t>
      </w:r>
      <w:r>
        <w:t>Physical sciences : Nature Communications subject feeds</w:t>
      </w:r>
      <w:r>
        <w:t xml:space="preserve">    </w:t>
      </w:r>
      <w:r>
        <w:rPr>
          <w:b/>
        </w:rPr>
        <w:t xml:space="preserve">Pub date: </w:t>
      </w:r>
      <w:r>
        <w:t>2026-08-01 00:00:00+00:00</w:t>
      </w:r>
    </w:p>
    <w:p>
      <w:pPr>
        <w:spacing w:before="0" w:after="120"/>
      </w:pPr>
      <w:r>
        <w:rPr>
          <w:b/>
        </w:rPr>
        <w:t xml:space="preserve">Notes: </w:t>
      </w:r>
      <w:r>
        <w:t>abstract_source=nature_html</w:t>
      </w:r>
    </w:p>
    <w:p>
      <w:pPr>
        <w:spacing w:before="0" w:after="80" w:lineRule="auto" w:line="276"/>
      </w:pPr>
      <w:r>
        <w:rPr>
          <w:b/>
        </w:rPr>
        <w:t xml:space="preserve">摘要（ZH）: </w:t>
      </w:r>
      <w:r>
        <w:t>芳香族相互作用将分子组织成有序的超分子结构，而肽通过氢键和水介导的组装形成功能性软材料。在基于肽的系统中，强芳香堆积通常通过末端封端来实现，而末端未封端的肽通过极性端基组织水，但很少形成高度有序的材料。在这里，我们表明，π-扩展的芳香单元可以整合到末端未封端的肽中，以创建一类具有结构有序的超分子水凝胶。芘修饰的二肽分层组装成单分散螺旋纳米纤维和自修复水凝胶。冷冻电子显微镜以接近原子精度 (1.7 Å) 解析纳米纤维，揭示了紧密堆积的原丝、连续有序的水通道和沿纤维延伸的单向偶极子。这些结果证明了如何协调增强芳香堆积、极性相互作用和协同水组织，以产生紧急静电和机械弹性，桥接共轭材料和生物分子物质，使功能性软材料无法单独进入任一域。</w:t>
      </w:r>
    </w:p>
    <w:p>
      <w:pPr>
        <w:spacing w:before="0" w:after="200" w:lineRule="auto" w:line="276"/>
      </w:pPr>
      <w:r>
        <w:rPr>
          <w:b/>
        </w:rPr>
        <w:t xml:space="preserve">Abstract (EN): </w:t>
      </w:r>
      <w:r>
        <w:t>Aromatic interactions organize molecules into ordered supramolecular architectures, while peptides form functional soft materials through hydrogen bonding and water-mediated assembly. In peptide-based systems, strong aromatic stacking is typically achieved by terminal capping, whereas terminally uncapped peptides organize water through polar end groups but rarely form highly ordered materials. Here we show that a π-extended aromatic unit can be integrated into a terminally uncapped peptide to create a class of supramolecular hydrogels with structural order. A pyrene-modified dipeptide hierarchically assembles into monodisperse helical nanofibers and self-healing hydrogels. Cryo-electron microscopy resolves the nanofibers at near-atomic precision (1.7 Å), revealing tightly packed protofilaments, continuous ordered water channels, and a unidirectional dipole extending along the fiber. These results demonstrate how reinforced aromatic stacking, polar interactions, and cooperative water organization can be orchestrated to generate emergent electrostatics and mechanical resilience, bridging conjugated materials and biomolecular matter, enabling functional soft materials inaccessible to either domain alone.</w:t>
      </w:r>
    </w:p>
    <w:p>
      <w:pPr>
        <w:spacing w:before="120" w:after="120"/>
      </w:pPr>
      <w:r>
        <w:rPr>
          <w:sz w:val="18"/>
        </w:rPr>
        <w:t>——————————————————————————————————————————————————————————————————————</w:t>
      </w:r>
    </w:p>
    <w:p>
      <w:pPr>
        <w:spacing w:before="160" w:after="40" w:line="240" w:lineRule="auto"/>
      </w:pPr>
      <w:r>
        <w:rPr>
          <w:b/>
        </w:rPr>
        <w:t xml:space="preserve">[129] </w:t>
      </w:r>
      <w:hyperlink r:id="rId789">
        <w:r>
          <w:rPr>
            <w:color w:val="1155CC"/>
            <w:u w:val="single"/>
          </w:rPr>
          <w:t>利用扫描 SQUID 显微镜绘制紧急相关电子态的实空间图</w:t>
        </w:r>
      </w:hyperlink>
    </w:p>
    <w:p>
      <w:pPr>
        <w:spacing w:before="0" w:after="80"/>
      </w:pPr>
      <w:r>
        <w:rPr>
          <w:i/>
          <w:sz w:val="20"/>
        </w:rPr>
        <w:t>EN: Real‐Space Mapping of Emergent Correlated Electronic States With Scanning SQUID Microscopy</w:t>
      </w:r>
    </w:p>
    <w:p>
      <w:pPr>
        <w:spacing w:before="0" w:after="120"/>
      </w:pPr>
      <w:r>
        <w:rPr>
          <w:b/>
        </w:rPr>
        <w:t xml:space="preserve">Source: </w:t>
      </w:r>
      <w:r>
        <w:t>Wiley: Advanced Materials: Table of Contents</w:t>
      </w:r>
      <w:r>
        <w:t xml:space="preserve">    </w:t>
      </w:r>
      <w:r>
        <w:rPr>
          <w:b/>
        </w:rPr>
        <w:t xml:space="preserve">Pub date: </w:t>
      </w:r>
      <w:r>
        <w:t>2026-08-01 09:44:43+00:00</w:t>
      </w:r>
      <w:r>
        <w:t xml:space="preserve">    </w:t>
      </w:r>
      <w:r>
        <w:rPr>
          <w:b/>
        </w:rPr>
        <w:t xml:space="preserve">DOI: </w:t>
      </w:r>
      <w:hyperlink r:id="rId790">
        <w:r>
          <w:rPr>
            <w:color w:val="1155CC"/>
            <w:u w:val="single"/>
          </w:rPr>
          <w:t>10.1002/adma.74406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扫描超导量子干涉装置（SQUID）显微镜提供超高磁场灵敏度，并已成为凝聚态物质中相关量子现象的强大实空间探针。通过将超导回路缩小至亚微米范围，扫描 SQUID 显微镜可实现约 10 nT Hz 的磁场灵敏度</w:t>
      </w:r>
      <w:r>
        <w:t xml:space="preserve"> </w:t>
      </w:r>
      <w:r>
        <w:t>−1/2</w:t>
      </w:r>
      <w:r>
        <w:t xml:space="preserve"> </w:t>
      </w:r>
      <w:r>
        <w:t>同时实现低于 50 nm 的空间分辨率，从而可以直接可视化局部磁性纹理和电流分布。与只能探测大量样品的空间平均磁响应的传统 SQUID 测量不同，扫描探针技术能够检测与新兴电子状态相关的微小的、空间不均匀的磁信号。本综述重点介绍了扫描 SQUID 显微镜在拓扑材料、磁系统和非常规超导体中应用的最新进展，重点是基于扫描 SQUID 的实空间磁成像可以独特揭示的潜在机制。我们讨论扫描 SQUID 测量如何揭示体探针无法达到的现象，包括拓扑绝缘体中的手性边缘电流、超导性和铁磁性之间的共存/竞争，以及多带超导体中的反常通量量化。最后，我们概述了扫描 SQUID 的未来方向和挑战，特别关注理解相关量子现象</w:t>
      </w:r>
    </w:p>
    <w:p>
      <w:pPr>
        <w:spacing w:before="0" w:after="200" w:lineRule="auto" w:line="276"/>
      </w:pPr>
      <w:r>
        <w:rPr>
          <w:b/>
        </w:rPr>
        <w:t xml:space="preserve">Abstract (EN): </w:t>
      </w:r>
      <w:r>
        <w:t>Scanning superconducting quantum interference device (SQUID) microscopy provides ultrahigh magnetic field sensitivity and has emerged as a powerful real‐space probe for correlated quantum phenomena in condensed matter. By reducing the superconducting loop to submicron regime, scanning SQUID microscopy achieves magnetic field sensitivities on the order of ≈10 nT Hz</w:t>
      </w:r>
      <w:r>
        <w:t xml:space="preserve"> </w:t>
      </w:r>
      <w:r>
        <w:t>−1/2</w:t>
      </w:r>
      <w:r>
        <w:t xml:space="preserve"> </w:t>
      </w:r>
      <w:r>
        <w:t>while simultaneously enabling spatial resolution below 50 nm, allowing direct visualization of local magnetic textures and current distributions. Unlike the conventional SQUID measurements that can only probe spatially averaged magnetic responses of bulk samples, the scanning‐probe technique enables the detection of tiny, spatially inhomogeneous magnetic signals associated with emergent electronic states. This review focuses on recent progress in applying scanning SQUID microscopy to topological materials, magnetic systems, and unconventional superconductors, with an emphasis on the underlying mechanisms that can be uniquely revealed by real‐space magnetic imaging based on scanning SQUIDs. We discuss how scanning SQUID measurements have revealed phenomena that are inaccessible to bulk probes, including chiral edge currents in topological insulators, coexistence/competition between superconductivity and ferromagnetism, and anomalous flux quantization in multiband superconductors. Finally, we outline the future directions and challenges of scanning SQUID, with particular focuses on understanding correlated quantum phenomena and guiding the design of quantum information devices.</w:t>
      </w:r>
    </w:p>
    <w:p>
      <w:pPr>
        <w:spacing w:before="120" w:after="120"/>
      </w:pPr>
      <w:r>
        <w:rPr>
          <w:sz w:val="18"/>
        </w:rPr>
        <w:t>——————————————————————————————————————————————————————————————————————</w:t>
      </w:r>
    </w:p>
    <w:p>
      <w:pPr>
        <w:spacing w:before="160" w:after="40" w:line="240" w:lineRule="auto"/>
      </w:pPr>
      <w:r>
        <w:rPr>
          <w:b/>
        </w:rPr>
        <w:t xml:space="preserve">[130] </w:t>
      </w:r>
      <w:hyperlink r:id="rId791">
        <w:r>
          <w:rPr>
            <w:color w:val="1155CC"/>
            <w:u w:val="single"/>
          </w:rPr>
          <w:t>通过光固化 3D 打印实现可编程偏振光的基于仿生亚纳米线的光学器件</w:t>
        </w:r>
      </w:hyperlink>
    </w:p>
    <w:p>
      <w:pPr>
        <w:spacing w:before="0" w:after="80"/>
      </w:pPr>
      <w:r>
        <w:rPr>
          <w:i/>
          <w:sz w:val="20"/>
        </w:rPr>
        <w:t>EN: Bioinspired Subnanowire‐Based Optical Devices With Programmable Polarization Irisations Through Photocuring 3D Printing</w:t>
      </w:r>
    </w:p>
    <w:p>
      <w:pPr>
        <w:spacing w:before="0" w:after="120"/>
      </w:pPr>
      <w:r>
        <w:rPr>
          <w:b/>
        </w:rPr>
        <w:t xml:space="preserve">Source: </w:t>
      </w:r>
      <w:r>
        <w:t>Wiley: Advanced Materials: Table of Contents</w:t>
      </w:r>
      <w:r>
        <w:t xml:space="preserve">    </w:t>
      </w:r>
      <w:r>
        <w:rPr>
          <w:b/>
        </w:rPr>
        <w:t xml:space="preserve">Pub date: </w:t>
      </w:r>
      <w:r>
        <w:t>2026-08-01 09:50:38+00:00</w:t>
      </w:r>
      <w:r>
        <w:t xml:space="preserve">    </w:t>
      </w:r>
      <w:r>
        <w:rPr>
          <w:b/>
        </w:rPr>
        <w:t xml:space="preserve">DOI: </w:t>
      </w:r>
      <w:hyperlink r:id="rId792">
        <w:r>
          <w:rPr>
            <w:color w:val="1155CC"/>
            <w:u w:val="single"/>
          </w:rPr>
          <w:t>10.1002/adma.74381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适用于仿生光固化 3D 打印的光交联亚纳米线 (SNW) 的制造尚未实现。此外，构建集成旋光（OR）和双折射（BF）的基于SNW的光学器件仍然是一个重大挑战。在这里，可光交联的 Tri-MPT@GdOOH SNW（</w:t>
      </w:r>
      <w:r>
        <w:rPr>
          <w:vertAlign w:val="subscript"/>
        </w:rPr>
        <w:t>1</w:t>
      </w:r>
      <w:r>
        <w:t>）通过原位配体交换和共价修饰合成了具有可调手性的化合物。受到 Bouligand 建筑和圣甲虫角质层光学特性的启发，</w:t>
      </w:r>
      <w:r>
        <w:rPr>
          <w:vertAlign w:val="subscript"/>
        </w:rPr>
        <w:t>1</w:t>
      </w:r>
      <w:r>
        <w:t>基于左旋组装被用来制造基于SNW的混合凝胶（</w:t>
      </w:r>
      <w:r>
        <w:t xml:space="preserve"> </w:t>
      </w:r>
      <w:r>
        <w:t>1a</w:t>
      </w:r>
      <w:r>
        <w:t xml:space="preserve"> </w:t>
      </w:r>
      <w:r>
        <w:t>）通过光固化3D打印。所得材料表现出清晰的层状结构、155.89 MPa的超高抗压强度、优异的稳定性和明显的左手手性，具有1.03 × 10</w:t>
      </w:r>
      <w:r>
        <w:t xml:space="preserve"> </w:t>
      </w:r>
      <w:r>
        <w:t>−3</w:t>
      </w:r>
      <w:r>
        <w:t xml:space="preserve"> </w:t>
      </w:r>
      <w:r>
        <w:t>g因子。的</w:t>
      </w:r>
      <w:r>
        <w:t xml:space="preserve"> </w:t>
      </w:r>
      <w:r>
        <w:t>1a</w:t>
      </w:r>
      <w:r>
        <w:t xml:space="preserve"> </w:t>
      </w:r>
      <w:r>
        <w:t>基于波片的左手 OR 和应力诱导 BF 之间具有很强的协同效应。具体来说，它的比转数达到了 2042、1545 和 1410</w:t>
      </w:r>
      <w:r>
        <w:t xml:space="preserve"> </w:t>
      </w:r>
      <w:r>
        <w:t>分别在 405、520 和 650 nm 激光下的 mL/(g·dm)，BF 指数为 2.28 × 10</w:t>
      </w:r>
      <w:r>
        <w:t xml:space="preserve"> </w:t>
      </w:r>
      <w:r>
        <w:t>−4</w:t>
      </w:r>
      <w:r>
        <w:t xml:space="preserve"> </w:t>
      </w:r>
      <w:r>
        <w:t>。此外，一系列</w:t>
      </w:r>
      <w:r>
        <w:t xml:space="preserve"> </w:t>
      </w:r>
      <w:r>
        <w:t>1a</w:t>
      </w:r>
      <w:r>
        <w:t xml:space="preserve"> </w:t>
      </w:r>
      <w:r>
        <w:t>基于元光学阵列和仿生3D光学设备（</w:t>
      </w:r>
      <w:r>
        <w:t xml:space="preserve"> </w:t>
      </w:r>
      <w:r>
        <w:t>2‐12</w:t>
      </w:r>
    </w:p>
    <w:p>
      <w:pPr>
        <w:spacing w:before="0" w:after="200" w:lineRule="auto" w:line="276"/>
      </w:pPr>
      <w:r>
        <w:rPr>
          <w:b/>
        </w:rPr>
        <w:t xml:space="preserve">Abstract (EN): </w:t>
      </w:r>
      <w:r>
        <w:t>The fabrication of photocrosslinkable subnanowires (SNWs) suitable for bioinspired photocurable 3D printing has not been realized. Moreover, constructing SNW‐based optical devices that integrate optical rotation (OR) and birefringence (BF) remains a significant challenge. Here, the photocrosslinkable Tri‐MPT@GdOOH SNW (</w:t>
      </w:r>
      <w:r>
        <w:rPr>
          <w:vertAlign w:val="subscript"/>
        </w:rPr>
        <w:t>1</w:t>
      </w:r>
      <w:r>
        <w:t>) with tunable chirality was synthesized via in‐situ ligand exchange and covalent modification. Inspired by Bouligand architecture and optical properties of scarab cuticles, the</w:t>
      </w:r>
      <w:r>
        <w:rPr>
          <w:vertAlign w:val="subscript"/>
        </w:rPr>
        <w:t>1</w:t>
      </w:r>
      <w:r>
        <w:t>‐based levorotatory assembly was employed to fabricate a SNW‐based hybrid gel (</w:t>
      </w:r>
      <w:r>
        <w:t xml:space="preserve"> </w:t>
      </w:r>
      <w:r>
        <w:t>1a</w:t>
      </w:r>
      <w:r>
        <w:t xml:space="preserve"> </w:t>
      </w:r>
      <w:r>
        <w:t>) through photocuring 3D printing. The resulting material exhibits a well‐defined layered structure, an ultrahigh compressive strength of 155.89 MPa, excellent stability, and pronounced left‐handed chirality, with a 1.03 × 10</w:t>
      </w:r>
      <w:r>
        <w:t xml:space="preserve"> </w:t>
      </w:r>
      <w:r>
        <w:t>−3</w:t>
      </w:r>
      <w:r>
        <w:t xml:space="preserve"> </w:t>
      </w:r>
      <w:r>
        <w:t>g‐factor. The</w:t>
      </w:r>
      <w:r>
        <w:t xml:space="preserve"> </w:t>
      </w:r>
      <w:r>
        <w:t>1a</w:t>
      </w:r>
      <w:r>
        <w:t xml:space="preserve"> </w:t>
      </w:r>
      <w:r>
        <w:t>‐based waveplate demonstrates a strong synergistic effect between left‐handed OR and stress‐induced BF. Specifically, it achieves remarkable specific rotations of 2042, 1545, and 1410</w:t>
      </w:r>
      <w:r>
        <w:t xml:space="preserve"> </w:t>
      </w:r>
      <w:r>
        <w:t>mL/(g·dm) under 405, 520, and 650 nm lasers, respectively, and a BF index of 2.28 × 10</w:t>
      </w:r>
      <w:r>
        <w:t xml:space="preserve"> </w:t>
      </w:r>
      <w:r>
        <w:t>−4</w:t>
      </w:r>
      <w:r>
        <w:t xml:space="preserve"> </w:t>
      </w:r>
      <w:r>
        <w:t>. Furthermore, a series of</w:t>
      </w:r>
      <w:r>
        <w:t xml:space="preserve"> </w:t>
      </w:r>
      <w:r>
        <w:t>1a</w:t>
      </w:r>
      <w:r>
        <w:t xml:space="preserve"> </w:t>
      </w:r>
      <w:r>
        <w:t>‐based meta‐optical arrays and bioinspired 3D optical devices (</w:t>
      </w:r>
      <w:r>
        <w:t xml:space="preserve"> </w:t>
      </w:r>
      <w:r>
        <w:t>2‐12</w:t>
      </w:r>
      <w:r>
        <w:t xml:space="preserve"> </w:t>
      </w:r>
      <w:r>
        <w:t>) with tunable architectures and polarization irisations were successfully fabricated, which exhibit significant application potential in optical information security. This work presents a representative case for the fabrication of photocrosslinkable SNWs and highlights the promising application prospect of bioinspired SNW‐based optical devices.</w:t>
      </w:r>
    </w:p>
    <w:p>
      <w:pPr>
        <w:spacing w:before="120" w:after="120"/>
      </w:pPr>
      <w:r>
        <w:rPr>
          <w:sz w:val="18"/>
        </w:rPr>
        <w:t>——————————————————————————————————————————————————————————————————————</w:t>
      </w:r>
    </w:p>
    <w:p>
      <w:pPr>
        <w:spacing w:before="160" w:after="40" w:line="240" w:lineRule="auto"/>
      </w:pPr>
      <w:r>
        <w:rPr>
          <w:b/>
        </w:rPr>
        <w:t xml:space="preserve">[131] </w:t>
      </w:r>
      <w:hyperlink r:id="rId793">
        <w:r>
          <w:rPr>
            <w:color w:val="1155CC"/>
            <w:u w:val="single"/>
          </w:rPr>
          <w:t>可逆交联的耐损伤聚合物打破了强度与拉伸性之间的权衡</w:t>
        </w:r>
      </w:hyperlink>
    </w:p>
    <w:p>
      <w:pPr>
        <w:spacing w:before="0" w:after="80"/>
      </w:pPr>
      <w:r>
        <w:rPr>
          <w:i/>
          <w:sz w:val="20"/>
        </w:rPr>
        <w:t>EN: Reversibly Cross‐Linked Damage‐Tolerant Polymers Breaking the Strength–Stretchability Trade‐Off</w:t>
      </w:r>
    </w:p>
    <w:p>
      <w:pPr>
        <w:spacing w:before="0" w:after="120"/>
      </w:pPr>
      <w:r>
        <w:rPr>
          <w:b/>
        </w:rPr>
        <w:t xml:space="preserve">Source: </w:t>
      </w:r>
      <w:r>
        <w:t>Wiley: Advanced Materials: Table of Contents</w:t>
      </w:r>
      <w:r>
        <w:t xml:space="preserve">    </w:t>
      </w:r>
      <w:r>
        <w:rPr>
          <w:b/>
        </w:rPr>
        <w:t xml:space="preserve">Pub date: </w:t>
      </w:r>
      <w:r>
        <w:t>2026-08-01 09:54:03+00:00</w:t>
      </w:r>
      <w:r>
        <w:t xml:space="preserve">    </w:t>
      </w:r>
      <w:r>
        <w:rPr>
          <w:b/>
        </w:rPr>
        <w:t xml:space="preserve">DOI: </w:t>
      </w:r>
      <w:hyperlink r:id="rId794">
        <w:r>
          <w:rPr>
            <w:color w:val="1155CC"/>
            <w:u w:val="single"/>
          </w:rPr>
          <w:t>10.1002/adma.74424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兼具卓越拉伸性和高机械强度的聚合物对于高级应用至关重要。为了确保其可靠性，集成损伤容限至关重要，它可以抑制裂纹扩展并防止极端变形下发生灾难性故障。然而，克服拉伸性和强度之间的内在平衡仍然是聚合物科学中的一个艰巨的挑战，特别是当还需要损伤耐受性时。在这里，我们展示了超拉伸聚合物的可扩展制造，该聚合物表现出卓越的机械鲁棒性和显着的损伤容限，这是通过协同脲基氢键和疏水相互作用交联软聚合物链来实现的。这些聚合物表现出创纪录的高伸长率，高达原始长度的 100,000 倍，同时在 33.6 应变下保持 35.0 MPa 的拉伸真应力，以及超过 374.8 kJ m 的非凡断裂能</w:t>
      </w:r>
      <w:r>
        <w:t xml:space="preserve"> </w:t>
      </w:r>
      <w:r>
        <w:t>−2</w:t>
      </w:r>
      <w:r>
        <w:t xml:space="preserve"> </w:t>
      </w:r>
      <w:r>
        <w:t>。这些聚合物的极端拉伸性源自连续断裂、链滑移和非共价交联的重组。同时，应变诱导的尿素氢键从双构型转变为四构型以及聚合物链的渐进取向可以维持机械鲁棒性和显着的应变硬化。这些可逆交联聚合物具有内在的自修复性和可再加工性，为极度可变形的聚合物垫提供了广阔的机会</w:t>
      </w:r>
    </w:p>
    <w:p>
      <w:pPr>
        <w:spacing w:before="0" w:after="200" w:lineRule="auto" w:line="276"/>
      </w:pPr>
      <w:r>
        <w:rPr>
          <w:b/>
        </w:rPr>
        <w:t xml:space="preserve">Abstract (EN): </w:t>
      </w:r>
      <w:r>
        <w:t>Polymers that combine exceptional stretchability with high mechanical robustness are essential for advanced applications. To ensure their reliability, it is critical to integrate damage tolerance, which suppresses crack propagation and prevents catastrophic failure under extreme deformation. However, overcoming the intrinsic trade‐off between stretchability and strength remains a formidable challenge in polymer science, particularly when damage tolerance is also required. Here, we show the scalable fabrication of super‐stretchable polymers exhibiting exceptional mechanical robustness and remarkable damage tolerance, achieved by cross‐linking soft polymer chains through synergistic urea‐based hydrogen bonding and hydrophobic interactions. These polymers exhibit record‐high elongations up to ∼100,000 times their original length while maintaining an extensional true stress of 35.0 MPa at a strain of 33.6, and an extraordinary fracture energy exceeding 374.8 kJ m</w:t>
      </w:r>
      <w:r>
        <w:t xml:space="preserve"> </w:t>
      </w:r>
      <w:r>
        <w:t>−2</w:t>
      </w:r>
      <w:r>
        <w:t xml:space="preserve"> </w:t>
      </w:r>
      <w:r>
        <w:t>. The extreme stretchability of these polymers arises from the successive breakage, chain slippage, and reformation of noncovalent cross‐links. Meanwhile, mechanical robustness and pronounced strain hardening are sustained by a strain‐induced transition of urea hydrogen bonds from double to quadruple configurations, together with the progressive orientation of polymer chains. These reversibly cross‐linked polymers, featuring intrinsic self‐healing and reprocessability, open broad opportunities for extremely deformable polymer materials where robustness, reliability, and sustainability are paramount.</w:t>
      </w:r>
    </w:p>
    <w:p>
      <w:pPr>
        <w:spacing w:before="120" w:after="120"/>
      </w:pPr>
      <w:r>
        <w:rPr>
          <w:sz w:val="18"/>
        </w:rPr>
        <w:t>——————————————————————————————————————————————————————————————————————</w:t>
      </w:r>
    </w:p>
    <w:p>
      <w:pPr>
        <w:spacing w:before="160" w:after="40" w:line="240" w:lineRule="auto"/>
      </w:pPr>
      <w:r>
        <w:rPr>
          <w:b/>
        </w:rPr>
        <w:t xml:space="preserve">[132] </w:t>
      </w:r>
      <w:hyperlink r:id="rId795">
        <w:r>
          <w:rPr>
            <w:color w:val="1155CC"/>
            <w:u w:val="single"/>
          </w:rPr>
          <w:t>两亲性二酮吡咯并吡咯聚合物能够在有机电化学晶体管中实现本征选择性高氯酸盐转导</w:t>
        </w:r>
      </w:hyperlink>
    </w:p>
    <w:p>
      <w:pPr>
        <w:spacing w:before="0" w:after="80"/>
      </w:pPr>
      <w:r>
        <w:rPr>
          <w:i/>
          <w:sz w:val="20"/>
        </w:rPr>
        <w:t>EN: Amphiphilic Diketopyrrolopyrrole Polymers Enable Intrinsic Selective Perchlorate Transduction in Organic Electrochemical Transistors</w:t>
      </w:r>
    </w:p>
    <w:p>
      <w:pPr>
        <w:spacing w:before="0" w:after="120"/>
      </w:pPr>
      <w:r>
        <w:rPr>
          <w:b/>
        </w:rPr>
        <w:t xml:space="preserve">Source: </w:t>
      </w:r>
      <w:r>
        <w:t>Wiley: Advanced Materials: Table of Contents</w:t>
      </w:r>
      <w:r>
        <w:t xml:space="preserve">    </w:t>
      </w:r>
      <w:r>
        <w:rPr>
          <w:b/>
        </w:rPr>
        <w:t xml:space="preserve">Pub date: </w:t>
      </w:r>
      <w:r>
        <w:t>2026-08-01 10:04:30+00:00</w:t>
      </w:r>
      <w:r>
        <w:t xml:space="preserve">    </w:t>
      </w:r>
      <w:r>
        <w:rPr>
          <w:b/>
        </w:rPr>
        <w:t xml:space="preserve">DOI: </w:t>
      </w:r>
      <w:hyperlink r:id="rId796">
        <w:r>
          <w:rPr>
            <w:color w:val="1155CC"/>
            <w:u w:val="single"/>
          </w:rPr>
          <w:t>10.1002/adma.74401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控制有机混合离子电子导体（OMIEC）中的离子特异性相互作用仍然是高增益电化学传感器的主要挑战，特别是在检测高氯酸盐（ClO</w:t>
      </w:r>
      <w:r>
        <w:rPr>
          <w:vertAlign w:val="subscript"/>
        </w:rPr>
        <w:t>4</w:t>
      </w:r>
      <w:r>
        <w:t>-</w:t>
      </w:r>
      <w:r>
        <w:t>）受到离子水合动力学和缓慢的体积电化学掺杂的限制。在此，我们报告了一种基于完全甲氧基化二酮吡咯并吡咯（DPP）的两亲共聚物的无膜有机电化学晶体管（OECT）平台。主链甲氧基化促进高氯酸根离子的优先体积电化学掺杂，从而实现有效的体极化子稳定。因此，完全甲氧基化的聚合物的体积电荷增加了五倍（</w:t>
      </w:r>
      <w:r>
        <w:t xml:space="preserve"> </w:t>
      </w:r>
      <w:r>
        <w:t>问</w:t>
      </w:r>
      <w:r>
        <w:t xml:space="preserve"> </w:t>
      </w:r>
      <w:r>
        <w:t>V</w:t>
      </w:r>
      <w:r>
        <w:t xml:space="preserve"> </w:t>
      </w:r>
      <w:r>
        <w:t>= 32 C 厘米</w:t>
      </w:r>
      <w:r>
        <w:t xml:space="preserve"> </w:t>
      </w:r>
      <w:r>
        <w:t>-</w:t>
      </w:r>
      <w:r>
        <w:rPr>
          <w:vertAlign w:val="subscript"/>
        </w:rPr>
        <w:t>3</w:t>
      </w:r>
      <w:r>
        <w:t>）和掺杂水平提高四倍（</w:t>
      </w:r>
      <w:r>
        <w:t xml:space="preserve"> </w:t>
      </w:r>
      <w:r>
        <w:t>y</w:t>
      </w:r>
      <w:r>
        <w:t xml:space="preserve"> </w:t>
      </w:r>
      <w:r>
        <w:t>= 0.38）相对于其非甲氧基化类似物。该材料集成到 OECT 中，检测率提高了 300 倍，在原始电解质中实现了 22 ± 1 ppb 的检测限，在含有 5 mM F 的混合离子背景中实现了 37 ± 2 ppb 的检测限。</w:t>
      </w:r>
      <w:r>
        <w:t xml:space="preserve"> </w:t>
      </w:r>
      <w:r>
        <w:t>-</w:t>
      </w:r>
      <w:r>
        <w:t>, 氯</w:t>
      </w:r>
      <w:r>
        <w:t xml:space="preserve"> </w:t>
      </w:r>
      <w:r>
        <w:t>-</w:t>
      </w:r>
      <w:r>
        <w:t>, 否</w:t>
      </w:r>
      <w:r>
        <w:rPr>
          <w:vertAlign w:val="subscript"/>
        </w:rPr>
        <w:t>3</w:t>
      </w:r>
      <w:r>
        <w:t>-</w:t>
      </w:r>
      <w:r>
        <w:t>,SO</w:t>
      </w:r>
    </w:p>
    <w:p>
      <w:pPr>
        <w:spacing w:before="0" w:after="200" w:lineRule="auto" w:line="276"/>
      </w:pPr>
      <w:r>
        <w:rPr>
          <w:b/>
        </w:rPr>
        <w:t xml:space="preserve">Abstract (EN): </w:t>
      </w:r>
      <w:r>
        <w:t>Controlling ion‐specific interactions in organic mixed ionic–electronic conductors (OMIECs) remains a major challenge for high‐gain electrochemical sensors, particularly in aqueous environments where detection of emerging contaminants such as perchlorate (ClO</w:t>
      </w:r>
      <w:r>
        <w:rPr>
          <w:vertAlign w:val="subscript"/>
        </w:rPr>
        <w:t>4</w:t>
      </w:r>
      <w:r>
        <w:t>−</w:t>
      </w:r>
      <w:r>
        <w:t>) is limited by ion hydration dynamics and sluggish volumetric electrochemical doping. Herein, we report a membrane‐free organic electrochemical transistor (OECT) platform based on a fully methoxylated diketopyrrolopyrrole (DPP)‐based amphiphilic copolymer. Backbone methoxylation promotes preferential volumetric electrochemical doping by perchlorate ions, enabling efficient bulk polaron stabilization. Consequently, the fully methoxylated polymer exhibits a five‐fold increase in volumetric charge (</w:t>
      </w:r>
      <w:r>
        <w:t xml:space="preserve"> </w:t>
      </w:r>
      <w:r>
        <w:t>Q</w:t>
      </w:r>
      <w:r>
        <w:t xml:space="preserve"> </w:t>
      </w:r>
      <w:r>
        <w:t>V</w:t>
      </w:r>
      <w:r>
        <w:t xml:space="preserve"> </w:t>
      </w:r>
      <w:r>
        <w:t>= 32 C cm</w:t>
      </w:r>
      <w:r>
        <w:t xml:space="preserve"> </w:t>
      </w:r>
      <w:r>
        <w:t>−</w:t>
      </w:r>
      <w:r>
        <w:rPr>
          <w:vertAlign w:val="subscript"/>
        </w:rPr>
        <w:t>3</w:t>
      </w:r>
      <w:r>
        <w:t>) and a four‐fold enhancement in doping level (</w:t>
      </w:r>
      <w:r>
        <w:t xml:space="preserve"> </w:t>
      </w:r>
      <w:r>
        <w:t>y</w:t>
      </w:r>
      <w:r>
        <w:t xml:space="preserve"> </w:t>
      </w:r>
      <w:r>
        <w:t>= 0.38) relative to its non‐methoxylated analogue. Integrated into OECTs, the material delivers a 300‐fold improvement in detectivity, achieving detection limits of 22 ± 1 ppb in pristine electrolyte and 37 ± 2 ppb in a mixed‐ion background containing 5 mM each of F</w:t>
      </w:r>
      <w:r>
        <w:t xml:space="preserve"> </w:t>
      </w:r>
      <w:r>
        <w:t>−</w:t>
      </w:r>
      <w:r>
        <w:t>, Cl</w:t>
      </w:r>
      <w:r>
        <w:t xml:space="preserve"> </w:t>
      </w:r>
      <w:r>
        <w:t>−</w:t>
      </w:r>
      <w:r>
        <w:t>, NO</w:t>
      </w:r>
      <w:r>
        <w:rPr>
          <w:vertAlign w:val="subscript"/>
        </w:rPr>
        <w:t>3</w:t>
      </w:r>
      <w:r>
        <w:t>−</w:t>
      </w:r>
      <w:r>
        <w:t>, SO</w:t>
      </w:r>
      <w:r>
        <w:rPr>
          <w:vertAlign w:val="subscript"/>
        </w:rPr>
        <w:t>4</w:t>
      </w:r>
      <w:r>
        <w:t>2−</w:t>
      </w:r>
      <w:r>
        <w:t>, and ClO</w:t>
      </w:r>
      <w:r>
        <w:rPr>
          <w:vertAlign w:val="subscript"/>
        </w:rPr>
        <w:t>3</w:t>
      </w:r>
      <w:r>
        <w:t>−</w:t>
      </w:r>
      <w:r>
        <w:t>. Mixed‐interference studies demonstrate ∼12‐fold selectivity for perchlorate with 83% signal recovery, while control experiments and impedance spectroscopy reveal an auxiliary glycol effect, in which backbone methoxylation and glycol side chains cooperatively facilitate efficient bulk doping. These findings establish backbone functionalization as an effective strategy for realizing selective, membrane‐free OMIEC‐based chemical sensors.</w:t>
      </w:r>
    </w:p>
    <w:p>
      <w:pPr>
        <w:spacing w:before="120" w:after="120"/>
      </w:pPr>
      <w:r>
        <w:rPr>
          <w:sz w:val="18"/>
        </w:rPr>
        <w:t>——————————————————————————————————————————————————————————————————————</w:t>
      </w:r>
    </w:p>
    <w:p>
      <w:pPr>
        <w:spacing w:before="160" w:after="40" w:line="240" w:lineRule="auto"/>
      </w:pPr>
      <w:r>
        <w:rPr>
          <w:b/>
        </w:rPr>
        <w:t xml:space="preserve">[133] </w:t>
      </w:r>
      <w:hyperlink r:id="rId797">
        <w:r>
          <w:rPr>
            <w:color w:val="1155CC"/>
            <w:u w:val="single"/>
          </w:rPr>
          <w:t>用于高效真空沉积近红外钙钛矿 LED 的两性离子层间定向亚微米自组装</w:t>
        </w:r>
      </w:hyperlink>
    </w:p>
    <w:p>
      <w:pPr>
        <w:spacing w:before="0" w:after="80"/>
      </w:pPr>
      <w:r>
        <w:rPr>
          <w:i/>
          <w:sz w:val="20"/>
        </w:rPr>
        <w:t>EN: Zwitterionic Interlayer‐Directed Submicrometer Self‐Assembly for Efficient Vacuum‐Deposited Near‐Infrared Perovskite LEDs</w:t>
      </w:r>
    </w:p>
    <w:p>
      <w:pPr>
        <w:spacing w:before="0" w:after="120"/>
      </w:pPr>
      <w:r>
        <w:rPr>
          <w:b/>
        </w:rPr>
        <w:t xml:space="preserve">Source: </w:t>
      </w:r>
      <w:r>
        <w:t>Wiley: Advanced Materials: Table of Contents</w:t>
      </w:r>
      <w:r>
        <w:t xml:space="preserve">    </w:t>
      </w:r>
      <w:r>
        <w:rPr>
          <w:b/>
        </w:rPr>
        <w:t xml:space="preserve">Pub date: </w:t>
      </w:r>
      <w:r>
        <w:t>2026-08-01 10:12:39+00:00</w:t>
      </w:r>
      <w:r>
        <w:t xml:space="preserve">    </w:t>
      </w:r>
      <w:r>
        <w:rPr>
          <w:b/>
        </w:rPr>
        <w:t xml:space="preserve">DOI: </w:t>
      </w:r>
      <w:hyperlink r:id="rId798">
        <w:r>
          <w:rPr>
            <w:color w:val="1155CC"/>
            <w:u w:val="single"/>
          </w:rPr>
          <w:t>10.1002/adma.74417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真空沉积钙钛矿发射器可以精确控制厚度和成分，使其与现有的有机发光二极管蒸发基础设施本质上兼容。然而，与溶液处理相比，真空沉积的结晶控制有限，这通常会导致器件性能不佳。近红外真空沉积钙钛矿 LED 的外量子效率 (EQE) 保持在 10% 左右。特别是，真空沉积的 3D 钙钛矿通常会经历快速成核和较差的晶体生长，从而导致缺陷丰富且光致发光量子效率 (PLQE) 较低的薄膜。尽管已经探索了各种钝化策略来减轻缺陷密度，但真空沉积条件下的潜在生长过程和结晶机制仍不清楚。在这里，我们展示了连续真空沉积过程中的层间定向结晶策略，其中两性离子夹层，5-氨基戊酸（5AVA），引导钙钛矿前体自组装成定向亚微米级域。这种方法可生产出具有显着增强的 PLQE 和改善的形貌的高质量钙钛矿薄膜。通过此途径制造的钙钛矿发光二极管 (PeLED) 实现了 16.6% 的创纪录 EQE 和 224 W sr 的高辐射率</w:t>
      </w:r>
      <w:r>
        <w:t xml:space="preserve"> </w:t>
      </w:r>
      <w:r>
        <w:t>-</w:t>
      </w:r>
      <w:r>
        <w:rPr>
          <w:vertAlign w:val="subscript"/>
        </w:rPr>
        <w:t>1</w:t>
      </w:r>
      <w:r>
        <w:t>米</w:t>
      </w:r>
      <w:r>
        <w:t xml:space="preserve"> </w:t>
      </w:r>
      <w:r>
        <w:t>-</w:t>
      </w:r>
      <w:r>
        <w:rPr>
          <w:vertAlign w:val="subscript"/>
        </w:rPr>
        <w:t>2</w:t>
      </w:r>
      <w:r>
        <w:t>。这些发现确立了</w:t>
      </w:r>
    </w:p>
    <w:p>
      <w:pPr>
        <w:spacing w:before="0" w:after="200" w:lineRule="auto" w:line="276"/>
      </w:pPr>
      <w:r>
        <w:rPr>
          <w:b/>
        </w:rPr>
        <w:t xml:space="preserve">Abstract (EN): </w:t>
      </w:r>
      <w:r>
        <w:t>Vacuum‐deposited perovskite emitters provide precise control over thickness and composition, making them inherently compatible with established organic light‐emitting diode evaporation infrastructure. However, vacuum deposition suffers from limited crystallization control compared with solution processing, which usually results in suboptimal device performance. The external quantum efficiency (EQE) of near‐infrared vacuum‐deposited perovskite LEDs remains approximately 10%. In particular, vacuum‐deposited 3D perovskites typically undergo rapid nucleation and poor crystal growth, leading to defect‐rich films with low photoluminescence quantum efficiencies (PLQEs). Although various passivation strategies have been explored to mitigate defect densities, the underlying growth processes and crystallization mechanisms under vacuum‐deposition conditions remain insufficiently understood. Here we demonstrate an interlayer‐directed crystallization strategy in a sequential vacuum deposition process, where a zwitterionic interlayer, 5‐aminovaleric acid (5AVA), directs the self‐assembly of perovskite precursors into oriented submicron‐scale domains. This approach produces high‐quality perovskite films with significantly enhanced PLQE and improved morphology. Perovskite light‐emitting diode (PeLED) fabricated via this route achieves a record EQE of 16.6% with a high radiance of 224 W sr</w:t>
      </w:r>
      <w:r>
        <w:t xml:space="preserve"> </w:t>
      </w:r>
      <w:r>
        <w:t>−</w:t>
      </w:r>
      <w:r>
        <w:rPr>
          <w:vertAlign w:val="subscript"/>
        </w:rPr>
        <w:t>1</w:t>
      </w:r>
      <w:r>
        <w:t>m</w:t>
      </w:r>
      <w:r>
        <w:t xml:space="preserve"> </w:t>
      </w:r>
      <w:r>
        <w:t>−</w:t>
      </w:r>
      <w:r>
        <w:rPr>
          <w:vertAlign w:val="subscript"/>
        </w:rPr>
        <w:t>2</w:t>
      </w:r>
      <w:r>
        <w:t>. These findings establish interlayer‐directed crystallization as a promising strategy for efficient vacuum deposited PeLEDs, showing potential in industrial evaporation technologies.</w:t>
      </w:r>
    </w:p>
    <w:p>
      <w:pPr>
        <w:spacing w:before="120" w:after="120"/>
      </w:pPr>
      <w:r>
        <w:rPr>
          <w:sz w:val="18"/>
        </w:rPr>
        <w:t>——————————————————————————————————————————————————————————————————————</w:t>
      </w:r>
    </w:p>
    <w:p>
      <w:pPr>
        <w:spacing w:before="160" w:after="40" w:line="240" w:lineRule="auto"/>
      </w:pPr>
      <w:r>
        <w:rPr>
          <w:b/>
        </w:rPr>
        <w:t xml:space="preserve">[134] </w:t>
      </w:r>
      <w:hyperlink r:id="rId799">
        <w:r>
          <w:rPr>
            <w:color w:val="1155CC"/>
            <w:u w:val="single"/>
          </w:rPr>
          <w:t>通过四阳离子环烷中的串联空间共轭延长三重激发态寿命，实现高效的无金属光氧化还原催化</w:t>
        </w:r>
      </w:hyperlink>
    </w:p>
    <w:p>
      <w:pPr>
        <w:spacing w:before="0" w:after="80"/>
      </w:pPr>
      <w:r>
        <w:rPr>
          <w:i/>
          <w:sz w:val="20"/>
        </w:rPr>
        <w:t>EN: Prolonging the Triplet Excited‐State Lifetime via Tandem Through‐Space Conjugation in Tetracationic Cyclophanes for Efficient Metal‐Free Photoredox Catalysis</w:t>
      </w:r>
    </w:p>
    <w:p>
      <w:pPr>
        <w:spacing w:before="0" w:after="120"/>
      </w:pPr>
      <w:r>
        <w:rPr>
          <w:b/>
        </w:rPr>
        <w:t xml:space="preserve">Source: </w:t>
      </w:r>
      <w:r>
        <w:t>Wiley: Advanced Materials: Table of Contents</w:t>
      </w:r>
      <w:r>
        <w:t xml:space="preserve">    </w:t>
      </w:r>
      <w:r>
        <w:rPr>
          <w:b/>
        </w:rPr>
        <w:t xml:space="preserve">Pub date: </w:t>
      </w:r>
      <w:r>
        <w:t>2026-08-01 10:15:22+00:00</w:t>
      </w:r>
      <w:r>
        <w:t xml:space="preserve">    </w:t>
      </w:r>
      <w:r>
        <w:rPr>
          <w:b/>
        </w:rPr>
        <w:t xml:space="preserve">DOI: </w:t>
      </w:r>
      <w:hyperlink r:id="rId800">
        <w:r>
          <w:rPr>
            <w:color w:val="1155CC"/>
            <w:u w:val="single"/>
          </w:rPr>
          <w:t>10.1002/adma.74393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延长三重激发态寿命对于开发高效的光催化系统至关重要。在此，一系列基于紫罗碱的环芳衍生物（</w:t>
      </w:r>
      <w:r>
        <w:rPr>
          <w:vertAlign w:val="subscript"/>
        </w:rPr>
        <w:t>2</w:t>
      </w:r>
      <w:r>
        <w:t>,</w:t>
      </w:r>
      <w:r>
        <w:rPr>
          <w:vertAlign w:val="subscript"/>
        </w:rPr>
        <w:t>6</w:t>
      </w:r>
      <w:r>
        <w:t>, 和</w:t>
      </w:r>
      <w:r>
        <w:rPr>
          <w:vertAlign w:val="subscript"/>
        </w:rPr>
        <w:t>8</w:t>
      </w:r>
      <w:r>
        <w:t>）以 TSC 为特色，通过 TSC 盒进行设计和合成</w:t>
      </w:r>
      <w:r>
        <w:rPr>
          <w:vertAlign w:val="subscript"/>
        </w:rPr>
        <w:t>6</w:t>
      </w:r>
      <w:r>
        <w:t>和</w:t>
      </w:r>
      <w:r>
        <w:rPr>
          <w:vertAlign w:val="subscript"/>
        </w:rPr>
        <w:t>8</w:t>
      </w:r>
      <w:r>
        <w:t>结合了环芳结构和 TSC 单元的独特组合。与相比</w:t>
      </w:r>
      <w:r>
        <w:rPr>
          <w:vertAlign w:val="subscript"/>
        </w:rPr>
        <w:t>2</w:t>
      </w:r>
      <w:r>
        <w:t>和</w:t>
      </w:r>
      <w:r>
        <w:rPr>
          <w:vertAlign w:val="subscript"/>
        </w:rPr>
        <w:t>6</w:t>
      </w:r>
      <w:r>
        <w:t>，仅拥有一个 TSC 单元，TSC-box</w:t>
      </w:r>
      <w:r>
        <w:rPr>
          <w:vertAlign w:val="subscript"/>
        </w:rPr>
        <w:t>8</w:t>
      </w:r>
      <w:r>
        <w:t>串联 TSC 结构表现出增强的自旋轨道耦合和更窄的单重态-三重态能隙。这些属性赋予了 TSC-box</w:t>
      </w:r>
      <w:r>
        <w:rPr>
          <w:vertAlign w:val="subscript"/>
        </w:rPr>
        <w:t>8</w:t>
      </w:r>
      <w:r>
        <w:t>具有良好的光电特性，包括光致发光和明显的一步四电子氧化还原行为。纳秒瞬态吸收光谱揭示了三重激发态的有效形成，延长了三重激发态寿命，从而能够有效生成O</w:t>
      </w:r>
      <w:r>
        <w:rPr>
          <w:vertAlign w:val="subscript"/>
        </w:rPr>
        <w:t>2</w:t>
      </w:r>
      <w:r>
        <w:t>•−</w:t>
      </w:r>
      <w:r>
        <w:t>和•OH。作为光催化剂，TSC-box</w:t>
      </w:r>
      <w:r>
        <w:rPr>
          <w:vertAlign w:val="subscript"/>
        </w:rPr>
        <w:t>8</w:t>
      </w:r>
      <w:r>
        <w:t>有效介导无金属光氧化还原催化，以高达 99% 的产率提供苯并咪唑衍生物，并能够在 1 小时内将甲苯选择性氧化为苯甲醛（产率</w:t>
      </w:r>
    </w:p>
    <w:p>
      <w:pPr>
        <w:spacing w:before="0" w:after="200" w:lineRule="auto" w:line="276"/>
      </w:pPr>
      <w:r>
        <w:rPr>
          <w:b/>
        </w:rPr>
        <w:t xml:space="preserve">Abstract (EN): </w:t>
      </w:r>
      <w:r>
        <w:t>Prolonging the triplet excited‐state lifetime is essential for developing efficient photocatalytic systems. Herein, a series of viologen‐based cyclophane derivatives (</w:t>
      </w:r>
      <w:r>
        <w:rPr>
          <w:vertAlign w:val="subscript"/>
        </w:rPr>
        <w:t>2</w:t>
      </w:r>
      <w:r>
        <w:t>,</w:t>
      </w:r>
      <w:r>
        <w:rPr>
          <w:vertAlign w:val="subscript"/>
        </w:rPr>
        <w:t>6</w:t>
      </w:r>
      <w:r>
        <w:t>, and</w:t>
      </w:r>
      <w:r>
        <w:rPr>
          <w:vertAlign w:val="subscript"/>
        </w:rPr>
        <w:t>8</w:t>
      </w:r>
      <w:r>
        <w:t>) featuring TSC were designed and synthesized, with TSC‐boxes</w:t>
      </w:r>
      <w:r>
        <w:rPr>
          <w:vertAlign w:val="subscript"/>
        </w:rPr>
        <w:t>6</w:t>
      </w:r>
      <w:r>
        <w:t>and</w:t>
      </w:r>
      <w:r>
        <w:rPr>
          <w:vertAlign w:val="subscript"/>
        </w:rPr>
        <w:t>8</w:t>
      </w:r>
      <w:r>
        <w:t>incorporating a unique combination of cyclophane structures and TSC units. Compared with</w:t>
      </w:r>
      <w:r>
        <w:rPr>
          <w:vertAlign w:val="subscript"/>
        </w:rPr>
        <w:t>2</w:t>
      </w:r>
      <w:r>
        <w:t>and</w:t>
      </w:r>
      <w:r>
        <w:rPr>
          <w:vertAlign w:val="subscript"/>
        </w:rPr>
        <w:t>6</w:t>
      </w:r>
      <w:r>
        <w:t>, which possess only a single TSC unit, TSC‐box</w:t>
      </w:r>
      <w:r>
        <w:rPr>
          <w:vertAlign w:val="subscript"/>
        </w:rPr>
        <w:t>8</w:t>
      </w:r>
      <w:r>
        <w:t>with a tandem TSC structure exhibits enhanced spin‐orbit coupling and a narrower singlet‐triplet energy gap. These attributes endow TSC‐box</w:t>
      </w:r>
      <w:r>
        <w:rPr>
          <w:vertAlign w:val="subscript"/>
        </w:rPr>
        <w:t>8</w:t>
      </w:r>
      <w:r>
        <w:t>with favorable photoelectric properties, including photoluminescence and an apparent one‐step four‐electron redox behavior. Nanosecond transient absorption spectroscopy revealed efficient formation of the triplet excited state, prolonging the triplet excited‐state lifetime, thereby enabling effective generation of O</w:t>
      </w:r>
      <w:r>
        <w:rPr>
          <w:vertAlign w:val="subscript"/>
        </w:rPr>
        <w:t>2</w:t>
      </w:r>
      <w:r>
        <w:t>•−</w:t>
      </w:r>
      <w:r>
        <w:t>and •OH. As a photocatalyst, TSC‐box</w:t>
      </w:r>
      <w:r>
        <w:rPr>
          <w:vertAlign w:val="subscript"/>
        </w:rPr>
        <w:t>8</w:t>
      </w:r>
      <w:r>
        <w:t>efficiently mediates metal‐free photoredox catalysis, affording benzimidazole derivatives in up to 99% yield and enabling the selective oxidation of toluene to benzaldehyde within 1 h (yield: 90%, conversion: 96%) and to benzoic acid within 5 h (yield: 97%, conversion: 98%). This work provides a strategic approach to designing long‐lived triplet excited‐state systems for metal‐free photocatalysis.</w:t>
      </w:r>
    </w:p>
    <w:p>
      <w:pPr>
        <w:spacing w:before="120" w:after="120"/>
      </w:pPr>
      <w:r>
        <w:rPr>
          <w:sz w:val="18"/>
        </w:rPr>
        <w:t>——————————————————————————————————————————————————————————————————————</w:t>
      </w:r>
    </w:p>
    <w:p>
      <w:pPr>
        <w:spacing w:before="160" w:after="40" w:line="240" w:lineRule="auto"/>
      </w:pPr>
      <w:r>
        <w:rPr>
          <w:b/>
        </w:rPr>
        <w:t xml:space="preserve">[135] </w:t>
      </w:r>
      <w:hyperlink r:id="rId801">
        <w:r>
          <w:rPr>
            <w:color w:val="1155CC"/>
            <w:u w:val="single"/>
          </w:rPr>
          <w:t>用于便携式尿液分析的 DNA Origami ROS 传感器的缺陷工程</w:t>
        </w:r>
      </w:hyperlink>
    </w:p>
    <w:p>
      <w:pPr>
        <w:spacing w:before="0" w:after="80"/>
      </w:pPr>
      <w:r>
        <w:rPr>
          <w:i/>
          <w:sz w:val="20"/>
        </w:rPr>
        <w:t>EN: Defect Engineering of DNA Origami ROS Sensors for Portable Urinalysis</w:t>
      </w:r>
    </w:p>
    <w:p>
      <w:pPr>
        <w:spacing w:before="0" w:after="120"/>
      </w:pPr>
      <w:r>
        <w:rPr>
          <w:b/>
        </w:rPr>
        <w:t xml:space="preserve">Source: </w:t>
      </w:r>
      <w:r>
        <w:t>Wiley: Advanced Materials: Table of Contents</w:t>
      </w:r>
      <w:r>
        <w:t xml:space="preserve">    </w:t>
      </w:r>
      <w:r>
        <w:rPr>
          <w:b/>
        </w:rPr>
        <w:t xml:space="preserve">Pub date: </w:t>
      </w:r>
      <w:r>
        <w:t>2026-08-01 10:17:35+00:00</w:t>
      </w:r>
      <w:r>
        <w:t xml:space="preserve">    </w:t>
      </w:r>
      <w:r>
        <w:rPr>
          <w:b/>
        </w:rPr>
        <w:t xml:space="preserve">DOI: </w:t>
      </w:r>
      <w:hyperlink r:id="rId802">
        <w:r>
          <w:rPr>
            <w:color w:val="1155CC"/>
            <w:u w:val="single"/>
          </w:rPr>
          <w:t>10.1002/adma.74432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将关键信号分子的原位动态变化转化为可操作的临床读数对于无创诊断来说仍然是一个巨大的挑战。在这里，我们专注于活性氧（ROS）作为关键信号传导介质，开发了缺陷编程的 DNA 折纸 ROS 传感器（DOS），用于局部氧化应激的便携式尿液分析。使用三角形 DNA 折纸 (DO) 纳米结构作为二维合成软晶体，我们对相邻主链之间的不连续缺陷数量进行了编程，并建立了缺陷数量与 ROS 触发的降解动力学之间的正相关性。为了将这种可编程退化转化为诊断功能，我们通过将目标和信号模块正交组装到 DO 上来设计 DOS。在急性肝损伤 (ALI) 的小鼠模型中，DOS 选择性地在肝脏中积累，并经历 ROS 触发的碎片，形成肾脏可清除的碎片，将肝脏 ROS 水平转化为可量化的尿液信号。值得注意的是，这种转化效率与 DOS 中的缺陷数量呈正相关，使得便携式尿液分析能够比传统丙氨酸转氨酶 (ALT) 测试提前至少 4 小时检测到 ALI 发作，曲线下最大面积为 0.94。这种缺陷工程策略为 ROS 相关疾病的早期、无创诊断建立了一个通用平台。</w:t>
      </w:r>
    </w:p>
    <w:p>
      <w:pPr>
        <w:spacing w:before="0" w:after="200" w:lineRule="auto" w:line="276"/>
      </w:pPr>
      <w:r>
        <w:rPr>
          <w:b/>
        </w:rPr>
        <w:t xml:space="preserve">Abstract (EN): </w:t>
      </w:r>
      <w:r>
        <w:t>Translating in situ dynamic changes of key signaling molecules into actionable clinical readouts remains a formidable challenge for noninvasive diagnostics. Here, focusing on reactive oxygen species (ROS) as pivotal signaling mediators, we developed defect‐programmed DNA origami ROS sensors (DOSs) for portable urinalysis of localized oxidative stress. Using triangular DNA origami (DO) nanostructures as two‐dimensional synthetic soft crystals, we programmed the number of discontinuity defects between adjacent staple strands and established a positive correlation between defect number and ROS‐triggered degradation kinetics. To transform this programmable degradation into a diagnostic function, we then engineered DOSs via orthogonal assembly of targeting and signaling modules onto DO. In a murine model of acute liver injury (ALI), DOSs selectively accumulated in the liver and underwent ROS‐triggered fragmentation into renal‐clearable debris, converting hepatic ROS levels into quantifiable urinary signals. Notably, this transformation efficiency depended positively on defect number in DOSs, enabling portable urinalysis that detected ALI onset at least 4 h earlier than conventional alanine aminotransferase (ALT) testing, with a maximum area under the curve of 0.94. This defect‐engineering strategy establishes a generalizable platform for early, noninvasive diagnosis of ROS‐related diseases.</w:t>
      </w:r>
    </w:p>
    <w:p>
      <w:pPr>
        <w:spacing w:before="120" w:after="120"/>
      </w:pPr>
      <w:r>
        <w:rPr>
          <w:sz w:val="18"/>
        </w:rPr>
        <w:t>——————————————————————————————————————————————————————————————————————</w:t>
      </w:r>
    </w:p>
    <w:p>
      <w:pPr>
        <w:spacing w:before="160" w:after="40" w:line="240" w:lineRule="auto"/>
      </w:pPr>
      <w:r>
        <w:rPr>
          <w:b/>
        </w:rPr>
        <w:t xml:space="preserve">[136] </w:t>
      </w:r>
      <w:hyperlink r:id="rId803">
        <w:r>
          <w:rPr>
            <w:color w:val="1155CC"/>
            <w:u w:val="single"/>
          </w:rPr>
          <w:t>通过随机场和相场演化进行物理驱动的多孔碳 3D 结构预测和输运动力学</w:t>
        </w:r>
      </w:hyperlink>
    </w:p>
    <w:p>
      <w:pPr>
        <w:spacing w:before="0" w:after="80"/>
      </w:pPr>
      <w:r>
        <w:rPr>
          <w:i/>
          <w:sz w:val="20"/>
        </w:rPr>
        <w:t>EN: Physics‐Driven 3D Structural Prediction and Transport Kinetics of Porous Carbons via Random Field and Phase‐Field Evolution</w:t>
      </w:r>
    </w:p>
    <w:p>
      <w:pPr>
        <w:spacing w:before="0" w:after="120"/>
      </w:pPr>
      <w:r>
        <w:rPr>
          <w:b/>
        </w:rPr>
        <w:t xml:space="preserve">Source: </w:t>
      </w:r>
      <w:r>
        <w:t>Wiley: Advanced Materials: Table of Contents</w:t>
      </w:r>
      <w:r>
        <w:t xml:space="preserve">    </w:t>
      </w:r>
      <w:r>
        <w:rPr>
          <w:b/>
        </w:rPr>
        <w:t xml:space="preserve">Pub date: </w:t>
      </w:r>
      <w:r>
        <w:t>2026-08-01 11:01:33+00:00</w:t>
      </w:r>
      <w:r>
        <w:t xml:space="preserve">    </w:t>
      </w:r>
      <w:r>
        <w:rPr>
          <w:b/>
        </w:rPr>
        <w:t xml:space="preserve">DOI: </w:t>
      </w:r>
      <w:hyperlink r:id="rId804">
        <w:r>
          <w:rPr>
            <w:color w:val="1155CC"/>
            <w:u w:val="single"/>
          </w:rPr>
          <w:t>10.1002/adma.74448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分级多孔碳的复杂孔隙拓扑结构限制了能量传输，而传统研究依赖于均质标量描述，将孔隙演化视为黑匣子。为了克服 3D 表征限制，本研究建立了一个集成的研发框架，将双向性能预测与物理驱动的 3D 结构预测相结合。高精度双向建图模型（</w:t>
      </w:r>
      <w:r>
        <w:t xml:space="preserve"> </w:t>
      </w:r>
      <w:r>
        <w:t>右</w:t>
      </w:r>
      <w:r>
        <w:rPr>
          <w:vertAlign w:val="subscript"/>
        </w:rPr>
        <w:t>2</w:t>
      </w:r>
      <w:r>
        <w:t>= 0.8595）是使用 CatBoost 和差分进化 (DE) 构建的，以实现面向目标的逆优化。在结构维度上，我们开发了一种结合高斯随机场（GRF）和卡恩-希利亚德（C─H）相场动力学的协同算法，通过模拟界面能量驱动的孔隙演化来动态预测真实的3D拓扑。研究结果表明，总孔隙度为 0.46 时即可实现整体连通性，微孔、中孔和大孔的具体临界阈值分别为 0.15、0.25 和 0.35。通过整合粒子跟踪，该研究确定了占总通量 80% 的传输热点，并校准了非达西动力学标度定律（指数</w:t>
      </w:r>
      <w:r>
        <w:t xml:space="preserve"> </w:t>
      </w:r>
      <w:r>
        <w:t>n</w:t>
      </w:r>
      <w:r>
        <w:t xml:space="preserve"> </w:t>
      </w:r>
      <w:r>
        <w:t>= 1.6357），强调了介孔在缓解动力学瓶颈方面的作用。实验验证证实逆优化条件准确满足性能目标（误差3.2%–7.4%），而3D结构预测模型实现了实验的高保真恢复</w:t>
      </w:r>
    </w:p>
    <w:p>
      <w:pPr>
        <w:spacing w:before="0" w:after="200" w:lineRule="auto" w:line="276"/>
      </w:pPr>
      <w:r>
        <w:rPr>
          <w:b/>
        </w:rPr>
        <w:t xml:space="preserve">Abstract (EN): </w:t>
      </w:r>
      <w:r>
        <w:t>The complex pore topology of hierarchical porous carbons constrains energy transport, yet conventional research relies on homogenized scalar descriptions, treating pore evolution as a black box. To overcome 3D characterization limits, this study establishes an integrated R&amp;amp;D framework coupling bidirectional performance prediction with physics‐driven 3D structural prediction. A high‐precision bidirectional mapping model (</w:t>
      </w:r>
      <w:r>
        <w:t xml:space="preserve"> </w:t>
      </w:r>
      <w:r>
        <w:t>R</w:t>
      </w:r>
      <w:r>
        <w:rPr>
          <w:vertAlign w:val="subscript"/>
        </w:rPr>
        <w:t>2</w:t>
      </w:r>
      <w:r>
        <w:t>= 0.8595) was constructed using CatBoost and differential evolution (DE) to enable target‐oriented inverse optimization. In the structural dimension, we developed a synergistic algorithm combining Gaussian random fields (GRF) and Cahn–Hilliard (C─H) phase‐field dynamics to dynamically predict authentic 3D topologies by simulating interfacial energy‐driven pore evolution. Findings reveal that global connectivity is achieved at a total porosity of 0.46, with specific critical thresholds of 0.15, 0.25, and 0.35 for micro‐, meso‐, and macropores, respectively. By integrating particle tracking, the study identifies transport hotspots contributing 80% of the total flux and calibrates a non‐Darcy kinetic scaling law (exponent</w:t>
      </w:r>
      <w:r>
        <w:t xml:space="preserve"> </w:t>
      </w:r>
      <w:r>
        <w:t>n</w:t>
      </w:r>
      <w:r>
        <w:t xml:space="preserve"> </w:t>
      </w:r>
      <w:r>
        <w:t>= 1.6357), highlighting mesopores' role in alleviating kinetic bottlenecks. Experimental validation confirms that the inverse‐optimized conditions accurately meet performance targets (error 3.2%–7.4%), while the 3D structural prediction model achieves high‐fidelity restoration of experimental morphologies. This work provides a robust physics‐driven paradigm for transitioning from empirical trial‐and‐error to intelligent, target‐oriented 3D structural prediction and design.</w:t>
      </w:r>
    </w:p>
    <w:p>
      <w:pPr>
        <w:spacing w:before="120" w:after="120"/>
      </w:pPr>
      <w:r>
        <w:rPr>
          <w:sz w:val="18"/>
        </w:rPr>
        <w:t>——————————————————————————————————————————————————————————————————————</w:t>
      </w:r>
    </w:p>
    <w:p>
      <w:pPr>
        <w:spacing w:before="160" w:after="40" w:line="240" w:lineRule="auto"/>
      </w:pPr>
      <w:r>
        <w:rPr>
          <w:b/>
        </w:rPr>
        <w:t xml:space="preserve">[137] </w:t>
      </w:r>
      <w:hyperlink r:id="rId805">
        <w:r>
          <w:rPr>
            <w:color w:val="1155CC"/>
            <w:u w:val="single"/>
          </w:rPr>
          <w:t>镜面诱导场压缩驱动 WS2/h-BN/Au 异质结构中的可调谐强激子-等离子体激元</w:t>
        </w:r>
      </w:hyperlink>
    </w:p>
    <w:p>
      <w:pPr>
        <w:spacing w:before="0" w:after="80"/>
      </w:pPr>
      <w:r>
        <w:rPr>
          <w:i/>
          <w:sz w:val="20"/>
        </w:rPr>
        <w:t>EN: Mirror‑Induced Field Compression Drives Tunable Strong Exciton–Plasmon Polaritons in WS2/h‐BN/Au Heterostructures</w:t>
      </w:r>
    </w:p>
    <w:p>
      <w:pPr>
        <w:spacing w:before="0" w:after="120"/>
      </w:pPr>
      <w:r>
        <w:rPr>
          <w:b/>
        </w:rPr>
        <w:t xml:space="preserve">Source: </w:t>
      </w:r>
      <w:r>
        <w:t>Wiley: Advanced Materials: Table of Contents</w:t>
      </w:r>
      <w:r>
        <w:t xml:space="preserve">    </w:t>
      </w:r>
      <w:r>
        <w:rPr>
          <w:b/>
        </w:rPr>
        <w:t xml:space="preserve">Pub date: </w:t>
      </w:r>
      <w:r>
        <w:t>2026-08-01 11:04:46+00:00</w:t>
      </w:r>
      <w:r>
        <w:t xml:space="preserve">    </w:t>
      </w:r>
      <w:r>
        <w:rPr>
          <w:b/>
        </w:rPr>
        <w:t xml:space="preserve">DOI: </w:t>
      </w:r>
      <w:hyperlink r:id="rId806">
        <w:r>
          <w:rPr>
            <w:color w:val="1155CC"/>
            <w:u w:val="single"/>
          </w:rPr>
          <w:t>10.1002/adma.74437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深亚波长限制和可见频率下的强耦合是可扩展的纳米光子和量子技术的核心。虽然过渡金属二硫属化物是这种限制的有希望的候选者，但实现可调谐的强耦合通常依赖于图案化的等离子体纳米结构或激子材料的化学修饰。此外，在金属耦合系统中，金属镜引起的电磁限制的独特作用常常在实验上被激子-等离子体能量杂化所掩盖。在这里，我们介绍了一种 vdW 集成的、化学非侵入性 WS</w:t>
      </w:r>
      <w:r>
        <w:rPr>
          <w:vertAlign w:val="subscript"/>
        </w:rPr>
        <w:t>2</w:t>
      </w:r>
      <w:r>
        <w:t>/h-BN/Au 异质结构，其中 h-BN 间隔物形成可控纳米间隙，可调节图像电荷限制，同时保留激子材料。散射型近场显微镜直接映射传播的干涉条纹，并揭示了在 633 nm 激发下，当间隔物减小到 5 nm 时，TM 极化子波长塌缩至~172 nm（</w:t>
      </w:r>
      <w:r>
        <w:t xml:space="preserve"> </w:t>
      </w:r>
      <w:r>
        <w:t>λ</w:t>
      </w:r>
      <w:r>
        <w:rPr>
          <w:vertAlign w:val="subscript"/>
        </w:rPr>
        <w:t>0</w:t>
      </w:r>
      <w:r>
        <w:t>/</w:t>
      </w:r>
      <w:r>
        <w:t>λ</w:t>
      </w:r>
      <w:r>
        <w:t xml:space="preserve"> </w:t>
      </w:r>
      <w:r>
        <w:t>p</w:t>
      </w:r>
      <w:r>
        <w:t xml:space="preserve"> </w:t>
      </w:r>
      <w:r>
        <w:t>约 3.7，对应于约 71% 的波长减少），这是室温 TMDC 极化子报道的最高程度的光学限制之一。全波模拟和传输矩阵分析，在从理想导体到真实金的边界条件工程的帮助下，将纯几何镜像模式与等离子体辅助杂交分开。该平台建立了确定性的ro</w:t>
      </w:r>
    </w:p>
    <w:p>
      <w:pPr>
        <w:spacing w:before="0" w:after="200" w:lineRule="auto" w:line="276"/>
      </w:pPr>
      <w:r>
        <w:rPr>
          <w:b/>
        </w:rPr>
        <w:t xml:space="preserve">Abstract (EN): </w:t>
      </w:r>
      <w:r>
        <w:t>Deep‑subwavelength confinement and strong coupling at visible frequencies are central to scalable nanophotonic and quantum technologies. While transition metal dichalcogenides are promising candidates for such confinement, achieving tunable strong coupling often relies on patterned plasmonic nanostructures or chemical modification of the excitonic material. Furthermore, in metal‐coupled systems, the distinct role of metallic mirror‐induced electromagnetic confinement is often experimentally obscured by exciton‐plasmon energy hybridization. Here we introduce a vdW‐integrated, chemically non‐invasive WS</w:t>
      </w:r>
      <w:r>
        <w:rPr>
          <w:vertAlign w:val="subscript"/>
        </w:rPr>
        <w:t>2</w:t>
      </w:r>
      <w:r>
        <w:t>/h‐BN/Au heterostructure in which the h‐BN spacer forms a controllable nanogap that tunes image‐charge confinement while preserving the excitonic material. Scattering‑type near‑field microscopy directly maps propagating interference fringes and reveals a collapse of the TM‑polariton wavelength to ∼172 nm under 633‑nm excitation as the spacer is reduced to 5 nm (</w:t>
      </w:r>
      <w:r>
        <w:t xml:space="preserve"> </w:t>
      </w:r>
      <w:r>
        <w:t>λ</w:t>
      </w:r>
      <w:r>
        <w:rPr>
          <w:vertAlign w:val="subscript"/>
        </w:rPr>
        <w:t>0</w:t>
      </w:r>
      <w:r>
        <w:t>/</w:t>
      </w:r>
      <w:r>
        <w:t>λ</w:t>
      </w:r>
      <w:r>
        <w:t xml:space="preserve"> </w:t>
      </w:r>
      <w:r>
        <w:t>p</w:t>
      </w:r>
      <w:r>
        <w:t xml:space="preserve"> </w:t>
      </w:r>
      <w:r>
        <w:t>≈3.7, corresponding to ∼71% wavelength reduction), which is one of the highest degrees of optical confinement reported for room‐temperature TMDC polaritons. Full‑wave simulations and transfer‑matrix analysis, aided by boundary‑condition engineering from an ideal conductor to real Au, separate a purely geometric mirror mode from plasmon‑assisted hybridization. This platform establishes a deterministic route to deeply subwavelength field control, offering a scalable architecture for nonlinear optical enhancement and integrated quantum devices.</w:t>
      </w:r>
    </w:p>
    <w:p>
      <w:pPr>
        <w:spacing w:before="120" w:after="120"/>
      </w:pPr>
      <w:r>
        <w:rPr>
          <w:sz w:val="18"/>
        </w:rPr>
        <w:t>——————————————————————————————————————————————————————————————————————</w:t>
      </w:r>
    </w:p>
    <w:p>
      <w:pPr>
        <w:spacing w:before="160" w:after="40" w:line="240" w:lineRule="auto"/>
      </w:pPr>
      <w:r>
        <w:rPr>
          <w:b/>
        </w:rPr>
        <w:t xml:space="preserve">[138] </w:t>
      </w:r>
      <w:hyperlink r:id="rId807">
        <w:r>
          <w:rPr>
            <w:color w:val="1155CC"/>
            <w:u w:val="single"/>
          </w:rPr>
          <w:t>具有可逆厚度变形的软蒙皮：材料、机制和应用</w:t>
        </w:r>
      </w:hyperlink>
    </w:p>
    <w:p>
      <w:pPr>
        <w:spacing w:before="0" w:after="80"/>
      </w:pPr>
      <w:r>
        <w:rPr>
          <w:i/>
          <w:sz w:val="20"/>
        </w:rPr>
        <w:t>EN: Soft Skins With Reversible Thickness Morphing: Materials, Mechanisms, and Applications</w:t>
      </w:r>
    </w:p>
    <w:p>
      <w:pPr>
        <w:spacing w:before="0" w:after="120"/>
      </w:pPr>
      <w:r>
        <w:rPr>
          <w:b/>
        </w:rPr>
        <w:t xml:space="preserve">Source: </w:t>
      </w:r>
      <w:r>
        <w:t>Wiley: Advanced Materials: Table of Contents</w:t>
      </w:r>
      <w:r>
        <w:t xml:space="preserve">    </w:t>
      </w:r>
      <w:r>
        <w:rPr>
          <w:b/>
        </w:rPr>
        <w:t xml:space="preserve">Pub date: </w:t>
      </w:r>
      <w:r>
        <w:t>2026-08-01 16:31:14+00:00</w:t>
      </w:r>
      <w:r>
        <w:t xml:space="preserve">    </w:t>
      </w:r>
      <w:r>
        <w:rPr>
          <w:b/>
        </w:rPr>
        <w:t xml:space="preserve">DOI: </w:t>
      </w:r>
      <w:hyperlink r:id="rId808">
        <w:r>
          <w:rPr>
            <w:color w:val="1155CC"/>
            <w:u w:val="single"/>
          </w:rPr>
          <w:t>10.1002/adma.74369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可逆厚度变形的软蒙皮代表了一类独特且尚未充分探索的自适应材料界面。与通过弯曲、伸长或扭转实现运动的传统软执行器不同，这些系统能够实现平面外变形，产生局部突出、缩回和可编程接触力学，而无需刚性支撑结构。这篇综述将厚度调制重新定义为不仅是一种驱动结果，而且是一种材料架构策略，它结合了能量转换、几何形状和顺应性，以实现新的触觉交互模式、形态适应以及在受限或非结构化环境中的操作。我们提出了厚度变形软蒙皮的综合综合，涵盖驱动刺激、材料平台、结构架构、制造策略、建模框架和系统级集成。特别强调分层弹性体复合材料、折纸和剪纸启发的设计、电动液压和多模式混合系统，以及扩展功能设计空间的新兴数据驱动控制方法。尽管取得了快速进展，但关键挑战仍然存在于循环负载下的耐久性、能源效率和自主性、可扩展制造以及传感、驱动和计算的集成。解决这些挑战将实现自供电、容错和计算智能的软蒙皮，能够实现感知和安全自主操作，将厚度变形定位为基本设计轴</w:t>
      </w:r>
    </w:p>
    <w:p>
      <w:pPr>
        <w:spacing w:before="0" w:after="200" w:lineRule="auto" w:line="276"/>
      </w:pPr>
      <w:r>
        <w:rPr>
          <w:b/>
        </w:rPr>
        <w:t xml:space="preserve">Abstract (EN): </w:t>
      </w:r>
      <w:r>
        <w:t>Soft skins with reversible thickness morphing represent a distinct and underexplored class of adaptive material interfaces. Unlike conventional soft actuators that achieve motion through bending, elongation, or twisting, these systems enable out‐of‐plane deformation, producing localized protrusion, retraction, and programmable contact mechanics without rigid support structures. This review reframes thickness modulation not merely as an actuation outcome, but as a material–architecture strategy that couples energy transduction, geometry, and compliance to enable new modes of haptic interaction, morphological adaptation, and operation in confined or unstructured environments. We present a comprehensive synthesis of thickness‐morphing soft skins, covering actuation stimuli, material platforms, structural architectures, fabrication strategies, modeling frameworks, and system‐level integration. Particular emphasis is placed on hierarchical elastomer composites, origami‐ and kirigami‐inspired designs, electrohydraulic and multimodal hybrid systems, and emerging data‐driven control approaches that expand the functional design space. Despite rapid progress, key challenges remain in durability under cyclic loading, energy efficiency and autonomy, scalable manufacturing, and integration of sensing, actuation, and computation. Addressing these challenges will enable self‐powered, fault‐tolerant, and computationally intelligent soft skins capable of embodied perception and safe autonomous operation, positioning thickness morphing as a foundational design axis for next‐generation haptics and soft robotic systems.</w:t>
      </w:r>
    </w:p>
    <w:p>
      <w:pPr>
        <w:spacing w:before="120" w:after="120"/>
      </w:pPr>
      <w:r>
        <w:rPr>
          <w:sz w:val="18"/>
        </w:rPr>
        <w:t>——————————————————————————————————————————————————————————————————————</w:t>
      </w:r>
    </w:p>
    <w:p>
      <w:pPr>
        <w:spacing w:before="160" w:after="40" w:line="240" w:lineRule="auto"/>
      </w:pPr>
      <w:r>
        <w:rPr>
          <w:b/>
        </w:rPr>
        <w:t xml:space="preserve">[139] </w:t>
      </w:r>
      <w:hyperlink r:id="rId809">
        <w:r>
          <w:rPr>
            <w:color w:val="1155CC"/>
            <w:u w:val="single"/>
          </w:rPr>
          <w:t>用于 MoS2 晶体管空间选择性电阻工程的势垒辅助等离子体掺杂</w:t>
        </w:r>
      </w:hyperlink>
    </w:p>
    <w:p>
      <w:pPr>
        <w:spacing w:before="0" w:after="80"/>
      </w:pPr>
      <w:r>
        <w:rPr>
          <w:i/>
          <w:sz w:val="20"/>
        </w:rPr>
        <w:t>EN: Barrier‐Assisted Plasma Doping for Spatially Selective Resistance Engineering in MoS2 Transistors</w:t>
      </w:r>
    </w:p>
    <w:p>
      <w:pPr>
        <w:spacing w:before="0" w:after="120"/>
      </w:pPr>
      <w:r>
        <w:rPr>
          <w:b/>
        </w:rPr>
        <w:t xml:space="preserve">Source: </w:t>
      </w:r>
      <w:r>
        <w:t>Wiley: Advanced Materials: Table of Contents</w:t>
      </w:r>
      <w:r>
        <w:t xml:space="preserve">    </w:t>
      </w:r>
      <w:r>
        <w:rPr>
          <w:b/>
        </w:rPr>
        <w:t xml:space="preserve">Pub date: </w:t>
      </w:r>
      <w:r>
        <w:t>2026-08-01 16:32:40+00:00</w:t>
      </w:r>
      <w:r>
        <w:t xml:space="preserve">    </w:t>
      </w:r>
      <w:r>
        <w:rPr>
          <w:b/>
        </w:rPr>
        <w:t xml:space="preserve">DOI: </w:t>
      </w:r>
      <w:hyperlink r:id="rId810">
        <w:r>
          <w:rPr>
            <w:color w:val="1155CC"/>
            <w:u w:val="single"/>
          </w:rPr>
          <w:t>10.1002/adma.74389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原子薄过渡金属二硫属化物（TMD）是用于低功耗逻辑的有前途的沟道材料。然而，缺乏可扩展和区域选择性掺杂技术会导致局部电阻过大，从而阻碍了 2D 晶体管的技术准备。这里，屏障辅助 NH</w:t>
      </w:r>
      <w:r>
        <w:rPr>
          <w:vertAlign w:val="subscript"/>
        </w:rPr>
        <w:t>3</w:t>
      </w:r>
      <w:r>
        <w:t>等离子体工艺被证明可以实现单层 MoS2 的简并 n 型掺杂</w:t>
      </w:r>
      <w:r>
        <w:rPr>
          <w:vertAlign w:val="subscript"/>
        </w:rPr>
        <w:t>2</w:t>
      </w:r>
      <w:r>
        <w:t>同时保持其结晶度。超薄pV3D3/Al</w:t>
      </w:r>
      <w:r>
        <w:rPr>
          <w:vertAlign w:val="subscript"/>
        </w:rPr>
        <w:t>2</w:t>
      </w:r>
      <w:r>
        <w:t>氧</w:t>
      </w:r>
      <w:r>
        <w:rPr>
          <w:vertAlign w:val="subscript"/>
        </w:rPr>
        <w:t>3</w:t>
      </w:r>
      <w:r>
        <w:t>电介质叠层不仅可以阻止等离子体引起的损伤，还可以作为化学过滤器，允许 NH</w:t>
      </w:r>
      <w:r>
        <w:t xml:space="preserve"> </w:t>
      </w:r>
      <w:r>
        <w:t>x</w:t>
      </w:r>
      <w:r>
        <w:t xml:space="preserve"> </w:t>
      </w:r>
      <w:r>
        <w:t>自由基扩散通过。通过该掺杂过程，电子密度达到 4.3 × 10</w:t>
      </w:r>
      <w:r>
        <w:rPr>
          <w:vertAlign w:val="subscript"/>
        </w:rPr>
        <w:t>13</w:t>
      </w:r>
      <w:r>
        <w:t>厘米</w:t>
      </w:r>
      <w:r>
        <w:t xml:space="preserve"> </w:t>
      </w:r>
      <w:r>
        <w:t>−2</w:t>
      </w:r>
      <w:r>
        <w:t xml:space="preserve"> </w:t>
      </w:r>
      <w:r>
        <w:t>实现了，产生1.45 kΩ·μm 的接触电阻。密度泛函计算表明 NH</w:t>
      </w:r>
      <w:r>
        <w:rPr>
          <w:vertAlign w:val="subscript"/>
        </w:rPr>
        <w:t>2</w:t>
      </w:r>
      <w:r>
        <w:t>自由基吸附在原始MoS2上</w:t>
      </w:r>
      <w:r>
        <w:rPr>
          <w:vertAlign w:val="subscript"/>
        </w:rPr>
        <w:t>2</w:t>
      </w:r>
      <w:r>
        <w:t>表面是n型掺杂的主要来源，而NH自由基可以修复S空位缺陷。利用这种方法的空间选择性，迁移率和导通电流增强了 5.8 倍，阈值电压漂移可以忽略不计。延伸区激活进一步抑制串联电阻，使导通电流增加 260 倍（</w:t>
      </w:r>
      <w:r>
        <w:t xml:space="preserve"> </w:t>
      </w:r>
      <w:r>
        <w:t>V</w:t>
      </w:r>
    </w:p>
    <w:p>
      <w:pPr>
        <w:spacing w:before="0" w:after="200" w:lineRule="auto" w:line="276"/>
      </w:pPr>
      <w:r>
        <w:rPr>
          <w:b/>
        </w:rPr>
        <w:t xml:space="preserve">Abstract (EN): </w:t>
      </w:r>
      <w:r>
        <w:t>Atomically thin transition‐metal dichalcogenides (TMDs) are promising channel materials for low‐power logic. However, the absence of scalable and region‐selective doping techniques leads to excessive local resistances that hinder the technological readiness of 2D transistors. Here, a barrier‐assisted NH</w:t>
      </w:r>
      <w:r>
        <w:rPr>
          <w:vertAlign w:val="subscript"/>
        </w:rPr>
        <w:t>3</w:t>
      </w:r>
      <w:r>
        <w:t>plasma process is demonstrated that enables degenerate n‐type doping of monolayer MoS</w:t>
      </w:r>
      <w:r>
        <w:rPr>
          <w:vertAlign w:val="subscript"/>
        </w:rPr>
        <w:t>2</w:t>
      </w:r>
      <w:r>
        <w:t>while preserving its crystallinity. The ultrathin pV3D3/Al</w:t>
      </w:r>
      <w:r>
        <w:rPr>
          <w:vertAlign w:val="subscript"/>
        </w:rPr>
        <w:t>2</w:t>
      </w:r>
      <w:r>
        <w:t>O</w:t>
      </w:r>
      <w:r>
        <w:rPr>
          <w:vertAlign w:val="subscript"/>
        </w:rPr>
        <w:t>3</w:t>
      </w:r>
      <w:r>
        <w:t>dielectric stack not only blocks plasma‐induced damage but also functions as a chemical filter that permits NH</w:t>
      </w:r>
      <w:r>
        <w:t xml:space="preserve"> </w:t>
      </w:r>
      <w:r>
        <w:t>x</w:t>
      </w:r>
      <w:r>
        <w:t xml:space="preserve"> </w:t>
      </w:r>
      <w:r>
        <w:t>radicals to diffuse through. Through this doping process, an electron density of 4.3 × 10</w:t>
      </w:r>
      <w:r>
        <w:rPr>
          <w:vertAlign w:val="subscript"/>
        </w:rPr>
        <w:t>13</w:t>
      </w:r>
      <w:r>
        <w:t>cm</w:t>
      </w:r>
      <w:r>
        <w:t xml:space="preserve"> </w:t>
      </w:r>
      <w:r>
        <w:t>−2</w:t>
      </w:r>
      <w:r>
        <w:t xml:space="preserve"> </w:t>
      </w:r>
      <w:r>
        <w:t>is achieved, yielding a contact resistance of 1.45 kΩ·µm. Density functional calculations show that NH</w:t>
      </w:r>
      <w:r>
        <w:rPr>
          <w:vertAlign w:val="subscript"/>
        </w:rPr>
        <w:t>2</w:t>
      </w:r>
      <w:r>
        <w:t>radicals adsorbed on the pristine MoS</w:t>
      </w:r>
      <w:r>
        <w:rPr>
          <w:vertAlign w:val="subscript"/>
        </w:rPr>
        <w:t>2</w:t>
      </w:r>
      <w:r>
        <w:t>surface are the main source of n‐type doping while NH radicals can heal S‐vacancy defects. Leveraging the spatial selectivity of this approach, mobility and on‐current are enhanced by 5.8‐fold with negligible threshold‐voltage shift. Extension‐region activation further suppresses series resistance, increasing the on‐current by 260‐fold (</w:t>
      </w:r>
      <w:r>
        <w:t xml:space="preserve"> </w:t>
      </w:r>
      <w:r>
        <w:t>V</w:t>
      </w:r>
      <w:r>
        <w:t xml:space="preserve"> </w:t>
      </w:r>
      <w:r>
        <w:t>DS</w:t>
      </w:r>
      <w:r>
        <w:t xml:space="preserve"> </w:t>
      </w:r>
      <w:r>
        <w:t>= 0.05 V) while maintaining enhancement‐mode operation. These findings establish barrier‐assisted NH</w:t>
      </w:r>
      <w:r>
        <w:rPr>
          <w:vertAlign w:val="subscript"/>
        </w:rPr>
        <w:t>3</w:t>
      </w:r>
      <w:r>
        <w:t>plasma doping as a promising approach for enabling high‐performance n‐type 2D transistors and advancing future energy‐efficient 2D CMOS technology.</w:t>
      </w:r>
    </w:p>
    <w:p>
      <w:pPr>
        <w:spacing w:before="120" w:after="120"/>
      </w:pPr>
      <w:r>
        <w:rPr>
          <w:sz w:val="18"/>
        </w:rPr>
        <w:t>——————————————————————————————————————————————————————————————————————</w:t>
      </w:r>
    </w:p>
    <w:p>
      <w:pPr>
        <w:spacing w:before="160" w:after="40" w:line="240" w:lineRule="auto"/>
      </w:pPr>
      <w:r>
        <w:rPr>
          <w:b/>
        </w:rPr>
        <w:t xml:space="preserve">[140] </w:t>
      </w:r>
      <w:hyperlink r:id="rId811">
        <w:r>
          <w:rPr>
            <w:color w:val="1155CC"/>
            <w:u w:val="single"/>
          </w:rPr>
          <w:t>多功能可注射水凝胶作为仿生镜片：光学机械恢复和动态术后微环境调节</w:t>
        </w:r>
      </w:hyperlink>
    </w:p>
    <w:p>
      <w:pPr>
        <w:spacing w:before="0" w:after="80"/>
      </w:pPr>
      <w:r>
        <w:rPr>
          <w:i/>
          <w:sz w:val="20"/>
        </w:rPr>
        <w:t>EN: Multifunctional Injectable Hydrogel as a Biomimic Lens: Optical–Mechanical Restoration and Dynamic Postoperative Microenvironment Regulation</w:t>
      </w:r>
    </w:p>
    <w:p>
      <w:pPr>
        <w:spacing w:before="0" w:after="120"/>
      </w:pPr>
      <w:r>
        <w:rPr>
          <w:b/>
        </w:rPr>
        <w:t xml:space="preserve">Source: </w:t>
      </w:r>
      <w:r>
        <w:t>Wiley: Advanced Materials: Table of Contents</w:t>
      </w:r>
      <w:r>
        <w:t xml:space="preserve">    </w:t>
      </w:r>
      <w:r>
        <w:rPr>
          <w:b/>
        </w:rPr>
        <w:t xml:space="preserve">Pub date: </w:t>
      </w:r>
      <w:r>
        <w:t>2026-08-01 16:34:11+00:00</w:t>
      </w:r>
      <w:r>
        <w:t xml:space="preserve">    </w:t>
      </w:r>
      <w:r>
        <w:rPr>
          <w:b/>
        </w:rPr>
        <w:t xml:space="preserve">DOI: </w:t>
      </w:r>
      <w:hyperlink r:id="rId812">
        <w:r>
          <w:rPr>
            <w:color w:val="1155CC"/>
            <w:u w:val="single"/>
          </w:rPr>
          <w:t>10.1002/adma.74450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白内障超声乳化术后人工晶状体植入术是目前治疗白内障唯一有效的方法。然而，传统的人工晶状体表现出有限的生物适应性和固定或不连续的焦点特性，阻碍了自然晶状体连续调节的恢复，并且常常导致术后视力障碍和并发症。在此，我们报告了一种可注射的多功能水凝胶仿生晶状体，它可以同时重建光学机械特性并动态调节术后晶状体微环境。通过多层动态交联和囊袋内微撕囊辅助的原位凝胶化，水凝胶形成具有连续折射特性的仿生晶状体。同时，其载药能力使得能够掺入多功能成分，以实现术后早期的抗菌、抗炎和抗纤维化作用。此外，炎症消退后，负载的光催化元素诱导残留晶状体上皮细胞有序清除，从而全面恢复囊袋内微环境稳态。在兔子模型中，这种水凝胶晶状体表现出有效的屈光重建和术后并发症的持续抑制，凸显了其作为下一代人工晶状体的潜力。</w:t>
      </w:r>
    </w:p>
    <w:p>
      <w:pPr>
        <w:spacing w:before="0" w:after="200" w:lineRule="auto" w:line="276"/>
      </w:pPr>
      <w:r>
        <w:rPr>
          <w:b/>
        </w:rPr>
        <w:t xml:space="preserve">Abstract (EN): </w:t>
      </w:r>
      <w:r>
        <w:t>Phacoemulsification followed by intraocular lens (IOL) implantation is currently the only effective treatment for cataracts. However, conventional IOLs exhibit limited biological adaptability and fixed or discontinuous focal properties, preventing restoration of the natural lens's continuous accommodation and often causing postoperative visual disturbances and complications. Herein, we report an injectable multifunctional hydrogel‐based biomimic lens that simultaneously reconstructs optical–mechanical properties and dynamically modulates the postoperative lenticular microenvironment. Through multilayered dynamic crosslinking and micro‐capsulorhexis‐assisted in situ gelation within the capsular bag, the hydrogel forms a biomimic lens with continuous refractive characteristics. Meanwhile, its drug‐loading capability enables the incorporation of multifunctional components for early postoperative antibacterial, anti‐inflammatory, and antifibrotic effects. In addition, after inflammation subsides, the loaded photocatalytic elements induce the orderly clearance of residual lens epithelial cells, enabling comprehensive restoration of microenvironmental homeostasis within the capsular bag. In a rabbit model, this hydrogel lens demonstrates effective refractive reconstruction and sustained suppression of postoperative complications, highlighting its potential as a next‐generation intraocular lens.</w:t>
      </w:r>
    </w:p>
    <w:p>
      <w:pPr>
        <w:spacing w:before="120" w:after="120"/>
      </w:pPr>
      <w:r>
        <w:rPr>
          <w:sz w:val="18"/>
        </w:rPr>
        <w:t>——————————————————————————————————————————————————————————————————————</w:t>
      </w:r>
    </w:p>
    <w:p>
      <w:pPr>
        <w:spacing w:before="160" w:after="40" w:line="240" w:lineRule="auto"/>
      </w:pPr>
      <w:r>
        <w:rPr>
          <w:b/>
        </w:rPr>
        <w:t xml:space="preserve">[141] </w:t>
      </w:r>
      <w:hyperlink r:id="rId813">
        <w:r>
          <w:rPr>
            <w:color w:val="1155CC"/>
            <w:u w:val="single"/>
          </w:rPr>
          <w:t>用于胸主动脉瘤和夹层早期检测和治疗干预的靶向串联激活人工尿液生物标志物传感器</w:t>
        </w:r>
      </w:hyperlink>
    </w:p>
    <w:p>
      <w:pPr>
        <w:spacing w:before="0" w:after="80"/>
      </w:pPr>
      <w:r>
        <w:rPr>
          <w:i/>
          <w:sz w:val="20"/>
        </w:rPr>
        <w:t>EN: A Targeted, Tandem‐Activated Artificial Urinary Biomarker Sensor for Early Detection and Therapeutic Intervention of Thoracic Aortic Aneurysm and Dissection</w:t>
      </w:r>
    </w:p>
    <w:p>
      <w:pPr>
        <w:spacing w:before="0" w:after="120"/>
      </w:pPr>
      <w:r>
        <w:rPr>
          <w:b/>
        </w:rPr>
        <w:t xml:space="preserve">Source: </w:t>
      </w:r>
      <w:r>
        <w:t>Wiley: Advanced Materials: Table of Contents</w:t>
      </w:r>
      <w:r>
        <w:t xml:space="preserve">    </w:t>
      </w:r>
      <w:r>
        <w:rPr>
          <w:b/>
        </w:rPr>
        <w:t xml:space="preserve">Pub date: </w:t>
      </w:r>
      <w:r>
        <w:t>2026-08-01 16:35:44+00:00</w:t>
      </w:r>
      <w:r>
        <w:t xml:space="preserve">    </w:t>
      </w:r>
      <w:r>
        <w:rPr>
          <w:b/>
        </w:rPr>
        <w:t xml:space="preserve">DOI: </w:t>
      </w:r>
      <w:hyperlink r:id="rId814">
        <w:r>
          <w:rPr>
            <w:color w:val="1155CC"/>
            <w:u w:val="single"/>
          </w:rPr>
          <w:t>10.1002/adma.74390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胸主动脉瘤和夹层（TAAD）是一种危及生命的心血管疾病；目前的临床影像方法主要检测晚期的结构异常，无法实现早期诊断或动态治疗监测。在这里，我们开发了一种有针对性的串联激活人工尿液生物标志物传感器（TADEI），用于与 TAAD 相关的早期生物标志物的实时光学成像和尿液分析。从患者组织样本中鉴定出生物标志物后，TADEI 被设计为具有与近红外荧光团缀合的三个关键成分：VCAM-1 靶向部分（在发炎的内皮细胞上过度表达）、caspase-1（炎症介质）和 legumain（与血管重塑相关的蛋白酶）的串联响应底物，以及肾脏清除促进部分。 TADEI 专门针对 TAAD 病变，并在全身给药后与这些早期生物标志物发生反应时激活其荧光。同时，TADEI 通过肾清除率排泄到尿液中（约 76%），将 TAAD 生物标志物水平转化为尿液信号进行光学尿液分析。在小鼠模型中，基于 TADEI 的尿液检测检测到 TAAD 的时间比超声成像至少早 12 天，比血浆 D-二聚体检测早 16 天。激活 TADEI 的尿液信号与疾病严重程度引导干预之间的相关性，可有效抑制 TAAD 进展，实现 100% 的生存率，而超声引导治疗的生存率为 73%，未经治疗的生存率为 40%。</w:t>
      </w:r>
    </w:p>
    <w:p>
      <w:pPr>
        <w:spacing w:before="0" w:after="200" w:lineRule="auto" w:line="276"/>
      </w:pPr>
      <w:r>
        <w:rPr>
          <w:b/>
        </w:rPr>
        <w:t xml:space="preserve">Abstract (EN): </w:t>
      </w:r>
      <w:r>
        <w:t>Thoracic aortic aneurysm and dissection (TAAD) is a life‐threatening cardiovascular disorder; current clinical imaging approaches primarily detect structural abnormalities at late stages and fail to enable early diagnosis or dynamic therapeutic monitoring. Here, we develop a targeted, tandem‐activated artificial urinary biomarker sensor (TADEI) for real‐time optical imaging and urinalysis of early biomarkers associated with TAAD. After identifying biomarkers from patient tissue samples, TADEI was designed with three key components conjugated to a near‐infrared fluorophore: a VCAM‐1–targeting moiety (overexpressed on inflamed endothelial cells), tandem‐responsive substrates for caspase‐1 (an inflammation mediator) and legumain (a protease relevant to vascular remodeling), and a renal‐clearance–enabling moiety. TADEI specifically targets TAAD lesions and activates its fluorescence upon reaction with these early biomarkers after systemic administration. Meanwhile, TADEI is excreted into urine via renal clearance (≈76%), converting TAAD biomarker levels into urinary signals for optical urinalysis. In a mouse model, a TADEI‐based urine test detected TAAD at least 12 days earlier than ultrasound imaging and 16 days earlier than plasma D‐dimer assays. The correlation between the urinary signal of activated TADEI and disease severity guided intervention that effectively inhibited TAAD progression, achieving 100% survival compared with 73% for ultrasound‐guided therapy and 40% without treatment.</w:t>
      </w:r>
    </w:p>
    <w:p>
      <w:pPr>
        <w:spacing w:before="120" w:after="120"/>
      </w:pPr>
      <w:r>
        <w:rPr>
          <w:sz w:val="18"/>
        </w:rPr>
        <w:t>——————————————————————————————————————————————————————————————————————</w:t>
      </w:r>
    </w:p>
    <w:p>
      <w:pPr>
        <w:spacing w:before="160" w:after="40" w:line="240" w:lineRule="auto"/>
      </w:pPr>
      <w:r>
        <w:rPr>
          <w:b/>
        </w:rPr>
        <w:t xml:space="preserve">[142] </w:t>
      </w:r>
      <w:hyperlink r:id="rId815">
        <w:r>
          <w:rPr>
            <w:color w:val="1155CC"/>
            <w:u w:val="single"/>
          </w:rPr>
          <w:t>采用机器学习辅助设计的连续电导率梯度全有机气凝胶，实现超宽带、超低反射电磁屏蔽</w:t>
        </w:r>
      </w:hyperlink>
    </w:p>
    <w:p>
      <w:pPr>
        <w:spacing w:before="0" w:after="80"/>
      </w:pPr>
      <w:r>
        <w:rPr>
          <w:i/>
          <w:sz w:val="20"/>
        </w:rPr>
        <w:t>EN: Continuous‐Conductivity‐Gradient All‐Organic Aerogels with Machine‐Learning‐Assisted Design toward Ultrabroadband, Ultralow‐Reflection Electromagnetic Shielding</w:t>
      </w:r>
    </w:p>
    <w:p>
      <w:pPr>
        <w:spacing w:before="0" w:after="120"/>
      </w:pPr>
      <w:r>
        <w:rPr>
          <w:b/>
        </w:rPr>
        <w:t xml:space="preserve">Source: </w:t>
      </w:r>
      <w:r>
        <w:t>Wiley: Advanced Materials: Table of Contents</w:t>
      </w:r>
      <w:r>
        <w:t xml:space="preserve">    </w:t>
      </w:r>
      <w:r>
        <w:rPr>
          <w:b/>
        </w:rPr>
        <w:t xml:space="preserve">Pub date: </w:t>
      </w:r>
      <w:r>
        <w:t>2026-08-01 16:38:08+00:00</w:t>
      </w:r>
      <w:r>
        <w:t xml:space="preserve">    </w:t>
      </w:r>
      <w:r>
        <w:rPr>
          <w:b/>
        </w:rPr>
        <w:t xml:space="preserve">DOI: </w:t>
      </w:r>
      <w:hyperlink r:id="rId816">
        <w:r>
          <w:rPr>
            <w:color w:val="1155CC"/>
            <w:u w:val="single"/>
          </w:rPr>
          <w:t>10.1002/adma.74414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低反射和低传输很少同时实现，因此跨宽频率范围的超低反射电磁干扰（EMI）屏蔽仍然难以实现，特别是在适合大规模制造的轻质气凝胶中。在这里，通过在制备好的机械弹性多孔芳纶纳米纤维支架内进行扩散控制的吡咯原位氧化聚合，开发出一种具有机器学习（ML）辅助优化的连续电导率梯度（CCG）气凝胶，然后采用节能、可扩展的常压干燥策略。由此产生的 CCG 气凝胶将连续的全厚度梯度聚吡咯 (PPy) 与高度多孔的结构相结合，可实现平滑的阻抗过渡和渐进的整体微波衰减，从而实现超宽带、超低反射 EMI 屏蔽。优化后的 CCG 气凝胶可在 10.24–40 GHz 范围内提供 29.76 GHz 的有效吸收主导频率带宽，EMW 反射率低于 0.1，同时在 8.2–40 GHz 超宽带频率范围内保持高于 40 dB 的 EMI 屏蔽效能，超越了现有 EMI 屏蔽材料的屏蔽性能。机理分析表明，连续梯度将有效的前表面阻抗匹配与渐进的内部耗散相结合，从而避免了离散多层固有的阻抗不连续性。总体而言，这种机器学习辅助策略将新颖的电磁和结构设计与稳健、可扩展的全集成相结合。</w:t>
      </w:r>
    </w:p>
    <w:p>
      <w:pPr>
        <w:spacing w:before="0" w:after="200" w:lineRule="auto" w:line="276"/>
      </w:pPr>
      <w:r>
        <w:rPr>
          <w:b/>
        </w:rPr>
        <w:t xml:space="preserve">Abstract (EN): </w:t>
      </w:r>
      <w:r>
        <w:t>Ultralow‐reflection electromagnetic interference (EMI) shielding across broad frequency ranges remains elusive as low reflection and low transmission are rarely achieved simultaneously, particularly in lightweight aerogels amenable to scalable manufacturing. Here, a continuous‐conductivity‐gradient (CCG) aerogel with machine‐learning (ML)‐assisted optimization is developed via diffusion‐controlled in situ oxidative polymerization of pyrrole within an as‐prepared, mechanically resilient porous aramid nanofiber scaffold, followed by an energy‐efficient, scalable ambient‐pressure‐drying strategy. The resulting CCG aerogel integrates a continuous through‐thickness gradient of polypyrrole (PPy) with a highly porous architecture, enabling a smooth impedance transition and progressive bulk microwave attenuation for ultrabroadband, ultralow‐reflection EMI shielding. The optimized CCG aerogel delivers an effective absorption‐dominated frequency bandwidth of 29.76 GHz spanning 10.24–40 GHz, with an EMW reflectivity below 0.1, while maintaining an EMI shielding effectiveness above 40 dB across the ultrabroadband frequency range of 8.2–40 GHz, surpassing the shielding performance of existing EMI shielding materials. Mechanistic analyses reveal that the continuous gradient couples efficient front‐surface impedance matching with progressive internal dissipation, thereby circumventing the impedance discontinuities inherent to discrete multilayers. Overall, this ML‐assisted strategy integrates novel electromagnetic and structural design with robust, scalable all‐organic aerogel manufacturing, offering a general platform for ultrabroadband, ultrahigh‐absorption, ultralow‐reflection EMI shielding across diverse material systems.</w:t>
      </w:r>
    </w:p>
    <w:p>
      <w:pPr>
        <w:spacing w:before="120" w:after="120"/>
      </w:pPr>
      <w:r>
        <w:rPr>
          <w:sz w:val="18"/>
        </w:rPr>
        <w:t>——————————————————————————————————————————————————————————————————————</w:t>
      </w:r>
    </w:p>
    <w:p>
      <w:pPr>
        <w:spacing w:before="160" w:after="40" w:line="240" w:lineRule="auto"/>
      </w:pPr>
      <w:r>
        <w:rPr>
          <w:b/>
        </w:rPr>
        <w:t xml:space="preserve">[143] </w:t>
      </w:r>
      <w:hyperlink r:id="rId817">
        <w:r>
          <w:rPr>
            <w:color w:val="1155CC"/>
            <w:u w:val="single"/>
          </w:rPr>
          <w:t>Play-Doh 启发了一种变革性的形状自适应 iHEIALS，实现了交联后机械生物调节及其在肌肉骨骼修复中的有效性</w:t>
        </w:r>
      </w:hyperlink>
    </w:p>
    <w:p>
      <w:pPr>
        <w:spacing w:before="0" w:after="80"/>
      </w:pPr>
      <w:r>
        <w:rPr>
          <w:i/>
          <w:sz w:val="20"/>
        </w:rPr>
        <w:t>EN: Play‐Doh Inspired a Transformative, Shape‐Adaptive iHEÄLS Enabling Post‐Crosslinking Mechanical‐Biological Modulation and Its Effectiveness in Musculoskeletal Repair</w:t>
      </w:r>
    </w:p>
    <w:p>
      <w:pPr>
        <w:spacing w:before="0" w:after="120"/>
      </w:pPr>
      <w:r>
        <w:rPr>
          <w:b/>
        </w:rPr>
        <w:t xml:space="preserve">Source: </w:t>
      </w:r>
      <w:r>
        <w:t>Wiley: Advanced Materials: Table of Contents</w:t>
      </w:r>
      <w:r>
        <w:t xml:space="preserve">    </w:t>
      </w:r>
      <w:r>
        <w:rPr>
          <w:b/>
        </w:rPr>
        <w:t xml:space="preserve">Pub date: </w:t>
      </w:r>
      <w:r>
        <w:t>2026-08-01 16:38:51+00:00</w:t>
      </w:r>
      <w:r>
        <w:t xml:space="preserve">    </w:t>
      </w:r>
      <w:r>
        <w:rPr>
          <w:b/>
        </w:rPr>
        <w:t xml:space="preserve">DOI: </w:t>
      </w:r>
      <w:hyperlink r:id="rId818">
        <w:r>
          <w:rPr>
            <w:color w:val="1155CC"/>
            <w:u w:val="single"/>
          </w:rPr>
          <w:t>10.1002/adma.74385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吸收生物材料正在开发作为用于肌肉骨骼修复的传统医用填充剂的替代品。然而，由于对不规则缺损的适形适应性不足、潮湿环境中的粘附力弱以及与生物降解性平衡的机械稳健性不足，目前的材料无法提供稳定的伤口密封和组织再生。在这里，我们推出了 iHEIALS，这是一种变革性的形状自适应生物材料，其灵感来自 Play-Doh，由基于纤维素纳米晶体 (CNC) 的三重网络组成。三重网络之间的相互作用可以实现共形缺陷填充、强大的组织粘附以及通过自愈实现形状稳定。交联后的机械训练通过对齐的聚合物链和均匀定向的 CNC 来增强网络。作为一种可生物降解的细胞外基质，iHEÄLS 通过利用纳米材料掺入和交联后机械训练来放大生物活性和机械转导信号，从而促进细胞迁移和成骨分化。此外，iHEIALS 通过快速吸收生物液同时保持可塑性、促进与自体骨碎片的有效混合以及促进临界尺寸颅骨缺损模型中的骨再生来增强止血效果。总体而言，iHEÄLS 将交联后机械生物可调节性与用户友好的操作相结合，为紧急情况下的肌肉骨骼修复提供了实用的平台。</w:t>
      </w:r>
    </w:p>
    <w:p>
      <w:pPr>
        <w:spacing w:before="0" w:after="200" w:lineRule="auto" w:line="276"/>
      </w:pPr>
      <w:r>
        <w:rPr>
          <w:b/>
        </w:rPr>
        <w:t xml:space="preserve">Abstract (EN): </w:t>
      </w:r>
      <w:r>
        <w:t>Resorbable biomaterials are being developed as alternatives to traditional medical fillers for musculoskeletal repair. However, current materials fail to provide stable wound sealing and tissue regeneration due to inadequate conformal adaptability to irregular defects, weak adhesion in wet environments, and insufficient mechanical robustness balanced with biodegradability. Here, we present iHEÄLS, a transformative, shape‐adaptive biomaterial inspired by Play‐Doh, composed of cellulose nanocrystal (CNC)‐based triple‐networks. The interactions among the triple‐networks enable conformal defect filling, robust tissue adhesion, and shape stabilization through self‐healing. Mechanical training after crosslinking reinforces the network through aligned polymer chains and uniformly oriented CNC. As a biodegradable extracellular matrix, iHEÄLS promotes cell migration and osteogenic differentiation by leveraging nanomaterial incorporation and post‐crosslinking mechanical training to amplify bioactivity and mechanotransduction signaling. Additionally, iHEÄLS demonstrates enhanced hemostasis by quickly absorbing biofluids while maintaining malleability, facilitating effective mixing with autologous bone fragments, and promoting bone regeneration in a critical‐sized calvarial defect model. Overall, iHEÄLS integrates post‐crosslinking mechanical‐biological modulability with user‐friendly handling, providing a practical platform for musculoskeletal repair in emergencies.</w:t>
      </w:r>
    </w:p>
    <w:p>
      <w:pPr>
        <w:spacing w:before="120" w:after="120"/>
      </w:pPr>
      <w:r>
        <w:rPr>
          <w:sz w:val="18"/>
        </w:rPr>
        <w:t>——————————————————————————————————————————————————————————————————————</w:t>
      </w:r>
    </w:p>
    <w:p>
      <w:pPr>
        <w:spacing w:before="160" w:after="40" w:line="240" w:lineRule="auto"/>
      </w:pPr>
      <w:r>
        <w:rPr>
          <w:b/>
        </w:rPr>
        <w:t xml:space="preserve">[144] </w:t>
      </w:r>
      <w:hyperlink r:id="rId819">
        <w:r>
          <w:rPr>
            <w:color w:val="1155CC"/>
            <w:u w:val="single"/>
          </w:rPr>
          <w:t>复杂海况下具有非并置存储的海上波浪供电直流微电网的信心驱动的弹性能源管理</w:t>
        </w:r>
      </w:hyperlink>
    </w:p>
    <w:p>
      <w:pPr>
        <w:spacing w:before="0" w:after="80"/>
      </w:pPr>
      <w:r>
        <w:rPr>
          <w:i/>
          <w:sz w:val="20"/>
        </w:rPr>
        <w:t>EN: Confidence-driven resilient energy management of offshore wave-powered DC microgrids with non-collocated storage under complex sea states</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820">
        <w:r>
          <w:rPr>
            <w:color w:val="1155CC"/>
            <w:u w:val="single"/>
          </w:rPr>
          <w:t>10.1016/j.apenergy.2026.128531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[145] </w:t>
      </w:r>
      <w:hyperlink r:id="rId821">
        <w:r>
          <w:rPr>
            <w:color w:val="1155CC"/>
            <w:u w:val="single"/>
          </w:rPr>
          <w:t>基于 DSSR 的配电系统观测方法</w:t>
        </w:r>
      </w:hyperlink>
    </w:p>
    <w:p>
      <w:pPr>
        <w:spacing w:before="0" w:after="80"/>
      </w:pPr>
      <w:r>
        <w:rPr>
          <w:i/>
          <w:sz w:val="20"/>
        </w:rPr>
        <w:t>EN: A DSSR-based observation approach for distribution systems</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822">
        <w:r>
          <w:rPr>
            <w:color w:val="1155CC"/>
            <w:u w:val="single"/>
          </w:rPr>
          <w:t>10.1016/j.apenergy.2026.128541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[146] </w:t>
      </w:r>
      <w:hyperlink r:id="rId823">
        <w:r>
          <w:rPr>
            <w:color w:val="1155CC"/>
            <w:u w:val="single"/>
          </w:rPr>
          <w:t>从能源三难的角度提出电力市场改革建议：最先进的审查</w:t>
        </w:r>
      </w:hyperlink>
    </w:p>
    <w:p>
      <w:pPr>
        <w:spacing w:before="0" w:after="80"/>
      </w:pPr>
      <w:r>
        <w:rPr>
          <w:i/>
          <w:sz w:val="20"/>
        </w:rPr>
        <w:t>EN: Electricity market reform proposals through the lens of the energy trilemma: A state-of-the-art review</w:t>
      </w:r>
    </w:p>
    <w:p>
      <w:pPr>
        <w:spacing w:before="0" w:after="120"/>
      </w:pPr>
      <w:r>
        <w:rPr>
          <w:b/>
        </w:rPr>
        <w:t xml:space="preserve">Source: </w:t>
      </w:r>
      <w:r>
        <w:t>ScienceDirect Publication: Applied Energy</w:t>
      </w:r>
      <w:r>
        <w:t xml:space="preserve">    </w:t>
      </w:r>
      <w:r>
        <w:rPr>
          <w:b/>
        </w:rPr>
        <w:t xml:space="preserve">Pub date: </w:t>
      </w:r>
      <w:r>
        <w:t>2026-08-02 00:00:00+00:00</w:t>
      </w:r>
      <w:r>
        <w:t xml:space="preserve">    </w:t>
      </w:r>
      <w:r>
        <w:rPr>
          <w:b/>
        </w:rPr>
        <w:t xml:space="preserve">DOI: </w:t>
      </w:r>
      <w:hyperlink r:id="rId824">
        <w:r>
          <w:rPr>
            <w:color w:val="1155CC"/>
            <w:u w:val="single"/>
          </w:rPr>
          <w:t>10.1016/j.apenergy.2026.128567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[147] </w:t>
      </w:r>
      <w:hyperlink r:id="rId825">
        <w:r>
          <w:rPr>
            <w:color w:val="1155CC"/>
            <w:u w:val="single"/>
          </w:rPr>
          <w:t>能源转型和气候脆弱性：地缘政治分裂时代的能源政策</w:t>
        </w:r>
      </w:hyperlink>
    </w:p>
    <w:p>
      <w:pPr>
        <w:spacing w:before="0" w:after="80"/>
      </w:pPr>
      <w:r>
        <w:rPr>
          <w:i/>
          <w:sz w:val="20"/>
        </w:rPr>
        <w:t>EN: Energy transition and climate vulnerability: Energy policy in an era of geopolitical fragmentation</w:t>
      </w:r>
    </w:p>
    <w:p>
      <w:pPr>
        <w:spacing w:before="0" w:after="120"/>
      </w:pPr>
      <w:r>
        <w:rPr>
          <w:b/>
        </w:rPr>
        <w:t xml:space="preserve">Source: </w:t>
      </w:r>
      <w:r>
        <w:t>ScienceDirect Publication: Energy Policy</w:t>
      </w:r>
      <w:r>
        <w:t xml:space="preserve">    </w:t>
      </w:r>
      <w:r>
        <w:rPr>
          <w:b/>
        </w:rPr>
        <w:t xml:space="preserve">Pub date: </w:t>
      </w:r>
      <w:r>
        <w:t>2026-08-02 00:00:00+00:00</w:t>
      </w:r>
      <w:r>
        <w:t xml:space="preserve">    </w:t>
      </w:r>
      <w:r>
        <w:rPr>
          <w:b/>
        </w:rPr>
        <w:t xml:space="preserve">DOI: </w:t>
      </w:r>
      <w:hyperlink r:id="rId826">
        <w:r>
          <w:rPr>
            <w:color w:val="1155CC"/>
            <w:u w:val="single"/>
          </w:rPr>
          <w:t>10.1016/j.enpol.2026.115536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 </w:t>
      </w:r>
      <w:hyperlink r:id="rId827">
        <w:r>
          <w:rPr>
            <w:color w:val="1155CC"/>
            <w:u w:val="single"/>
          </w:rPr>
          <w:t>母体代谢应激通过氧化还原代谢物的遗传变化调节后代肠道干细胞生态位信号传导</w:t>
        </w:r>
      </w:hyperlink>
    </w:p>
    <w:p>
      <w:pPr>
        <w:spacing w:before="0" w:after="80"/>
      </w:pPr>
      <w:r>
        <w:rPr>
          <w:i/>
          <w:sz w:val="20"/>
        </w:rPr>
        <w:t>EN: Maternal metabolic stress regulates progeny intestinal stem cell niche signaling through heritable changes in redox metabolites</w:t>
      </w:r>
    </w:p>
    <w:p>
      <w:pPr>
        <w:spacing w:before="0" w:after="120"/>
      </w:pPr>
      <w:r>
        <w:rPr>
          <w:b/>
        </w:rPr>
        <w:t xml:space="preserve">Source: </w:t>
      </w:r>
      <w:r>
        <w:t>Biological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母体代谢应激是后代健康和疾病易感性的主要决定因素，但将种系代谢与组织生理学终身变化联系起来的机制仍不清楚。在这里，我们发现母体代谢应激通过保守的代谢途径改变子代肠上皮的细胞组成。种系代谢功能障碍会消耗成熟卵母细胞中的 NAD⁺，重新编程子代氧化还原代谢并损害蛋氨酸循环。这种代谢转变降低了 Notch 配体 Delta 的蛋白质水平，破坏了肠道干细胞生态位信号传导并改变了子代肠道生理学。在昆虫和哺乳动物模型中，我们的研究结果表明，母体代谢健康对后代代谢和肠道功能具有保守的影响。总之，这项工作将遗传性氧化还原代谢变化确定为母体代谢应激、干细胞调节和肠道疾病易感性之间的机制联系。</w:t>
      </w:r>
    </w:p>
    <w:p>
      <w:pPr>
        <w:spacing w:before="0" w:after="200" w:lineRule="auto" w:line="276"/>
      </w:pPr>
      <w:r>
        <w:rPr>
          <w:b/>
        </w:rPr>
        <w:t xml:space="preserve">Abstract (EN): </w:t>
      </w:r>
      <w:r>
        <w:t>Maternal metabolic stress is a major determinant of progeny health and disease susceptibility, yet the mechanisms linking germline metabolism to lifelong changes in tissue physiology remain poorly defined. Here, we show that maternal metabolic stress alters the cellular composition of the progeny intestinal epithelium through a conserved metabolic pathway. Germline metabolic dysfunction depletes NAD⁺ in mature oocytes, reprogramming progeny redox metabolism and impairing the methionine cycle. This metabolic shift reduces protein levels of the Notch ligand Delta, disrupting intestinal stem cell niche signaling and altering progeny intestinal physiology. Across insect and mammalian models, our findings reveal that maternal metabolic health has conserved effects on progeny metabolism and intestinal function. Together, this work identifies heritable redox-metabolic changes as a mechanistic link between maternal metabolic stress, stem cell regulation, and intestinal disease susceptibility.</w:t>
      </w:r>
    </w:p>
    <w:p>
      <w:pPr>
        <w:spacing w:before="120" w:after="120"/>
      </w:pPr>
      <w:r>
        <w:rPr>
          <w:sz w:val="18"/>
        </w:rPr>
        <w:t>——————————————————————————————————————————————————————————————————————</w:t>
      </w:r>
    </w:p>
    <w:p>
      <w:pPr>
        <w:spacing w:before="160" w:after="40" w:line="240" w:lineRule="auto"/>
      </w:pPr>
      <w:r>
        <w:rPr>
          <w:b/>
        </w:rPr>
        <w:t xml:space="preserve">[149] </w:t>
      </w:r>
      <w:hyperlink r:id="rId828">
        <w:r>
          <w:rPr>
            <w:color w:val="1155CC"/>
            <w:u w:val="single"/>
          </w:rPr>
          <w:t>苦皮藤中苦皮藤素 V 的 α-沉香呋喃支架的生物合成和异源生产</w:t>
        </w:r>
      </w:hyperlink>
    </w:p>
    <w:p>
      <w:pPr>
        <w:spacing w:before="0" w:after="80"/>
      </w:pPr>
      <w:r>
        <w:rPr>
          <w:i/>
          <w:sz w:val="20"/>
        </w:rPr>
        <w:t>EN: Biosynthesis and heterologous production of the α-agarofuran scaffold of Celangulin V from Celastrus angulatus</w:t>
      </w:r>
    </w:p>
    <w:p>
      <w:pPr>
        <w:spacing w:before="0" w:after="120"/>
      </w:pPr>
      <w:r>
        <w:rPr>
          <w:b/>
        </w:rPr>
        <w:t xml:space="preserve">Source: </w:t>
      </w:r>
      <w:r>
        <w:t>Biological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苦皮藤素 V 是一种广泛使用的生物农药，源自苦皮藤，具有二氢-β-沉香呋喃 (DHβAF) 倍半萜类化合物的拒食和杀虫特性。其生物合成在很大程度上仍未被探索。在这里，我们组装了 C. angulatus 的染色体水平和单倍型解析的参考基因组，每个单倍型组装成 23 个假染色体，支架 N50 分别为 14.31 和 14.01 Mb。这个高质量的基因组揭示了最近的β全基因组三倍体（β-WGT）事件发生在约3430万年前，并且CYP71BE家族的倍半萜合酶和细胞色素P450的扩展分别是全基因组复制（WGD）事件和串联复制的结果。我们将CaTPS16鉴定为γ-桉树醇合酶，并表明CYP71BE416进一步催化γ-桉树醇生成四氢呋喃环α-沉香呋喃，用于苦皮藤素V的生物合成。通过这些基因的联合共表达，我们进一步在酿酒酵母中实现了α-沉香呋喃的从头合成。这项研究显着增加了卫矛科家族的可用基因组资源，提高了我们对DHβAF倍半萜类化合物中四氢呋喃环的生物合成起源和进化的理解，并使其在微生物底盘中的异源生物生产成为可能。</w:t>
      </w:r>
    </w:p>
    <w:p>
      <w:pPr>
        <w:spacing w:before="0" w:after="200" w:lineRule="auto" w:line="276"/>
      </w:pPr>
      <w:r>
        <w:rPr>
          <w:b/>
        </w:rPr>
        <w:t xml:space="preserve">Abstract (EN): </w:t>
      </w:r>
      <w:r>
        <w:t>Celangulin V is a widely used biopesticide derived from Celastrus angulatus, and features antifeedant and insecticidal properties as a dihydro-β-agarofuran (DHβAF) sesquiterpenoid. Its biosynthesis remains largely unexplored. Here, we assemble a chromosome-level and haplotype-resolved reference genome of C. angulatus, with each haplotype assembled into 23 pseudochromosomes and achieving scaffold N50 of 14.31 and 14.01 Mb, respectively. This high-quality genome reveals that a recent β whole-genome triplication (β-WGT) event occurred ~34.3 million years ago, and that the expansion of sesquiterpene synthases and cytochrome P450s from the CYP71BE family results from whole-genome duplication (WGD) event and tandem duplication, respectively. We identify CaTPS16 as a γ-eudesmol synthase, and show that CYP71BE416 further catalyzes the γ-eudesmol to tetrahydrofuran ring α-agarofuran for Celangulin V biosynthesis. We further achieve the de novo synthesis of α-agarofuran in Saccharomyces cerevisiae through combined coexpression of these genes. This study has significantly increases the available genomic resources of the Celastraceae family, improves our understanding of the biosynthetic origins and evolution of the tetrahydrofuran ring in DHβAF sesquiterpenoids, and enables its heterologous bioproduction in microbial chassis.</w:t>
      </w:r>
    </w:p>
    <w:p>
      <w:pPr>
        <w:spacing w:before="120" w:after="120"/>
      </w:pPr>
      <w:r>
        <w:rPr>
          <w:sz w:val="18"/>
        </w:rPr>
        <w:t>——————————————————————————————————————————————————————————————————————</w:t>
      </w:r>
    </w:p>
    <w:p>
      <w:pPr>
        <w:spacing w:before="160" w:after="40" w:line="240" w:lineRule="auto"/>
      </w:pPr>
      <w:r>
        <w:rPr>
          <w:b/>
        </w:rPr>
        <w:t xml:space="preserve">[150] </w:t>
      </w:r>
      <w:hyperlink r:id="rId829">
        <w:r>
          <w:rPr>
            <w:color w:val="1155CC"/>
            <w:u w:val="single"/>
          </w:rPr>
          <w:t>双功能蛋白AcrIE10介导的CRISPR-Cas免疫与抗性质粒抗免疫的动态平衡</w:t>
        </w:r>
      </w:hyperlink>
    </w:p>
    <w:p>
      <w:pPr>
        <w:spacing w:before="0" w:after="80"/>
      </w:pPr>
      <w:r>
        <w:rPr>
          <w:i/>
          <w:sz w:val="20"/>
        </w:rPr>
        <w:t>EN: Dynamic balance of CRISPR-Cas immunity and resistance plasmid anti-immunity mediated by a bifunctional protein AcrIE10</w:t>
      </w:r>
    </w:p>
    <w:p>
      <w:pPr>
        <w:spacing w:before="0" w:after="120"/>
      </w:pPr>
      <w:r>
        <w:rPr>
          <w:b/>
        </w:rPr>
        <w:t xml:space="preserve">Source: </w:t>
      </w:r>
      <w:r>
        <w:t>Biological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尽管有 CRISPR-Cas 系统的靶向，但抗菌素耐药性质粒在耐碳青霉烯类肺炎克雷伯菌的临床分离株中普遍存在，这对公共卫生构成了重大威胁。质粒和 CRISPR-Cas 系统的稳定共存是由抗 CRISPR (Acr) 蛋白介导的。在此，我们报道先前鉴定的由抗性质粒编码的 AcrIE10 结合了两种功能：它通过其 Acr 结构域直接结合 Cas7* 亚基来抑制 CRISPR 免疫，并作为 Acr 相关 (Aca) 蛋白自我抑制 Acr 位点的转录。 AcrIE10 是 Aca 蛋白的一个例子，它利用 N 末端带-螺旋-螺旋 (RHH) 结构域特异性识别其自身启动子中的反向重复 (IR) 区域。至关重要的是，AcrIE10 二聚体的二聚化是有效结合 IR 和自我抑制所必需的，而与 Cas7* 的化学计量依赖性相互作用则有助于向去抑制状态的转变。这些发现阐明了 AcrIE10 作为双功能 Acr-Aca 蛋白发挥作用以实现宿主 CRISPR-Cas 免疫和质粒抗防御之间微妙平衡的分子机制。</w:t>
      </w:r>
    </w:p>
    <w:p>
      <w:pPr>
        <w:spacing w:before="0" w:after="200" w:lineRule="auto" w:line="276"/>
      </w:pPr>
      <w:r>
        <w:rPr>
          <w:b/>
        </w:rPr>
        <w:t xml:space="preserve">Abstract (EN): </w:t>
      </w:r>
      <w:r>
        <w:t>Despite targeting by CRISPR-Cas system, antimicrobial resistance plasmids are prevalent in clinical isolates of carbapenem-resistant Klebsiella pneumoniae which represent a major public health threat. A stable co-existence of plasmids and CRISPR-Cas systems is mediated by anti-CRISPR (Acr) proteins. Here, we report that previously identified AcrIE10 encoded by a resistance plasmid combines two functions: it inhibits CRISPR immunity by directly binding Cas7* subunit through its Acr domain, and acts as an Acr-associated (Aca) protein that self-represses the transcription of Acr locus. AcrIE10 is an example of an Aca protein that utilizes N-terminal ribbon-helix-helix (RHH) domain to specifically recognize the inverted repeat (IR) region in its own promoter. Crucially, a dimerization of AcrIE10 dimers is required for the effective binding to the IR and self-repression, while stoichiometry-dependent interaction with Cas7* facilitates transition to de-repressed state. These findings elucidate molecular mechanisms by which AcrIE10 operates as a dual functionAcr-Aca protein to achieve a delicate balance between host CRISPR-Cas immunity and plasmid anti-defense.</w:t>
      </w:r>
    </w:p>
    <w:p>
      <w:pPr>
        <w:spacing w:before="120" w:after="120"/>
      </w:pPr>
      <w:r>
        <w:rPr>
          <w:sz w:val="18"/>
        </w:rPr>
        <w:t>——————————————————————————————————————————————————————————————————————</w:t>
      </w:r>
    </w:p>
    <w:p>
      <w:pPr>
        <w:spacing w:before="160" w:after="40" w:line="240" w:lineRule="auto"/>
      </w:pPr>
      <w:r>
        <w:rPr>
          <w:b/>
        </w:rPr>
        <w:t xml:space="preserve">[151] </w:t>
      </w:r>
      <w:hyperlink r:id="rId830">
        <w:r>
          <w:rPr>
            <w:color w:val="1155CC"/>
            <w:u w:val="single"/>
          </w:rPr>
          <w:t>抗血小板联合药物输送系统表面涂层可改善释放一氧化氮的医用级聚合物的血液相容性</w:t>
        </w:r>
      </w:hyperlink>
    </w:p>
    <w:p>
      <w:pPr>
        <w:spacing w:before="0" w:after="80"/>
      </w:pPr>
      <w:r>
        <w:rPr>
          <w:i/>
          <w:sz w:val="20"/>
        </w:rPr>
        <w:t>EN: Antiplatelet Co-drug Delivery System Surface Coating for Improved Hemocompatibility on a Nitric Oxide-Releasing Medical-Grade Polymer</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831">
        <w:r>
          <w:rPr>
            <w:color w:val="1155CC"/>
            <w:u w:val="single"/>
          </w:rPr>
          <w:t>10.1021/acsami.6c10964</w:t>
        </w:r>
      </w:hyperlink>
    </w:p>
    <w:p>
      <w:pPr>
        <w:spacing w:before="0" w:after="120"/>
      </w:pPr>
      <w:r>
        <w:rPr>
          <w:b/>
        </w:rPr>
        <w:t xml:space="preserve">Notes: </w:t>
      </w:r>
      <w:r>
        <w:t>abstract_source=crossref</w:t>
      </w:r>
    </w:p>
    <w:p>
      <w:pPr>
        <w:spacing w:before="0" w:after="80" w:lineRule="auto" w:line="276"/>
      </w:pPr>
      <w:r>
        <w:rPr>
          <w:b/>
        </w:rPr>
        <w:t xml:space="preserve">摘要（ZH）: </w:t>
      </w:r>
      <w:r>
        <w:t>摘要 聚己内酯（PCL）是一种广泛应用于生物医学领域的可生物降解聚合物。然而，其疏水表面会促进蛋白质吸附、血小板活化、细菌粘附和血栓形成，限制了其在血液接触装置中的使用。在这项工作中，我们报告了一种多功能共药物递送涂层方法，该方法可以修改天然 PCL 以增强血液相容性。一氧化氮 (NO) 供体 S-亚硝基-N-乙酰青霉胺 (SNAP) 被纳入 PCL 基质中，以提供持续的抗血小板、抗血栓和抗菌活性，而负载抗血小板药物替格瑞洛 (TIC) 的亲水性 HydroMed D4 聚氨酯涂层形成抗生物污染界面并实现受控药物洗脱。该集成系统的性能根据 TIC 负荷进行评估，并与相关对照进行比较，以评估其在血浆蛋白和全血暴露下的防污和抗血栓特性。与单组分表面相比，分层涂层显着减少了蛋白质吸附、血小板粘附/活化和细菌附着，证明了增强血液相容性的互补效应。该平台建立了一种可扩展的方法，将可生物降解的聚合物设计成适用于血液接触医疗设备（例如导管和血管接口）的多功能涂层。</w:t>
      </w:r>
    </w:p>
    <w:p>
      <w:pPr>
        <w:spacing w:before="0" w:after="200" w:lineRule="auto" w:line="276"/>
      </w:pPr>
      <w:r>
        <w:rPr>
          <w:b/>
        </w:rPr>
        <w:t xml:space="preserve">Abstract (EN): </w:t>
      </w:r>
      <w:r>
        <w:t>Polycaprolactone (PCL) is a biodegradable polymer widely used in biomedical applications; however, its hydrophobic surface promotes protein adsorption, platelet activation, bacterial adhesion, and thrombosis, limiting its use in blood-contacting devices. In this work, we report a multifunctional co-drug delivery coating approach that modifies native PCL to enhance hemocompatibility. A nitric oxide (NO) donor, S-nitroso-N-acetylpenicillamine (SNAP), is incorporated within the PCL substrate to provide sustained antiplatelet, antithrombotic, and antibacterial activity, while a hydrophilic HydroMed D4 polyurethane coating loaded with the antiplatelet drug ticagrelor (TIC) forms an antibiofouling interface and enables controlled drug elution. The performance of this integrated system was evaluated as a function of TIC loading and compared with relative controls to assess its antifoulant and thromboresistant properties under plasma protein and whole-blood exposure. The layered coating significantly reduced protein adsorption, platelet adhesion/activation, and bacterial attachment compared with single-component surfaces, demonstrating complementary effects that enhance hemocompatibility. This platform establishes a scalable approach to engineer biodegradable polymers into multifunctional coatings suitable for blood-contacting medical devices, such as catheters and vascular interfaces.</w:t>
      </w:r>
    </w:p>
    <w:p>
      <w:pPr>
        <w:spacing w:before="120" w:after="120"/>
      </w:pPr>
      <w:r>
        <w:rPr>
          <w:sz w:val="18"/>
        </w:rPr>
        <w:t>——————————————————————————————————————————————————————————————————————</w:t>
      </w:r>
    </w:p>
    <w:p>
      <w:pPr>
        <w:spacing w:before="160" w:after="40" w:line="240" w:lineRule="auto"/>
      </w:pPr>
      <w:r>
        <w:rPr>
          <w:b/>
        </w:rPr>
        <w:t xml:space="preserve">[152] </w:t>
      </w:r>
      <w:hyperlink r:id="rId832">
        <w:r>
          <w:rPr>
            <w:color w:val="1155CC"/>
            <w:u w:val="single"/>
          </w:rPr>
          <w:t>稀释软阳离子锚定可稳定 γ-NaAsSe2 免受潮湿影响，同时保持巨大的中红外非线性</w:t>
        </w:r>
      </w:hyperlink>
    </w:p>
    <w:p>
      <w:pPr>
        <w:spacing w:before="0" w:after="80"/>
      </w:pPr>
      <w:r>
        <w:rPr>
          <w:i/>
          <w:sz w:val="20"/>
        </w:rPr>
        <w:t>EN: Dilute Soft-Cation Anchoring Stabilizes γ-NaAsSe2 against Moisture While Preserving Giant Mid-Infrared Nonlinearity</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33">
        <w:r>
          <w:rPr>
            <w:color w:val="1155CC"/>
            <w:u w:val="single"/>
          </w:rPr>
          <w:t>10.1021/jacs.6c09228</w:t>
        </w:r>
      </w:hyperlink>
    </w:p>
    <w:p>
      <w:pPr>
        <w:spacing w:before="0" w:after="120"/>
      </w:pPr>
      <w:r>
        <w:rPr>
          <w:b/>
        </w:rPr>
        <w:t xml:space="preserve">Notes: </w:t>
      </w:r>
      <w:r>
        <w:t>abstract_source=crossref</w:t>
      </w:r>
    </w:p>
    <w:p>
      <w:pPr>
        <w:spacing w:before="0" w:after="80" w:lineRule="auto" w:line="276"/>
      </w:pPr>
      <w:r>
        <w:rPr>
          <w:b/>
        </w:rPr>
        <w:t xml:space="preserve">摘要（ZH）: </w:t>
      </w:r>
      <w:r>
        <w:t>摘要 设计将二次谐波产生 (SHG) 效率与长期稳定性相结合的非线性光学材料仍然是红外光子应用的一个挑战。 γ-NaAsSe2 (γ-NAS) 等硫族化物晶体最近成为杰出的候选者，在 2 μm 处表现出极高的倍频敏感性，约为 590 pm/V。尽管具有这种特殊的二次谐波响应，但较差的环境稳定性阻碍了实际使用，这主要是因为不稳定的Na/Se链间环境容易受到水分辅助降解的影响。在这里，我们通过将 As 位点的 Sb 取代（稳定极性 γ 框架）与 Na 位点的稀释 Ag 取代相结合来解决这一限制，以引入更强的亲硫 Ag-Se 接触，而不破坏负责大非线性响应的电子结构。由于物相分析显示Ag在γ-NAS晶格中的溶解度有限（≤2%），因此我们选择γ-Na0.99Ag0.01As0.95Sb0.05Se2用于布里奇曼晶体生长。大型单晶在环境条件下保持稳定 365 天，同时保持约 600 ± 15 pm/V 的巨大 SHG 响应，在连续环境测量过程中确认了稳定的 SHG 强度。稀银取代引入了更多的共价银-硒接触，充当硫族化物链之间的局部锚定点，抑制水分辅助的晶格打开，同时保留极性框架。 Sb 取代稳定了极性 γ 多晶型物，而稀 Ag 取代在碱金属亚晶格处引入了更多共价 Ag-Se 接触，以提高环境耐久性</w:t>
      </w:r>
    </w:p>
    <w:p>
      <w:pPr>
        <w:spacing w:before="0" w:after="200" w:lineRule="auto" w:line="276"/>
      </w:pPr>
      <w:r>
        <w:rPr>
          <w:b/>
        </w:rPr>
        <w:t xml:space="preserve">Abstract (EN): </w:t>
      </w:r>
      <w:r>
        <w:t>Designing nonlinear optical materials that combine large second-harmonic generation (SHG) efficiency with long-term stability remains a challenge for infrared photonic applications. Chalcogenide crystals such as γ-NaAsSe2 (γ-NAS) have recently emerged as outstanding candidates, exhibiting an exceptionally high SHG susceptibility of ∼590 pm/V at 2 μm. Despite this exceptional SHG response, poor ambient stability has hindered practical use, largely because the labile Na/Se interchain environment is vulnerable to moisture-assisted degradation. Here, we address this limitation by combining Sb substitution at the As site, which stabilizes the polar γ framework, with dilute Ag substitution at the Na site to introduce stronger chalcogenophilic Ag–Se contacts without disrupting the electronic structure responsible for the large nonlinear response. Because phase analysis shows Ag has limited solubility in the γ-NAS lattice (≤2%), we selected γ-Na0.99Ag0.01As0.95Sb0.05Se2 for Bridgman crystal growth. Large single crystals remain stable under ambient conditions for 365 days while preserving a giant SHG response of ∼600 ± 15 pm/V, with stable SHG intensity confirmed during continuous ambient measurements. Dilute Ag substitution introduces more covalent Ag–Se contacts that act as local anchors between chalcogenide chains, suppressing moisture-assisted lattice opening while preserving the polar framework. Sb substitution stabilizes the polar γ polymorph, whereas dilute Ag substitution introduces more covalent Ag–Se contacts at the alkali-metal sublattice to improve ambient durability. Phase-matching calculations further suggest Type I phase-matchability. This work introduces dilute soft-cation anchoring as a chemical strategy for stabilizing moisture-sensitive polar chalcogenides while preserving the electronic structure responsible for large nonlinear optical responses.</w:t>
      </w:r>
    </w:p>
    <w:p>
      <w:pPr>
        <w:spacing w:before="120" w:after="120"/>
      </w:pPr>
      <w:r>
        <w:rPr>
          <w:sz w:val="18"/>
        </w:rPr>
        <w:t>——————————————————————————————————————————————————————————————————————</w:t>
      </w:r>
    </w:p>
    <w:p>
      <w:pPr>
        <w:spacing w:before="160" w:after="40" w:line="240" w:lineRule="auto"/>
      </w:pPr>
      <w:r>
        <w:rPr>
          <w:b/>
        </w:rPr>
        <w:t xml:space="preserve">[153] </w:t>
      </w:r>
      <w:hyperlink r:id="rId834">
        <w:r>
          <w:rPr>
            <w:color w:val="1155CC"/>
            <w:u w:val="single"/>
          </w:rPr>
          <w:t>硫脲介导的铜表面促进高电流密度下苯羟胺的高效合成</w:t>
        </w:r>
      </w:hyperlink>
    </w:p>
    <w:p>
      <w:pPr>
        <w:spacing w:before="0" w:after="80"/>
      </w:pPr>
      <w:r>
        <w:rPr>
          <w:i/>
          <w:sz w:val="20"/>
        </w:rPr>
        <w:t>EN: Thiourea-Mediated Cu Surface Boosting Highly Efficient Synthesis of Phenylhydroxylamine under High Current Density</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35">
        <w:r>
          <w:rPr>
            <w:color w:val="1155CC"/>
            <w:u w:val="single"/>
          </w:rPr>
          <w:t>10.1021/jacs.6c08506</w:t>
        </w:r>
      </w:hyperlink>
    </w:p>
    <w:p>
      <w:pPr>
        <w:spacing w:before="0" w:after="120"/>
      </w:pPr>
      <w:r>
        <w:rPr>
          <w:b/>
        </w:rPr>
        <w:t xml:space="preserve">Notes: </w:t>
      </w:r>
      <w:r>
        <w:t>abstract_source=crossref</w:t>
      </w:r>
    </w:p>
    <w:p>
      <w:pPr>
        <w:spacing w:before="0" w:after="80" w:lineRule="auto" w:line="276"/>
      </w:pPr>
      <w:r>
        <w:rPr>
          <w:b/>
        </w:rPr>
        <w:t xml:space="preserve">摘要（ZH）: </w:t>
      </w:r>
      <w:r>
        <w:t>摘要 苯羟胺（PHA）是药物和有机合成的关键中间体，但其高选择性合成仍然是一个持续的挑战。这一困难主要源于PHA本身固有的不稳定性以及硝基苯还原产生多种产物的倾向，往往导致过度还原为热力学更稳定的苯胺。在此，我们提出了一种绿色电催化策略，通过硫脲和铜之间的协同相互作用，实现硝基苯高选择性还原为PHA，在高电流密度下表现出优异的性能，法拉第效率为95%，产率为90%。机理研究表明，硫脲在泡沫铜表面形成动态的“质子电子缓冲层”，不仅调节质子电子耦合动力学以增强PHA合成，而且削弱PHA吸附以促进其解吸。该方法已成功推广到其他羟胺的合成，并在实验室实现克级生产，为羟胺的电化学合成提供了可持续的平台，为现代绿色合成化学提供了新的见解。</w:t>
      </w:r>
    </w:p>
    <w:p>
      <w:pPr>
        <w:spacing w:before="0" w:after="200" w:lineRule="auto" w:line="276"/>
      </w:pPr>
      <w:r>
        <w:rPr>
          <w:b/>
        </w:rPr>
        <w:t xml:space="preserve">Abstract (EN): </w:t>
      </w:r>
      <w:r>
        <w:t>Phenylhydroxylamine (PHA) is a key intermediate in pharmaceutical and organic synthesis, yet its highly selective synthesis has remained a persistent challenge. This difficulty primarily stems from the inherent instability of PHA itself and the tendency of nitrobenzene reduction to produce multiple products, often leading to over-reduction to the thermodynamically more stable aniline. Herein, we present a green electrocatalytic strategy that achieves highly selective reduction of nitrobenzene to PHA through the synergistic interaction between thiourea and copper, which demonstrates exceptional performance with a Faradaic efficiency of 95% and a yield of 90% under high current density. Mechanistic studies demonstrate that thiourea forms a dynamic “proton–electron buffer layer” on copper foam surfaces, which not only modulates proton–electron coupling kinetics to enhance PHA synthesis but also weakens PHA adsorption to promote its desorption. This method has been successfully extended to the synthesis of other hydroxylamines and accomplishes gram-scale production in the laboratory, which provides a sustainable platform for the electrochemical synthesis of hydroxylamines and offers new insights into modern green synthetic chemistry.</w:t>
      </w:r>
    </w:p>
    <w:p>
      <w:pPr>
        <w:spacing w:before="120" w:after="120"/>
      </w:pPr>
      <w:r>
        <w:rPr>
          <w:sz w:val="18"/>
        </w:rPr>
        <w:t>——————————————————————————————————————————————————————————————————————</w:t>
      </w:r>
    </w:p>
    <w:p>
      <w:pPr>
        <w:spacing w:before="160" w:after="40" w:line="240" w:lineRule="auto"/>
      </w:pPr>
      <w:r>
        <w:rPr>
          <w:b/>
        </w:rPr>
        <w:t xml:space="preserve">[154] </w:t>
      </w:r>
      <w:hyperlink r:id="rId836">
        <w:r>
          <w:rPr>
            <w:color w:val="1155CC"/>
            <w:u w:val="single"/>
          </w:rPr>
          <w:t>非共价链间相互作用决定了范德华纳米管内磷元素硫族化物的单链封装行为</w:t>
        </w:r>
      </w:hyperlink>
    </w:p>
    <w:p>
      <w:pPr>
        <w:spacing w:before="0" w:after="80"/>
      </w:pPr>
      <w:r>
        <w:rPr>
          <w:i/>
          <w:sz w:val="20"/>
        </w:rPr>
        <w:t>EN: Noncovalent Interchain Interactions Dictate Single-Chain Encapsulation Behavior of Pnictogen Chalcogenides within Van der Waals Nanotubes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37">
        <w:r>
          <w:rPr>
            <w:color w:val="1155CC"/>
            <w:u w:val="single"/>
          </w:rPr>
          <w:t>10.1021/jacs.5c21727</w:t>
        </w:r>
      </w:hyperlink>
    </w:p>
    <w:p>
      <w:pPr>
        <w:spacing w:before="0" w:after="120"/>
      </w:pPr>
      <w:r>
        <w:rPr>
          <w:b/>
        </w:rPr>
        <w:t xml:space="preserve">Notes: </w:t>
      </w:r>
      <w:r>
        <w:t>abstract_source=crossref</w:t>
      </w:r>
    </w:p>
    <w:p>
      <w:pPr>
        <w:spacing w:before="0" w:after="80" w:lineRule="auto" w:line="276"/>
      </w:pPr>
      <w:r>
        <w:rPr>
          <w:b/>
        </w:rPr>
        <w:t xml:space="preserve">摘要（ZH）: </w:t>
      </w:r>
      <w:r>
        <w:t>摘要 对控制低维材料相互作用的化学的充分理解对于实现对其结构、纳米级形态和独特物理性质的控制至关重要。然而，在由高度极化的主族元素组成的扩展固体中精确实现这一目标仍然是一个巨大的挑战，特别是在接近原子尺度的一维材料中。这是因为这些重主族元素倾向于驱动系统中电子的异常局域或离域行为，以及由于孤对效应而形成竞争性亚稳态多型体。在本报告中，我们建立了源自低维 Pn2Ch3 磷元素硫属化物类（Pn = Sb、Bi；Ch = S、Se、Te）的单链的成分依赖性封装行为及其对链间非共价相互作用强度的强烈依赖性。使用 Sb2S3 和 Bi2S3 作为模型相，我们从实验晶体结构和第一性原理计算中发现，磷元素 (Pn) 键合程度是决定准一维链在块体中的堆积以及它们在单壁碳纳米管 (SWCNT) 内封装后作为单链的生长行为的重要因素。具体来说，链间相互作用较弱的链（如 Sb2S3）优先在类似于热力学有利条件的缓慢冷却生长参数下结晶，而链间相互作用较强的链（如 Bi2S3）更倾向于结晶并分离为</w:t>
      </w:r>
    </w:p>
    <w:p>
      <w:pPr>
        <w:spacing w:before="0" w:after="200" w:lineRule="auto" w:line="276"/>
      </w:pPr>
      <w:r>
        <w:rPr>
          <w:b/>
        </w:rPr>
        <w:t xml:space="preserve">Abstract (EN): </w:t>
      </w:r>
      <w:r>
        <w:t>A fully developed understanding of the chemistry that governs interactions in low-dimensional materials is essential to realizing control over their structures, nanoscale morphologies, and distinct physical properties. Yet, precisely achieving this in extended solids composed of highly polarizable main group elements has remained a grand challenge, especially in one-dimensional materials that approach the atomic scale. This is because of the propensity of these heavy main group elements to drive the unusual localization or delocalization behavior of electrons in the system and the formation of competing metastable polytypes due to lone pair effects. In this report, we establish the composition-dependent encapsulation behavior of single chains derived from the low-dimensional Pn2Ch3 pnictogen chalcogenide class (Pn = Sb, Bi; Ch = S, Se, Te) and their strong dependence on the strength of interchain noncovalent interactions. Using Sb2S3 and Bi2S3 as model phases, we find from experimental crystal structures and first-principles calculations that the degree of pnictogen (Pn) bonding is a significant factor in dictating the packing of the constituent quasi-1D chains in the bulk and their growth behavior as single chains upon encapsulation within single-walled carbon nanotubes (SWCNTs). Specifically, chains with weaker interchain interactions like Sb2S3 preferentially crystallize under slow-cooled growth parameters that resemble more thermodynamically favored conditions, while chains with stronger interchain interactions like Bi2S3 prefer to crystallize and isolate as a bulk crystal and only form the elusive encapsulated clustered and crystalline chain domains under rapidly quenched conditions. Systematic Sb/Bi alloying of the precursors revealed the pnictogen dependence of the chain crystallization, where Sb-rich alloys tend to preferentially crystallize within SWCNTs. In these alloys, Bi preferentially occupies the peripheral three-coordinate site to maximize interchain interactions in the bulk, while Sb preferentially occupies the same site when encapsulated within SWCNTs and devoid of chains adjacent to it. These results demonstrate that noncovalent bonding concepts in molecular main group systems track in low-dimensional solids that approach the atomic regime when encapsulated within nanotubes, marking a significant step forward in the rational and predictable encapsulation of all-inorganic chains within confined spaces.</w:t>
      </w:r>
    </w:p>
    <w:p>
      <w:pPr>
        <w:spacing w:before="120" w:after="120"/>
      </w:pPr>
      <w:r>
        <w:rPr>
          <w:sz w:val="18"/>
        </w:rPr>
        <w:t>——————————————————————————————————————————————————————————————————————</w:t>
      </w:r>
    </w:p>
    <w:p>
      <w:pPr>
        <w:spacing w:before="160" w:after="40" w:line="240" w:lineRule="auto"/>
      </w:pPr>
      <w:r>
        <w:rPr>
          <w:b/>
        </w:rPr>
        <w:t xml:space="preserve">[155] </w:t>
      </w:r>
      <w:hyperlink r:id="rId838">
        <w:r>
          <w:rPr>
            <w:color w:val="1155CC"/>
            <w:u w:val="single"/>
          </w:rPr>
          <w:t>半金属候选物 MnPSe3 中电荷转移受阻产生的倾斜反铁磁性</w:t>
        </w:r>
      </w:hyperlink>
    </w:p>
    <w:p>
      <w:pPr>
        <w:spacing w:before="0" w:after="80"/>
      </w:pPr>
      <w:r>
        <w:rPr>
          <w:i/>
          <w:sz w:val="20"/>
        </w:rPr>
        <w:t>EN: Emergent Canted Antiferromagnetism from Frustrated Charge Transfer in Half-Metal Candidate MnPSe3</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39">
        <w:r>
          <w:rPr>
            <w:color w:val="1155CC"/>
            <w:u w:val="single"/>
          </w:rPr>
          <w:t>10.1021/jacs.6c07616</w:t>
        </w:r>
      </w:hyperlink>
    </w:p>
    <w:p>
      <w:pPr>
        <w:spacing w:before="0" w:after="120"/>
      </w:pPr>
      <w:r>
        <w:rPr>
          <w:b/>
        </w:rPr>
        <w:t xml:space="preserve">Notes: </w:t>
      </w:r>
      <w:r>
        <w:t>abstract_source=crossref</w:t>
      </w:r>
    </w:p>
    <w:p>
      <w:pPr>
        <w:spacing w:before="0" w:after="80" w:lineRule="auto" w:line="276"/>
      </w:pPr>
      <w:r>
        <w:rPr>
          <w:b/>
        </w:rPr>
        <w:t xml:space="preserve">摘要（ZH）: </w:t>
      </w:r>
      <w:r>
        <w:t>摘要 具有半金属性的层状范德华磁性材料代表了自旋电子学应用的有前景的平台。理论上预测过渡金属磷三硫属化物 MnPSe3 在足够的载流子掺杂下在其单层中具有固有的铁磁半金属态。然而，在该系统中实现实验上可实现的半金属性提出了巨大的挑战，因为有机离子插层 MnPSe3 晶体（通常被认为是掺杂单层）的磁性状态的争议仍未解决。在这里，我们通过识别吡咯烷插层 MnPSe3 中的倾斜反铁磁基态来解决这一争议，该基态源自直接 Mn-Mn 反铁磁交换和 Mn-Se-Mn 铁磁超交换之间的竞争以及增强的单离子各向异性的综合影响。 X射线光电子能谱和X射线吸收近边缘结构揭示了多种电荷转移途径，这些途径导致电荷重新分布受阻，削弱铁磁超交换的增强并产生平衡的竞争相互作用。第一原理计算进一步验证了这种倾斜的反铁磁态是掺杂驱动的反铁磁到铁磁转变期间的中间相。我们的工作不仅澄清了长期存在的磁态争议，而且推进了对该系统中电荷转移的机理理解，为半金属范德华磁体的合理设计走向实用铺平了道路</w:t>
      </w:r>
    </w:p>
    <w:p>
      <w:pPr>
        <w:spacing w:before="0" w:after="200" w:lineRule="auto" w:line="276"/>
      </w:pPr>
      <w:r>
        <w:rPr>
          <w:b/>
        </w:rPr>
        <w:t xml:space="preserve">Abstract (EN): </w:t>
      </w:r>
      <w:r>
        <w:t>Layered van der Waals magnetic materials exhibiting half-metallicity represent promising platforms for spintronic applications. The transition-metal phosphorus trichalcogenide MnPSe3 has been theoretically predicted to host an intrinsic ferromagnetic half-metallic state in its monolayer under sufficient carrier doping. However, realizing experimentally accessible half-metallicity in this system poses a great challenge, as the controversy over the magnetic state of organic-ion-intercalated MnPSe3 crystals, which are commonly regarded as doped monolayers, remains unresolved. Here, we resolve this controversy by identifying a canted antiferromagnetic ground state in pyrrolidinium-intercalated MnPSe3, which originates from the combined effects of competition between direct Mn–Mn antiferromagnetic exchange and Mn–Se–Mn ferromagnetic superexchange, as well as enhanced single-ion anisotropy. X-ray photoelectron spectroscopy and X-ray absorption near-edge structure reveal multiple charge transfer pathways that lead to frustrated charge redistribution, diminishing the enhancement of ferromagnetic superexchange and yielding balanced competing interactions. First-principles calculations further validate that this canted antiferromagnetic state is an intermediate phase during the doping-driven antiferromagnetic-to-ferromagnetic transition. Our work not only clarifies the longstanding magnetic state controversy but also advances mechanistic understanding of charge transfer in this system, paving the way for the rational design of half-metallic van der Waals magnets toward practical spintronic devices.</w:t>
      </w:r>
    </w:p>
    <w:p>
      <w:pPr>
        <w:spacing w:before="120" w:after="120"/>
      </w:pPr>
      <w:r>
        <w:rPr>
          <w:sz w:val="18"/>
        </w:rPr>
        <w:t>——————————————————————————————————————————————————————————————————————</w:t>
      </w:r>
    </w:p>
    <w:p>
      <w:pPr>
        <w:spacing w:before="160" w:after="40" w:line="240" w:lineRule="auto"/>
      </w:pPr>
      <w:r>
        <w:rPr>
          <w:b/>
        </w:rPr>
        <w:t xml:space="preserve">[156] </w:t>
      </w:r>
      <w:hyperlink r:id="rId840">
        <w:r>
          <w:rPr>
            <w:color w:val="1155CC"/>
            <w:u w:val="single"/>
          </w:rPr>
          <w:t>癌细胞中组胺化蛋白质组的化学蛋白质组学分析揭示了核心组蛋白上未知的表观遗传标记</w:t>
        </w:r>
      </w:hyperlink>
    </w:p>
    <w:p>
      <w:pPr>
        <w:spacing w:before="0" w:after="80"/>
      </w:pPr>
      <w:r>
        <w:rPr>
          <w:i/>
          <w:sz w:val="20"/>
        </w:rPr>
        <w:t>EN: Chemical Proteomic Profiling of the Histaminylation Proteome in Cancer Cells Unveils Uncharted Epigenetic Marks on Core Histones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41">
        <w:r>
          <w:rPr>
            <w:color w:val="1155CC"/>
            <w:u w:val="single"/>
          </w:rPr>
          <w:t>10.1021/jacs.6c11677</w:t>
        </w:r>
      </w:hyperlink>
    </w:p>
    <w:p>
      <w:pPr>
        <w:spacing w:before="0" w:after="120"/>
      </w:pPr>
      <w:r>
        <w:rPr>
          <w:b/>
        </w:rPr>
        <w:t xml:space="preserve">Notes: </w:t>
      </w:r>
      <w:r>
        <w:t>abstract_source=crossref</w:t>
      </w:r>
    </w:p>
    <w:p>
      <w:pPr>
        <w:spacing w:before="0" w:after="80" w:lineRule="auto" w:line="276"/>
      </w:pPr>
      <w:r>
        <w:rPr>
          <w:b/>
        </w:rPr>
        <w:t xml:space="preserve">摘要（ZH）: </w:t>
      </w:r>
      <w:r>
        <w:t>摘要 组胺是病理生理学中的关键信号分子，在多种健康和疾病状态中可以发挥重要的调节作用。除了组胺与其受体之间经过充分研究的非共价相互作用外，蛋白质组胺酰化是最近发现的一种作用机制，组胺通过该机制以共价修饰方式调节细胞信号通路。组胺酰化是一种新兴的蛋白质翻译后修饰 (PTM)，通过转谷氨酰胺酶 2 (TGM2) 催化的转酰胺基反应，在组胺伯胺和谷氨酰胺的 γ-羧基之间形成异肽键。然而，由于缺乏针对组胺酰化谷氨酰胺的有效泛特异性抗体，细胞中的组胺酰化蛋白质组仍然缺乏探索。在这里，我们报告了一种新型NTτ-炔丙基化组胺（NTτ-PH）探针的设计和开发，及其在癌细胞组胺酰化蛋白质组化学蛋白质组学分析中的成功应用。值得注意的是，核心组蛋白上新的 TGM2 催化表观遗传标记，例如 H2AX-Q84 和 Q104 组胺酰化，已从癌细胞中鉴定出来并得到验证。最后，本研究发现了 H2AX 组胺酰化和 γH2AX 形成之间的串扰，表明 TGM2 介导的组胺酰化在 DNA 损伤反应中发挥着关键作用。</w:t>
      </w:r>
    </w:p>
    <w:p>
      <w:pPr>
        <w:spacing w:before="0" w:after="200" w:lineRule="auto" w:line="276"/>
      </w:pPr>
      <w:r>
        <w:rPr>
          <w:b/>
        </w:rPr>
        <w:t xml:space="preserve">Abstract (EN): </w:t>
      </w:r>
      <w:r>
        <w:t>Histamine is a key signaling molecule in pathophysiology that can exhibit significant regulatory roles in diverse health and disease states. Besides the well-studied noncovalent interactions between histamine and its receptors, protein histaminylation is a recently discovered mechanism of action through which histamine regulates cellular signaling pathways in a covalent modification manner. Histaminylation is an emerging protein post-translational modification (PTM), where an isopeptide bond is formed between the histamine primary amine and the γ-carboxyl group of glutamine through a transamidation reaction catalyzed by transglutaminase 2 (TGM2). However, due to the lack of efficient pan-specific antibodies targeting histaminylated glutamine, the histaminylation proteome in cells remains poorly explored. Here, we report the design and development of a novel Nτ-propargylated histamine (Nτ-PH) probe as well as its successful application in chemical proteomic profiling of the histaminylation proteome in cancer cells. Notably, new TGM2-catalyzed epigenetic marks on core histones, e.g., H2AX-Q84 and Q104 histaminylation, have been identified from cancer cells and verified. Lastly, the crosstalk between H2AX histaminylation and γH2AX formation was discovered in this study, suggesting that TGM2-mediated histaminylation plays a critical role in DNA damage responses.</w:t>
      </w:r>
    </w:p>
    <w:p>
      <w:pPr>
        <w:spacing w:before="120" w:after="120"/>
      </w:pPr>
      <w:r>
        <w:rPr>
          <w:sz w:val="18"/>
        </w:rPr>
        <w:t>——————————————————————————————————————————————————————————————————————</w:t>
      </w:r>
    </w:p>
    <w:p>
      <w:pPr>
        <w:spacing w:before="160" w:after="40" w:line="240" w:lineRule="auto"/>
      </w:pPr>
      <w:r>
        <w:rPr>
          <w:b/>
        </w:rPr>
        <w:t xml:space="preserve">[157] </w:t>
      </w:r>
      <w:hyperlink r:id="rId842">
        <w:r>
          <w:rPr>
            <w:color w:val="1155CC"/>
            <w:u w:val="single"/>
          </w:rPr>
          <w:t>可见光捕获 Cr(III) 光催化剂</w:t>
        </w:r>
      </w:hyperlink>
    </w:p>
    <w:p>
      <w:pPr>
        <w:spacing w:before="0" w:after="80"/>
      </w:pPr>
      <w:r>
        <w:rPr>
          <w:i/>
          <w:sz w:val="20"/>
        </w:rPr>
        <w:t>EN: Visible Light Harvesting Cr(III) Photocatalysts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43">
        <w:r>
          <w:rPr>
            <w:color w:val="1155CC"/>
            <w:u w:val="single"/>
          </w:rPr>
          <w:t>10.1021/jacs.6c11305</w:t>
        </w:r>
      </w:hyperlink>
    </w:p>
    <w:p>
      <w:pPr>
        <w:spacing w:before="0" w:after="120"/>
      </w:pPr>
      <w:r>
        <w:rPr>
          <w:b/>
        </w:rPr>
        <w:t xml:space="preserve">Notes: </w:t>
      </w:r>
      <w:r>
        <w:t>abstract_source=crossref</w:t>
      </w:r>
    </w:p>
    <w:p>
      <w:pPr>
        <w:spacing w:before="0" w:after="80" w:lineRule="auto" w:line="276"/>
      </w:pPr>
      <w:r>
        <w:rPr>
          <w:b/>
        </w:rPr>
        <w:t xml:space="preserve">摘要（ZH）: </w:t>
      </w:r>
      <w:r>
        <w:t>摘要 伪八面体 Cr(III) 光敏剂因其寿命长、强光氧化激发态而成为 Ru(II)/Ir(III) MLCT 发色团的有前途的替代品，但其可见光吸收较差。为了应对这一挑战，我们制备了一系列在每个菲咯啉核心的 4-和 7-位上带有芳基乙炔单元的均配 Cr(III) 三菲咯啉络合物。与 [Cr(phen)3]3+ 相比，这种修饰在配体内 (IL) π–π* 跃迁中产生 &gt;1 eV 的红移，并增强了 UVA 和蓝绿区域 (ε ∼25,000–100,000 M–1 cm–1) 的吸收，使传统的 MLCT 光敏剂黯然失色，同时 2E 配体场发射能量基本不受影响。纳秒瞬态吸收和光致发光测量证实了较长的激发态寿命（CH3 中 τ = 33–119 μs），同时具有强氧化激发态电势：E°'([Cr]3+*/2+) = 0.97–1.09 V vs. Fc+/0。 1O2 生产的高量子产率 (ΦΔ ≤ 0.85) 导致在蓝光或绿光照射下 30 分钟内将 1,5-二羟基萘高效光敏氧化为胡桃醌（催化剂负载量为 0.1–0.2 mol%）。在低催化剂负载量（0.1–0.3 mol%）下也证明了蓝光或绿光下的光催化[4 + 2]环加成反应（产率高达 100%）。综合结果表明，通过利用 IL 跃迁，可以在 Cr(III) 二亚胺中轻松实现大的可见光吸收截面，而不会影响激发态能量或寿命。</w:t>
      </w:r>
    </w:p>
    <w:p>
      <w:pPr>
        <w:spacing w:before="0" w:after="200" w:lineRule="auto" w:line="276"/>
      </w:pPr>
      <w:r>
        <w:rPr>
          <w:b/>
        </w:rPr>
        <w:t xml:space="preserve">Abstract (EN): </w:t>
      </w:r>
      <w:r>
        <w:t>Pseudo-octahedral Cr(III) photosensitizers offer a promising alternative to Ru(II)/Ir(III) MLCT chromophores due to their long-lived, strongly photo-oxidizing excited states, yet suffer from poor visible-light absorption. To address this challenge, we prepared a series of homoleptic Cr(III) trissdphenanthroline) complexes bearing arylacetylene units on the 4- and 7-positions at each phenanthroline core. This modification produced a &amp;gt;1 eV bathochromic shift in intraligand (IL) π–π* transitions and enhanced absorption across the UVA and blue-to-green regions (ε ∼25,000–100,000 M–1 cm–1) compared to [Cr(phen)3]3+, eclipsing traditional MLCT photosensitizers while leaving 2E ligand-field-emission energies largely unaffected. Nanosecond transient absorption and photoluminescence measurements confirmed long excited-state lifetimes (τ = 33–119 μs in CH3) while featuring strongly oxidizing excited-state potentials: E°'([Cr]3+*/2+) = 0.97–1.09 V vs. Fc+/0. High quantum yields for 1O2 production (ΦΔ ≤ 0.85) resulted in efficient photosensitized oxidation of 1,5-dihydroxynaphthalene to juglone under blue or green light irradiation within 30 min (0.1–0.2 mol % catalyst loading). Photocatalytic [4 + 2] cycloadditions under blue or green light (yields up to 100%) were also demonstrated at low catalyst loadings (0.1–0.3 mol %). The combined results demonstrate that large visible absorption cross sections are readily achievable in Cr(III) diimines by leveraging IL transitions, without compromising excited-state energetics or lifetimes.</w:t>
      </w:r>
    </w:p>
    <w:p>
      <w:pPr>
        <w:spacing w:before="120" w:after="120"/>
      </w:pPr>
      <w:r>
        <w:rPr>
          <w:sz w:val="18"/>
        </w:rPr>
        <w:t>——————————————————————————————————————————————————————————————————————</w:t>
      </w:r>
    </w:p>
    <w:p>
      <w:pPr>
        <w:spacing w:before="160" w:after="40" w:line="240" w:lineRule="auto"/>
      </w:pPr>
      <w:r>
        <w:rPr>
          <w:b/>
        </w:rPr>
        <w:t xml:space="preserve">[158] </w:t>
      </w:r>
      <w:hyperlink r:id="rId844">
        <w:r>
          <w:rPr>
            <w:color w:val="1155CC"/>
            <w:u w:val="single"/>
          </w:rPr>
          <w:t>主链离子化聚合物通过差异局部结构重排定量引导肝外 mRNA 表达</w:t>
        </w:r>
      </w:hyperlink>
    </w:p>
    <w:p>
      <w:pPr>
        <w:spacing w:before="0" w:after="80"/>
      </w:pPr>
      <w:r>
        <w:rPr>
          <w:i/>
          <w:sz w:val="20"/>
        </w:rPr>
        <w:t>EN: Backbone-Ionized Polymers for Quantitatively Guided Extra-Hepatic mRNA Expression via Differential Local Structural Rearrangement</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45">
        <w:r>
          <w:rPr>
            <w:color w:val="1155CC"/>
            <w:u w:val="single"/>
          </w:rPr>
          <w:t>10.1021/jacs.6c11271</w:t>
        </w:r>
      </w:hyperlink>
    </w:p>
    <w:p>
      <w:pPr>
        <w:spacing w:before="0" w:after="120"/>
      </w:pPr>
      <w:r>
        <w:rPr>
          <w:b/>
        </w:rPr>
        <w:t xml:space="preserve">Notes: </w:t>
      </w:r>
      <w:r>
        <w:t>abstract_source=crossref</w:t>
      </w:r>
    </w:p>
    <w:p>
      <w:pPr>
        <w:spacing w:before="0" w:after="80" w:lineRule="auto" w:line="276"/>
      </w:pPr>
      <w:r>
        <w:rPr>
          <w:b/>
        </w:rPr>
        <w:t xml:space="preserve">摘要（ZH）: </w:t>
      </w:r>
      <w:r>
        <w:t>摘要 肝外mRNA载体的合理结构设计缺乏定量结构-活性关系（QSAR）的指导，并且载体-mRNA界面相互作用的微观机制仍知之甚少。在此，我们报告了一种单组分骨架离子化聚合物平台，建立了肝外 mRNA 表达的 QSAR，并为阐明局部结构重排机制提供了理想的模型。通过将聚（β-氨基酯）（PβAE）上的叔胺转化为季铵盐（电离），我们开发了电离PβAE（iPβAE），并通过调整电离比例和侧链化学构建了包含90个PβAE变体的平台。体内筛选揭示了QSAR，即差分电离梯度诱导靶向（DIGIT），它总结了mRNA的电离比例与器官选择性表达强度之间侧链调节的定量关系。重排介导的亲和力控制和翻译（RE-ACT）机制阐明侧链充当分子开关，诱导独特的“静电钳”或“静电氢束缚”模式，从而精确控制mRNA的细胞内释放和翻译效率。此外，利用 iPβAE 的冻干制剂，抗原 mRNA (OVA/MUC1) 和 p53 mRNA 分别有效地递送至脾脏和肺。通过疫苗免疫疗法，小鼠的寿命延长了 20 倍，并且通过蛋白质替代疗法提高了化疗敏感性。</w:t>
      </w:r>
    </w:p>
    <w:p>
      <w:pPr>
        <w:spacing w:before="0" w:after="200" w:lineRule="auto" w:line="276"/>
      </w:pPr>
      <w:r>
        <w:rPr>
          <w:b/>
        </w:rPr>
        <w:t xml:space="preserve">Abstract (EN): </w:t>
      </w:r>
      <w:r>
        <w:t>The rational structural design of extra-hepatic mRNA carriers lacks guidance from quantitative structure–activity relationships (QSARs), and the microscopic mechanisms of carrier-mRNA interfacial interactions remain poorly understood. Herein, we report a single-component backbone-ionized polymer platform, establishing QSARs for extra-hepatic mRNA expression and providing an ideal model for elucidating the local structural rearrangement mechanisms. By converting the tertiary amines on poly(β-amino ester) (PβAE) into quaternary ammonium salts (ionization), we developed ionized PβAE (iPβAE) and constructed a platform containing 90 PβAE variants through tuning the ionization proportion and side-chain chemistry. In vivo screening reveals the QSAR, the differential ionization gradient-induced targeting (DIGIT), which summarizes the side-chain-regulated quantitative relationship between the ionization proportion and the organ-selective expression intensity of mRNA. The rearrangement-mediated affinity control and translation (RE-ACT) mechanism elucidates that side chains act as molecular switches, inducing distinct “Electrostatic Pincer” or “Electrostatic-Hydrogen Tethering” modes, thereby precisely controlling the intracellular release and translation efficiency of mRNA. Furthermore, leveraging the lyophilized formulation of iPβAE, antigen mRNA (OVA/MUC1) and p53 mRNA were efficiently delivered to the spleen and lung, respectively. The lifespan of mice was extended by 20 times with vaccine immunotherapy, and chemosensitivity was increased with protein replacement therapy. Collectively, this iPβAE platform establishes a broadly applicable framework for engineering next-generation mRNA carrier systems.</w:t>
      </w:r>
    </w:p>
    <w:p>
      <w:pPr>
        <w:spacing w:before="120" w:after="120"/>
      </w:pPr>
      <w:r>
        <w:rPr>
          <w:sz w:val="18"/>
        </w:rPr>
        <w:t>——————————————————————————————————————————————————————————————————————</w:t>
      </w:r>
    </w:p>
    <w:p>
      <w:pPr>
        <w:spacing w:before="160" w:after="40" w:line="240" w:lineRule="auto"/>
      </w:pPr>
      <w:r>
        <w:rPr>
          <w:b/>
        </w:rPr>
        <w:t xml:space="preserve">[159] </w:t>
      </w:r>
      <w:hyperlink r:id="rId846">
        <w:r>
          <w:rPr>
            <w:color w:val="1155CC"/>
            <w:u w:val="single"/>
          </w:rPr>
          <w:t>力唤醒 1,2-二氧杂环丁烷中休眠的化学发光途径</w:t>
        </w:r>
      </w:hyperlink>
    </w:p>
    <w:p>
      <w:pPr>
        <w:spacing w:before="0" w:after="80"/>
      </w:pPr>
      <w:r>
        <w:rPr>
          <w:i/>
          <w:sz w:val="20"/>
        </w:rPr>
        <w:t>EN: The Force Awakens a Dormant Chemiluminescent Pathway in 1,2-Dioxetane</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47">
        <w:r>
          <w:rPr>
            <w:color w:val="1155CC"/>
            <w:u w:val="single"/>
          </w:rPr>
          <w:t>10.1021/jacs.6c07677</w:t>
        </w:r>
      </w:hyperlink>
    </w:p>
    <w:p>
      <w:pPr>
        <w:spacing w:before="0" w:after="120"/>
      </w:pPr>
      <w:r>
        <w:rPr>
          <w:b/>
        </w:rPr>
        <w:t xml:space="preserve">Notes: </w:t>
      </w:r>
      <w:r>
        <w:t>abstract_source=crossref</w:t>
      </w:r>
    </w:p>
    <w:p>
      <w:pPr>
        <w:spacing w:before="0" w:after="80" w:lineRule="auto" w:line="276"/>
      </w:pPr>
      <w:r>
        <w:rPr>
          <w:b/>
        </w:rPr>
        <w:t xml:space="preserve">摘要（ZH）: </w:t>
      </w:r>
      <w:r>
        <w:t>摘要 1,2-二氧杂环丁烷因其 O-O 键断裂引发的化学发光分解而闻名。在热条件下，这种化学发光已用于分子成像，而化学发光的机械化学触发可以成为研究材料应力的有力工具。人们普遍认为机械化学活化遵循与热情况相同的 O-O 断裂途径。然而，我们对机械化学触发的 1,2-二氧杂环丁烷分解的第一原理模拟表明，传统的 O-O 断裂途径对施加的力基本上不敏感。相反，热不可接近的 C-C 键断裂路径通过施加的力而稳定，并且在高于临界力 (∼1.8-3.0 nN) 时变得更加有利。这种力诱导的机械开关在各种拉力方向和取代基上都具有鲁棒性，包括经过实验测试的金刚烷基衍生物。这些发现为化学发光建立了一条新的、根本上依赖于力的途径。他们证明机械力不仅可以用来加速反应，还可以从根本上改变其机制。这为新的机械载体设计和机械化学传感应用提供了重要的机会。</w:t>
      </w:r>
    </w:p>
    <w:p>
      <w:pPr>
        <w:spacing w:before="0" w:after="200" w:lineRule="auto" w:line="276"/>
      </w:pPr>
      <w:r>
        <w:rPr>
          <w:b/>
        </w:rPr>
        <w:t xml:space="preserve">Abstract (EN): </w:t>
      </w:r>
      <w:r>
        <w:t>1,2-Dioxetanes are well-known for their chemiluminescent decomposition initiated by O–O bond scission. Under thermal conditions, this chemiluminescence has been used for molecular imaging, while mechanochemical triggering of chemiluminescence can be a powerful tool for studying stress in materials. It has been widely assumed that mechanochemical activation follows the same O–O scission pathway as the thermal case. However, our first-principles simulations of the mechanochemically triggered decomposition of 1,2-dioxetane show that the traditional O–O scission pathway is largely insensitive to applied force. Instead, a thermally inaccessible C–C bond scission pathway is stabilized by applied force and becomes energetically favored above a critical force (∼1.8–3.0 nN). This force-induced mechanistic switch is robust across various pulling directions and substituents, including the experimentally tested adamantyl derivative. These findings establish a new, fundamentally force-dependent pathway for chemiluminescence. They demonstrate that mechanical force can be used not only to accelerate a reaction, but to fundamentally change its mechanism. This presents significant opportunities for new mechanophore design and mechanochemical sensing applications.</w:t>
      </w:r>
    </w:p>
    <w:p>
      <w:pPr>
        <w:spacing w:before="120" w:after="120"/>
      </w:pPr>
      <w:r>
        <w:rPr>
          <w:sz w:val="18"/>
        </w:rPr>
        <w:t>——————————————————————————————————————————————————————————————————————</w:t>
      </w:r>
    </w:p>
    <w:p>
      <w:pPr>
        <w:spacing w:before="160" w:after="40" w:line="240" w:lineRule="auto"/>
      </w:pPr>
      <w:r>
        <w:rPr>
          <w:b/>
        </w:rPr>
        <w:t xml:space="preserve">[160] </w:t>
      </w:r>
      <w:hyperlink r:id="rId848">
        <w:r>
          <w:rPr>
            <w:color w:val="1155CC"/>
            <w:u w:val="single"/>
          </w:rPr>
          <w:t>在深红光照射下发挥作用的钌基光笼激酶抑制剂</w:t>
        </w:r>
      </w:hyperlink>
    </w:p>
    <w:p>
      <w:pPr>
        <w:spacing w:before="0" w:after="80"/>
      </w:pPr>
      <w:r>
        <w:rPr>
          <w:i/>
          <w:sz w:val="20"/>
        </w:rPr>
        <w:t>EN: Ru-Based Photocaged Kinase Inhibitors Operative under Deep-Red Light Irradiation</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49">
        <w:r>
          <w:rPr>
            <w:color w:val="1155CC"/>
            <w:u w:val="single"/>
          </w:rPr>
          <w:t>10.1021/jacs.6c07801</w:t>
        </w:r>
      </w:hyperlink>
    </w:p>
    <w:p>
      <w:pPr>
        <w:spacing w:before="0" w:after="120"/>
      </w:pPr>
      <w:r>
        <w:rPr>
          <w:b/>
        </w:rPr>
        <w:t xml:space="preserve">Notes: </w:t>
      </w:r>
      <w:r>
        <w:t>abstract_source=crossref</w:t>
      </w:r>
    </w:p>
    <w:p>
      <w:pPr>
        <w:spacing w:before="0" w:after="80" w:lineRule="auto" w:line="276"/>
      </w:pPr>
      <w:r>
        <w:rPr>
          <w:b/>
        </w:rPr>
        <w:t xml:space="preserve">摘要（ZH）: </w:t>
      </w:r>
      <w:r>
        <w:t>摘要 对药物活性的光激活控制提供了提高治疗选择性的强大策略，但大多数光响应系统依赖于组织穿透有限的紫外线或短波长可见光。在这里，我们报道了两种钌（II）聚吡啶复合物，带有延伸的供体-π-受体配体和光笼激酶抑制剂伊马替尼，能够在深红光（660 nm）照射下有效释放药物。系统的光物理和光化学研究表明，π-共轭工程使金属到配体的电荷转移吸收发生红移，同时保持钌中心的协调伊马替尼的清洁光诱导释放。在 BCR-ABL 阳性白血病细胞中，这些复合物表现出最小的暗毒性，但具有明显的光依赖性细胞毒性，并伴有细胞凋亡和致癌 BCR-ABL 磷酸化的抑制。还观察到 3D 肿瘤球体的有效活性，证实了生理相关模型中的有效渗透和光激活。总之，这些结果建立了开发深红光激活 Ru(II) 光笼的分子设计策略，并突出了它们在癌症治疗中时空控制激酶抑制的潜力。</w:t>
      </w:r>
    </w:p>
    <w:p>
      <w:pPr>
        <w:spacing w:before="0" w:after="200" w:lineRule="auto" w:line="276"/>
      </w:pPr>
      <w:r>
        <w:rPr>
          <w:b/>
        </w:rPr>
        <w:t xml:space="preserve">Abstract (EN): </w:t>
      </w:r>
      <w:r>
        <w:t>Light-activated control over drug activity offers a powerful strategy to improve therapeutic selectivity, yet most photoresponsive systems rely on ultraviolet or short-wavelength visible light with limited tissue penetration. Here we report two ruthenium(II) polypyridyl complexes bearing extended donor−π–acceptor ligands and a photocaged kinase inhibitor, imatinib, that enable efficient drug release under deep-red light (660 nm) irradiation. Systematic photophysical and photochemical studies demonstrate that π-conjugation engineering red-shifts metal-to-ligand charge-transfer absorption while preserving clean photoinduced release of coordinated imatinib from the ruthenium center. In BCR–ABL–positive leukemia cells, these complexes exhibit minimal dark toxicity but pronounced light-dependent cytotoxicity, accompanied by apoptosis and suppression of oncogenic BCR–ABL phosphorylation. Effective activity in 3D tumor spheroids was also observed, confirming efficient penetration and photoactivation in a physiologically relevant model. Together, these results establish a molecular design strategy for developing deep-red-light-activated Ru(II) photocages and highlight their potential for spatiotemporally controlled kinase inhibition in cancer therapy.</w:t>
      </w:r>
    </w:p>
    <w:p>
      <w:pPr>
        <w:spacing w:before="120" w:after="120"/>
      </w:pPr>
      <w:r>
        <w:rPr>
          <w:sz w:val="18"/>
        </w:rPr>
        <w:t>——————————————————————————————————————————————————————————————————————</w:t>
      </w:r>
    </w:p>
    <w:p>
      <w:pPr>
        <w:spacing w:before="160" w:after="40" w:line="240" w:lineRule="auto"/>
      </w:pPr>
      <w:r>
        <w:rPr>
          <w:b/>
        </w:rPr>
        <w:t xml:space="preserve">[161] </w:t>
      </w:r>
      <w:hyperlink r:id="rId850">
        <w:r>
          <w:rPr>
            <w:color w:val="1155CC"/>
            <w:u w:val="single"/>
          </w:rPr>
          <w:t>非化学计量钙钛矿金属溶出的多个阶段</w:t>
        </w:r>
      </w:hyperlink>
    </w:p>
    <w:p>
      <w:pPr>
        <w:spacing w:before="0" w:after="80"/>
      </w:pPr>
      <w:r>
        <w:rPr>
          <w:i/>
          <w:sz w:val="20"/>
        </w:rPr>
        <w:t>EN: Multiple Stages of Metal Exsolution from Nonstoichiometric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51">
        <w:r>
          <w:rPr>
            <w:color w:val="1155CC"/>
            <w:u w:val="single"/>
          </w:rPr>
          <w:t>10.1021/jacs.6c08762</w:t>
        </w:r>
      </w:hyperlink>
    </w:p>
    <w:p>
      <w:pPr>
        <w:spacing w:before="0" w:after="120"/>
      </w:pPr>
      <w:r>
        <w:rPr>
          <w:b/>
        </w:rPr>
        <w:t xml:space="preserve">Notes: </w:t>
      </w:r>
      <w:r>
        <w:t>abstract_source=crossref</w:t>
      </w:r>
    </w:p>
    <w:p>
      <w:pPr>
        <w:spacing w:before="0" w:after="80" w:lineRule="auto" w:line="276"/>
      </w:pPr>
      <w:r>
        <w:rPr>
          <w:b/>
        </w:rPr>
        <w:t xml:space="preserve">摘要（ZH）: </w:t>
      </w:r>
      <w:r>
        <w:t>摘要 出溶能够使金属纳米颗粒从金属氧化物中受控固态沉淀，从而产生具有优异的电化学能量转换催化性能的材料。在不同温度下溶解的颗粒的不同特征表明尚未解决的复杂机制。通过对从纳米级楔形到微米级粉末的 La0.2Ca0.7Ti0.9Sc0.05Cu0.05O3−δ 进行一系列原位电子显微镜、同步加速器 X 射线衍射和热重分析实验，随着热活化的增加，多个阶段的溶出被解卷积：(1) 锚定表面纳米粒子的少量溶出，(2) 本体内内粒子的溶出，以及 (3) 扩散和扩散在本体和表面聚结。通过形成纳米级台阶和台阶来重建钙钛矿表面，与内颗粒的生长同时进行。此外，在近表面区域和本体内部更深处观察到不同的溶出特征，分别产生球形和斜方形状的内颗粒。</w:t>
      </w:r>
    </w:p>
    <w:p>
      <w:pPr>
        <w:spacing w:before="0" w:after="200" w:lineRule="auto" w:line="276"/>
      </w:pPr>
      <w:r>
        <w:rPr>
          <w:b/>
        </w:rPr>
        <w:t xml:space="preserve">Abstract (EN): </w:t>
      </w:r>
      <w:r>
        <w:t>Exsolution enables controlled solid-state precipitation of metal nanoparticles from metal oxides, resulting in materials that exhibit excellent catalytic properties for electrochemical energy conversion. The diverse characteristics of particles exsolved at different temperatures indicate complex mechanisms that remain unresolved. Through a series of in situ electron microscopy, synchrotron X-ray diffraction, and thermogravimetry experiments on La0.2Ca0.7Ti0.9Sc0.05Cu0.05O3−δ across nanoscale wedges to μm-sized powders, multiple stages of exsolution are deconvoluted with increasing thermal activation: (1) minor exsolution of anchored surface nanoparticles, (2) exsolution of endoparticles within the bulk, and (3) diffusion and coalescing in the bulk and at the surfaces. Reconstruction of the perovskite surface by formation of nanoscopic steps and terraces proceeds concurrently with endoparticle growth. Moreover, distinct exsolution characteristics are observed in the near-surface region and deeper within the bulk, resulting in spherically and orthorhombically shaped endoparticles, respectively.</w:t>
      </w:r>
    </w:p>
    <w:p>
      <w:pPr>
        <w:spacing w:before="120" w:after="120"/>
      </w:pPr>
      <w:r>
        <w:rPr>
          <w:sz w:val="18"/>
        </w:rPr>
        <w:t>——————————————————————————————————————————————————————————————————————</w:t>
      </w:r>
    </w:p>
    <w:p>
      <w:pPr>
        <w:spacing w:before="160" w:after="40" w:line="240" w:lineRule="auto"/>
      </w:pPr>
      <w:r>
        <w:rPr>
          <w:b/>
        </w:rPr>
        <w:t xml:space="preserve">[162] </w:t>
      </w:r>
      <w:hyperlink r:id="rId852">
        <w:r>
          <w:rPr>
            <w:color w:val="1155CC"/>
            <w:u w:val="single"/>
          </w:rPr>
          <w:t>活细胞中磺亚胺的辐射诱导剪辑反应</w:t>
        </w:r>
      </w:hyperlink>
    </w:p>
    <w:p>
      <w:pPr>
        <w:spacing w:before="0" w:after="80"/>
      </w:pPr>
      <w:r>
        <w:rPr>
          <w:i/>
          <w:sz w:val="20"/>
        </w:rPr>
        <w:t>EN: Radiation-Induced Clip Reaction of Sulfilimine in Living Cells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53">
        <w:r>
          <w:rPr>
            <w:color w:val="1155CC"/>
            <w:u w:val="single"/>
          </w:rPr>
          <w:t>10.1021/jacs.6c13407</w:t>
        </w:r>
      </w:hyperlink>
    </w:p>
    <w:p>
      <w:pPr>
        <w:spacing w:before="0" w:after="120"/>
      </w:pPr>
      <w:r>
        <w:rPr>
          <w:b/>
        </w:rPr>
        <w:t xml:space="preserve">Notes: </w:t>
      </w:r>
      <w:r>
        <w:t>abstract_source=crossref</w:t>
      </w:r>
    </w:p>
    <w:p>
      <w:pPr>
        <w:spacing w:before="0" w:after="80" w:lineRule="auto" w:line="276"/>
      </w:pPr>
      <w:r>
        <w:rPr>
          <w:b/>
        </w:rPr>
        <w:t xml:space="preserve">摘要（ZH）: </w:t>
      </w:r>
      <w:r>
        <w:t>摘要 Clip 反应具有高选择性和高效的键断裂特性，是强大的合成工具。在此，建立了硫亚胺的辐射诱导剪辑反应。硫亚胺通过辐射定量分解为吩噻嗪和胺，放射分解产率创历史新高，达到 270.9 nM/Gy。这种高效率和选择性归因于水合电子和羟基自由基（这两种主要的辐射产生的反应物种）的近乎统一的利用。硫亚胺键通过水合电子发生还原裂解，生成吩噻嗪自由基阳离子和胺。然后，吩噻嗪自由基阳离子被羟基自由基和水还原为吩噻嗪。夹式反应在典型干扰下，特别是在生物条件下，表现出广泛的底物范围、快速的反应动力学和稳健的性能。通过与基于硫亚胺的点击反应配对，它可以实现生命系统中生物活性分子的辐射触发激活。值得注意的是，硫亚胺笼罩的单甲基奥瑞他汀 E (MMAE) 的细胞毒性显着降低至 MMAE 的约 1/800。癌细胞经1 Gy γ射线照射后，可恢复抗癌生物活性。此外，硫亚胺笼式MMAE在γ射线照射下显示出显着的体内抗癌作用。这项工作建立了一种新的生物正交化学模式，扩展了生命系统中时空可控键断裂的化学工具包。它还为放射治疗增强、时空分析提供了分子框架。</w:t>
      </w:r>
    </w:p>
    <w:p>
      <w:pPr>
        <w:spacing w:before="0" w:after="200" w:lineRule="auto" w:line="276"/>
      </w:pPr>
      <w:r>
        <w:rPr>
          <w:b/>
        </w:rPr>
        <w:t xml:space="preserve">Abstract (EN): </w:t>
      </w:r>
      <w:r>
        <w:t>Clip reactions featuring highly selective and efficient bond cleavage are powerful synthetic tools. Herein, a radiation-induced clip reaction of sulfilimine is established. Sulfilimines are quantitatively decomposed to phenothiazines and amines by radiation with a record-high radiolytic yield of 270.9 nM/Gy. This high efficiency and selectivity are attributed to the near-unity utilization of hydrated electrons and hydroxyl radicals, the two primary radiation-generated reactive species. The sulfilimine bond undergoes reductive cleavage by hydrated electrons to generate a phenothiazine radical cation and an amine. Then, phenothiazine radical cation is reduced to phenothiazine by hydroxyl radicals and water. The clip reaction exhibits a broad substrate scope, rapid reaction kinetics, and robust performance under typical interferences, particularly under biological conditions. By pairing with sulfilimine-based click reactions, it enables the radiation-triggered activation of bioactive molecules in living systems. Notably, the cytotoxicity of the sulfilimine-caged monomethyl auristatin E (MMAE) is dramatically reduced to be about 1/800 of MMAE. Upon 1 Gy γ-irradiation in cancer cells, the anticancer bioactivity can be restored. Moreover, the sulfilimine-caged MMAE shows a remarkable in vivo anticancer effect with γ-ray irradiation. This work establishes a new modality of bioorthogonal chemistry, expanding the chemical toolkit for spatiotemporally controllable bond cleavage in living systems. It also provides a molecular framework for radiotherapy-enhanced, spatiotemporally targeted chemotherapy.</w:t>
      </w:r>
    </w:p>
    <w:p>
      <w:pPr>
        <w:spacing w:before="120" w:after="120"/>
      </w:pPr>
      <w:r>
        <w:rPr>
          <w:sz w:val="18"/>
        </w:rPr>
        <w:t>——————————————————————————————————————————————————————————————————————</w:t>
      </w:r>
    </w:p>
    <w:p>
      <w:pPr>
        <w:spacing w:before="160" w:after="40" w:line="240" w:lineRule="auto"/>
      </w:pPr>
      <w:r>
        <w:rPr>
          <w:b/>
        </w:rPr>
        <w:t xml:space="preserve">[163] </w:t>
      </w:r>
      <w:hyperlink r:id="rId854">
        <w:r>
          <w:rPr>
            <w:color w:val="1155CC"/>
            <w:u w:val="single"/>
          </w:rPr>
          <w:t>通过脱水收缩策略实现极端温度稳定性的磷光材料</w:t>
        </w:r>
      </w:hyperlink>
    </w:p>
    <w:p>
      <w:pPr>
        <w:spacing w:before="0" w:after="80"/>
      </w:pPr>
      <w:r>
        <w:rPr>
          <w:i/>
          <w:sz w:val="20"/>
        </w:rPr>
        <w:t>EN: Phosphorescent Materials with Extreme Temperature Stability via a Dehydration–Shrinkage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55">
        <w:r>
          <w:rPr>
            <w:color w:val="1155CC"/>
            <w:u w:val="single"/>
          </w:rPr>
          <w:t>10.1021/jacs.6c13627</w:t>
        </w:r>
      </w:hyperlink>
    </w:p>
    <w:p>
      <w:pPr>
        <w:spacing w:before="0" w:after="120"/>
      </w:pPr>
      <w:r>
        <w:rPr>
          <w:b/>
        </w:rPr>
        <w:t xml:space="preserve">Notes: </w:t>
      </w:r>
      <w:r>
        <w:t>abstract_source=crossref</w:t>
      </w:r>
    </w:p>
    <w:p>
      <w:pPr>
        <w:spacing w:before="0" w:after="80" w:lineRule="auto" w:line="276"/>
      </w:pPr>
      <w:r>
        <w:rPr>
          <w:b/>
        </w:rPr>
        <w:t xml:space="preserve">摘要（ZH）: </w:t>
      </w:r>
      <w:r>
        <w:t>摘要 由三重态激子产生的磷光非常容易受到热猝灭的影响，因为高温会引发非辐射跃迁。在极端高温下实现高效且持久的有机磷光仍然是一个艰巨的挑战。我们引入脱水收缩策略来获得具有极端温度耐受性的掺杂有机磷光系统，从而实现磷光体逐渐锚定在水合硼酸钠的离子网络内。这些掺杂系统在室温和 573 K 下表现出跨度为 400 至 680 nm 的高效磷光，实现了 81.2% 的磷光量子产率和 1.64 s 的室温寿命。值得注意的是，掺杂系统可以在 573 K 下保持运行至少 6 个月。机理研究表明，温度引起的水离开会引发网络收缩，从而使局部环境变硬并抑制三线态激子失活，从而稳定磷光。该策略为构建高温磷光材料、安全指示器和信息安全器件开辟了前景。</w:t>
      </w:r>
    </w:p>
    <w:p>
      <w:pPr>
        <w:spacing w:before="0" w:after="200" w:lineRule="auto" w:line="276"/>
      </w:pPr>
      <w:r>
        <w:rPr>
          <w:b/>
        </w:rPr>
        <w:t xml:space="preserve">Abstract (EN): </w:t>
      </w:r>
      <w:r>
        <w:t>Phosphorescence, stemming from triplet excitons, is highly susceptible to thermal quenching as elevated temperatures trigger nonradiative transitions. Achieving efficient and persistent organic phosphorescence under extreme heat remains a formidable challenge. We introduce a dehydration-shrinkage strategy to obtain doped organic phosphorescence systems with extreme-temperature tolerance, which achieves gradual anchoring of the phosphors within the ionic network of hydrated sodium borate. These doped systems exhibit efficient phosphorescence spanning 400 to 680 nm at room temperature and 573 K, achieving a phosphorescence quantum yield of 81.2% and a lifetime of 1.64 s at room temperature. Remarkably, the doped systems can remain operational for at least 6 months at 573 K. Mechanistic studies reveal that temperature-induced water departure triggers network shrinkage, which rigidifies the local environment and suppresses triplet exciton deactivation, thereby stabilizing the phosphorescence. This strategy opens a perspective for constructing high-temperature phosphorescent materials, safety indicators, and information security devices.</w:t>
      </w:r>
    </w:p>
    <w:p>
      <w:pPr>
        <w:spacing w:before="120" w:after="120"/>
      </w:pPr>
      <w:r>
        <w:rPr>
          <w:sz w:val="18"/>
        </w:rPr>
        <w:t>——————————————————————————————————————————————————————————————————————</w:t>
      </w:r>
    </w:p>
    <w:p>
      <w:pPr>
        <w:spacing w:before="160" w:after="40" w:line="240" w:lineRule="auto"/>
      </w:pPr>
      <w:r>
        <w:rPr>
          <w:b/>
        </w:rPr>
        <w:t xml:space="preserve">[164] </w:t>
      </w:r>
      <w:hyperlink r:id="rId856">
        <w:r>
          <w:rPr>
            <w:color w:val="1155CC"/>
            <w:u w:val="single"/>
          </w:rPr>
          <w:t>细菌免疫传感器 Avs2 和 Upx 识别噬菌体终止酶</w:t>
        </w:r>
      </w:hyperlink>
    </w:p>
    <w:p>
      <w:pPr>
        <w:spacing w:before="0" w:after="80"/>
      </w:pPr>
      <w:r>
        <w:rPr>
          <w:i/>
          <w:sz w:val="20"/>
        </w:rPr>
        <w:t>EN: Phage terminase recognition by the bacterial immune sensors Avs2 and Upx</w:t>
      </w:r>
    </w:p>
    <w:p>
      <w:pPr>
        <w:spacing w:before="0" w:after="120"/>
      </w:pPr>
      <w:r>
        <w:rPr>
          <w:b/>
        </w:rPr>
        <w:t xml:space="preserve">Source: </w:t>
      </w:r>
      <w:r>
        <w:t>Biological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原核生物采用多种防御策略来检测和阻止噬菌体感染的进展。多种防御系统通过直接结合来感知噬菌体蛋白，包括抗病毒 STAND NTPase (Avs)，它在目标识别后寡聚以诱导程序性细胞死亡。广泛分布的 Avs2 家族先前被证明可以检测有尾噬菌体的大终止酶亚基，但终止酶传感的机制尚不清楚。在这里，我们确定了大肠杆菌 Avs2 (EcAvs2) 终止酶识别的结构基础。 2.3 Å 分辨率的冷冻电镜结构显示，EcAvs2 形成扁平的 C4 对称四聚体，其中每个原聚体均与单个终止酶单体结合。终止酶识别是由 EcAvs2 传感器结构域中形状互补的大结合袋介导的，包括与 EcAvs2 和终止酶界面上意想不到的 ATP 分子的特异性接触。此外，我们证明防御蛋白​​ Upx 也能识别多种噬菌体末端酶，尽管与 Avs 缺乏序列和结构同源性。 AlphaFold 3 模型表明 Upx 结合核心终止酶 ATPase 结构域的未折叠状态，由 β-增强介导。这些发现强调了结构多样的防御蛋白中终止酶识别的不同模式。</w:t>
      </w:r>
    </w:p>
    <w:p>
      <w:pPr>
        <w:spacing w:before="0" w:after="200" w:lineRule="auto" w:line="276"/>
      </w:pPr>
      <w:r>
        <w:rPr>
          <w:b/>
        </w:rPr>
        <w:t xml:space="preserve">Abstract (EN): </w:t>
      </w:r>
      <w:r>
        <w:t>Prokaryotes employ diverse defense strategies to detect and halt the progression of phage infection. Multiple defense systems sense phage proteins through direct binding, including antiviral STAND NTPases (Avs), which oligomerize upon target recognition to induce programmed cell death. The widespread Avs2 family was previously shown to detect the large terminase subunit of tailed phages, but the mechanism of terminase sensing was unknown. Here, we determine the structural basis of terminase recognition by Avs2 from Escherichia coli (EcAvs2). A cryo-EM structure at 2.3 Å resolution reveals that EcAvs2 forms a flat, C4-symmetric tetramer in which each protomer is bound to a single terminase monomer. Terminase recognition is mediated by a large, shape complementary binding pocket in the EcAvs2 sensor domain, including specific contacts with an unexpected ATP molecule at the interface of EcAvs2 and terminase. Furthermore, we demonstrate that the defense protein Upx also recognizes diverse phage terminases, despite lacking sequence and structural homology to Avs. AlphaFold 3 models indicate that Upx binds an unfolded state of the core terminase ATPase domain, mediated by β-augmentation. These findings highlight the distinct modes of terminase recognition across structurally diverse defense proteins.</w:t>
      </w:r>
    </w:p>
    <w:p>
      <w:pPr>
        <w:spacing w:before="120" w:after="120"/>
      </w:pPr>
      <w:r>
        <w:rPr>
          <w:sz w:val="18"/>
        </w:rPr>
        <w:t>——————————————————————————————————————————————————————————————————————</w:t>
      </w:r>
    </w:p>
    <w:p>
      <w:pPr>
        <w:spacing w:before="160" w:after="40" w:line="240" w:lineRule="auto"/>
      </w:pPr>
      <w:r>
        <w:rPr>
          <w:b/>
        </w:rPr>
        <w:t xml:space="preserve">[165] </w:t>
      </w:r>
      <w:hyperlink r:id="rId857">
        <w:r>
          <w:rPr>
            <w:color w:val="1155CC"/>
            <w:u w:val="single"/>
          </w:rPr>
          <w:t>解码配对样同源域家族协同 DNA 结合的机制</w:t>
        </w:r>
      </w:hyperlink>
    </w:p>
    <w:p>
      <w:pPr>
        <w:spacing w:before="0" w:after="80"/>
      </w:pPr>
      <w:r>
        <w:rPr>
          <w:i/>
          <w:sz w:val="20"/>
        </w:rPr>
        <w:t>EN: Decoding the mechanisms of cooperative DNA binding by the Paired-like homeodomain family</w:t>
      </w:r>
    </w:p>
    <w:p>
      <w:pPr>
        <w:spacing w:before="0" w:after="120"/>
      </w:pPr>
      <w:r>
        <w:rPr>
          <w:b/>
        </w:rPr>
        <w:t xml:space="preserve">Source: </w:t>
      </w:r>
      <w:r>
        <w:t>Biological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人类中的 36 个配对样同源域转录因子是许多细胞类型、组织和器官发育所必需的，因为 24 个配对样基因中的错义变异与许多疾病和发育障碍有关。这些因素如何使用高度相似的 DNA 结合域识别不同的基因组靶标尚不完全清楚。在这里，我们重点确定人类配对样同源域因子如何通过协作结合间隔三个碱基对的回文位点（P3 位点）来获得 DNA 结合特异性。通过结构、生物化学和生物信息学方法，我们定义了 11 条规则，描述对 P3 位点协同性至关重要、允许和抑制的同源域残基。应用这些规则，我们成功地改变了类配对因子的协作行为，识别了阻止相关触角足类同源域协作结合的残基，并预测十个类配对蛋白中的 38 个与疾病相关的错义变异会改变协作性。使用定量 DNA 结合测定，我们确认这些疾病相关变异中有 12 个会影响协同性，但不会影响 DNA 结合亲和力。这些发现揭示了协同性在定义 DNA 结合特异性方面的重要性，并强调了与多达 15 种不同疾病相关的错义变异如何选择性地破坏协同性 DNA 结合。</w:t>
      </w:r>
    </w:p>
    <w:p>
      <w:pPr>
        <w:spacing w:before="0" w:after="200" w:lineRule="auto" w:line="276"/>
      </w:pPr>
      <w:r>
        <w:rPr>
          <w:b/>
        </w:rPr>
        <w:t xml:space="preserve">Abstract (EN): </w:t>
      </w:r>
      <w:r>
        <w:t>The 36 Paired-like homeodomain transcription factors in humans are required for the development of many cell types, tissues, and organs as missense variants in 24 Paired-like genes have been associated with numerous diseases and developmental disorders. How these factors identify distinct genomic targets using highly similar DNA binding domains is not fully understood. Here, we focus on determining how the human Paired-like homeodomain factors gain DNA binding specificity by cooperatively binding palindromic sites spaced three base pairs apart (P3 site). Through structural, biochemical, and bioinformatic approaches, we define 11 rules that describe homeodomain residues that are critical, permissive, and inhibitory to cooperativity on the P3 site. Applying these rules, we successfully alter the cooperative behavior of Paired-like factors, identify residues that prevent the related Antennapedia class of homeodomains from binding cooperatively, and predict that thirty-eight disease-associated missense variants across ten Paired-like proteins alter cooperativity. Using quantitative DNA binding assays, we confirm eleven of twelve of these disease-associated variants impact cooperativity but not DNA binding affinity. These findings reveal the importance of cooperativity in defining DNA binding specificity and highlight how missense variants associated with as many as fifteen different diseases can selectively disrupt cooperative DNA binding.</w:t>
      </w:r>
    </w:p>
    <w:p>
      <w:pPr>
        <w:spacing w:before="120" w:after="120"/>
      </w:pPr>
      <w:r>
        <w:rPr>
          <w:sz w:val="18"/>
        </w:rPr>
        <w:t>——————————————————————————————————————————————————————————————————————</w:t>
      </w:r>
    </w:p>
    <w:p>
      <w:pPr>
        <w:spacing w:before="160" w:after="40" w:line="240" w:lineRule="auto"/>
      </w:pPr>
      <w:r>
        <w:rPr>
          <w:b/>
        </w:rPr>
        <w:t xml:space="preserve">[166] </w:t>
      </w:r>
      <w:hyperlink r:id="rId858">
        <w:r>
          <w:rPr>
            <w:color w:val="1155CC"/>
            <w:u w:val="single"/>
          </w:rPr>
          <w:t>统一黑洞热力学的拓扑、几何和复杂分类</w:t>
        </w:r>
      </w:hyperlink>
    </w:p>
    <w:p>
      <w:pPr>
        <w:spacing w:before="0" w:after="80"/>
      </w:pPr>
      <w:r>
        <w:rPr>
          <w:i/>
          <w:sz w:val="20"/>
        </w:rPr>
        <w:t>EN: Unifying topological, geometric, and complex classifications of black hole thermodynamics</w:t>
      </w:r>
    </w:p>
    <w:p>
      <w:pPr>
        <w:spacing w:before="0" w:after="120"/>
      </w:pPr>
      <w:r>
        <w:rPr>
          <w:b/>
        </w:rPr>
        <w:t xml:space="preserve">Source: </w:t>
      </w:r>
      <w:r>
        <w:t>ScienceDirect Publication: Physics Letters B</w:t>
      </w:r>
      <w:r>
        <w:t xml:space="preserve">    </w:t>
      </w:r>
      <w:r>
        <w:rPr>
          <w:b/>
        </w:rPr>
        <w:t xml:space="preserve">Pub date: </w:t>
      </w:r>
      <w:r>
        <w:t>2026-08-03 00:00:00+00:00</w:t>
      </w:r>
      <w:r>
        <w:t xml:space="preserve">    </w:t>
      </w:r>
      <w:r>
        <w:rPr>
          <w:b/>
        </w:rPr>
        <w:t xml:space="preserve">DOI: </w:t>
      </w:r>
      <w:hyperlink r:id="rId859">
        <w:r>
          <w:rPr>
            <w:color w:val="1155CC"/>
            <w:u w:val="single"/>
          </w:rPr>
          <w:t>10.1016/j.physletb.2026.140822</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 年 8 月 3 日在线发布来源：Physics Letters B 作者：Shi-Hao 张、Shao-Wen Wei、Jing-Fei 张、Xin 张</w:t>
      </w:r>
    </w:p>
    <w:p>
      <w:pPr>
        <w:spacing w:before="0" w:after="200" w:lineRule="auto" w:line="276"/>
      </w:pPr>
      <w:r>
        <w:rPr>
          <w:b/>
        </w:rPr>
        <w:t xml:space="preserve">Abstract (EN): </w:t>
      </w:r>
      <w:r>
        <w:t>Publication date: Available online 3 August 2026Source: Physics Letters BAuthor(s): Shi-Hao Zhang, Shao-Wen Wei, Jing-Fei Zhang, Xin Zhang</w:t>
      </w:r>
    </w:p>
    <w:p>
      <w:pPr>
        <w:spacing w:before="120" w:after="120"/>
      </w:pPr>
      <w:r>
        <w:rPr>
          <w:sz w:val="18"/>
        </w:rPr>
        <w:t>——————————————————————————————————————————————————————————————————————</w:t>
      </w:r>
    </w:p>
    <w:p>
      <w:pPr>
        <w:spacing w:before="160" w:after="40" w:line="240" w:lineRule="auto"/>
      </w:pPr>
      <w:r>
        <w:rPr>
          <w:b/>
        </w:rPr>
        <w:t xml:space="preserve">[167] </w:t>
      </w:r>
      <w:hyperlink r:id="rId860">
        <w:r>
          <w:rPr>
            <w:color w:val="1155CC"/>
            <w:u w:val="single"/>
          </w:rPr>
          <w:t>全基因组 DNA 甲基化分析揭示了终末期肾病的表观遗传机制</w:t>
        </w:r>
      </w:hyperlink>
    </w:p>
    <w:p>
      <w:pPr>
        <w:spacing w:before="0" w:after="80"/>
      </w:pPr>
      <w:r>
        <w:rPr>
          <w:i/>
          <w:sz w:val="20"/>
        </w:rPr>
        <w:t>EN: Genome-wide DNA methylation analysis revealed epigenetic mechanism underlying end-stage renal disease</w:t>
      </w:r>
    </w:p>
    <w:p>
      <w:pPr>
        <w:spacing w:before="0" w:after="120"/>
      </w:pPr>
      <w:r>
        <w:rPr>
          <w:b/>
        </w:rPr>
        <w:t xml:space="preserve">Source: </w:t>
      </w:r>
      <w:r>
        <w:t>Biological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终末期肾病（ESRD）仍然是一个重大的临床挑战，具有高发病率和死亡率，其分子机制，特别是在进展为 ESRD 期间各种原发性肾病之间共有的分子机制尚未得到研究。在这里，我们在两个独立队列中进行了一项大规模两阶段全表观基因组关联研究，其中包括 704 名对照者和 1031 名 ESRD 病例。我们确定了 52 个与 ESRD 相关的差异甲基化 CpG 位置 (ESRD DMP)，显示两个队列之间以及不同肾脏疾病之间存在一致的关联，涉及富含炎症和免疫途径的 144 个候选基因。 52 种 DMP 中有 5 种与 ESRD 并发症相关，7 种与早期慢性肾病的肾功能下降有关，这表明它们作为 ESRD 及其并发症的预后生物标志物的潜力。我们的研究结果强调炎症、免疫失调和肾纤维化是 ESRD 进展的共同表观遗传驱动因素，并确定了对风险分层和治疗干预具有潜在用途的生物标志物。</w:t>
      </w:r>
    </w:p>
    <w:p>
      <w:pPr>
        <w:spacing w:before="0" w:after="200" w:lineRule="auto" w:line="276"/>
      </w:pPr>
      <w:r>
        <w:rPr>
          <w:b/>
        </w:rPr>
        <w:t xml:space="preserve">Abstract (EN): </w:t>
      </w:r>
      <w:r>
        <w:t>End-stage renal disease (ESRD) remains a major clinical challenge with high morbidity and mortality, and its molecular mechanisms, particularly those shared among diverse primary kidney diseases during progression to ESRD, have not been studied. Here we conduct a large-scale two-stage epigenome-wide association study of ESRD in two independent cohorts consisting of 704 controls and 1031 ESRD cases. We identify 52 ESRD-associated differentially methylated CpG positions (ESRD DMPs) showing consistent association between the two cohorts and across diverse kidney diseases, implicating 144 candidate genes enriched in inflammatory and immune pathways. Five of the 52 DMPs are associated with ESRD complications, and seven with renal function decline in early-stage chronic kidney disease, demonstrating their potential as prognostic biomarkers for ESRD and its complications. Our findings highlight inflammation, immune dysregulation, and renal fibrosis as shared epigenetic drivers of ESRD progression, and identify biomarkers with potential utility for risk stratification and therapeutic intervention.</w:t>
      </w:r>
    </w:p>
    <w:p>
      <w:pPr>
        <w:spacing w:before="120" w:after="120"/>
      </w:pPr>
      <w:r>
        <w:rPr>
          <w:sz w:val="18"/>
        </w:rPr>
        <w:t>——————————————————————————————————————————————————————————————————————</w:t>
      </w:r>
    </w:p>
    <w:p>
      <w:pPr>
        <w:spacing w:before="160" w:after="40" w:line="240" w:lineRule="auto"/>
      </w:pPr>
      <w:r>
        <w:rPr>
          <w:b/>
        </w:rPr>
        <w:t xml:space="preserve">[168] </w:t>
      </w:r>
      <w:hyperlink r:id="rId861">
        <w:r>
          <w:rPr>
            <w:color w:val="1155CC"/>
            <w:u w:val="single"/>
          </w:rPr>
          <w:t>EEG-FM-Compass：EEG 基础模型的进展、基准测试和未来方向</w:t>
        </w:r>
      </w:hyperlink>
    </w:p>
    <w:p>
      <w:pPr>
        <w:spacing w:before="0" w:after="80"/>
      </w:pPr>
      <w:r>
        <w:rPr>
          <w:i/>
          <w:sz w:val="20"/>
        </w:rPr>
        <w:t>EN: EEG-FM-Compass: Progress, Benchmarking, and Future Directions for EEG Foundation Models</w:t>
      </w:r>
    </w:p>
    <w:p>
      <w:pPr>
        <w:spacing w:before="0" w:after="120"/>
      </w:pPr>
      <w:r>
        <w:rPr>
          <w:b/>
        </w:rPr>
        <w:t xml:space="preserve">Source: </w:t>
      </w:r>
      <w:r>
        <w:t>National Science Review Advance Access</w:t>
      </w:r>
      <w:r>
        <w:t xml:space="preserve">    </w:t>
      </w:r>
      <w:r>
        <w:rPr>
          <w:b/>
        </w:rPr>
        <w:t xml:space="preserve">Pub date: </w:t>
      </w:r>
      <w:r>
        <w:t>2026-08-03 00:00:00+00:00</w:t>
      </w:r>
      <w:r>
        <w:t xml:space="preserve">    </w:t>
      </w:r>
      <w:r>
        <w:rPr>
          <w:b/>
        </w:rPr>
        <w:t xml:space="preserve">DOI: </w:t>
      </w:r>
      <w:hyperlink r:id="rId862">
        <w:r>
          <w:rPr>
            <w:color w:val="1155CC"/>
            <w:u w:val="single"/>
          </w:rPr>
          <w:t>10.1093/nsr/nwag466</w:t>
        </w:r>
      </w:hyperlink>
    </w:p>
    <w:p>
      <w:pPr>
        <w:spacing w:before="0" w:after="120"/>
      </w:pPr>
      <w:r>
        <w:rPr>
          <w:b/>
        </w:rPr>
        <w:t xml:space="preserve">Notes: </w:t>
      </w:r>
      <w:r>
        <w:t>abstract_source=rss_oup</w:t>
      </w:r>
    </w:p>
    <w:p>
      <w:pPr>
        <w:spacing w:before="0" w:after="80" w:lineRule="auto" w:line="276"/>
      </w:pPr>
      <w:r>
        <w:rPr>
          <w:b/>
        </w:rPr>
        <w:t xml:space="preserve">摘要（ZH）: </w:t>
      </w:r>
      <w:r>
        <w:t>脑电图（EEG）基础模型（FM）最近已成为脑机接口的一个有前景的范例，旨在从大规模异构记录中学习可转移的神经表征。尽管进展迅速，但由于预训练目标、预处理选择和下游评估协议不一致，仍然缺乏对现有 EEG FM 的公平和全面的比较。为了填补这一空白，我们推出了 EEG-FM-Compass。我们首先回顾了 55 个代表性模型，并将它们的设计选择组织成一个统一的分类框架，包括数据标准化、模型架构和自监督预训练策略。然后，我们评估了涵盖 9 个脑机接口范例的 13 个脑电图数据集的 12 个开源 FM 和竞争性专家基线。强调现实世界的部署，我们考虑留一受试者协议下的跨受试者泛化和受试者内几次镜头设置下的快速校准。我们进一步将全参数微调与线性探测进行比较，以评估预训练表示的可转移性，并检查模型规模与下游性能之间的关系。我们的结果表明：1）线性探测常常是不够的； 2）从头开始训练的专业模型在许多任务中保持竞争力； 3）在当前的数据体系和训练实践下，更大的 FM 不一定会产生更好的泛化性能。</w:t>
      </w:r>
    </w:p>
    <w:p>
      <w:pPr>
        <w:spacing w:before="0" w:after="200" w:lineRule="auto" w:line="276"/>
      </w:pPr>
      <w:r>
        <w:rPr>
          <w:b/>
        </w:rPr>
        <w:t xml:space="preserve">Abstract (EN): </w:t>
      </w:r>
      <w:r>
        <w:t>Electroencephalography (EEG) foundation models (FMs) have recently emerged as a promising paradigm for brain-computer interfaces, aiming to learn transferable neural representations from large-scale heterogeneous recordings. Despite rapid progress, a fair and comprehensive comparison of existing EEG FMs is still lacking, owing to inconsistent pre-training objectives, preprocessing choices, and downstream evaluation protocols. To fill this gap, we present EEG-FM-Compass. We first review 55 representative models and organize their design choices into a unified taxonomic framework including data standardization, model architectures, and self-supervised pre-training strategies. We then evaluate 12 open source FMs and competitive specialist baselines across 13 EEG datasets spanning nine brain-computer interface paradigms. Emphasizing real-world deployments, we consider both cross-subject generalization under a leave-one-subject-out protocol and rapid calibration under a within-subject few-shot setting. We further compare full-parameter fine-tuning with linear probing to assess the transferability of pre-trained representations, and examine the relationship between model scale and downstream performance. Our results indicate that: 1) linear probing is frequently insufficient; 2) specialist models trained from scratch remain competitive across many tasks; and 3) larger FMs do not necessarily yield better generalization performance under current data regimes and training practices.</w:t>
      </w:r>
    </w:p>
    <w:p>
      <w:pPr>
        <w:spacing w:before="120" w:after="120"/>
      </w:pPr>
      <w:r>
        <w:rPr>
          <w:sz w:val="18"/>
        </w:rPr>
        <w:t>——————————————————————————————————————————————————————————————————————</w:t>
      </w:r>
    </w:p>
    <w:p>
      <w:pPr>
        <w:spacing w:before="160" w:after="40" w:line="240" w:lineRule="auto"/>
      </w:pPr>
      <w:r>
        <w:rPr>
          <w:b/>
        </w:rPr>
        <w:t xml:space="preserve">[169] </w:t>
      </w:r>
      <w:hyperlink r:id="rId863">
        <w:r>
          <w:rPr>
            <w:color w:val="1155CC"/>
            <w:u w:val="single"/>
          </w:rPr>
          <w:t>耐高温和耐冲击的合金</w:t>
        </w:r>
      </w:hyperlink>
    </w:p>
    <w:p>
      <w:pPr>
        <w:spacing w:before="0" w:after="80"/>
      </w:pPr>
      <w:r>
        <w:rPr>
          <w:i/>
          <w:sz w:val="20"/>
        </w:rPr>
        <w:t>EN: An alloy that can take the heat and the hit</w:t>
      </w:r>
    </w:p>
    <w:p>
      <w:pPr>
        <w:spacing w:before="0" w:after="120"/>
      </w:pPr>
      <w:r>
        <w:rPr>
          <w:b/>
        </w:rPr>
        <w:t xml:space="preserve">Source: </w:t>
      </w:r>
      <w:r>
        <w:t>Nature Materials</w:t>
      </w:r>
      <w:r>
        <w:t xml:space="preserve">    </w:t>
      </w:r>
      <w:r>
        <w:rPr>
          <w:b/>
        </w:rPr>
        <w:t xml:space="preserve">Pub date: </w:t>
      </w:r>
      <w:r>
        <w:t>2026-08-03 00:00:00+00:00</w:t>
      </w:r>
      <w:r>
        <w:t xml:space="preserve">    </w:t>
      </w:r>
      <w:r>
        <w:rPr>
          <w:b/>
        </w:rPr>
        <w:t xml:space="preserve">DOI: </w:t>
      </w:r>
      <w:hyperlink r:id="rId864">
        <w:r>
          <w:rPr>
            <w:color w:val="1155CC"/>
            <w:u w:val="single"/>
          </w:rPr>
          <w:t>10.1038/s41563-026-02702-7</w:t>
        </w:r>
      </w:hyperlink>
    </w:p>
    <w:p>
      <w:pPr>
        <w:spacing w:before="0" w:after="120"/>
      </w:pPr>
      <w:r>
        <w:rPr>
          <w:b/>
        </w:rPr>
        <w:t xml:space="preserve">Notes: </w:t>
      </w:r>
      <w:r>
        <w:t>abstract_source=rss_nature</w:t>
      </w:r>
    </w:p>
    <w:p>
      <w:pPr>
        <w:spacing w:before="0" w:after="80" w:lineRule="auto" w:line="276"/>
      </w:pPr>
      <w:r>
        <w:rPr>
          <w:b/>
        </w:rPr>
        <w:t xml:space="preserve">摘要（ZH）: </w:t>
      </w:r>
      <w:r>
        <w:t>分层异质结构高熵合金结合了双峰核壳晶粒、纳米沉淀物和氧化物颗粒，在高达 1,000 °C 的温度下保持稳定，在高应变率负载下提供 2.2 GPa 的屈服强度，而不牺牲冲击韧性。</w:t>
      </w:r>
    </w:p>
    <w:p>
      <w:pPr>
        <w:spacing w:before="0" w:after="200" w:lineRule="auto" w:line="276"/>
      </w:pPr>
      <w:r>
        <w:rPr>
          <w:b/>
        </w:rPr>
        <w:t xml:space="preserve">Abstract (EN): </w:t>
      </w:r>
      <w:r>
        <w:t>A hierarchically heterostructured high-entropy alloy combines bimodal core–shell grains, nanoprecipitates and oxide particles that remain stable up to 1,000 °C, delivering 2.2 GPa yield strength under high strain-rate loading without sacrificing impact toughness.</w:t>
      </w:r>
    </w:p>
    <w:p>
      <w:pPr>
        <w:spacing w:before="120" w:after="120"/>
      </w:pPr>
      <w:r>
        <w:rPr>
          <w:sz w:val="18"/>
        </w:rPr>
        <w:t>——————————————————————————————————————————————————————————————————————</w:t>
      </w:r>
    </w:p>
    <w:p>
      <w:pPr>
        <w:spacing w:before="160" w:after="40" w:line="240" w:lineRule="auto"/>
      </w:pPr>
      <w:r>
        <w:rPr>
          <w:b/>
        </w:rPr>
        <w:t xml:space="preserve">[170] </w:t>
      </w:r>
      <w:hyperlink r:id="rId865">
        <w:r>
          <w:rPr>
            <w:color w:val="1155CC"/>
            <w:u w:val="single"/>
          </w:rPr>
          <w:t>畴分布对蓝色 Ruddlesden-Popper 钙钛矿发光二极管效率滚降的影响</w:t>
        </w:r>
      </w:hyperlink>
    </w:p>
    <w:p>
      <w:pPr>
        <w:spacing w:before="0" w:after="80"/>
      </w:pPr>
      <w:r>
        <w:rPr>
          <w:i/>
          <w:sz w:val="20"/>
        </w:rPr>
        <w:t>EN: Influence of Domain Distribution on Efficiency Roll-Off in Blue Ruddlesden–Popper Perovskite Light-Emitting Diodes</w:t>
      </w:r>
    </w:p>
    <w:p>
      <w:pPr>
        <w:spacing w:before="0" w:after="120"/>
      </w:pPr>
      <w:r>
        <w:rPr>
          <w:b/>
        </w:rPr>
        <w:t xml:space="preserve">Source: </w:t>
      </w:r>
      <w:r>
        <w:t>ACS Energy Letters: Latest Articles (ACS Publications)</w:t>
      </w:r>
      <w:r>
        <w:t xml:space="preserve">    </w:t>
      </w:r>
      <w:r>
        <w:rPr>
          <w:b/>
        </w:rPr>
        <w:t xml:space="preserve">Pub date: </w:t>
      </w:r>
      <w:r>
        <w:t>2026-08-03 00:00:00+00:00</w:t>
      </w:r>
      <w:r>
        <w:t xml:space="preserve">    </w:t>
      </w:r>
      <w:r>
        <w:rPr>
          <w:b/>
        </w:rPr>
        <w:t xml:space="preserve">DOI: </w:t>
      </w:r>
      <w:hyperlink r:id="rId866">
        <w:r>
          <w:rPr>
            <w:color w:val="1155CC"/>
            <w:u w:val="single"/>
          </w:rPr>
          <w:t>10.1021/acsenergylett.6c01133</w:t>
        </w:r>
      </w:hyperlink>
    </w:p>
    <w:p>
      <w:pPr>
        <w:spacing w:before="0" w:after="120"/>
      </w:pPr>
      <w:r>
        <w:rPr>
          <w:b/>
        </w:rPr>
        <w:t xml:space="preserve">Notes: </w:t>
      </w:r>
      <w:r>
        <w:t>abstract_source=crossref</w:t>
      </w:r>
    </w:p>
    <w:p>
      <w:pPr>
        <w:spacing w:before="0" w:after="80" w:lineRule="auto" w:line="276"/>
      </w:pPr>
      <w:r>
        <w:rPr>
          <w:b/>
        </w:rPr>
        <w:t xml:space="preserve">摘要（ZH）: </w:t>
      </w:r>
      <w:r>
        <w:t>摘要 在过去的十年中，利用量子限制和载流子漏斗的准二维（2D）钙钛矿为全彩显示器的商业化带来了有希望的创新。然而，晶体结构和器件性能之间的关系，特别是高电流注入下的效率滚降，仍不清楚。在这里，我们对具有不同厚度和苯基烷基铵阳离子的量子阱相进行了时间和强度相关的光学表征，以及电稳定性和热稳定性分析。我们的研究结果表明，无论间隔阳离子种类如何，具有较少无机层的准二维钙钛矿的效率滚降都较大。此外，我们还研究了俄歇复合、载流子不平衡、场致激子解离和焦耳加热对效率滚降的影响。我们发现效率滚降主要受到一阶复合和俄歇复合的影响，而其他因素的作用可以忽略不计。这些见解为有机分子和多量子阱结构提供了稳定的蓝色钙钛矿发光二极管的设计指南。</w:t>
      </w:r>
    </w:p>
    <w:p>
      <w:pPr>
        <w:spacing w:before="0" w:after="200" w:lineRule="auto" w:line="276"/>
      </w:pPr>
      <w:r>
        <w:rPr>
          <w:b/>
        </w:rPr>
        <w:t xml:space="preserve">Abstract (EN): </w:t>
      </w:r>
      <w:r>
        <w:t>Over the past decade, quasi-two-dimensional (2D) perovskites leveraging quantum confinement and carrier funneling have enabled promising innovations for the commercialization of full-color displays. However, the relationship between the crystal structures and device performance, particularly on the efficiency roll-off under high current injection, remains unclear. Here, we conducted time- and intensity-dependent optical characterizations, alongside electrical and thermal stability analyses, of quantum well phases with varying thicknesses and phenyl-alkyl-ammonium cations. Our findings reveal that the efficiency roll-off in quasi-2D perovskites with fewer inorganic layers is larger regardless of the spacer cation species. Additionally, we examined the contribution of Auger recombination, charge carrier imbalance, field-induced exciton dissociation, and Joule heating on the efficiency roll-off. We found that the efficiency roll-off is primarily influenced by the first-order recombination and Auger recombination, while other factors play negligible roles. These insights provide design guidelines for organic molecules and multiquantum-well structures toward stable blue perovskite light-emitting diodes.</w:t>
      </w:r>
    </w:p>
    <w:p>
      <w:pPr>
        <w:spacing w:before="120" w:after="120"/>
      </w:pPr>
      <w:r>
        <w:rPr>
          <w:sz w:val="18"/>
        </w:rPr>
        <w:t>——————————————————————————————————————————————————————————————————————</w:t>
      </w:r>
    </w:p>
    <w:p>
      <w:pPr>
        <w:spacing w:before="160" w:after="40" w:line="240" w:lineRule="auto"/>
      </w:pPr>
      <w:r>
        <w:rPr>
          <w:b/>
        </w:rPr>
        <w:t xml:space="preserve">[171] </w:t>
      </w:r>
      <w:hyperlink r:id="rId867">
        <w:r>
          <w:rPr>
            <w:color w:val="1155CC"/>
            <w:u w:val="single"/>
          </w:rPr>
          <w:t>大型单层囊泡中的化学燃料主动运输级联</w:t>
        </w:r>
      </w:hyperlink>
    </w:p>
    <w:p>
      <w:pPr>
        <w:spacing w:before="0" w:after="80"/>
      </w:pPr>
      <w:r>
        <w:rPr>
          <w:i/>
          <w:sz w:val="20"/>
        </w:rPr>
        <w:t>EN: Chemically Fueled Active Transport Cascades in Large Unilamellar Vesicles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868">
        <w:r>
          <w:rPr>
            <w:color w:val="1155CC"/>
            <w:u w:val="single"/>
          </w:rPr>
          <w:t>10.1021/jacs.6c11418</w:t>
        </w:r>
      </w:hyperlink>
    </w:p>
    <w:p>
      <w:pPr>
        <w:spacing w:before="0" w:after="120"/>
      </w:pPr>
      <w:r>
        <w:rPr>
          <w:b/>
        </w:rPr>
        <w:t xml:space="preserve">Notes: </w:t>
      </w:r>
      <w:r>
        <w:t>abstract_source=crossref</w:t>
      </w:r>
    </w:p>
    <w:p>
      <w:pPr>
        <w:spacing w:before="0" w:after="80" w:lineRule="auto" w:line="276"/>
      </w:pPr>
      <w:r>
        <w:rPr>
          <w:b/>
        </w:rPr>
        <w:t xml:space="preserve">摘要（ZH）: </w:t>
      </w:r>
      <w:r>
        <w:t>摘要 生物学通常会转换化学键中存储的能量以产生跨膜梯度，这本身就是驱动生命重要过程的关键按需能量存储。我们报告了一种在大单层囊泡中化学燃料主动运输分子货物的策略。我们概述了驱动跨磷脂双层的主动运输所需的特征。通过在混合脂液支持膜和仿生囊泡中进行的一系列实验，我们证明了二酸货物的跨膜运输并量化了我们系统的关键性能指标。主动转运机制会产生高达 ∼0.3 pH 单位的跨膜 pH 梯度，与驱动 ATP 合酶所需的梯度相当。我们利用这种梯度作为能源，通过同向转运/反转运机制驱动次级主动转运过程。这些化学驱动的主动运输级联证明了自由能从化学键到跨膜质子梯度到跨膜 Na+ 或 Cl- 梯度的连续传导。我们的工作建立了单层囊泡中化学燃料主动运输的第一个例子，并展示了跨膜梯度如何吸收能量并将其作为更大系统级、逼真、分区纳米技术的一部分进行传输。</w:t>
      </w:r>
    </w:p>
    <w:p>
      <w:pPr>
        <w:spacing w:before="0" w:after="200" w:lineRule="auto" w:line="276"/>
      </w:pPr>
      <w:r>
        <w:rPr>
          <w:b/>
        </w:rPr>
        <w:t xml:space="preserve">Abstract (EN): </w:t>
      </w:r>
      <w:r>
        <w:t>Biology routinely transduces energy stored in chemical bonds to create transmembrane gradients, which are themselves a crucial on-demand energy store to drive life’s vital processes. We report a strategy for the chemically fueled active transport of molecular cargo in large unilamellar vesicles. We outline the features required for driving active transport across phospholipid bilayers. Through a series of experiments in both hybrid lipid–liquid supported membranes and biomimetic vesicles, we demonstrate the transmembrane transport of our diacid cargo and quantify key performance indicators of our system. The active transport mechanism gives rise to an associated generation of transmembrane pH gradients of up to ∼0.3 pH units, comparable to the gradient required to drive ATP synthase. We harness this gradient as an energy source to drive a secondary active transport process through symport/antiport mechanisms. These chemically fueled active transport cascades demonstrate the successive transduction of free energy from chemical bonds to transmembrane proton gradients to transmembrane Na+ or Cl– gradients. Our work establishes the first example of chemically fueled active transport in unilamellar vesicles and demonstrates how transmembrane gradients can both absorb energy and transfer it as part of a greater systems-level, life-like, compartmentalized nanotechnology.</w:t>
      </w:r>
    </w:p>
    <w:p>
      <w:pPr>
        <w:spacing w:before="120" w:after="120"/>
      </w:pPr>
      <w:r>
        <w:rPr>
          <w:sz w:val="18"/>
        </w:rPr>
        <w:t>——————————————————————————————————————————————————————————————————————</w:t>
      </w:r>
    </w:p>
    <w:p>
      <w:pPr>
        <w:spacing w:before="160" w:after="40" w:line="240" w:lineRule="auto"/>
      </w:pPr>
      <w:r>
        <w:rPr>
          <w:b/>
        </w:rPr>
        <w:t xml:space="preserve">[172] </w:t>
      </w:r>
      <w:hyperlink r:id="rId869">
        <w:r>
          <w:rPr>
            <w:color w:val="1155CC"/>
            <w:u w:val="single"/>
          </w:rPr>
          <w:t>通过单个部分波形共振态的 F + HD → HF + D 的量子态到态反应动力学</w:t>
        </w:r>
      </w:hyperlink>
    </w:p>
    <w:p>
      <w:pPr>
        <w:spacing w:before="0" w:after="80"/>
      </w:pPr>
      <w:r>
        <w:rPr>
          <w:i/>
          <w:sz w:val="20"/>
        </w:rPr>
        <w:t>EN: Quantum state-to-state reaction dynamics of F + HD → HF + D via a single partial wave shape resonance state</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了解反应如何通过过渡态进行是化学的核心，但分离量子共振效应具有挑战性，尤其是在直接途径通常占主导地位的反应势垒之上。在这里，我们表明，单个部分波形共振（将反应伙伴暂时捕获在角动量势垒后面）可以在碰撞能量为 2.90 kcal mol−1 时控制反应 F(2P3/2) + HD(v = 0, j = 0) → HF + D。高分辨率交叉分子束散射成像揭示了 HF(v′=3, j′=1) 产物通道在整个散射角范围内的持续振荡。量子动力学计算将这些振荡追溯到后过渡态区域中的准束缚 D-HF(v′=3, L = 21) 络合物，其寿命约为 50 fs。这些结果提供了一个清晰的、完全状态解析的例子，说明势垒上方共振控制的反应散射，通过可识别的中间共振态将选定的反应物和产物量子态连接起来。</w:t>
      </w:r>
    </w:p>
    <w:p>
      <w:pPr>
        <w:spacing w:before="0" w:after="200" w:lineRule="auto" w:line="276"/>
      </w:pPr>
      <w:r>
        <w:rPr>
          <w:b/>
        </w:rPr>
        <w:t xml:space="preserve">Abstract (EN): </w:t>
      </w:r>
      <w:r>
        <w:t>Understanding how reactions proceed through the transition state is central to chemistry, but isolating quantum resonance effects is challenging, especially above the reaction barrier where direct pathways usually dominate. Here we show that a single partial wave shape resonance, temporary trapping of the reacting partners behind an angular‑momentum barrier, can control the reaction F(2P3/2) + HD(v = 0, j = 0) → HF + D at a collision energy of 2.90 kcal mol−1. High-resolution crossed molecular beams scattering imaging reveals persistent oscillations across the full scattering‑angle range for the HF(v′=3, j′=1) product channel. Quantum dynamics calculations trace these oscillations to a quasibound D-HF(v′=3, L = 21) complex in the post-transition‑state region with a lifetime of about 50 fs. These results provide a clear, fully state‑resolved example of resonance‑governed reactive scattering above the barrier, linking selected reactant and product quantum states through an identifiable intermediate resonance state.</w:t>
      </w:r>
    </w:p>
    <w:p>
      <w:pPr>
        <w:spacing w:before="120" w:after="120"/>
      </w:pPr>
      <w:r>
        <w:rPr>
          <w:sz w:val="18"/>
        </w:rPr>
        <w:t>——————————————————————————————————————————————————————————————————————</w:t>
      </w:r>
    </w:p>
    <w:p>
      <w:pPr>
        <w:spacing w:before="160" w:after="40" w:line="240" w:lineRule="auto"/>
      </w:pPr>
      <w:r>
        <w:rPr>
          <w:b/>
        </w:rPr>
        <w:t xml:space="preserve">[173] </w:t>
      </w:r>
      <w:hyperlink r:id="rId870">
        <w:r>
          <w:rPr>
            <w:color w:val="1155CC"/>
            <w:u w:val="single"/>
          </w:rPr>
          <w:t>pH 响应仿生颜料驱动的无定形碳酸钙结晶的光致变色调节</w:t>
        </w:r>
      </w:hyperlink>
    </w:p>
    <w:p>
      <w:pPr>
        <w:spacing w:before="0" w:after="80"/>
      </w:pPr>
      <w:r>
        <w:rPr>
          <w:i/>
          <w:sz w:val="20"/>
        </w:rPr>
        <w:t>EN: Halochromic modulation of amorphous calcium carbonate crystallization driven by pH-responsive bioinspired pigments</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生物矿物中的颜色通常是由于生物矿化过程中碳酸钙 (CaCO3) 矿物相中低分子量有机颜料的吸藏而产生的；然而，这些颜色的物理化学起源却被忽视了。在这里，受到通过无定形 CaCO3 (ACC) 前体发生的彩色海胆刺生长的启发，我们展示了 ACC 结晶的体外光致变色调节。在该机制中，天然红色颜料萘萒林 (NZ) 的去质子化是由矿物形成过程中 pH 值变化驱动的，随后在 CaCO3 混合颜料中稳定下来。后者在结晶时呈现淡紫色至紫蓝色调。去质子化的 NZ 对 ACC 的形成和结晶影响极小，这是通过局部溶解和再沉淀机制发生的；然而，它限制了球霰石和方解石扭曲纳米域的形成。由此形成通过水与方解石相互作用的去质子化的NZ纳米包裹体。总的来说，这项研究深入了解了生物矿化生物体着色背后的过程。</w:t>
      </w:r>
    </w:p>
    <w:p>
      <w:pPr>
        <w:spacing w:before="0" w:after="200" w:lineRule="auto" w:line="276"/>
      </w:pPr>
      <w:r>
        <w:rPr>
          <w:b/>
        </w:rPr>
        <w:t xml:space="preserve">Abstract (EN): </w:t>
      </w:r>
      <w:r>
        <w:t>Colors in biominerals often arise from the occlusion of low-molecular-weight organic pigments within calcium carbonate (CaCO3) mineral phases during biomineralization processes; however, the physicochemical origin of these colors has been overlooked. Here, inspired by the growth of colored sea urchin spines that occurs through amorphous CaCO3 (ACC) precursors, we show an in-vitro halochromic modulation of ACC crystallization. In this mechanism, the deprotonation of a natural red pigment naphthazarin (NZ) is driven by pH variations during mineral formation and subsequently stabilized within CaCO3- hybrid pigments. The latter show lavender-blue to violet-blue hues upon crystallization. Deprotonated NZ has a minimal impact on ACC formation and crystallization, which occurs through local dissolution and reprecipitation mechanisms; however, it limits the formation of vaterite, and calcite distorted nanodomains. Deprotonated NZ nano-inclusions that interact with calcite through water are thus formed. Overall, this study brings insights into the processes behind the coloration of biomineralized organisms.</w:t>
      </w:r>
    </w:p>
    <w:p>
      <w:pPr>
        <w:spacing w:before="120" w:after="120"/>
      </w:pPr>
      <w:r>
        <w:rPr>
          <w:sz w:val="18"/>
        </w:rPr>
        <w:t>——————————————————————————————————————————————————————————————————————</w:t>
      </w:r>
    </w:p>
    <w:p>
      <w:pPr>
        <w:spacing w:before="160" w:after="40" w:line="240" w:lineRule="auto"/>
      </w:pPr>
      <w:r>
        <w:rPr>
          <w:b/>
        </w:rPr>
        <w:t xml:space="preserve">[174] </w:t>
      </w:r>
      <w:hyperlink r:id="rId871">
        <w:r>
          <w:rPr>
            <w:color w:val="1155CC"/>
            <w:u w:val="single"/>
          </w:rPr>
          <w:t>用于节能集成显示照明系统的双功能浮栅内存驱动器</w:t>
        </w:r>
      </w:hyperlink>
    </w:p>
    <w:p>
      <w:pPr>
        <w:spacing w:before="0" w:after="80"/>
      </w:pPr>
      <w:r>
        <w:rPr>
          <w:i/>
          <w:sz w:val="20"/>
        </w:rPr>
        <w:t>EN: Dual-function floating-gate memory driver for energy-efficient integrated display–illumination system</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对兼具高亮度照明和低功耗图像显示功能的多功能微显示器的需求不断增长，凸显了现有显示技术的一个关键瓶颈，即难以在大面积均匀光输出和细粒度像素级控制之间有效切换。在这里，我们介绍集成非易失性显示照明系统（INDIS）——一种基于透明氧化铟锡（ITO）浮栅存储器（FGM）器件的单片集成Micro-LED架构，实现双模式操作。像素级寻址只需每个像素一个 FGM 和一个独立的门控制器即可实现，从而无需连续刷新即可保留编程的图像图案。为了支持照明功能，INDIS采用共享漏极作为共阳极端口的矩阵电路，允许同时激活整个Micro-LED阵列以实现大面积照明。通过在紧凑的架构中统一内存和发射功能，INDIS 实现了显示-照明融合，为下一代多功能微显示应用提供可扩展且节能的解决方案。</w:t>
      </w:r>
    </w:p>
    <w:p>
      <w:pPr>
        <w:spacing w:before="0" w:after="200" w:lineRule="auto" w:line="276"/>
      </w:pPr>
      <w:r>
        <w:rPr>
          <w:b/>
        </w:rPr>
        <w:t xml:space="preserve">Abstract (EN): </w:t>
      </w:r>
      <w:r>
        <w:t>The increasing demand for multifunctional micro-displays capable of both high-brightness illumination and low-power image display highlights a critical bottleneck in existing display technologies, which struggle to efficiently switching between large-area uniform light output and fine-grained pixel-level control. Here, we introduce the Integrated Nonvolatile Display–Illumination System (INDIS)—a monolithically integrated Micro-LED architecture based on transparent indium tin oxide (ITO) floating-gate memory (FGM) devices, achieving dual-mode operation. Pixel-level addressing is realized with only a single FGM per pixel and an independent gate controller, enabling the programmed image pattern to be retained without continuous refresh. To support lighting functionality, INDIS adopts a matrix circuit with shared drain electrodes acting as a common anode port, allowing the entire Micro-LED array to be simultaneously activated for large-area illumination. By unifying memory and emission functions within a compact architecture, INDIS achieves display–illumination fusion, offering a scalable and energy-efficient solution for next-generation multifunctional micro-display applications.</w:t>
      </w:r>
    </w:p>
    <w:p>
      <w:pPr>
        <w:spacing w:before="120" w:after="120"/>
      </w:pPr>
      <w:r>
        <w:rPr>
          <w:sz w:val="18"/>
        </w:rPr>
        <w:t>——————————————————————————————————————————————————————————————————————</w:t>
      </w:r>
    </w:p>
    <w:p>
      <w:pPr>
        <w:spacing w:before="160" w:after="40" w:line="240" w:lineRule="auto"/>
      </w:pPr>
      <w:r>
        <w:rPr>
          <w:b/>
        </w:rPr>
        <w:t xml:space="preserve">[175] </w:t>
      </w:r>
      <w:hyperlink r:id="rId872">
        <w:r>
          <w:rPr>
            <w:color w:val="1155CC"/>
            <w:u w:val="single"/>
          </w:rPr>
          <w:t>微梳驱动的大规模全连接量子网络</w:t>
        </w:r>
      </w:hyperlink>
    </w:p>
    <w:p>
      <w:pPr>
        <w:spacing w:before="0" w:after="80"/>
      </w:pPr>
      <w:r>
        <w:rPr>
          <w:i/>
          <w:sz w:val="20"/>
        </w:rPr>
        <w:t>EN: Microcomb-driven large-scale fully connected quantum network</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完全连接的量子网络可实现每个用户与其他用户的同时连接，并且是一种高度通用且强大的网络架构。然而，此类网络的可扩展性对于实际应用仍然是一个巨大的挑战。在这里，我们构建了一个基于双光子红欧曼德尔（HOM）干涉的大规模全连接量子网络，即使使用不可信的网络提供商，也能保证用户到用户的安全。使用集成孤子微梳 (SMC) 和光子编码芯片，我们实现了精确、大规模并行频率生成和锁定、高可见度 HOM 干扰以及独立于测量设备 (MDI) 的量子密钥分发。所提出的架构通过不受信任的网络提供商实现了超过 200 公里的完全连接的量子网络，并具有严格的信息论安全性。所实施的网络架构为跨都市和城际区域的大规模全连接MDI量子网络铺平了道路。</w:t>
      </w:r>
    </w:p>
    <w:p>
      <w:pPr>
        <w:spacing w:before="0" w:after="200" w:lineRule="auto" w:line="276"/>
      </w:pPr>
      <w:r>
        <w:rPr>
          <w:b/>
        </w:rPr>
        <w:t xml:space="preserve">Abstract (EN): </w:t>
      </w:r>
      <w:r>
        <w:t>Fully connected quantum networks enable simultaneous connection of every user to every other user and are a highly versatile and robust networking architecture. However, the scalability of such networks remains a great challenge for practical applications. Here we construct a large-scale fully connected quantum network founded on two-photon Hong-Ou-Mandel (HOM) interference, where user-to-user security is guaranteed even with an untrusted network provider. Using integrated soliton microcomb (SMC) and photonic encoding chips, we realize precise, massively parallel frequency generation and locking, high-visibility HOM interference and measurement-device-independent (MDI) quantum key distribution. The proposed architecture enables a fully connected quantum network over 200 kilometers with strict information-theoretic security via an untrusted network provider. The implemented networking architecture paves the way for large-scale fully connected MDI quantum networks across metropolitan and intercity regions.</w:t>
      </w:r>
    </w:p>
    <w:p>
      <w:pPr>
        <w:spacing w:before="120" w:after="120"/>
      </w:pPr>
      <w:r>
        <w:rPr>
          <w:sz w:val="18"/>
        </w:rPr>
        <w:t>——————————————————————————————————————————————————————————————————————</w:t>
      </w:r>
    </w:p>
    <w:p>
      <w:pPr>
        <w:spacing w:before="160" w:after="40" w:line="240" w:lineRule="auto"/>
      </w:pPr>
      <w:r>
        <w:rPr>
          <w:b/>
        </w:rPr>
        <w:t xml:space="preserve">[176] </w:t>
      </w:r>
      <w:hyperlink r:id="rId873">
        <w:r>
          <w:rPr>
            <w:color w:val="1155CC"/>
            <w:u w:val="single"/>
          </w:rPr>
          <w:t>单层 NbTe2 中的交替手性电荷密度波和相关的自旋极化</w:t>
        </w:r>
      </w:hyperlink>
    </w:p>
    <w:p>
      <w:pPr>
        <w:spacing w:before="0" w:after="80"/>
      </w:pPr>
      <w:r>
        <w:rPr>
          <w:i/>
          <w:sz w:val="20"/>
        </w:rPr>
        <w:t>EN: Alternating-chiral charge density waves and associated spin polarization in monolayered NbTe2</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不同量子自由度的交织在多体系统中表现出奇异的量子现象，特别是在降维中。在这里，我们展示了单层 NbTe2 作为一个有前途的平台，其中晶格、电荷和自旋自由度协同显现，导致手性的线程顺序。通过细致的真实空间原子结构分析，我们揭示了 NbTe2 的 √19 × √19 相编码交替手性原子位移和电荷密度顺序，其特征是重建单元内两个手性相反的手性单元。使用自旋偏振扫描隧道显微镜并辅以相关技术，我们提供了在原始细胞上传播的新兴自旋偏振的证据，其中自旋纹理似乎与手性顺序的交替旋向相关。我们的第一性原理研究将交织序的起源确定为相关驱动的，当现场库仑斥力超过临界值时，手性的螺纹序就会出现。观察到的自旋排列可以用混合特征来理解，结合了流动电子和局域 d 轨道的贡献。总的来说，这些发现扩展了相关电子系统中手性有序的领域，并为手性自旋电子学和相关应用提供了一个有吸引力的平台。</w:t>
      </w:r>
    </w:p>
    <w:p>
      <w:pPr>
        <w:spacing w:before="0" w:after="200" w:lineRule="auto" w:line="276"/>
      </w:pPr>
      <w:r>
        <w:rPr>
          <w:b/>
        </w:rPr>
        <w:t xml:space="preserve">Abstract (EN): </w:t>
      </w:r>
      <w:r>
        <w:t>Intertwining of different quantum degrees of freedom manifests exotic quantum phenomena in many-body systems, especially in reduced dimensionality. Here we show that monolayered NbTe2 serves as a promising platform where lattice, charge, and spin degrees of freedom manifest cooperatively, leading to a threading order of chirality. Through meticulous real-space atomic structure analysis, we reveal that the √19 × √19 phase of NbTe2 encodes alternating-chiral atomic displacements alongside charge density order, characterized by two chiral units of opposite handedness within the reconstructed cell. Using spin-polarized scanning tunneling microscopy, complemented by correlative techniques, we present evidence for emergent spin polarizations spreading over the primitive cell, where the spin texture appears to be correlated with the alternating handedness of chiral order. Our first-principles studies identify the origin of intertwined orders as being correlation-driven, with the threading order of chirality emerging when the on-site Coulomb repulsion exceeds a critical value. The observed spin arrangement can be understood in terms of a hybrid character, combining contributions from itinerant electrons and localized d-orbitals. Collectively, these findings expand the realm of chiral order in correlated electron systems and facilitate an appealing platform for chiral spintronic and related applications.</w:t>
      </w:r>
    </w:p>
    <w:p>
      <w:pPr>
        <w:spacing w:before="120" w:after="120"/>
      </w:pPr>
      <w:r>
        <w:rPr>
          <w:sz w:val="18"/>
        </w:rPr>
        <w:t>——————————————————————————————————————————————————————————————————————</w:t>
      </w:r>
    </w:p>
    <w:p>
      <w:pPr>
        <w:spacing w:before="160" w:after="40" w:line="240" w:lineRule="auto"/>
      </w:pPr>
      <w:r>
        <w:rPr>
          <w:b/>
        </w:rPr>
        <w:t xml:space="preserve">[177] </w:t>
      </w:r>
      <w:hyperlink r:id="rId874">
        <w:r>
          <w:rPr>
            <w:color w:val="1155CC"/>
            <w:u w:val="single"/>
          </w:rPr>
          <w:t>量子临界系统中沿着虚时间的普遍纠缠增长</w:t>
        </w:r>
      </w:hyperlink>
    </w:p>
    <w:p>
      <w:pPr>
        <w:spacing w:before="0" w:after="80"/>
      </w:pPr>
      <w:r>
        <w:rPr>
          <w:i/>
          <w:sz w:val="20"/>
        </w:rPr>
        <w:t>EN: Universal entanglement growth along imaginary time in quantum critical systems</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表征高维量子物质中的普遍纠缠特征是量子信息科学和凝聚态物理学的核心挑战。虽然二维系统中的次主导角项编码了基础共形场论的基本指纹，但与众所周知的一维情况相比，访问这些特征仍然非常困难。在这里，我们发现了控制虚时间纠缠动力学的普遍非平衡标度定律。我们证明，对于二维量子临界点，角纠缠随虚数时间呈对数增长，其系数仅由普适性类别决定。通过大规模量子蒙特卡罗模拟验证该框架，我们最终解决了相互作用的 Gross-Neveu-Yukawa 临界点的纠缠结构，揭示了由相互作用驱动的与自由费米子理论的重大偏差。至关重要的是，我们的方法从松弛的早期阶段提取高精度通用数据，从而绕过完全平衡收敛的令人望而却步的计算瓶颈。这项工作在非平衡临界现象和纠缠光谱之间建立了直接的桥梁，为经典数值计算和新兴量子硬件的应用提供了稳健的理论蓝图。</w:t>
      </w:r>
    </w:p>
    <w:p>
      <w:pPr>
        <w:spacing w:before="0" w:after="200" w:lineRule="auto" w:line="276"/>
      </w:pPr>
      <w:r>
        <w:rPr>
          <w:b/>
        </w:rPr>
        <w:t xml:space="preserve">Abstract (EN): </w:t>
      </w:r>
      <w:r>
        <w:t>Characterizing universal entanglement features in higher-dimensional quantum matter is a central challenge in quantum information science and condensed matter physics. While subleading corner terms in two-dimensional systems encode the essential fingerprints of the underlying conformal field theory, accessing these features remains notoriously difficult compared to the well-understood one-dimensional case. Here, we uncover a universal non-equilibrium scaling law governing imaginary-time entanglement dynamics. We demonstrate that for 2D quantum critical points, the corner entanglement grows logarithmically with imaginary time, with a coefficient dictated solely by the universality class. By validating this framework through large-scale Quantum Monte Carlo simulations, we definitively resolve the entanglement structure of the interacting Gross-Neveu-Yukawa critical point, revealing significant interaction-driven deviations from free-fermion theories. Crucially, our approach extracts high-precision universal data from the early stages of relaxation, thereby bypassing the prohibitive computational bottlenecks of full equilibrium convergence. This work establishes a direct bridge between non-equilibrium critical phenomena and entanglement spectroscopy, providing a robust theoretical blueprint for applications on both classical numerical computation and emerging quantum hardware.</w:t>
      </w:r>
    </w:p>
    <w:p>
      <w:pPr>
        <w:spacing w:before="120" w:after="120"/>
      </w:pPr>
      <w:r>
        <w:rPr>
          <w:sz w:val="18"/>
        </w:rPr>
        <w:t>——————————————————————————————————————————————————————————————————————</w:t>
      </w:r>
    </w:p>
    <w:p>
      <w:pPr>
        <w:spacing w:before="160" w:after="40" w:line="240" w:lineRule="auto"/>
      </w:pPr>
      <w:r>
        <w:rPr>
          <w:b/>
        </w:rPr>
        <w:t xml:space="preserve">[178] </w:t>
      </w:r>
      <w:hyperlink r:id="rId875">
        <w:r>
          <w:rPr>
            <w:color w:val="1155CC"/>
            <w:u w:val="single"/>
          </w:rPr>
          <w:t>作者更正：GGCX 促进欧亚类禽 H1N1 猪流感病毒适应种间受体结合</w:t>
        </w:r>
      </w:hyperlink>
    </w:p>
    <w:p>
      <w:pPr>
        <w:spacing w:before="0" w:after="80"/>
      </w:pPr>
      <w:r>
        <w:rPr>
          <w:i/>
          <w:sz w:val="20"/>
        </w:rPr>
        <w:t>EN: Author Correction: GGCX promotes Eurasian avian-like H1N1 swine influenza virus adaption to interspecies receptor binding</w:t>
      </w:r>
    </w:p>
    <w:p>
      <w:pPr>
        <w:spacing w:before="0" w:after="120"/>
      </w:pPr>
      <w:r>
        <w:rPr>
          <w:b/>
        </w:rPr>
        <w:t xml:space="preserve">Source: </w:t>
      </w:r>
      <w:r>
        <w:t>Biological sciences : Nature Communications subject feeds</w:t>
      </w:r>
      <w:r>
        <w:t xml:space="preserve">    </w:t>
      </w:r>
      <w:r>
        <w:rPr>
          <w:b/>
        </w:rPr>
        <w:t xml:space="preserve">Pub date: </w:t>
      </w:r>
      <w:r>
        <w:t>2026-08-03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876">
        <w:r>
          <w:rPr>
            <w:color w:val="1155CC"/>
            <w:u w:val="single"/>
          </w:rPr>
          <w:t>作者更正：四嗪增强的供体-受体-供体金属有机框架用于光动力抗菌治疗和伤口愈合</w:t>
        </w:r>
      </w:hyperlink>
    </w:p>
    <w:p>
      <w:pPr>
        <w:spacing w:before="0" w:after="80"/>
      </w:pPr>
      <w:r>
        <w:rPr>
          <w:i/>
          <w:sz w:val="20"/>
        </w:rPr>
        <w:t>EN: Author Correction: Tetrazine-enhanced donor-acceptor-donor metal-organic frameworks for photodynamic antibacterial therapy and wound healing</w:t>
      </w:r>
    </w:p>
    <w:p>
      <w:pPr>
        <w:spacing w:before="0" w:after="120"/>
      </w:pPr>
      <w:r>
        <w:rPr>
          <w:b/>
        </w:rPr>
        <w:t xml:space="preserve">Source: </w:t>
      </w:r>
      <w:r>
        <w:t>Physical sciences : Nature Communications subject feeds</w:t>
      </w:r>
      <w:r>
        <w:t xml:space="preserve">    </w:t>
      </w:r>
      <w:r>
        <w:rPr>
          <w:b/>
        </w:rPr>
        <w:t xml:space="preserve">Pub date: </w:t>
      </w:r>
      <w:r>
        <w:t>2026-08-03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[180] </w:t>
      </w:r>
      <w:hyperlink r:id="rId877">
        <w:r>
          <w:rPr>
            <w:color w:val="1155CC"/>
            <w:u w:val="single"/>
          </w:rPr>
          <w:t>金属有机团簇中的带负电空腔工程，用于高效光催化 C-P 耦合</w:t>
        </w:r>
      </w:hyperlink>
    </w:p>
    <w:p>
      <w:pPr>
        <w:spacing w:before="0" w:after="80"/>
      </w:pPr>
      <w:r>
        <w:rPr>
          <w:i/>
          <w:sz w:val="20"/>
        </w:rPr>
        <w:t>EN: Negatively charged cavity engineering in metal-organic clusters for efficient photocatalytic C–P coupling</w:t>
      </w:r>
    </w:p>
    <w:p>
      <w:pPr>
        <w:spacing w:before="0" w:after="120"/>
      </w:pPr>
      <w:r>
        <w:rPr>
          <w:b/>
        </w:rPr>
        <w:t xml:space="preserve">Source: </w:t>
      </w:r>
      <w:r>
        <w:t>National Science Review Advance Access</w:t>
      </w:r>
      <w:r>
        <w:t xml:space="preserve">    </w:t>
      </w:r>
      <w:r>
        <w:rPr>
          <w:b/>
        </w:rPr>
        <w:t xml:space="preserve">Pub date: </w:t>
      </w:r>
      <w:r>
        <w:t>2026-08-03 00:00:00+00:00</w:t>
      </w:r>
      <w:r>
        <w:t xml:space="preserve">    </w:t>
      </w:r>
      <w:r>
        <w:rPr>
          <w:b/>
        </w:rPr>
        <w:t xml:space="preserve">DOI: </w:t>
      </w:r>
      <w:hyperlink r:id="rId878">
        <w:r>
          <w:rPr>
            <w:color w:val="1155CC"/>
            <w:u w:val="single"/>
          </w:rPr>
          <w:t>10.1093/nsr/nwag467</w:t>
        </w:r>
      </w:hyperlink>
    </w:p>
    <w:p>
      <w:pPr>
        <w:spacing w:before="0" w:after="120"/>
      </w:pPr>
      <w:r>
        <w:rPr>
          <w:b/>
        </w:rPr>
        <w:t xml:space="preserve">Notes: </w:t>
      </w:r>
      <w:r>
        <w:t>abstract_source=rss_oup</w:t>
      </w:r>
    </w:p>
    <w:p>
      <w:pPr>
        <w:spacing w:before="0" w:after="80" w:lineRule="auto" w:line="276"/>
      </w:pPr>
      <w:r>
        <w:rPr>
          <w:b/>
        </w:rPr>
        <w:t xml:space="preserve">摘要（ZH）: </w:t>
      </w:r>
      <w:r>
        <w:t>光催化交叉脱氢C-P偶联是合成重要磷化物的一种有前途且环境可持续的方法。开发能够调节反应中间体形成和释放的有效光催化剂对于提高目标产物的效率和选择性至关重要；但这仍然是一项极具挑战性的任务。在这项研究中，我们设计并放大合成了一种原子级精确的Co4簇光催化剂，其具有明确的负电荷空腔，可用于在一锅连续C-P偶联反应中有效稳定阳离子中间体。这种独特的 Co4 簇能够均匀合成羟基化 N</w:t>
      </w:r>
    </w:p>
    <w:p>
      <w:pPr>
        <w:spacing w:before="0" w:after="200" w:lineRule="auto" w:line="276"/>
      </w:pPr>
      <w:r>
        <w:rPr>
          <w:b/>
        </w:rPr>
        <w:t xml:space="preserve">Abstract (EN): </w:t>
      </w:r>
      <w:r>
        <w:t>Photocatalytic cross-dehydrogenative C–P coupling is a promising and environmentally sustainable method for the synthesis of important phosphides. The development of effective photocatalysts capable of regulating the formation and release of reactive intermediates is crucial for enhancing the efficiency and selectivity of target products; but it remains an extremely challenging task. In this study, we designed and scale-up synthesized an atomically precise Co4 cluster photocatalyst with a well-defined negatively charged cavity that can be used to effectively stabilize cationic intermediates during a one-pot sequential C–P coupling reaction. This unique Co4 cluster enables the homogeneous synthesis of hydroxylated N</w:t>
      </w:r>
    </w:p>
    <w:p>
      <w:pPr>
        <w:spacing w:before="120" w:after="120"/>
      </w:pPr>
      <w:r>
        <w:rPr>
          <w:sz w:val="18"/>
        </w:rPr>
        <w:t>——————————————————————————————————————————————————————————————————————</w:t>
      </w:r>
    </w:p>
    <w:p>
      <w:pPr>
        <w:spacing w:before="160" w:after="40" w:line="240" w:lineRule="auto"/>
      </w:pPr>
      <w:r>
        <w:rPr>
          <w:b/>
        </w:rPr>
        <w:t xml:space="preserve">[181] </w:t>
      </w:r>
      <w:hyperlink r:id="rId879">
        <w:r>
          <w:rPr>
            <w:color w:val="1155CC"/>
            <w:u w:val="single"/>
          </w:rPr>
          <w:t>蛭形轮虫拥有具有独特机械特征的电压门控质子通道</w:t>
        </w:r>
      </w:hyperlink>
    </w:p>
    <w:p>
      <w:pPr>
        <w:spacing w:before="0" w:after="80"/>
      </w:pPr>
      <w:r>
        <w:rPr>
          <w:i/>
          <w:sz w:val="20"/>
        </w:rPr>
        <w:t>EN: Bdelloid rotifers harbor a voltage-gated proton channel with distinct mechanistic features</w:t>
      </w:r>
    </w:p>
    <w:p>
      <w:pPr>
        <w:spacing w:before="0" w:after="120"/>
      </w:pPr>
      <w:r>
        <w:rPr>
          <w:b/>
        </w:rPr>
        <w:t xml:space="preserve">Source: </w:t>
      </w:r>
      <w:r>
        <w:t>Earth and environmental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蛭形轮虫以其非凡的恢复能力而闻名。它们可以在干燥和长期冷冻中生存，并在有利条件恢复后复活。如此出色的生存能力表明，特殊分子适应性的进化可以在极端环境压力下维持 pH 稳态。在本研究中，我们鉴定并功能表征了来自蛭形轮虫 Adineta ricciae 的电压门控质子通道 (Hv) 的亚型，我们将其命名为 ArHv2。与旁系同源物 ArHv1 和人类 Hv1 不同，ArHv1 和人类 Hv1 仅在正膜电位下激活，并且在正常条件下对质子挤出贡献不大，而 ArHv2 即使在负电位下也会激活，从而在细胞面临冻结或代谢停滞时实现快速有效的质子流出或流入。我们发现这种行为是由位于 S4 跨膜段的带正电荷的赖氨酸赋予的。该赖氨酸在其他已知的 Hv 同系物中不存在，但在蛭形轮虫 Hv2 通道中高度保守。我们进一步描述了赖氨酸微调 ArHv2 质子通道激活的分子机制。目前工作中的发现强调了氨基酸水平上离子通道结构的进化如何产生生理适应。</w:t>
      </w:r>
    </w:p>
    <w:p>
      <w:pPr>
        <w:spacing w:before="0" w:after="200" w:lineRule="auto" w:line="276"/>
      </w:pPr>
      <w:r>
        <w:rPr>
          <w:b/>
        </w:rPr>
        <w:t xml:space="preserve">Abstract (EN): </w:t>
      </w:r>
      <w:r>
        <w:t>Bdelloid rotifers are renowned for their extraordinary resilience. They can survive desiccation and long-term freezing and revive once favorable conditions return. Such remarkable survival abilities suggest that the evolution of specialized molecular adaptations sustain pH homeostasis under extreme environmental stress. In the present study, we identify and functionally characterize an isoform of the voltage-gated proton channel (Hv) from the bdelloid rotifer Adineta ricciae, which we name ArHv2. Unlike its paralog ArHv1 and human Hv1 that activate only at positive membrane potentials and contribute modestly to proton extrusion under normal conditions, the ArHv2 activates even at negative potentials, enabling rapid and efficient proton efflux or influx when cells face freezing or metabolic arrest. We discover that this behavior is conferred by a positively charged lysine located in the S4 transmembrane segment. This lysine is absent from other known Hv homologs but is highly conserved in bdelloid rotifer Hv2 channels. We further delineated the molecular mechanism by which this lysine fine-tunes ArHv2 proton channel activation. The discoveries in the present work highlight how the evolution of ion channel architecture at the amino acid level can yield physiological adaptations.</w:t>
      </w:r>
    </w:p>
    <w:p>
      <w:pPr>
        <w:spacing w:before="120" w:after="120"/>
      </w:pPr>
      <w:r>
        <w:rPr>
          <w:sz w:val="18"/>
        </w:rPr>
        <w:t>——————————————————————————————————————————————————————————————————————</w:t>
      </w:r>
    </w:p>
    <w:p>
      <w:pPr>
        <w:spacing w:before="160" w:after="40" w:line="240" w:lineRule="auto"/>
      </w:pPr>
      <w:r>
        <w:rPr>
          <w:b/>
        </w:rPr>
        <w:t xml:space="preserve">[182] </w:t>
      </w:r>
      <w:hyperlink r:id="rId880">
        <w:r>
          <w:rPr>
            <w:color w:val="1155CC"/>
            <w:u w:val="single"/>
          </w:rPr>
          <w:t>想从人工智能中获得更多？将每个提示视为一次实验</w:t>
        </w:r>
      </w:hyperlink>
    </w:p>
    <w:p>
      <w:pPr>
        <w:spacing w:before="0" w:after="80"/>
      </w:pPr>
      <w:r>
        <w:rPr>
          <w:i/>
          <w:sz w:val="20"/>
        </w:rPr>
        <w:t>EN: Want to get more from AI? Treat every prompt like an experiment</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881">
        <w:r>
          <w:rPr>
            <w:color w:val="1155CC"/>
            <w:u w:val="single"/>
          </w:rPr>
          <w:t>10.1038/d41586-026-02083-6</w:t>
        </w:r>
      </w:hyperlink>
    </w:p>
    <w:p>
      <w:pPr>
        <w:spacing w:before="0" w:after="120"/>
      </w:pPr>
      <w:r>
        <w:rPr>
          <w:b/>
        </w:rPr>
        <w:t xml:space="preserve">Notes: </w:t>
      </w:r>
      <w:r>
        <w:t>abstract_source=rss_nature</w:t>
      </w:r>
    </w:p>
    <w:p>
      <w:pPr>
        <w:spacing w:before="0" w:after="80" w:lineRule="auto" w:line="276"/>
      </w:pPr>
      <w:r>
        <w:rPr>
          <w:b/>
        </w:rPr>
        <w:t xml:space="preserve">摘要（ZH）: </w:t>
      </w:r>
      <w:r>
        <w:t>詹姆斯·杜瓦 (James Dewar) 表示，采用科学方法进行人工智能查询可以使每个输出都成为需要检查的结果。这里有十个正确做事的技巧。</w:t>
      </w:r>
    </w:p>
    <w:p>
      <w:pPr>
        <w:spacing w:before="0" w:after="200" w:lineRule="auto" w:line="276"/>
      </w:pPr>
      <w:r>
        <w:rPr>
          <w:b/>
        </w:rPr>
        <w:t xml:space="preserve">Abstract (EN): </w:t>
      </w:r>
      <w:r>
        <w:t>Taking a scientific approach to artificial-intelligence queries makes every output a result to be checked, says James Dewar. Here are ten tips for doing it right.</w:t>
      </w:r>
    </w:p>
    <w:p>
      <w:pPr>
        <w:spacing w:before="120" w:after="120"/>
      </w:pPr>
      <w:r>
        <w:rPr>
          <w:sz w:val="18"/>
        </w:rPr>
        <w:t>——————————————————————————————————————————————————————————————————————</w:t>
      </w:r>
    </w:p>
    <w:p>
      <w:pPr>
        <w:spacing w:before="160" w:after="40" w:line="240" w:lineRule="auto"/>
      </w:pPr>
      <w:r>
        <w:rPr>
          <w:b/>
        </w:rPr>
        <w:t xml:space="preserve">[183] </w:t>
      </w:r>
      <w:hyperlink r:id="rId882">
        <w:r>
          <w:rPr>
            <w:color w:val="1155CC"/>
            <w:u w:val="single"/>
          </w:rPr>
          <w:t>支配地球生命的秘密关系</w:t>
        </w:r>
      </w:hyperlink>
    </w:p>
    <w:p>
      <w:pPr>
        <w:spacing w:before="0" w:after="80"/>
      </w:pPr>
      <w:r>
        <w:rPr>
          <w:i/>
          <w:sz w:val="20"/>
        </w:rPr>
        <w:t>EN: The secret relationships that govern life on Earth</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883">
        <w:r>
          <w:rPr>
            <w:color w:val="1155CC"/>
            <w:u w:val="single"/>
          </w:rPr>
          <w:t>10.1038/d41586-026-02387-7</w:t>
        </w:r>
      </w:hyperlink>
    </w:p>
    <w:p>
      <w:pPr>
        <w:spacing w:before="0" w:after="120"/>
      </w:pPr>
      <w:r>
        <w:rPr>
          <w:b/>
        </w:rPr>
        <w:t xml:space="preserve">Notes: </w:t>
      </w:r>
      <w:r>
        <w:t>abstract_source=rss_nature</w:t>
      </w:r>
    </w:p>
    <w:p>
      <w:pPr>
        <w:spacing w:before="0" w:after="80" w:lineRule="auto" w:line="276"/>
      </w:pPr>
      <w:r>
        <w:rPr>
          <w:b/>
        </w:rPr>
        <w:t xml:space="preserve">摘要（ZH）: </w:t>
      </w:r>
      <w:r>
        <w:t>关于寄生和共生的书籍激发了人们对物种生命交织的奇怪方式的好奇。</w:t>
      </w:r>
    </w:p>
    <w:p>
      <w:pPr>
        <w:spacing w:before="0" w:after="200" w:lineRule="auto" w:line="276"/>
      </w:pPr>
      <w:r>
        <w:rPr>
          <w:b/>
        </w:rPr>
        <w:t xml:space="preserve">Abstract (EN): </w:t>
      </w:r>
      <w:r>
        <w:t>Books on parasitism and symbiosis inspire wonder at the strange ways in which species’ lives intertwine.</w:t>
      </w:r>
    </w:p>
    <w:p>
      <w:pPr>
        <w:spacing w:before="120" w:after="120"/>
      </w:pPr>
      <w:r>
        <w:rPr>
          <w:sz w:val="18"/>
        </w:rPr>
        <w:t>——————————————————————————————————————————————————————————————————————</w:t>
      </w:r>
    </w:p>
    <w:p>
      <w:pPr>
        <w:spacing w:before="160" w:after="40" w:line="240" w:lineRule="auto"/>
      </w:pPr>
      <w:r>
        <w:rPr>
          <w:b/>
        </w:rPr>
        <w:t xml:space="preserve">[184] </w:t>
      </w:r>
      <w:hyperlink r:id="rId884">
        <w:r>
          <w:rPr>
            <w:color w:val="1155CC"/>
            <w:u w:val="single"/>
          </w:rPr>
          <w:t>备受争议的白宫改革美国科学资助计划面临参议院反对</w:t>
        </w:r>
      </w:hyperlink>
    </w:p>
    <w:p>
      <w:pPr>
        <w:spacing w:before="0" w:after="80"/>
      </w:pPr>
      <w:r>
        <w:rPr>
          <w:i/>
          <w:sz w:val="20"/>
        </w:rPr>
        <w:t>EN: Controversial White House plan to overhaul US science funding faces Senate opposition</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885">
        <w:r>
          <w:rPr>
            <w:color w:val="1155CC"/>
            <w:u w:val="single"/>
          </w:rPr>
          <w:t>10.1038/d41586-026-02436-1</w:t>
        </w:r>
      </w:hyperlink>
    </w:p>
    <w:p>
      <w:pPr>
        <w:spacing w:before="0" w:after="120"/>
      </w:pPr>
      <w:r>
        <w:rPr>
          <w:b/>
        </w:rPr>
        <w:t xml:space="preserve">Notes: </w:t>
      </w:r>
      <w:r>
        <w:t>abstract_source=rss_nature</w:t>
      </w:r>
    </w:p>
    <w:p>
      <w:pPr>
        <w:spacing w:before="0" w:after="80" w:lineRule="auto" w:line="276"/>
      </w:pPr>
      <w:r>
        <w:rPr>
          <w:b/>
        </w:rPr>
        <w:t xml:space="preserve">摘要（ZH）: </w:t>
      </w:r>
      <w:r>
        <w:t>如果立法者的努力取得成功，让政治任命者负责研究经费的提议可能会暂时停止。</w:t>
      </w:r>
    </w:p>
    <w:p>
      <w:pPr>
        <w:spacing w:before="0" w:after="200" w:lineRule="auto" w:line="276"/>
      </w:pPr>
      <w:r>
        <w:rPr>
          <w:b/>
        </w:rPr>
        <w:t xml:space="preserve">Abstract (EN): </w:t>
      </w:r>
      <w:r>
        <w:t>Proposal to put political appointees in charge of research grants could be temporarily halted if lawmakers’ efforts are successful.</w:t>
      </w:r>
    </w:p>
    <w:p>
      <w:pPr>
        <w:spacing w:before="120" w:after="120"/>
      </w:pPr>
      <w:r>
        <w:rPr>
          <w:sz w:val="18"/>
        </w:rPr>
        <w:t>——————————————————————————————————————————————————————————————————————</w:t>
      </w:r>
    </w:p>
    <w:p>
      <w:pPr>
        <w:spacing w:before="160" w:after="40" w:line="240" w:lineRule="auto"/>
      </w:pPr>
      <w:r>
        <w:rPr>
          <w:b/>
        </w:rPr>
        <w:t xml:space="preserve">[185] </w:t>
      </w:r>
      <w:hyperlink r:id="rId886">
        <w:r>
          <w:rPr>
            <w:color w:val="1155CC"/>
            <w:u w:val="single"/>
          </w:rPr>
          <w:t>“对我们所有人来说都是浪费时间”：陷入同行评审战争的交火之中</w:t>
        </w:r>
      </w:hyperlink>
    </w:p>
    <w:p>
      <w:pPr>
        <w:spacing w:before="0" w:after="80"/>
      </w:pPr>
      <w:r>
        <w:rPr>
          <w:i/>
          <w:sz w:val="20"/>
        </w:rPr>
        <w:t>EN: ‘A waste of time for all of us’: caught in the crossfire of the peer-review wars</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887">
        <w:r>
          <w:rPr>
            <w:color w:val="1155CC"/>
            <w:u w:val="single"/>
          </w:rPr>
          <w:t>10.1038/d41586-026-01360-8</w:t>
        </w:r>
      </w:hyperlink>
    </w:p>
    <w:p>
      <w:pPr>
        <w:spacing w:before="0" w:after="120"/>
      </w:pPr>
      <w:r>
        <w:rPr>
          <w:b/>
        </w:rPr>
        <w:t xml:space="preserve">Notes: </w:t>
      </w:r>
      <w:r>
        <w:t>abstract_source=rss_nature</w:t>
      </w:r>
    </w:p>
    <w:p>
      <w:pPr>
        <w:spacing w:before="0" w:after="80" w:lineRule="auto" w:line="276"/>
      </w:pPr>
      <w:r>
        <w:rPr>
          <w:b/>
        </w:rPr>
        <w:t xml:space="preserve">摘要（ZH）: </w:t>
      </w:r>
      <w:r>
        <w:t>评论工厂——那些撰写带有强制引用请求的虚假审稿报告的研究人员——正在学术出版界掀起一场战争。夹在中间的人会怎样？</w:t>
      </w:r>
    </w:p>
    <w:p>
      <w:pPr>
        <w:spacing w:before="0" w:after="200" w:lineRule="auto" w:line="276"/>
      </w:pPr>
      <w:r>
        <w:rPr>
          <w:b/>
        </w:rPr>
        <w:t xml:space="preserve">Abstract (EN): </w:t>
      </w:r>
      <w:r>
        <w:t>Review mills — researchers who write fake referee reports with coercive citation requests — are setting off a war in academic publishing. What happens to those caught in the middle?</w:t>
      </w:r>
    </w:p>
    <w:p>
      <w:pPr>
        <w:spacing w:before="120" w:after="120"/>
      </w:pPr>
      <w:r>
        <w:rPr>
          <w:sz w:val="18"/>
        </w:rPr>
        <w:t>——————————————————————————————————————————————————————————————————————</w:t>
      </w:r>
    </w:p>
    <w:p>
      <w:pPr>
        <w:spacing w:before="160" w:after="40" w:line="240" w:lineRule="auto"/>
      </w:pPr>
      <w:r>
        <w:rPr>
          <w:b/>
        </w:rPr>
        <w:t xml:space="preserve">[186] </w:t>
      </w:r>
      <w:hyperlink r:id="rId888">
        <w:r>
          <w:rPr>
            <w:color w:val="1155CC"/>
            <w:u w:val="single"/>
          </w:rPr>
          <w:t>关于如何避免分心的科学提示</w:t>
        </w:r>
      </w:hyperlink>
    </w:p>
    <w:p>
      <w:pPr>
        <w:spacing w:before="0" w:after="80"/>
      </w:pPr>
      <w:r>
        <w:rPr>
          <w:i/>
          <w:sz w:val="20"/>
        </w:rPr>
        <w:t>EN: Science-backed tips on how to avoid distractions</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889">
        <w:r>
          <w:rPr>
            <w:color w:val="1155CC"/>
            <w:u w:val="single"/>
          </w:rPr>
          <w:t>10.1038/d41586-026-01850-9</w:t>
        </w:r>
      </w:hyperlink>
    </w:p>
    <w:p>
      <w:pPr>
        <w:spacing w:before="0" w:after="120"/>
      </w:pPr>
      <w:r>
        <w:rPr>
          <w:b/>
        </w:rPr>
        <w:t xml:space="preserve">Notes: </w:t>
      </w:r>
      <w:r>
        <w:t>abstract_source=nature_html</w:t>
      </w:r>
    </w:p>
    <w:p>
      <w:pPr>
        <w:spacing w:before="0" w:after="80" w:lineRule="auto" w:line="276"/>
      </w:pPr>
      <w:r>
        <w:rPr>
          <w:b/>
        </w:rPr>
        <w:t xml:space="preserve">摘要（ZH）: </w:t>
      </w:r>
      <w:r>
        <w:t>在实验室里很难保持专注？注意研究人员提供了一些建议。</w:t>
      </w:r>
    </w:p>
    <w:p>
      <w:pPr>
        <w:spacing w:before="0" w:after="200" w:lineRule="auto" w:line="276"/>
      </w:pPr>
      <w:r>
        <w:rPr>
          <w:b/>
        </w:rPr>
        <w:t xml:space="preserve">Abstract (EN): </w:t>
      </w:r>
      <w:r>
        <w:t>Struggling to stay focused in the lab? Attention researchers offer some advice.</w:t>
      </w:r>
    </w:p>
    <w:p>
      <w:pPr>
        <w:spacing w:before="120" w:after="120"/>
      </w:pPr>
      <w:r>
        <w:rPr>
          <w:sz w:val="18"/>
        </w:rPr>
        <w:t>——————————————————————————————————————————————————————————————————————</w:t>
      </w:r>
    </w:p>
    <w:p>
      <w:pPr>
        <w:spacing w:before="160" w:after="40" w:line="240" w:lineRule="auto"/>
      </w:pPr>
      <w:r>
        <w:rPr>
          <w:b/>
        </w:rPr>
        <w:t xml:space="preserve">[187] </w:t>
      </w:r>
      <w:hyperlink r:id="rId890">
        <w:r>
          <w:rPr>
            <w:color w:val="1155CC"/>
            <w:u w:val="single"/>
          </w:rPr>
          <w:t>金星的裂谷可能是其保持活跃的秘诀</w:t>
        </w:r>
      </w:hyperlink>
    </w:p>
    <w:p>
      <w:pPr>
        <w:spacing w:before="0" w:after="80"/>
      </w:pPr>
      <w:r>
        <w:rPr>
          <w:i/>
          <w:sz w:val="20"/>
        </w:rPr>
        <w:t>EN: Venus’s rift valleys could be its secret to staying active</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891">
        <w:r>
          <w:rPr>
            <w:color w:val="1155CC"/>
            <w:u w:val="single"/>
          </w:rPr>
          <w:t>10.1038/d41586-026-02372-0</w:t>
        </w:r>
      </w:hyperlink>
    </w:p>
    <w:p>
      <w:pPr>
        <w:spacing w:before="0" w:after="120"/>
      </w:pPr>
      <w:r>
        <w:rPr>
          <w:b/>
        </w:rPr>
        <w:t xml:space="preserve">Notes: </w:t>
      </w:r>
      <w:r>
        <w:t>abstract_source=rss_nature</w:t>
      </w:r>
    </w:p>
    <w:p>
      <w:pPr>
        <w:spacing w:before="0" w:after="80" w:lineRule="auto" w:line="276"/>
      </w:pPr>
      <w:r>
        <w:rPr>
          <w:b/>
        </w:rPr>
        <w:t xml:space="preserve">摘要（ZH）: </w:t>
      </w:r>
      <w:r>
        <w:t>金星地质动力学的本质引起了激烈的争论——金星陡峭的裂谷可能是持续构造活动的证据。</w:t>
      </w:r>
    </w:p>
    <w:p>
      <w:pPr>
        <w:spacing w:before="0" w:after="200" w:lineRule="auto" w:line="276"/>
      </w:pPr>
      <w:r>
        <w:rPr>
          <w:b/>
        </w:rPr>
        <w:t xml:space="preserve">Abstract (EN): </w:t>
      </w:r>
      <w:r>
        <w:t>The nature of geological dynamics on Venus are fiercely debated — the planet’s steep rift valleys could be evidence of ongoing tectonic activity.</w:t>
      </w:r>
    </w:p>
    <w:p>
      <w:pPr>
        <w:spacing w:before="120" w:after="120"/>
      </w:pPr>
      <w:r>
        <w:rPr>
          <w:sz w:val="18"/>
        </w:rPr>
        <w:t>——————————————————————————————————————————————————————————————————————</w:t>
      </w:r>
    </w:p>
    <w:p>
      <w:pPr>
        <w:spacing w:before="160" w:after="40" w:line="240" w:lineRule="auto"/>
      </w:pPr>
      <w:r>
        <w:rPr>
          <w:b/>
        </w:rPr>
        <w:t xml:space="preserve">[188] </w:t>
      </w:r>
      <w:hyperlink r:id="rId892">
        <w:r>
          <w:rPr>
            <w:color w:val="1155CC"/>
            <w:u w:val="single"/>
          </w:rPr>
          <w:t>镰状细胞病与小鼠干细胞过早衰老有关</w:t>
        </w:r>
      </w:hyperlink>
    </w:p>
    <w:p>
      <w:pPr>
        <w:spacing w:before="0" w:after="80"/>
      </w:pPr>
      <w:r>
        <w:rPr>
          <w:i/>
          <w:sz w:val="20"/>
        </w:rPr>
        <w:t>EN: Sickle-cell disease linked to prematurely aged stem cells in mice</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893">
        <w:r>
          <w:rPr>
            <w:color w:val="1155CC"/>
            <w:u w:val="single"/>
          </w:rPr>
          <w:t>10.1038/d41586-026-02339-1</w:t>
        </w:r>
      </w:hyperlink>
    </w:p>
    <w:p>
      <w:pPr>
        <w:spacing w:before="0" w:after="120"/>
      </w:pPr>
      <w:r>
        <w:rPr>
          <w:b/>
        </w:rPr>
        <w:t xml:space="preserve">Notes: </w:t>
      </w:r>
      <w:r>
        <w:t>abstract_source=rss_nature</w:t>
      </w:r>
    </w:p>
    <w:p>
      <w:pPr>
        <w:spacing w:before="0" w:after="80" w:lineRule="auto" w:line="276"/>
      </w:pPr>
      <w:r>
        <w:rPr>
          <w:b/>
        </w:rPr>
        <w:t xml:space="preserve">摘要（ZH）: </w:t>
      </w:r>
      <w:r>
        <w:t>药物组合可以恢复血液疾病小鼠模型中的干细胞功能。</w:t>
      </w:r>
    </w:p>
    <w:p>
      <w:pPr>
        <w:spacing w:before="0" w:after="200" w:lineRule="auto" w:line="276"/>
      </w:pPr>
      <w:r>
        <w:rPr>
          <w:b/>
        </w:rPr>
        <w:t xml:space="preserve">Abstract (EN): </w:t>
      </w:r>
      <w:r>
        <w:t>A combination of drugs restores stem-cell function in mouse models of the blood disorder.</w:t>
      </w:r>
    </w:p>
    <w:p>
      <w:pPr>
        <w:spacing w:before="120" w:after="120"/>
      </w:pPr>
      <w:r>
        <w:rPr>
          <w:sz w:val="18"/>
        </w:rPr>
        <w:t>——————————————————————————————————————————————————————————————————————</w:t>
      </w:r>
    </w:p>
    <w:p>
      <w:pPr>
        <w:spacing w:before="160" w:after="40" w:line="240" w:lineRule="auto"/>
      </w:pPr>
      <w:r>
        <w:rPr>
          <w:b/>
        </w:rPr>
        <w:t xml:space="preserve">[189] </w:t>
      </w:r>
      <w:hyperlink r:id="rId894">
        <w:r>
          <w:rPr>
            <w:color w:val="1155CC"/>
            <w:u w:val="single"/>
          </w:rPr>
          <w:t>用于节能计算的电子材料工程接口</w:t>
        </w:r>
      </w:hyperlink>
    </w:p>
    <w:p>
      <w:pPr>
        <w:spacing w:before="0" w:after="80"/>
      </w:pPr>
      <w:r>
        <w:rPr>
          <w:i/>
          <w:sz w:val="20"/>
        </w:rPr>
        <w:t>EN: Engineered interfaces in electronic materials for energy-efficient computing</w:t>
      </w:r>
    </w:p>
    <w:p>
      <w:pPr>
        <w:spacing w:before="0" w:after="120"/>
      </w:pPr>
      <w:r>
        <w:rPr>
          <w:b/>
        </w:rPr>
        <w:t xml:space="preserve">Source: </w:t>
      </w:r>
      <w:r>
        <w:t>Nature Reviews Materials</w:t>
      </w:r>
      <w:r>
        <w:t xml:space="preserve">    </w:t>
      </w:r>
      <w:r>
        <w:rPr>
          <w:b/>
        </w:rPr>
        <w:t xml:space="preserve">Pub date: </w:t>
      </w:r>
      <w:r>
        <w:t>2026-08-03 00:00:00+00:00</w:t>
      </w:r>
      <w:r>
        <w:t xml:space="preserve">    </w:t>
      </w:r>
      <w:r>
        <w:rPr>
          <w:b/>
        </w:rPr>
        <w:t xml:space="preserve">DOI: </w:t>
      </w:r>
      <w:hyperlink r:id="rId895">
        <w:r>
          <w:rPr>
            <w:color w:val="1155CC"/>
            <w:u w:val="single"/>
          </w:rPr>
          <w:t>10.1038/s41578-026-00949-9</w:t>
        </w:r>
      </w:hyperlink>
    </w:p>
    <w:p>
      <w:pPr>
        <w:spacing w:before="0" w:after="120"/>
      </w:pPr>
      <w:r>
        <w:rPr>
          <w:b/>
        </w:rPr>
        <w:t xml:space="preserve">Notes: </w:t>
      </w:r>
      <w:r>
        <w:t>abstract_source=rss_nature</w:t>
      </w:r>
    </w:p>
    <w:p>
      <w:pPr>
        <w:spacing w:before="0" w:after="80" w:lineRule="auto" w:line="276"/>
      </w:pPr>
      <w:r>
        <w:rPr>
          <w:b/>
        </w:rPr>
        <w:t xml:space="preserve">摘要（ZH）: </w:t>
      </w:r>
      <w:r>
        <w:t>随着电子设备尺寸的缩小，计算的能源效率越来越受到界面传输过程的限制。本视角概述了工程电子材料接口如何控制开关、电荷和热传输以及可靠性，并讨论了逻辑、存储器、互连和热管理的接口设计，同时确定了接口设计的预测建模需求。</w:t>
      </w:r>
    </w:p>
    <w:p>
      <w:pPr>
        <w:spacing w:before="0" w:after="200" w:lineRule="auto" w:line="276"/>
      </w:pPr>
      <w:r>
        <w:rPr>
          <w:b/>
        </w:rPr>
        <w:t xml:space="preserve">Abstract (EN): </w:t>
      </w:r>
      <w:r>
        <w:t>As electronic devices downscale, the energy efficiency of computing is increasingly limited by interfacial transport processes. This Perspective outlines how engineered electronic-material interfaces control switching, charge and heat transport, and reliability and discusses interface design for logic, memory, interconnects and thermal management, whereas identifying predictive modelling needs for interface design.</w:t>
      </w:r>
    </w:p>
    <w:p>
      <w:pPr>
        <w:spacing w:before="120" w:after="120"/>
      </w:pPr>
      <w:r>
        <w:rPr>
          <w:sz w:val="18"/>
        </w:rPr>
        <w:t>——————————————————————————————————————————————————————————————————————</w:t>
      </w:r>
    </w:p>
    <w:p>
      <w:pPr>
        <w:spacing w:before="160" w:after="40" w:line="240" w:lineRule="auto"/>
      </w:pPr>
      <w:r>
        <w:rPr>
          <w:b/>
        </w:rPr>
        <w:t xml:space="preserve">[190] </w:t>
      </w:r>
      <w:hyperlink r:id="rId896">
        <w:r>
          <w:rPr>
            <w:color w:val="1155CC"/>
            <w:u w:val="single"/>
          </w:rPr>
          <w:t>作者更正：移植的人类皮质类器官的成熟和电路整合</w:t>
        </w:r>
      </w:hyperlink>
    </w:p>
    <w:p>
      <w:pPr>
        <w:spacing w:before="0" w:after="80"/>
      </w:pPr>
      <w:r>
        <w:rPr>
          <w:i/>
          <w:sz w:val="20"/>
        </w:rPr>
        <w:t>EN: Author Correction: Maturation and circuit integration of transplanted human cortical organoids</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897">
        <w:r>
          <w:rPr>
            <w:color w:val="1155CC"/>
            <w:u w:val="single"/>
          </w:rPr>
          <w:t>10.1038/s41586-026-10943-4</w:t>
        </w:r>
      </w:hyperlink>
    </w:p>
    <w:p>
      <w:pPr>
        <w:spacing w:before="0" w:after="120"/>
      </w:pPr>
      <w:r>
        <w:rPr>
          <w:b/>
        </w:rPr>
        <w:t xml:space="preserve">Notes: </w:t>
      </w:r>
      <w:r>
        <w:t>abstract_source=openalex</w:t>
      </w:r>
    </w:p>
    <w:p>
      <w:pPr>
        <w:spacing w:before="0" w:after="80" w:lineRule="auto" w:line="276"/>
      </w:pPr>
      <w:r>
        <w:rPr>
          <w:b/>
        </w:rPr>
        <w:t xml:space="preserve">摘要（ZH）: </w:t>
      </w:r>
      <w:r>
        <w:t>在本文最初发布的版本中，由于图形准备错误，图 5a 中的 mPFC 面板无意中复制了图 5a A1 面板。该图现已在文章的 HTML 和 PDF 版本中进行了修订。</w:t>
      </w:r>
    </w:p>
    <w:p>
      <w:pPr>
        <w:spacing w:before="0" w:after="200" w:lineRule="auto" w:line="276"/>
      </w:pPr>
      <w:r>
        <w:rPr>
          <w:b/>
        </w:rPr>
        <w:t xml:space="preserve">Abstract (EN): </w:t>
      </w:r>
      <w:r>
        <w:t>In the version of this article initially published, due to a figure preparation error, the mPFC panel in Fig. 5a was an inadvertent duplicate of the Fig. 5a A1 panel. The figure is now revised in the HTML and PDF versions of the article.</w:t>
      </w:r>
    </w:p>
    <w:p>
      <w:pPr>
        <w:spacing w:before="120" w:after="120"/>
      </w:pPr>
      <w:r>
        <w:rPr>
          <w:sz w:val="18"/>
        </w:rPr>
        <w:t>——————————————————————————————————————————————————————————————————————</w:t>
      </w:r>
    </w:p>
    <w:p>
      <w:pPr>
        <w:spacing w:before="160" w:after="40" w:line="240" w:lineRule="auto"/>
      </w:pPr>
      <w:r>
        <w:rPr>
          <w:b/>
        </w:rPr>
        <w:t xml:space="preserve">[191] </w:t>
      </w:r>
      <w:hyperlink r:id="rId898">
        <w:r>
          <w:rPr>
            <w:color w:val="1155CC"/>
            <w:u w:val="single"/>
          </w:rPr>
          <w:t>提高碳能力的心理障碍</w:t>
        </w:r>
      </w:hyperlink>
    </w:p>
    <w:p>
      <w:pPr>
        <w:spacing w:before="0" w:after="80"/>
      </w:pPr>
      <w:r>
        <w:rPr>
          <w:i/>
          <w:sz w:val="20"/>
        </w:rPr>
        <w:t>EN: Psychological barriers to improving carbon competence</w:t>
      </w:r>
    </w:p>
    <w:p>
      <w:pPr>
        <w:spacing w:before="0" w:after="120"/>
      </w:pPr>
      <w:r>
        <w:rPr>
          <w:b/>
        </w:rPr>
        <w:t xml:space="preserve">Source: </w:t>
      </w:r>
      <w:r>
        <w:t>Nature Sustainability</w:t>
      </w:r>
      <w:r>
        <w:t xml:space="preserve">    </w:t>
      </w:r>
      <w:r>
        <w:rPr>
          <w:b/>
        </w:rPr>
        <w:t xml:space="preserve">Pub date: </w:t>
      </w:r>
      <w:r>
        <w:t>2026-08-03 00:00:00+00:00</w:t>
      </w:r>
      <w:r>
        <w:t xml:space="preserve">    </w:t>
      </w:r>
      <w:r>
        <w:rPr>
          <w:b/>
        </w:rPr>
        <w:t xml:space="preserve">DOI: </w:t>
      </w:r>
      <w:hyperlink r:id="rId899">
        <w:r>
          <w:rPr>
            <w:color w:val="1155CC"/>
            <w:u w:val="single"/>
          </w:rPr>
          <w:t>10.1038/s41893-026-01900-0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有效地为减缓气候变化做出贡献，个人需要准确地表示与各个生活领域的气候行动相关的温室气体排放。尽管这种碳能力普遍较低，但相关的心理障碍在很大程度上仍未被探索，也很少有人尝试改善它。在这里，我们研究启发式和动机推理过程如何与缓解潜力估计相关并评估纠正干预措施。三项预先注册的研究（</w:t>
      </w:r>
      <w:r>
        <w:t xml:space="preserve"> </w:t>
      </w:r>
      <w:r>
        <w:t>n</w:t>
      </w:r>
      <w:r>
        <w:t xml:space="preserve"> </w:t>
      </w:r>
      <w:r>
        <w:t>总计</w:t>
      </w:r>
      <w:r>
        <w:t xml:space="preserve"> </w:t>
      </w:r>
      <w:r>
        <w:t>= 2,924）我们表明，低至中等影响的行动比高影响的行动更频繁地被采用，并且关于气候行动的不同影响的知识是有限的。我们的数据表明，不准确的原因是个人始终依赖可用性启发式和动机推理来形成判断。为了解决这个问题，我们将感知的行为成本和社会流行率确定为广泛气候行动实际影响的合理指标。在两项纠正性增强干预措施中利用这一见解并告知最具影响力的气候行动，仅部分改善了影响估计，而且个体之间存在很大差异。通过量身定制的干预措施来解释异质性对于克服大规模碳能力的普遍心理障碍似乎至关重要。</w:t>
      </w:r>
    </w:p>
    <w:p>
      <w:pPr>
        <w:spacing w:before="0" w:after="200" w:lineRule="auto" w:line="276"/>
      </w:pPr>
      <w:r>
        <w:rPr>
          <w:b/>
        </w:rPr>
        <w:t xml:space="preserve">Abstract (EN): </w:t>
      </w:r>
      <w:r>
        <w:t>To effectively contribute to the mitigation of climate change, individuals require accurate representations of the greenhouse gas emissions related to climate actions across life domains. Although this carbon competence is generally low, the related psychological barriers remain largely unexplored, and few attempts have been made to improve it. Here we investigate how heuristic and motivated reasoning processes relate to mitigation potential estimates and evaluate corrective interventions. Across three preregistered studies (</w:t>
      </w:r>
      <w:r>
        <w:t xml:space="preserve"> </w:t>
      </w:r>
      <w:r>
        <w:t>n</w:t>
      </w:r>
      <w:r>
        <w:t xml:space="preserve"> </w:t>
      </w:r>
      <w:r>
        <w:t>total</w:t>
      </w:r>
      <w:r>
        <w:t xml:space="preserve"> </w:t>
      </w:r>
      <w:r>
        <w:t>= 2,924) we show that low- to medium-impact actions are more frequently adopted than higher-impact actions, and that knowledge about the differential impact of climate actions is limited. Our data suggest that inaccuracies are driven by individuals consistently relying on the availability heuristic and motivated reasoning to form their judgements. To address this, we identify perceived behavioural costs and social prevalence as reasonable proxies of the actual impact of a broad range of climate actions. Leveraging this insight in two corrective boosting interventions and informing about the most impactful climate actions only partly improved impact estimates, with considerable variations across individuals. Accounting for heterogeneity through tailored interventions appears crucial to overcome pervasive psychological barriers to carbon competence on a large scale.</w:t>
      </w:r>
    </w:p>
    <w:p>
      <w:pPr>
        <w:spacing w:before="120" w:after="120"/>
      </w:pPr>
      <w:r>
        <w:rPr>
          <w:sz w:val="18"/>
        </w:rPr>
        <w:t>——————————————————————————————————————————————————————————————————————</w:t>
      </w:r>
    </w:p>
    <w:p>
      <w:pPr>
        <w:spacing w:before="160" w:after="40" w:line="240" w:lineRule="auto"/>
      </w:pPr>
      <w:r>
        <w:rPr>
          <w:b/>
        </w:rPr>
        <w:t xml:space="preserve">[192] </w:t>
      </w:r>
      <w:hyperlink r:id="rId900">
        <w:r>
          <w:rPr>
            <w:color w:val="1155CC"/>
            <w:u w:val="single"/>
          </w:rPr>
          <w:t>用于高产分子器件的自组装触点</w:t>
        </w:r>
      </w:hyperlink>
    </w:p>
    <w:p>
      <w:pPr>
        <w:spacing w:before="0" w:after="80"/>
      </w:pPr>
      <w:r>
        <w:rPr>
          <w:i/>
          <w:sz w:val="20"/>
        </w:rPr>
        <w:t>EN: Self-assembled contacts for high-yield molecular devices</w:t>
      </w:r>
    </w:p>
    <w:p>
      <w:pPr>
        <w:spacing w:before="0" w:after="120"/>
      </w:pPr>
      <w:r>
        <w:rPr>
          <w:b/>
        </w:rPr>
        <w:t xml:space="preserve">Source: </w:t>
      </w:r>
      <w:r>
        <w:t>Nature Nanotechnology</w:t>
      </w:r>
      <w:r>
        <w:t xml:space="preserve">    </w:t>
      </w:r>
      <w:r>
        <w:rPr>
          <w:b/>
        </w:rPr>
        <w:t xml:space="preserve">Pub date: </w:t>
      </w:r>
      <w:r>
        <w:t>2026-08-03 00:00:00+00:00</w:t>
      </w:r>
      <w:r>
        <w:t xml:space="preserve">    </w:t>
      </w:r>
      <w:r>
        <w:rPr>
          <w:b/>
        </w:rPr>
        <w:t xml:space="preserve">DOI: </w:t>
      </w:r>
      <w:hyperlink r:id="rId901">
        <w:r>
          <w:rPr>
            <w:color w:val="1155CC"/>
            <w:u w:val="single"/>
          </w:rPr>
          <w:t>10.1038/s41565-026-02227-9</w:t>
        </w:r>
      </w:hyperlink>
    </w:p>
    <w:p>
      <w:pPr>
        <w:spacing w:before="0" w:after="120"/>
      </w:pPr>
      <w:r>
        <w:rPr>
          <w:b/>
        </w:rPr>
        <w:t xml:space="preserve">Notes: </w:t>
      </w:r>
      <w:r>
        <w:t>abstract_source=pubmed</w:t>
      </w:r>
    </w:p>
    <w:p>
      <w:pPr>
        <w:spacing w:before="0" w:after="80" w:lineRule="auto" w:line="276"/>
      </w:pPr>
      <w:r>
        <w:rPr>
          <w:b/>
        </w:rPr>
        <w:t xml:space="preserve">摘要（ZH）: </w:t>
      </w:r>
      <w:r>
        <w:t>凭借其原子精度和综合可定制特性，分子为新兴计算、传感、光学和量子技术提供了新的可能性。然而，由于与现有自上而下的制造工艺不兼容，将分子可扩展、无损伤地集成到具有原子级控制的有源器件中仍然是一个严峻的挑战。在这里，我们介绍自组装接触，这种策略首先使用标准半导体制造工艺来制造器件结构，然后通过工程表面相互作用进行转换，以与分子形成自对准的原始界面。我们通过制造超过 1,000 个电活性金属-分子-金属器件来验证这种方法，这些器件的良率高达 99%，并且能够稳定运行超过 105 个测量周期，甚至对于厚度小于 1 nm 的分子层也是如此。原位拉曼测量验证了分子完整性的保存。除了单个设备之外，该平台还支持系统级集成，我们通过矢量矩阵乘法（神经形态计算中的基本运算）进行演示，在自校正分子存储设备的交叉阵列中实现。我们的研究结果将自组装触点建立为一个可扩展的平台，用于将分子功能集成到设备中，桥接自组装和自上而下的制造。</w:t>
      </w:r>
    </w:p>
    <w:p>
      <w:pPr>
        <w:spacing w:before="0" w:after="200" w:lineRule="auto" w:line="276"/>
      </w:pPr>
      <w:r>
        <w:rPr>
          <w:b/>
        </w:rPr>
        <w:t xml:space="preserve">Abstract (EN): </w:t>
      </w:r>
      <w:r>
        <w:t>With their atomic precision and synthetically tailorable properties, molecules offer new possibilities for emerging computing, sensing, optical and quantum technologies. However, the scalable, damage-free integration of molecules into active devices with atomic-scale control remains a critical challenge due to incompatibility with existing top-down fabrication processes. Here we introduce self-assembled contacts, a strategy in which device structures are first fabricated using standard semiconductor manufacturing processes and subsequently transformed through engineered surface interactions to form self-aligned, pristine interfaces with molecules. We validate this approach by fabricating over 1,000 electrically active metal-molecule-metal devices with yields of up to 99% and stable operation over 105 measurement cycles, even for molecular layers thinner than 1 nm. In situ Raman measurements verified the preservation of molecular integrity. Beyond individual devices, the platform supports system-level integration, which we demonstrate through vector-matrix multiplication, a fundamental operation in neuromorphic computing, implemented in a crossbar array of self-rectified molecular memory devices. Our results establish self-assembled contacts as a scalable platform for integrating molecular functionalities into devices, bridging self-assembly and top-down manufacturing.</w:t>
      </w:r>
    </w:p>
    <w:p>
      <w:pPr>
        <w:spacing w:before="120" w:after="120"/>
      </w:pPr>
      <w:r>
        <w:rPr>
          <w:sz w:val="18"/>
        </w:rPr>
        <w:t>——————————————————————————————————————————————————————————————————————</w:t>
      </w:r>
    </w:p>
    <w:p>
      <w:pPr>
        <w:spacing w:before="160" w:after="40" w:line="240" w:lineRule="auto"/>
      </w:pPr>
      <w:r>
        <w:rPr>
          <w:b/>
        </w:rPr>
        <w:t xml:space="preserve">[193] </w:t>
      </w:r>
      <w:hyperlink r:id="rId902">
        <w:r>
          <w:rPr>
            <w:color w:val="1155CC"/>
            <w:u w:val="single"/>
          </w:rPr>
          <w:t>双轴范德华晶体 MoOCl2 中的本征等离激元管化</w:t>
        </w:r>
      </w:hyperlink>
    </w:p>
    <w:p>
      <w:pPr>
        <w:spacing w:before="0" w:after="80"/>
      </w:pPr>
      <w:r>
        <w:rPr>
          <w:i/>
          <w:sz w:val="20"/>
        </w:rPr>
        <w:t>EN: Intrinsic plasmon canalization in the biaxial van der Waals crystal MoOCl2</w:t>
      </w:r>
    </w:p>
    <w:p>
      <w:pPr>
        <w:spacing w:before="0" w:after="120"/>
      </w:pPr>
      <w:r>
        <w:rPr>
          <w:b/>
        </w:rPr>
        <w:t xml:space="preserve">Source: </w:t>
      </w:r>
      <w:r>
        <w:t>Nature Nanotechnology</w:t>
      </w:r>
      <w:r>
        <w:t xml:space="preserve">    </w:t>
      </w:r>
      <w:r>
        <w:rPr>
          <w:b/>
        </w:rPr>
        <w:t xml:space="preserve">Pub date: </w:t>
      </w:r>
      <w:r>
        <w:t>2026-08-03 00:00:00+00:00</w:t>
      </w:r>
      <w:r>
        <w:t xml:space="preserve">    </w:t>
      </w:r>
      <w:r>
        <w:rPr>
          <w:b/>
        </w:rPr>
        <w:t xml:space="preserve">DOI: </w:t>
      </w:r>
      <w:hyperlink r:id="rId903">
        <w:r>
          <w:rPr>
            <w:color w:val="1155CC"/>
            <w:u w:val="single"/>
          </w:rPr>
          <w:t>10.1038/s41565-026-02243-9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对称性晶体中的各向异性极化子允许亚波长限制和光的定向路由。这种各向异性的最极端形式出现在椭圆色散和双曲色散之间的拓扑过渡处，其中等频轮廓塌陷成平行线，并且极化激元以无衍射、束状方式传播。这种渠道机制以前是通过扭曲异质结构或工程超表面实现的。在这里，我们表明，通过利用范德华晶体 MoOCl 中固有的椭圆到双曲线的转变，可以在不进行任何制造或结构化的情况下实现固有的管道化</w:t>
      </w:r>
      <w:r>
        <w:rPr>
          <w:vertAlign w:val="subscript"/>
        </w:rPr>
        <w:t>2</w:t>
      </w:r>
      <w:r>
        <w:t>在室温下。使用近场成像，我们直接可视化沿着[010]晶轴的低损耗德鲁德交叉点出现的等离子体激元管化。由于德鲁德介电常数的斜率适中，产生的极化子在宽光谱窗口上保持高度方向性。这种弱色散还能够实现鲁棒的厚度相关调谐，并且我们通过实验和理论上证明，只需改变薄片厚度即可将渠道波长调整超过 1μm。这项工作将管化极化子传播带入 4.5–6μm 范围，超出了声子极化子平台的频率限制，并与重要的分子振动重叠，为中红外纳米光子学和传感开辟了新的机遇。</w:t>
      </w:r>
    </w:p>
    <w:p>
      <w:pPr>
        <w:spacing w:before="0" w:after="200" w:lineRule="auto" w:line="276"/>
      </w:pPr>
      <w:r>
        <w:rPr>
          <w:b/>
        </w:rPr>
        <w:t xml:space="preserve">Abstract (EN): </w:t>
      </w:r>
      <w:r>
        <w:t>Anisotropic polaritons in low-symmetry crystals allow for subwavelength confinement and directional routing of light. The most extreme form of such anisotropy arises at the topological transition between elliptical and hyperbolic dispersion, where the isofrequency contours collapse into parallel lines and polaritons propagate in a diffractionless, beam-like fashion. This canalization regime has previously been accessed through twisted heterostructures or engineered metasurfaces. Here we show that intrinsic canalization can be achieved without any fabrication or structuring by exploiting the intrinsic elliptical-to-hyperbolic transition in the van der Waals crystal MoOCl</w:t>
      </w:r>
      <w:r>
        <w:rPr>
          <w:vertAlign w:val="subscript"/>
        </w:rPr>
        <w:t>2</w:t>
      </w:r>
      <w:r>
        <w:t>at room temperature. Using near-field imaging, we directly visualize plasmon-polariton canalization emerging at the low-loss Drude crossing point along the [010] crystal axis. Owing to the moderate slope of the Drude permittivity, the resulting polaritons remain highly directional across a broad spectral window. This weak dispersion also enables robust thickness-dependent tuning, and we demonstrate, both experimentally and theoretically, that the canalization wavelength can be adjusted by more than 1 μm simply by varying the flake thickness. This work brings canalized polariton propagation into the 4.5–6 μm range, beyond the frequency limits of phonon–polariton platforms and overlapping with important molecular vibrations, opening new opportunities for mid-infrared nanophotonics and sensing.</w:t>
      </w:r>
    </w:p>
    <w:p>
      <w:pPr>
        <w:spacing w:before="120" w:after="120"/>
      </w:pPr>
      <w:r>
        <w:rPr>
          <w:sz w:val="18"/>
        </w:rPr>
        <w:t>——————————————————————————————————————————————————————————————————————</w:t>
      </w:r>
    </w:p>
    <w:p>
      <w:pPr>
        <w:spacing w:before="160" w:after="40" w:line="240" w:lineRule="auto"/>
      </w:pPr>
      <w:r>
        <w:rPr>
          <w:b/>
        </w:rPr>
        <w:t xml:space="preserve">[194] </w:t>
      </w:r>
      <w:hyperlink r:id="rId904">
        <w:r>
          <w:rPr>
            <w:color w:val="1155CC"/>
            <w:u w:val="single"/>
          </w:rPr>
          <w:t>全新世早中期罗斯海极端波高反映海冰退缩和海洋-大气相互作用</w:t>
        </w:r>
      </w:hyperlink>
    </w:p>
    <w:p>
      <w:pPr>
        <w:spacing w:before="0" w:after="80"/>
      </w:pPr>
      <w:r>
        <w:rPr>
          <w:i/>
          <w:sz w:val="20"/>
        </w:rPr>
        <w:t>EN: Early-mid Holocene Ross Sea extreme wave heights reflect sea ice retreat and ocean-atmosphere interactions</w:t>
      </w:r>
    </w:p>
    <w:p>
      <w:pPr>
        <w:spacing w:before="0" w:after="120"/>
      </w:pPr>
      <w:r>
        <w:rPr>
          <w:b/>
        </w:rPr>
        <w:t xml:space="preserve">Source: </w:t>
      </w:r>
      <w:r>
        <w:t>Earth and environmental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南极沿海系统保存着冰​​后环境变化和极端风暴事件的宝贵记录。在罗斯海的无法表达的岛上，我们整合了地貌测绘、巨石测量、暴露测年、放射性碳约束和水动力分析，以重建早至中期全新世风暴波活动。在这里，我们表明，在大约 8000 至 5000 年前，海冰覆盖减少、开放水域取水扩大以及更强的大气-海洋耦合驱动了重复的高能风暴，在典型事件中波高为 1-3 m，在偶发极端事件中波高高达 4-9 m。这些风暴搬运了米级巨石并形成了凸起的海滩山脊，最高的山脊位于海拔 29 m (asl)，反映了冰后海平面波动、冰川均衡调整和局部波浪能量变化。罗斯海地区的全新世风暴超过了当今的极端情况，凸显了南极海岸演化与气候-海洋-冰冻圈过程之间的联系，对预测持续变暖下未来海岸的变化具有重要意义。</w:t>
      </w:r>
    </w:p>
    <w:p>
      <w:pPr>
        <w:spacing w:before="0" w:after="200" w:lineRule="auto" w:line="276"/>
      </w:pPr>
      <w:r>
        <w:rPr>
          <w:b/>
        </w:rPr>
        <w:t xml:space="preserve">Abstract (EN): </w:t>
      </w:r>
      <w:r>
        <w:t>Antarctic coastal systems preserve valuable records of postglacial environmental change and extreme storm events. On Inexpressible Island, Ross Sea, we integrated geomorphic mapping, boulder measurements, exposure dating, radiocarbon constraints, and hydrodynamic analysis to reconstruct early to mid-Holocene storm-wave activity. Here we show that between approximately 8000 and 5000 years ago, reduced sea-ice cover, expanded open-water fetch, and stronger atmosphere–ocean coupling drove repeated high-energy storms with significant wave heights of 1–3 m during typical events and up to 4–9 m during episodic extremes. These storms transported meter-scale boulders and formed raised beach ridges, the highest ridge crest situated at 29 m above sea level (asl), reflecting postglacial sea-level fluctuation, glacio-isostatic adjustment, and local wave energy variations. Holocene storminess in the Ross Sea region exceeded present-day extremes, underscoring linkages between Antarctic coastal evolution and climate–ocean–cryosphere processes, with implications for projecting future coastal change under ongoing warming.</w:t>
      </w:r>
    </w:p>
    <w:p>
      <w:pPr>
        <w:spacing w:before="120" w:after="120"/>
      </w:pPr>
      <w:r>
        <w:rPr>
          <w:sz w:val="18"/>
        </w:rPr>
        <w:t>——————————————————————————————————————————————————————————————————————</w:t>
      </w:r>
    </w:p>
    <w:p>
      <w:pPr>
        <w:spacing w:before="160" w:after="40" w:line="240" w:lineRule="auto"/>
      </w:pPr>
      <w:r>
        <w:rPr>
          <w:b/>
        </w:rPr>
        <w:t xml:space="preserve">[195] </w:t>
      </w:r>
      <w:hyperlink r:id="rId905">
        <w:r>
          <w:rPr>
            <w:color w:val="1155CC"/>
            <w:u w:val="single"/>
          </w:rPr>
          <w:t>使用众包开放数据对移动电信基础设施对气候灾害的全球脆弱性进行评估</w:t>
        </w:r>
      </w:hyperlink>
    </w:p>
    <w:p>
      <w:pPr>
        <w:spacing w:before="0" w:after="80"/>
      </w:pPr>
      <w:r>
        <w:rPr>
          <w:i/>
          <w:sz w:val="20"/>
        </w:rPr>
        <w:t>EN: Global vulnerability assessment of mobile telecommunications infrastructure to climate hazards using crowdsourced open data</w:t>
      </w:r>
    </w:p>
    <w:p>
      <w:pPr>
        <w:spacing w:before="0" w:after="120"/>
      </w:pPr>
      <w:r>
        <w:rPr>
          <w:b/>
        </w:rPr>
        <w:t xml:space="preserve">Source: </w:t>
      </w:r>
      <w:r>
        <w:t>Earth and environmental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气候变化正在加剧沿海洪水、河流洪水和热带气旋，尽管社会对数字连接的依赖日益增加，但电信基础设施面临的风险仍然难以量化。我们提出了一种基于事件的全球移动蜂窝基础设施脆弱性地理空间评估，将开放的众包资产数据与历史条件和未来情景下的全球气候灾害模型 RCP4.5 和 RCP8.5 相结合。我们分析了全球约 1700 万个移动基站，估计了极端事件重现期间的暴露程度和直接损害。根据 RCP8.5，到 2050 年，年概率为 0.1% 的热带气旋事件将影响估计 370 万个基站，造成 42.2 亿美元的直接损失。根据 2080 年 RCP8.5，相当于沿海洪水影响 268,000 个基站，造成 64.4 亿美元的损失。河流洪水影响了全球更多资产，约 280 万美元，但损失大致稳定在 46-470 亿美元。因此，电信基础设施资产应系统地纳入气候风险评估。</w:t>
      </w:r>
    </w:p>
    <w:p>
      <w:pPr>
        <w:spacing w:before="0" w:after="200" w:lineRule="auto" w:line="276"/>
      </w:pPr>
      <w:r>
        <w:rPr>
          <w:b/>
        </w:rPr>
        <w:t xml:space="preserve">Abstract (EN): </w:t>
      </w:r>
      <w:r>
        <w:t>Climate change is intensifying coastal flooding, riverine flooding and tropical cyclones, yet risks to telecommunications infrastructure remain poorly quantified despite growing societal dependence on digital connectivity. We present a global, event-based geospatial assessment of mobile cellular infrastructure vulnerability, combining open crowdsourced asset data with global climate hazard models under historical conditions and future scenarios, RCP4.5 and RCP8.5. We analyse approximately 17 million mobile basestations worldwide, estimating exposure and direct damage across extreme-event return periods. Under RCP8.5 in 2050, a 0.1% annual probability tropical cyclone event affects an estimated 3.7 million basestations, causing USD 4.22 billion in direct damage. Under RCP8.5 in 2080, equivalent coastal flooding affects 268,000 basestations, causing USD 6.44 billion in damage. Riverine flooding affects more assets globally, approximately 2.8 million, but damages remain broadly stable at USD 46–47 billion. Telecommunications infrastructure assets should therefore be systematically incorporated into climate risk assessments.</w:t>
      </w:r>
    </w:p>
    <w:p>
      <w:pPr>
        <w:spacing w:before="120" w:after="120"/>
      </w:pPr>
      <w:r>
        <w:rPr>
          <w:sz w:val="18"/>
        </w:rPr>
        <w:t>——————————————————————————————————————————————————————————————————————</w:t>
      </w:r>
    </w:p>
    <w:p>
      <w:pPr>
        <w:spacing w:before="160" w:after="40" w:line="240" w:lineRule="auto"/>
      </w:pPr>
      <w:r>
        <w:rPr>
          <w:b/>
        </w:rPr>
        <w:t xml:space="preserve">[196] </w:t>
      </w:r>
      <w:hyperlink r:id="rId906">
        <w:r>
          <w:rPr>
            <w:color w:val="1155CC"/>
            <w:u w:val="single"/>
          </w:rPr>
          <w:t>加拿大西部科迪勒拉板窗下方地幔供热的地震证据</w:t>
        </w:r>
      </w:hyperlink>
    </w:p>
    <w:p>
      <w:pPr>
        <w:spacing w:before="0" w:after="80"/>
      </w:pPr>
      <w:r>
        <w:rPr>
          <w:i/>
          <w:sz w:val="20"/>
        </w:rPr>
        <w:t>EN: Seismic evidence for lower-mantle heat supply beneath the Cordilleran slab window in western Canada</w:t>
      </w:r>
    </w:p>
    <w:p>
      <w:pPr>
        <w:spacing w:before="0" w:after="120"/>
      </w:pPr>
      <w:r>
        <w:rPr>
          <w:b/>
        </w:rPr>
        <w:t xml:space="preserve">Source: </w:t>
      </w:r>
      <w:r>
        <w:t>Earth and environmental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发散的板块边界驱动岩浆活动和板块扩张，但它们在整个地幔对流中的作用仍不清楚，因为大多数系统都是海底的。当扩张中心俯冲时，板状窗户为软流圈和可能更深的地幔上涌打开了通道。在这里，我们使用 20 年 429 个台站的远震 P-to-S 接收器功能来绘制加拿大西部地下 410 公里和 660 公里的不连续面。共同转换点堆积揭示了由俯冲的复活/法拉隆海岭系统形成的板片窗口上的连贯双凹陷，与邻近的克拉通形成鲜明对比。矿物物理学和地震层析成像约束表明地幔过渡带温度异常为 100-300 K，遵循板片窗口几何形状。蒙特卡洛对受约束的整个地幔地温的估计进一步表明下地幔温度高于平均水平。总之，这些观察结果表明，化石板片窗口为下地幔热量进入上地幔和岩石圈提供了通道，有助于加拿大科迪勒拉山脉的长期隆起。</w:t>
      </w:r>
    </w:p>
    <w:p>
      <w:pPr>
        <w:spacing w:before="0" w:after="200" w:lineRule="auto" w:line="276"/>
      </w:pPr>
      <w:r>
        <w:rPr>
          <w:b/>
        </w:rPr>
        <w:t xml:space="preserve">Abstract (EN): </w:t>
      </w:r>
      <w:r>
        <w:t>Divergent plate boundaries drive magmatism and plate spreading, yet their role in whole-mantle convection remains unclear, as most systems are submarine. When spreading centres subduct, slab windows open pathways for asthenospheric and potentially deeper mantle upwelling. Here we use 20 years of teleseismic P-to-S receiver functions from 429 stations to map the 410 and 660 km discontinuities beneath western Canada. Common-conversion-point stacking reveals coherent double depressions across a slab window formed by the subducted Resurrection/Farallon Ridge system, in contrast to the adjacent craton. Mineral physics and seismic tomography constraints indicate mantle transition zone temperature anomalies of 100-300 K that follow the slab-window geometry. Monte Carlo estimates of constrained whole-mantle geotherms further suggest a warmer-than-average lower mantle. Together, these observations suggest that the fossil slab window provides a conduit for lower-mantle heat into the upper mantle and lithosphere, contributing to long-term uplift of the Canadian Cordillera.</w:t>
      </w:r>
    </w:p>
    <w:p>
      <w:pPr>
        <w:spacing w:before="120" w:after="120"/>
      </w:pPr>
      <w:r>
        <w:rPr>
          <w:sz w:val="18"/>
        </w:rPr>
        <w:t>——————————————————————————————————————————————————————————————————————</w:t>
      </w:r>
    </w:p>
    <w:p>
      <w:pPr>
        <w:spacing w:before="160" w:after="40" w:line="240" w:lineRule="auto"/>
      </w:pPr>
      <w:r>
        <w:rPr>
          <w:b/>
        </w:rPr>
        <w:t xml:space="preserve">[197] </w:t>
      </w:r>
      <w:hyperlink r:id="rId907">
        <w:r>
          <w:rPr>
            <w:color w:val="1155CC"/>
            <w:u w:val="single"/>
          </w:rPr>
          <w:t>南美洲空中河流的水文状况和排水系统</w:t>
        </w:r>
      </w:hyperlink>
    </w:p>
    <w:p>
      <w:pPr>
        <w:spacing w:before="0" w:after="80"/>
      </w:pPr>
      <w:r>
        <w:rPr>
          <w:i/>
          <w:sz w:val="20"/>
        </w:rPr>
        <w:t>EN: Hydrological regimes and drainage systems of aerial rivers across South America</w:t>
      </w:r>
    </w:p>
    <w:p>
      <w:pPr>
        <w:spacing w:before="0" w:after="120"/>
      </w:pPr>
      <w:r>
        <w:rPr>
          <w:b/>
        </w:rPr>
        <w:t xml:space="preserve">Source: </w:t>
      </w:r>
      <w:r>
        <w:t>Earth and environmental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空中河流是大气水分流动的长期优先通道，维持着生态系统和区域水文。如果没有客观的方法来识别关键的逆风源区域，那么最大限度地发挥顺风排放潜力仍然是难以实现的。在这里，我们分析了南美洲空中河流的排水模式，并开发了一种数学方法来识别水分排水曲线的转折点，超过该转折点，逆风水分贡献的强度急剧下降。这为客观描述关键上风盆地提供了标准，并揭示了其空间范围的显着大陆变化。这些模式反映了大陆空中河流系统内的不同状况，使其可以分为四种主要的排水类型：源头、排水、排污口和平原地区。这四种类型在大气湿度管理潜力和对生态临界点的敏感性方面有所不同，这对完善森林保护优先事项具有影响。总之，这些发现支持在气候变化下更有效的土地水资源规划和水分治理。</w:t>
      </w:r>
    </w:p>
    <w:p>
      <w:pPr>
        <w:spacing w:before="0" w:after="200" w:lineRule="auto" w:line="276"/>
      </w:pPr>
      <w:r>
        <w:rPr>
          <w:b/>
        </w:rPr>
        <w:t xml:space="preserve">Abstract (EN): </w:t>
      </w:r>
      <w:r>
        <w:t>Aerial rivers, long-term preferential pathways of atmospheric moisture flows, sustain ecosystems and regional hydrology. Maximizing their downwind discharge potential remains elusive without an objective way to identify critical upwind source regions. Here we analyze the drainage patterns of aerial rivers across South America and develop a mathematical method to identify turning points in moisture drainage curves, beyond which the intensity of upwind moisture contribution declines sharply. This provides a criterion for objectively delineating critical upwind basins and reveals pronounced continental variation in their spatial extent. These patterns reflect distinct regimes within the continental aerial river system, enabling its classification into four major drainage types: headwater, drainage, outfall, and plain areas. The four types differ in their potential for atmospheric moisture management and in their susceptibility to ecological tipping points, with implications for refining forest conservation priorities. Together, these findings support more effective land-water planning and moisture governance under a changing climate.</w:t>
      </w:r>
    </w:p>
    <w:p>
      <w:pPr>
        <w:spacing w:before="120" w:after="120"/>
      </w:pPr>
      <w:r>
        <w:rPr>
          <w:sz w:val="18"/>
        </w:rPr>
        <w:t>——————————————————————————————————————————————————————————————————————</w:t>
      </w:r>
    </w:p>
    <w:p>
      <w:pPr>
        <w:spacing w:before="160" w:after="40" w:line="240" w:lineRule="auto"/>
      </w:pPr>
      <w:r>
        <w:rPr>
          <w:b/>
        </w:rPr>
        <w:t xml:space="preserve">[198] </w:t>
      </w:r>
      <w:hyperlink r:id="rId908">
        <w:r>
          <w:rPr>
            <w:color w:val="1155CC"/>
            <w:u w:val="single"/>
          </w:rPr>
          <w:t>受控塌陷下的分子</w:t>
        </w:r>
      </w:hyperlink>
    </w:p>
    <w:p>
      <w:pPr>
        <w:spacing w:before="0" w:after="80"/>
      </w:pPr>
      <w:r>
        <w:rPr>
          <w:i/>
          <w:sz w:val="20"/>
        </w:rPr>
        <w:t>EN: Molecules under controlled collapse</w:t>
      </w:r>
    </w:p>
    <w:p>
      <w:pPr>
        <w:spacing w:before="0" w:after="120"/>
      </w:pPr>
      <w:r>
        <w:rPr>
          <w:b/>
        </w:rPr>
        <w:t xml:space="preserve">Source: </w:t>
      </w:r>
      <w:r>
        <w:t>Nature Nanotechnology</w:t>
      </w:r>
      <w:r>
        <w:t xml:space="preserve">    </w:t>
      </w:r>
      <w:r>
        <w:rPr>
          <w:b/>
        </w:rPr>
        <w:t xml:space="preserve">Pub date: </w:t>
      </w:r>
      <w:r>
        <w:t>2026-08-03 00:00:00+00:00</w:t>
      </w:r>
      <w:r>
        <w:t xml:space="preserve">    </w:t>
      </w:r>
      <w:r>
        <w:rPr>
          <w:b/>
        </w:rPr>
        <w:t xml:space="preserve">DOI: </w:t>
      </w:r>
      <w:hyperlink r:id="rId909">
        <w:r>
          <w:rPr>
            <w:color w:val="1155CC"/>
            <w:u w:val="single"/>
          </w:rPr>
          <w:t>10.1038/s41565-026-02234-w</w:t>
        </w:r>
      </w:hyperlink>
    </w:p>
    <w:p>
      <w:pPr>
        <w:spacing w:before="0" w:after="120"/>
      </w:pPr>
      <w:r>
        <w:rPr>
          <w:b/>
        </w:rPr>
        <w:t xml:space="preserve">Notes: </w:t>
      </w:r>
      <w:r>
        <w:t>abstract_source=rss_nature</w:t>
      </w:r>
    </w:p>
    <w:p>
      <w:pPr>
        <w:spacing w:before="0" w:after="80" w:lineRule="auto" w:line="276"/>
      </w:pPr>
      <w:r>
        <w:rPr>
          <w:b/>
        </w:rPr>
        <w:t xml:space="preserve">摘要（ZH）: </w:t>
      </w:r>
      <w:r>
        <w:t>基于标准半导体处理的新颖平台与确定性塌陷策略相结合，可以产生原始且自对准的分子界面。</w:t>
      </w:r>
    </w:p>
    <w:p>
      <w:pPr>
        <w:spacing w:before="0" w:after="200" w:lineRule="auto" w:line="276"/>
      </w:pPr>
      <w:r>
        <w:rPr>
          <w:b/>
        </w:rPr>
        <w:t xml:space="preserve">Abstract (EN): </w:t>
      </w:r>
      <w:r>
        <w:t>A novel platform based on standard semiconductor processing combined with a deterministic collapse strategy can lead to pristine and self-aligned interfaces with molecules.</w:t>
      </w:r>
    </w:p>
    <w:p>
      <w:pPr>
        <w:spacing w:before="120" w:after="120"/>
      </w:pPr>
      <w:r>
        <w:rPr>
          <w:sz w:val="18"/>
        </w:rPr>
        <w:t>——————————————————————————————————————————————————————————————————————</w:t>
      </w:r>
    </w:p>
    <w:p>
      <w:pPr>
        <w:spacing w:before="160" w:after="40" w:line="240" w:lineRule="auto"/>
      </w:pPr>
      <w:r>
        <w:rPr>
          <w:b/>
        </w:rPr>
        <w:t xml:space="preserve">[199] </w:t>
      </w:r>
      <w:hyperlink r:id="rId910">
        <w:r>
          <w:rPr>
            <w:color w:val="1155CC"/>
            <w:u w:val="single"/>
          </w:rPr>
          <w:t>Gasdermin D 介导的半胱天冬酶抑制剂的递送以抑制细胞焦亡</w:t>
        </w:r>
      </w:hyperlink>
    </w:p>
    <w:p>
      <w:pPr>
        <w:spacing w:before="0" w:after="80"/>
      </w:pPr>
      <w:r>
        <w:rPr>
          <w:i/>
          <w:sz w:val="20"/>
        </w:rPr>
        <w:t>EN: Gasdermin D-mediated delivery of caspase inhibitors to suppress pyroptosis</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911">
        <w:r>
          <w:rPr>
            <w:color w:val="1155CC"/>
            <w:u w:val="single"/>
          </w:rPr>
          <w:t>10.1038/s41586-026-10957-y</w:t>
        </w:r>
      </w:hyperlink>
    </w:p>
    <w:p>
      <w:pPr>
        <w:spacing w:before="0" w:after="120"/>
      </w:pPr>
      <w:r>
        <w:rPr>
          <w:b/>
        </w:rPr>
        <w:t xml:space="preserve">Notes: </w:t>
      </w:r>
      <w:r>
        <w:t>abstract_source=nature_html</w:t>
      </w:r>
    </w:p>
    <w:p>
      <w:pPr>
        <w:spacing w:before="0" w:after="80" w:lineRule="auto" w:line="276"/>
      </w:pPr>
      <w:r>
        <w:rPr>
          <w:b/>
        </w:rPr>
        <w:t xml:space="preserve">摘要（ZH）: </w:t>
      </w:r>
      <w:r>
        <w:t>Caspase-1、-4、-5 和 -11 激活 Gasdermin D (GSDMD) 孔，导致焦亡细胞死亡并释放白细胞介素 (IL)-1β 和 IL-18 1. 阻断该通路为治疗炎症性疾病带来了治疗希望，但细胞渗透性 caspase 抑制剂在临床试验中尚未取得成功 2. 在这里，我们描述了共价 caspase 抑制剂，尽管被排除在外，但仍可选择性地阻止焦亡和 IL-1β 分泌健康的细胞。这些抑制剂并不能阻止 caspase 驱动的细胞凋亡，这意味着 GSDMD 孔促进了它们的摄取。膜不可渗透的染料进入从细胞焦亡中拯救出来的细胞，这与 GSDMD 孔的瞬时膜透化作用一致。 Caspase 抑制阻止而不是延迟细胞死亡，这与中和初始 GSDMD 孔的膜修复机制一致。在内毒素休克小鼠模型中，抑制 caspase-1 和 -11 可抑制 IL-1β 和 IL-18 的产生，强调了利用 GS​​DMD 孔靶向抑制炎症性疾病中的 caspase 的治疗潜力。</w:t>
      </w:r>
    </w:p>
    <w:p>
      <w:pPr>
        <w:spacing w:before="0" w:after="200" w:lineRule="auto" w:line="276"/>
      </w:pPr>
      <w:r>
        <w:rPr>
          <w:b/>
        </w:rPr>
        <w:t xml:space="preserve">Abstract (EN): </w:t>
      </w:r>
      <w:r>
        <w:t>Caspase-1, -4, -5, and -11 activate Gasdermin D (GSDMD) pores, causing pyroptotic cell death and the release of interleukin (IL)-1β and IL-18 1. Blocking this pathway holds therapeutic promise for the treatment of inflammatory disorders, but cell permeable caspase inhibitors have not been successful in clinical trials 2. Here, we describe covalent caspase inhibitors that selectively block pyroptosis and IL-1β secretion despite being excluded from healthy cells. These inhibitors did not prevent caspase-driven apoptosis, implying that GSDMD pores facilitated their uptake. Membrane-impermeable dyes entered the cells rescued from pyroptosis, consistent with transient membrane permeabilization by GSDMD pores. Caspase inhibition prevented rather than delayed cell death, consistent with membrane repair mechanisms neutralizing the initial GSDMD pores. Inhibiting caspase-1 and -11 suppressed IL-1β and IL-18 production in a mouse model of endotoxic shock, underscoring the therapeutic potential of exploiting GSDMD pores for targeted caspase inhibition in inflammatory diseases.</w:t>
      </w:r>
    </w:p>
    <w:p>
      <w:pPr>
        <w:spacing w:before="120" w:after="120"/>
      </w:pPr>
      <w:r>
        <w:rPr>
          <w:sz w:val="18"/>
        </w:rPr>
        <w:t>——————————————————————————————————————————————————————————————————————</w:t>
      </w:r>
    </w:p>
    <w:p>
      <w:pPr>
        <w:spacing w:before="160" w:after="40" w:line="240" w:lineRule="auto"/>
      </w:pPr>
      <w:r>
        <w:rPr>
          <w:b/>
        </w:rPr>
        <w:t xml:space="preserve">[200] </w:t>
      </w:r>
      <w:hyperlink r:id="rId912">
        <w:r>
          <w:rPr>
            <w:color w:val="1155CC"/>
            <w:u w:val="single"/>
          </w:rPr>
          <w:t>青藏高原气候敏感的当代多领域细菌元群落</w:t>
        </w:r>
      </w:hyperlink>
    </w:p>
    <w:p>
      <w:pPr>
        <w:spacing w:before="0" w:after="80"/>
      </w:pPr>
      <w:r>
        <w:rPr>
          <w:i/>
          <w:sz w:val="20"/>
        </w:rPr>
        <w:t>EN: A climate-sensitive, contemporary multi-sphere bacterial metacommunity across the Tibetan Plateau</w:t>
      </w:r>
    </w:p>
    <w:p>
      <w:pPr>
        <w:spacing w:before="0" w:after="120"/>
      </w:pPr>
      <w:r>
        <w:rPr>
          <w:b/>
        </w:rPr>
        <w:t xml:space="preserve">Source: </w:t>
      </w:r>
      <w:r>
        <w:t>National Science Review Advance Access</w:t>
      </w:r>
      <w:r>
        <w:t xml:space="preserve">    </w:t>
      </w:r>
      <w:r>
        <w:rPr>
          <w:b/>
        </w:rPr>
        <w:t xml:space="preserve">Pub date: </w:t>
      </w:r>
      <w:r>
        <w:t>2026-08-03 00:00:00+00:00</w:t>
      </w:r>
      <w:r>
        <w:t xml:space="preserve">    </w:t>
      </w:r>
      <w:r>
        <w:rPr>
          <w:b/>
        </w:rPr>
        <w:t xml:space="preserve">DOI: </w:t>
      </w:r>
      <w:hyperlink r:id="rId913">
        <w:r>
          <w:rPr>
            <w:color w:val="1155CC"/>
            <w:u w:val="single"/>
          </w:rPr>
          <w:t>10.1093/nsr/nwag463</w:t>
        </w:r>
      </w:hyperlink>
    </w:p>
    <w:p>
      <w:pPr>
        <w:spacing w:before="0" w:after="120"/>
      </w:pPr>
      <w:r>
        <w:rPr>
          <w:b/>
        </w:rPr>
        <w:t xml:space="preserve">Notes: </w:t>
      </w:r>
      <w:r>
        <w:t>abstract_source=rss_oup</w:t>
      </w:r>
    </w:p>
    <w:p>
      <w:pPr>
        <w:spacing w:before="0" w:after="80" w:lineRule="auto" w:line="276"/>
      </w:pPr>
      <w:r>
        <w:rPr>
          <w:b/>
        </w:rPr>
        <w:t xml:space="preserve">摘要（ZH）: </w:t>
      </w:r>
      <w:r>
        <w:t>青藏高原拥有相互作用的大气、冰川、河流、湖泊和土壤生态系统，但其细菌群落的组织和气候敏感性仍不清楚。在这里，我们编译了涵盖 5 个生态系统和 9 个栖息地的 3373 个样本的 16S rRNA 基因数据集。超过 94% 的操作分类单元发生在至少两个生态系统中，约 6% 发生在所有五个生态系统中，从而揭示了一个元群落，其中气溶胶在冰川微生物组中播种，而冰川充当汇、过滤器和中继站，将微生物输出到河流、湖泊和土壤。然而，群落的独特性和核心微生物组表现出强大的栖息地过滤和独特的生物地理指纹。年平均降水量对丰富度和群落独特性的影响比温度或太阳辐射更有效，但对冰川和下游生态系统中细菌β多样性的影响却相反。这些发现为青藏高原微生物相互关联性和气候敏感性提供了新的见解。</w:t>
      </w:r>
    </w:p>
    <w:p>
      <w:pPr>
        <w:spacing w:before="0" w:after="200" w:lineRule="auto" w:line="276"/>
      </w:pPr>
      <w:r>
        <w:rPr>
          <w:b/>
        </w:rPr>
        <w:t xml:space="preserve">Abstract (EN): </w:t>
      </w:r>
      <w:r>
        <w:t>The Tibetan Plateau hosts interacting atmospheric, glacier, river, lake, and soil ecosystems, yet the organization and climatic sensitivity of their bacterial communities remain unclear. Here, we compiled a 16S rRNA gene dataset of 3373 samples across five ecosystems and nine habitats. More than 94% of Operational Taxonomic Units occurred in at least two ecosystems, and ~6% in all five, thus revealing a metacommunity in which aerosols seed glacier microbiomes, and glaciers act as sinks, filters, and relays, exporting microbes to rivers, lakes, and soils. Nevertheless, community uniqueness and core microbiomes demonstrate robust habitat filtering and distinct biogeographic fingerprints. Mean annual precipitation exerts more potent effects on richness and community uniqueness than temperature or solar radiation, but exerts opposite influences on bacterial beta diversity in glacier versus downstream ecosystems. These findings provide novel insights into microbial interconnectedness and climate sensitivity in the Tibetan Plateau.</w:t>
      </w:r>
    </w:p>
    <w:p>
      <w:pPr>
        <w:spacing w:before="120" w:after="120"/>
      </w:pPr>
      <w:r>
        <w:rPr>
          <w:sz w:val="18"/>
        </w:rPr>
        <w:t>——————————————————————————————————————————————————————————————————————</w:t>
      </w:r>
    </w:p>
    <w:p>
      <w:pPr>
        <w:spacing w:before="160" w:after="40" w:line="240" w:lineRule="auto"/>
      </w:pPr>
      <w:r>
        <w:rPr>
          <w:b/>
        </w:rPr>
        <w:t xml:space="preserve">[201] </w:t>
      </w:r>
      <w:hyperlink r:id="rId914">
        <w:r>
          <w:rPr>
            <w:color w:val="1155CC"/>
            <w:u w:val="single"/>
          </w:rPr>
          <w:t>抗癌抗体一击二击瞄准肿瘤</w:t>
        </w:r>
      </w:hyperlink>
    </w:p>
    <w:p>
      <w:pPr>
        <w:spacing w:before="0" w:after="80"/>
      </w:pPr>
      <w:r>
        <w:rPr>
          <w:i/>
          <w:sz w:val="20"/>
        </w:rPr>
        <w:t>EN: Cancer-fighting antibodies with a one-two punch take aim at tumours</w:t>
      </w:r>
    </w:p>
    <w:p>
      <w:pPr>
        <w:spacing w:before="0" w:after="120"/>
      </w:pPr>
      <w:r>
        <w:rPr>
          <w:b/>
        </w:rPr>
        <w:t xml:space="preserve">Source: </w:t>
      </w:r>
      <w:r>
        <w:t>Nature</w:t>
      </w:r>
      <w:r>
        <w:t xml:space="preserve">    </w:t>
      </w:r>
      <w:r>
        <w:rPr>
          <w:b/>
        </w:rPr>
        <w:t xml:space="preserve">Pub date: </w:t>
      </w:r>
      <w:r>
        <w:t>2026-08-03 00:00:00+00:00</w:t>
      </w:r>
      <w:r>
        <w:t xml:space="preserve">    </w:t>
      </w:r>
      <w:r>
        <w:rPr>
          <w:b/>
        </w:rPr>
        <w:t xml:space="preserve">DOI: </w:t>
      </w:r>
      <w:hyperlink r:id="rId915">
        <w:r>
          <w:rPr>
            <w:color w:val="1155CC"/>
            <w:u w:val="single"/>
          </w:rPr>
          <w:t>10.1038/d41586-026-02398-4</w:t>
        </w:r>
      </w:hyperlink>
    </w:p>
    <w:p>
      <w:pPr>
        <w:spacing w:before="0" w:after="120"/>
      </w:pPr>
      <w:r>
        <w:rPr>
          <w:b/>
        </w:rPr>
        <w:t xml:space="preserve">Notes: </w:t>
      </w:r>
      <w:r>
        <w:t>abstract_source=rss_nature</w:t>
      </w:r>
    </w:p>
    <w:p>
      <w:pPr>
        <w:spacing w:before="0" w:after="80" w:lineRule="auto" w:line="276"/>
      </w:pPr>
      <w:r>
        <w:rPr>
          <w:b/>
        </w:rPr>
        <w:t xml:space="preserve">摘要（ZH）: </w:t>
      </w:r>
      <w:r>
        <w:t>与两个靶标结合的双特异性抗体正在席卷临床，并催生出更精细的版本。</w:t>
      </w:r>
    </w:p>
    <w:p>
      <w:pPr>
        <w:spacing w:before="0" w:after="200" w:lineRule="auto" w:line="276"/>
      </w:pPr>
      <w:r>
        <w:rPr>
          <w:b/>
        </w:rPr>
        <w:t xml:space="preserve">Abstract (EN): </w:t>
      </w:r>
      <w:r>
        <w:t>Bispecific antibodies, which bind to two targets, are sweeping into the clinic and are prompting even more elaborate versions.</w:t>
      </w:r>
    </w:p>
    <w:p>
      <w:pPr>
        <w:spacing w:before="120" w:after="120"/>
      </w:pPr>
      <w:r>
        <w:rPr>
          <w:sz w:val="18"/>
        </w:rPr>
        <w:t>——————————————————————————————————————————————————————————————————————</w:t>
      </w:r>
    </w:p>
    <w:p>
      <w:pPr>
        <w:spacing w:before="160" w:after="40" w:line="240" w:lineRule="auto"/>
      </w:pPr>
      <w:r>
        <w:rPr>
          <w:b/>
        </w:rPr>
        <w:t xml:space="preserve">[202] </w:t>
      </w:r>
      <w:hyperlink r:id="rId916">
        <w:r>
          <w:rPr>
            <w:color w:val="1155CC"/>
            <w:u w:val="single"/>
          </w:rPr>
          <w:t>打破非共轭碳氢化合物的蓝色光谱屏障</w:t>
        </w:r>
      </w:hyperlink>
    </w:p>
    <w:p>
      <w:pPr>
        <w:spacing w:before="0" w:after="80"/>
      </w:pPr>
      <w:r>
        <w:rPr>
          <w:i/>
          <w:sz w:val="20"/>
        </w:rPr>
        <w:t>EN: Breaking the blue spectral barrier of non-conjugated hydrocarbons</w:t>
      </w:r>
    </w:p>
    <w:p>
      <w:pPr>
        <w:spacing w:before="0" w:after="120"/>
      </w:pPr>
      <w:r>
        <w:rPr>
          <w:b/>
        </w:rPr>
        <w:t xml:space="preserve">Source: </w:t>
      </w:r>
      <w:r>
        <w:t>National Science Review Advance Access</w:t>
      </w:r>
      <w:r>
        <w:t xml:space="preserve">    </w:t>
      </w:r>
      <w:r>
        <w:rPr>
          <w:b/>
        </w:rPr>
        <w:t xml:space="preserve">Pub date: </w:t>
      </w:r>
      <w:r>
        <w:t>2026-08-03 00:00:00+00:00</w:t>
      </w:r>
      <w:r>
        <w:t xml:space="preserve">    </w:t>
      </w:r>
      <w:r>
        <w:rPr>
          <w:b/>
        </w:rPr>
        <w:t xml:space="preserve">DOI: </w:t>
      </w:r>
      <w:hyperlink r:id="rId917">
        <w:r>
          <w:rPr>
            <w:color w:val="1155CC"/>
            <w:u w:val="single"/>
          </w:rPr>
          <w:t>10.1093/nsr/nwag469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[203] </w:t>
      </w:r>
      <w:hyperlink r:id="rId918">
        <w:r>
          <w:rPr>
            <w:color w:val="1155CC"/>
            <w:u w:val="single"/>
          </w:rPr>
          <w:t>负载博来霉素的 Fe(III)-TA@HA 纳米平台：实现光声成像引导淋巴内注射和协同光热硬化疗法对抗淋巴管畸形</w:t>
        </w:r>
      </w:hyperlink>
    </w:p>
    <w:p>
      <w:pPr>
        <w:spacing w:before="0" w:after="80"/>
      </w:pPr>
      <w:r>
        <w:rPr>
          <w:i/>
          <w:sz w:val="20"/>
        </w:rPr>
        <w:t>EN: Bleomycin Loaded Fe(III)-TA@HA Nanoplatform: Enabling Photoacoustic Imaging-Guided Intralymphatic Injection and Synergistic Photothermal-Sclerosis Therapy against Lymphatic Malformations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919">
        <w:r>
          <w:rPr>
            <w:color w:val="1155CC"/>
            <w:u w:val="single"/>
          </w:rPr>
          <w:t>10.1021/acsami.6c13048</w:t>
        </w:r>
      </w:hyperlink>
    </w:p>
    <w:p>
      <w:pPr>
        <w:spacing w:before="0" w:after="120"/>
      </w:pPr>
      <w:r>
        <w:rPr>
          <w:b/>
        </w:rPr>
        <w:t xml:space="preserve">Notes: </w:t>
      </w:r>
      <w:r>
        <w:t>abstract_source=crossref</w:t>
      </w:r>
    </w:p>
    <w:p>
      <w:pPr>
        <w:spacing w:before="0" w:after="80" w:lineRule="auto" w:line="276"/>
      </w:pPr>
      <w:r>
        <w:rPr>
          <w:b/>
        </w:rPr>
        <w:t xml:space="preserve">摘要（ZH）: </w:t>
      </w:r>
      <w:r>
        <w:t>摘要 淋巴管畸形（LM），特别是具有弥漫性生长的难治性亚型，由于切除不完全、复发率高以及博莱霉素硬化疗法（BLM）等传统疗法的不良反应而带来重大的临床挑战。在此，我们通过透明质酸（HA）基质调节Fe3+和多酚单宁酸（TA）的生物矿化，然后负载博莱霉素（Fe（Ⅲ）-TA/BLM@HA），开发了一种多功能金属多酚纳米平台。这种纳米组件集成了光声 (PA) 成像引导、靶向递送和针对 LM 的协同光热硬化疗法。 Fe(Ⅲ)-TA/BLM@HA纳米组件可以通过HA-LYVE-1相互作用特异性靶向淋巴管内皮细胞(LEC)。该纳米组件表现出优异的胶体稳定性、显着的光热转换和强大的 PA 信号，可用于实时引导精确淋巴内注射。 Fe(Ⅲ)-TA/BLM@HA 以浓度依赖性方式结合淋巴内皮细胞 (LEC)，并发挥协同细胞毒性，优于游离 BLM 和 Fe(Ⅲ)-TA@HA。在Balb/c小鼠LM模型中，PA成像显示了经皮注射后Fe(Ⅲ)-TA/BLM@HA的时空分布。值得注意的是，Fe(Ⅲ)-TA/BLM@HA 加上 650 nm NIR 激光将病变温度提高了 13.6 °C，在 1-2 个周期内解决了 LM，而游离 BLM 需要 3-4 个周期。这项研究证实 Fe(Ⅲ)-TA/BLM@HA 是治疗难治性 LM 的安全、有效的选择，在血管异常管理方面具有巨大的转化潜力。</w:t>
      </w:r>
    </w:p>
    <w:p>
      <w:pPr>
        <w:spacing w:before="0" w:after="200" w:lineRule="auto" w:line="276"/>
      </w:pPr>
      <w:r>
        <w:rPr>
          <w:b/>
        </w:rPr>
        <w:t xml:space="preserve">Abstract (EN): </w:t>
      </w:r>
      <w:r>
        <w:t>Lymphatic malformations (LMs), particularly intractable subtypes with diffuse growth, pose significant clinical challenges due to incomplete resection, high recurrence rate, and adverse effects of conventional therapies such as sclerotherapy with bleomycin (BLM). Herein, we developed a multifunctional metal-polyphenol nanoplatform through hyaluronic acid (HA) matrix-regulated biomineralization of Fe3+ and polyphenolic tannic acid (TA), followed by loading with Bleomycin (Fe(Ⅲ)-TA/BLM@HA). This nanoassembly integrates photoacoustic (PA) imaging guidance, targeted delivery, and synergistic photothermal-sclerosis therapy against LMs. The Fe(Ⅲ)-TA/BLM@HA nanoassemblies can specifically target lymphatic endothelial cells (LECs) via HA-LYVE-1 interaction. The nanoassemblies exhibit excellent colloidal stability, remarkable photothermal conversion, and strong PA signals for real-time guided precise intralymphatic injection. Fe(Ⅲ)-TA/BLM@HA binds lymphatic endothelial cells (LECs) in a concentration-dependent manner, and exerts synergistic cytotoxicity, outperforming free BLM and Fe(Ⅲ)-TA@HA. In Balb/c mouse LM models, PA imaging visualized the spatiotemporal distribution of Fe(Ⅲ)-TA/BLM@HA post percutaneous injection. Notably, Fe(Ⅲ)-TA/BLM@HA plus 650 nm NIR laser raised lesion temperature by 13.6 °C, resolving LMs in 1–2 cycles vs 3–4 cycles for free BLM. This study confirms Fe(Ⅲ)-TA/BLM@HA as a safe, effective option for intractable LMs, with substantial translational potential for vascular anomaly management.</w:t>
      </w:r>
    </w:p>
    <w:p>
      <w:pPr>
        <w:spacing w:before="120" w:after="120"/>
      </w:pPr>
      <w:r>
        <w:rPr>
          <w:sz w:val="18"/>
        </w:rPr>
        <w:t>——————————————————————————————————————————————————————————————————————</w:t>
      </w:r>
    </w:p>
    <w:p>
      <w:pPr>
        <w:spacing w:before="160" w:after="40" w:line="240" w:lineRule="auto"/>
      </w:pPr>
      <w:r>
        <w:rPr>
          <w:b/>
        </w:rPr>
        <w:t xml:space="preserve">[204] </w:t>
      </w:r>
      <w:hyperlink r:id="rId920">
        <w:r>
          <w:rPr>
            <w:color w:val="1155CC"/>
            <w:u w:val="single"/>
          </w:rPr>
          <w:t>宽带近红外发射荧光粉CaLaMgTaO6:Cr3+面向多场景发光二极管应用</w:t>
        </w:r>
      </w:hyperlink>
    </w:p>
    <w:p>
      <w:pPr>
        <w:spacing w:before="0" w:after="80"/>
      </w:pPr>
      <w:r>
        <w:rPr>
          <w:i/>
          <w:sz w:val="20"/>
        </w:rPr>
        <w:t>EN: Broadband Near-Infrared Emitting Phosphor CaLaMgTaO6:Cr3+ toward Multiscenario Light-Emitting Diode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921">
        <w:r>
          <w:rPr>
            <w:color w:val="1155CC"/>
            <w:u w:val="single"/>
          </w:rPr>
          <w:t>10.1021/acsami.6c09830</w:t>
        </w:r>
      </w:hyperlink>
    </w:p>
    <w:p>
      <w:pPr>
        <w:spacing w:before="0" w:after="120"/>
      </w:pPr>
      <w:r>
        <w:rPr>
          <w:b/>
        </w:rPr>
        <w:t xml:space="preserve">Notes: </w:t>
      </w:r>
      <w:r>
        <w:t>abstract_source=crossref</w:t>
      </w:r>
    </w:p>
    <w:p>
      <w:pPr>
        <w:spacing w:before="0" w:after="80" w:lineRule="auto" w:line="276"/>
      </w:pPr>
      <w:r>
        <w:rPr>
          <w:b/>
        </w:rPr>
        <w:t xml:space="preserve">摘要（ZH）: </w:t>
      </w:r>
      <w:r>
        <w:t>摘要 研究了新型荧光粉CaLaMgTaO6:Cr3+的晶相、形貌、光致发光性能和实际应用潜力。优化后的荧光粉在 470 nm 激发下在 815 nm 处表现出强烈、宽广的发射峰，内量子效率高达 63.1%，半峰全宽为 171 nm。这种发射源自弱八面体晶体场中 Cr3+ 离子的 4T2→4A2 电子跃迁。 378 K 时发射强度仍保持在 60%。这种适度的热稳定性源于大的斯托克斯位移，0.20 eV 的低活化能进一步证实了这一点。此外，通过在450 nm LED芯片上涂覆CaLaMgTaO6:Cr3+荧光粉来封装近红外灯。事实证明，所制备的灯可支持多场景应用，包括生物组织中清晰、无创的血管成像以及弱光条件下的夜视成像。</w:t>
      </w:r>
    </w:p>
    <w:p>
      <w:pPr>
        <w:spacing w:before="0" w:after="200" w:lineRule="auto" w:line="276"/>
      </w:pPr>
      <w:r>
        <w:rPr>
          <w:b/>
        </w:rPr>
        <w:t xml:space="preserve">Abstract (EN): </w:t>
      </w:r>
      <w:r>
        <w:t>The crystal phase, morphology, photoluminescence properties, and practical application potentials of a new phosphor, CaLaMgTaO6:Cr3+, were investigated. The optimized phosphor exhibits intense, broad emission peaking at 815 nm upon 470 nm excitation, with an internal quantum efficiency as high as 63.1% and full width at half maximum of 171 nm. This emission originates from the 4T2→4A2 electronic transition of Cr3+ ions in a weak octahedral crystal field. The emission intensity remains 60% at 378 K. Such moderate thermal stability originates from the large Stokes shift, which is further corroborated by the low activation energy of 0.20 eV. Furthermore, a near-infrared lamp was packaged via coating CaLaMgTaO6:Cr3+ phosphor on a 450 nm LED chip. The prepared lamp is proven to support multiscenario applications, including clear, noninvasive vascular imaging in biological tissues and night vision imaging under dim light conditions.</w:t>
      </w:r>
    </w:p>
    <w:p>
      <w:pPr>
        <w:spacing w:before="120" w:after="120"/>
      </w:pPr>
      <w:r>
        <w:rPr>
          <w:sz w:val="18"/>
        </w:rPr>
        <w:t>——————————————————————————————————————————————————————————————————————</w:t>
      </w:r>
    </w:p>
    <w:p>
      <w:pPr>
        <w:spacing w:before="160" w:after="40" w:line="240" w:lineRule="auto"/>
      </w:pPr>
      <w:r>
        <w:rPr>
          <w:b/>
        </w:rPr>
        <w:t xml:space="preserve">[205] </w:t>
      </w:r>
      <w:hyperlink r:id="rId922">
        <w:r>
          <w:rPr>
            <w:color w:val="1155CC"/>
            <w:u w:val="single"/>
          </w:rPr>
          <w:t>利用细菌代谢从智能纳米载体中定向释放抗菌药物</w:t>
        </w:r>
      </w:hyperlink>
    </w:p>
    <w:p>
      <w:pPr>
        <w:spacing w:before="0" w:after="80"/>
      </w:pPr>
      <w:r>
        <w:rPr>
          <w:i/>
          <w:sz w:val="20"/>
        </w:rPr>
        <w:t>EN: Exploiting Bacterial Metabolism for Targeted Antimicrobial Release from Smart Nanocarriers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923">
        <w:r>
          <w:rPr>
            <w:color w:val="1155CC"/>
            <w:u w:val="single"/>
          </w:rPr>
          <w:t>10.1021/acsami.6c05401</w:t>
        </w:r>
      </w:hyperlink>
    </w:p>
    <w:p>
      <w:pPr>
        <w:spacing w:before="0" w:after="120"/>
      </w:pPr>
      <w:r>
        <w:rPr>
          <w:b/>
        </w:rPr>
        <w:t xml:space="preserve">Notes: </w:t>
      </w:r>
      <w:r>
        <w:t>abstract_source=crossref</w:t>
      </w:r>
    </w:p>
    <w:p>
      <w:pPr>
        <w:spacing w:before="0" w:after="80" w:lineRule="auto" w:line="276"/>
      </w:pPr>
      <w:r>
        <w:rPr>
          <w:b/>
        </w:rPr>
        <w:t xml:space="preserve">摘要（ZH）: </w:t>
      </w:r>
      <w:r>
        <w:t>摘要 产酸菌和尿酸菌通过碳水化合物代谢酸化其局部微环境，导致龋齿、感染和炎症等疾病的病理性微环境酸化。我们提出了一种介孔二氧化硅纳米颗粒平台，配备了表面结合、pH 响应的守门人，该守门人在生理 pH 值下保持密封，但在酸性条件下快速释放药物有效负载。该系统将广谱抗菌剂转化为选择性激活的抗菌系统：释放在中性条件下受到抑制，并在细菌产生酸时触发。在人类口腔微生物组模型中，纳米颗粒选择性地消灭产酸细菌，代谢酸化直接激活它们自身的杀灭作用，这一点通过 pH 值和活力的同步单细胞规模荧光成像得到证明。使用质子核磁共振和接触角测量进行的机理研究表明，门控机制依赖于协同分子相互作用和亲水性-疏水性转变。这项工作建立了一种由代谢酸化触发的现场抗菌策略，用于针对具有不良代谢特征的微生物，从而为更受控的感染治疗铺平了道路。</w:t>
      </w:r>
    </w:p>
    <w:p>
      <w:pPr>
        <w:spacing w:before="0" w:after="200" w:lineRule="auto" w:line="276"/>
      </w:pPr>
      <w:r>
        <w:rPr>
          <w:b/>
        </w:rPr>
        <w:t xml:space="preserve">Abstract (EN): </w:t>
      </w:r>
      <w:r>
        <w:t>Acidogenic and aciduric bacteria acidify their local microenvironment through carbohydrate metabolism, contributing to pathological microenvironment acidification in diseases, including dental caries, infection, and inflammation. We present a mesoporous silica nanoparticle platform equipped with surface-bound, pH-responsive gatekeepers that remain sealed at physiological pH yet rapidly release a drug payload under acidic conditions. This system converts a broad-spectrum antimicrobial into a selectively activated antimicrobial system: release is suppressed under neutral conditions and triggered when bacteria generate acid. In a human oral microbiome model, the nanoparticles selectively eradicate acid-producing bacteria, with metabolic acidification directly activating their own killing, as evidenced by simultaneous single-cell-scale fluorescence imaging of pH and viability. Mechanistic studies using proton NMR and contact angle measurements show that the gating mechanism relies on synergistic molecular interactions and hydrophilicity–hydrophobicity transitions. This work establishes an on-site antimicrobial strategy triggered by metabolic acidification for targeting microbes with undesirable metabolic features, thus paving the way toward more controlled infection therapies.</w:t>
      </w:r>
    </w:p>
    <w:p>
      <w:pPr>
        <w:spacing w:before="120" w:after="120"/>
      </w:pPr>
      <w:r>
        <w:rPr>
          <w:sz w:val="18"/>
        </w:rPr>
        <w:t>——————————————————————————————————————————————————————————————————————</w:t>
      </w:r>
    </w:p>
    <w:p>
      <w:pPr>
        <w:spacing w:before="160" w:after="40" w:line="240" w:lineRule="auto"/>
      </w:pPr>
      <w:r>
        <w:rPr>
          <w:b/>
        </w:rPr>
        <w:t xml:space="preserve">[206] </w:t>
      </w:r>
      <w:hyperlink r:id="rId924">
        <w:r>
          <w:rPr>
            <w:color w:val="1155CC"/>
            <w:u w:val="single"/>
          </w:rPr>
          <w:t>淬火动力学中超临界区域的非平衡交叉</w:t>
        </w:r>
      </w:hyperlink>
    </w:p>
    <w:p>
      <w:pPr>
        <w:spacing w:before="0" w:after="80"/>
      </w:pPr>
      <w:r>
        <w:rPr>
          <w:i/>
          <w:sz w:val="20"/>
        </w:rPr>
        <w:t>EN: Nonequilibrium crossover in the supercritical region from quench dynamics</w:t>
      </w:r>
    </w:p>
    <w:p>
      <w:pPr>
        <w:spacing w:before="0" w:after="120"/>
      </w:pPr>
      <w:r>
        <w:rPr>
          <w:b/>
        </w:rPr>
        <w:t xml:space="preserve">Source: </w:t>
      </w:r>
      <w:r>
        <w:t>ScienceDirect Publication: Physics Letters B</w:t>
      </w:r>
      <w:r>
        <w:t xml:space="preserve">    </w:t>
      </w:r>
      <w:r>
        <w:rPr>
          <w:b/>
        </w:rPr>
        <w:t xml:space="preserve">Pub date: </w:t>
      </w:r>
      <w:r>
        <w:t>2026-08-03 00:00:00+00:00</w:t>
      </w:r>
      <w:r>
        <w:t xml:space="preserve">    </w:t>
      </w:r>
      <w:r>
        <w:rPr>
          <w:b/>
        </w:rPr>
        <w:t xml:space="preserve">DOI: </w:t>
      </w:r>
      <w:hyperlink r:id="rId925">
        <w:r>
          <w:rPr>
            <w:color w:val="1155CC"/>
            <w:u w:val="single"/>
          </w:rPr>
          <w:t>10.1016/j.physletb.2026.140819</w:t>
        </w:r>
      </w:hyperlink>
    </w:p>
    <w:p>
      <w:pPr>
        <w:spacing w:before="0" w:after="120"/>
      </w:pPr>
      <w:r>
        <w:rPr>
          <w:b/>
        </w:rPr>
        <w:t xml:space="preserve">Notes: </w:t>
      </w:r>
      <w:r>
        <w:t>abstract_source=rss_description</w:t>
      </w:r>
    </w:p>
    <w:p>
      <w:pPr>
        <w:spacing w:before="0" w:after="80" w:lineRule="auto" w:line="276"/>
      </w:pPr>
      <w:r>
        <w:rPr>
          <w:b/>
        </w:rPr>
        <w:t xml:space="preserve">摘要（ZH）: </w:t>
      </w:r>
      <w:r>
        <w:t>Publication date: Available online 3 August 2026Source: Physics Letters BAuthor(s): Zi-Qiang Zhao, Zhang-Yu Nie, Jing-Fei Zhang, Xin Zhang</w:t>
      </w:r>
    </w:p>
    <w:p>
      <w:pPr>
        <w:spacing w:before="0" w:after="200" w:lineRule="auto" w:line="276"/>
      </w:pPr>
      <w:r>
        <w:rPr>
          <w:b/>
        </w:rPr>
        <w:t xml:space="preserve">Abstract (EN): </w:t>
      </w:r>
      <w:r>
        <w:t>Publication date: Available online 3 August 2026Source: Physics Letters BAuthor(s): Zi-Qiang Zhao, Zhang-Yu Nie, Jing-Fei Zhang, Xin Zhang</w:t>
      </w:r>
    </w:p>
    <w:p>
      <w:pPr>
        <w:spacing w:before="120" w:after="120"/>
      </w:pPr>
      <w:r>
        <w:rPr>
          <w:sz w:val="18"/>
        </w:rPr>
        <w:t>——————————————————————————————————————————————————————————————————————</w:t>
      </w:r>
    </w:p>
    <w:p>
      <w:pPr>
        <w:spacing w:before="160" w:after="40" w:line="240" w:lineRule="auto"/>
      </w:pPr>
      <w:r>
        <w:rPr>
          <w:b/>
        </w:rPr>
        <w:t xml:space="preserve">[207] </w:t>
      </w:r>
      <w:hyperlink r:id="rId926">
        <w:r>
          <w:rPr>
            <w:color w:val="1155CC"/>
            <w:u w:val="single"/>
          </w:rPr>
          <w:t>无配体软膜界面细胞粘附的机械控制</w:t>
        </w:r>
      </w:hyperlink>
    </w:p>
    <w:p>
      <w:pPr>
        <w:spacing w:before="0" w:after="80"/>
      </w:pPr>
      <w:r>
        <w:rPr>
          <w:i/>
          <w:sz w:val="20"/>
        </w:rPr>
        <w:t>EN: Mechanistic Control of Cell Adhesion at Ligand-free Soft Membrane Interfaces</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927">
        <w:r>
          <w:rPr>
            <w:color w:val="1155CC"/>
            <w:u w:val="single"/>
          </w:rPr>
          <w:t>10.1021/acsami.6c10064</w:t>
        </w:r>
      </w:hyperlink>
    </w:p>
    <w:p>
      <w:pPr>
        <w:spacing w:before="0" w:after="120"/>
      </w:pPr>
      <w:r>
        <w:rPr>
          <w:b/>
        </w:rPr>
        <w:t xml:space="preserve">Notes: </w:t>
      </w:r>
      <w:r>
        <w:t>abstract_source=crossref</w:t>
      </w:r>
    </w:p>
    <w:p>
      <w:pPr>
        <w:spacing w:before="0" w:after="80" w:lineRule="auto" w:line="276"/>
      </w:pPr>
      <w:r>
        <w:rPr>
          <w:b/>
        </w:rPr>
        <w:t xml:space="preserve">摘要（ZH）: </w:t>
      </w:r>
      <w:r>
        <w:t>摘要 软界面上的细胞粘附受到相互作用力和界面动力学之间复杂的相互作用的控制，其相对贡献仍然难以理清。在这里，我们研究了酵母细胞（酿酒酵母）在成分受控的支撑脂质双层上的粘附，包括含有糖脂欧姆线（OHM）的系统，其作为明确的模型膜界面。通过将 QCM-D 测量与界面表征（包括膨胀流变学）相结合，我们发现粘附通过由不同物理机制控制的两种不同的动力学状态进行。初始阶段以静电相互作用为主，特征时间与膜 zeta 电位的相关性证明了这一点。相反，第二阶段由膜粘弹性控制，吸附动力学与膨胀模量成比例，表明接触后动力学受到界面弛豫的限制。膜成分的变化会调节水合作用、分子堆积和能量耗散，从而影响粘附行为。含有 OHM 的系统表现出对离子条件的更高敏感性和更耗散的粘弹性响应，从而导致更强的细胞膜耦合。在混合膜中，静电和粘弹性之间的相互作用使得粘附机制解耦，其中初始粘附和随后的界面重组由不同的机制控制。这些结果建立了一个定量框架</w:t>
      </w:r>
    </w:p>
    <w:p>
      <w:pPr>
        <w:spacing w:before="0" w:after="200" w:lineRule="auto" w:line="276"/>
      </w:pPr>
      <w:r>
        <w:rPr>
          <w:b/>
        </w:rPr>
        <w:t xml:space="preserve">Abstract (EN): </w:t>
      </w:r>
      <w:r>
        <w:t>Cell adhesion at soft interfaces is governed by a complex interplay between interaction forces and interfacial dynamics whose relative contributions remain difficult to disentangle. Here, we investigate the adhesion of yeast cells (Saccharomyces cerevisiae) on supported lipid bilayers with controlled composition, including systems containing the glycolipid ohmline (OHM), which serve as well-defined model membrane interfaces. By combining QCM-D measurements with interfacial characterization, including dilatational rheology, we show that adhesion proceeds through two kinetically distinct regimes governed by different physical mechanisms. The initial stage is dominated by electrostatic interactions, as evidenced by the correlation of the characteristic time with the membrane zeta potential. In contrast, the second stage is governed by membrane viscoelasticity, with the adsorption kinetics scaling with the dilatational modulus, indicating that the postcontact dynamics is limited by interfacial relaxation. Variations in membrane composition modulate hydration, molecular packing, and energy dissipation, thereby influencing adhesion behavior. OHM-containing systems exhibit enhanced sensitivity to ionic conditions and a more dissipative viscoelastic response, leading to stronger cell–membrane coupling. In mixed membranes, the interplay between electrostatics and viscoelasticity enables a decoupling of adhesion regimes, where initial attachment and subsequent interfacial reorganization are governed by distinct mechanisms. These results establish a quantitative framework linking adhesion kinetics to intrinsic membrane properties, identifying zeta potential and viscoelasticity as complementary parameters governing distinct adhesion regimes. Together, they provide insight into how electrostatics, hydration, and interfacial mechanics regulate cell adhesion at soft interfaces and demonstrate that adhesion can be tuned through membrane composition without specific adhesion ligands.</w:t>
      </w:r>
    </w:p>
    <w:p>
      <w:pPr>
        <w:spacing w:before="120" w:after="120"/>
      </w:pPr>
      <w:r>
        <w:rPr>
          <w:sz w:val="18"/>
        </w:rPr>
        <w:t>——————————————————————————————————————————————————————————————————————</w:t>
      </w:r>
    </w:p>
    <w:p>
      <w:pPr>
        <w:spacing w:before="160" w:after="40" w:line="240" w:lineRule="auto"/>
      </w:pPr>
      <w:r>
        <w:rPr>
          <w:b/>
        </w:rPr>
        <w:t xml:space="preserve">[208] </w:t>
      </w:r>
      <w:hyperlink r:id="rId928">
        <w:r>
          <w:rPr>
            <w:color w:val="1155CC"/>
            <w:u w:val="single"/>
          </w:rPr>
          <w:t>环丙烯亚胺在铜催化自由基环化生成 3,3-二取代羟吲哚中的氧化还原控制</w:t>
        </w:r>
      </w:hyperlink>
    </w:p>
    <w:p>
      <w:pPr>
        <w:spacing w:before="0" w:after="80"/>
      </w:pPr>
      <w:r>
        <w:rPr>
          <w:i/>
          <w:sz w:val="20"/>
        </w:rPr>
        <w:t>EN: Cyclopropenimine-Enabled Redox Control in Copper-Catalyzed Radical Cyclization to 3,3-Disubstituted Oxindoles</w:t>
      </w:r>
    </w:p>
    <w:p>
      <w:pPr>
        <w:spacing w:before="0" w:after="120"/>
      </w:pPr>
      <w:r>
        <w:rPr>
          <w:b/>
        </w:rPr>
        <w:t xml:space="preserve">Source: </w:t>
      </w:r>
      <w:r>
        <w:t>Journal of the American Chemical Society: Latest Articles (ACS Publications)</w:t>
      </w:r>
      <w:r>
        <w:t xml:space="preserve">    </w:t>
      </w:r>
      <w:r>
        <w:rPr>
          <w:b/>
        </w:rPr>
        <w:t xml:space="preserve">Pub date: </w:t>
      </w:r>
      <w:r>
        <w:t>2026-08-03 00:00:00+00:00</w:t>
      </w:r>
      <w:r>
        <w:t xml:space="preserve">    </w:t>
      </w:r>
      <w:r>
        <w:rPr>
          <w:b/>
        </w:rPr>
        <w:t xml:space="preserve">DOI: </w:t>
      </w:r>
      <w:hyperlink r:id="rId929">
        <w:r>
          <w:rPr>
            <w:color w:val="1155CC"/>
            <w:u w:val="single"/>
          </w:rPr>
          <w:t>10.1021/jacs.6c09015</w:t>
        </w:r>
      </w:hyperlink>
    </w:p>
    <w:p>
      <w:pPr>
        <w:spacing w:before="0" w:after="120"/>
      </w:pPr>
      <w:r>
        <w:rPr>
          <w:b/>
        </w:rPr>
        <w:t xml:space="preserve">Notes: </w:t>
      </w:r>
      <w:r>
        <w:t>abstract_source=crossref</w:t>
      </w:r>
    </w:p>
    <w:p>
      <w:pPr>
        <w:spacing w:before="0" w:after="80" w:lineRule="auto" w:line="276"/>
      </w:pPr>
      <w:r>
        <w:rPr>
          <w:b/>
        </w:rPr>
        <w:t xml:space="preserve">摘要（ZH）: </w:t>
      </w:r>
      <w:r>
        <w:t>摘要 自由基介导的全碳四元中心的构建提供了一种强大的方法，但其在温和条件下应用于叔烷基卤化物仍然具有挑战性，这通常是由于需要在单个催化循环内协调多个氧化还原事件。在此，我们报告了一种由环丙烯亚胺驱动的铜催化的自由基环化，可以解决这一挑战。在温和条件下以良好的产率获得了一系列在 C3 位具有季碳中心的 3,3-二取代羟吲哚，包括那些引入芳基取代基的化合物。包括自由基捕获、EPR、动力学同位素效应实验、循环伏安法和 DFT 研究在内的机理研究表明，高效催化作用源于氧化 C-X 键活化和还原催化剂再生之间的平衡。亚苯基桥环丙烯亚胺支架有效调节铜中心的氧化还原行为，从而使叔烷基卤化物（包括氯化物）能够有效反应。这些发现强调了环丙烯亚胺支架的结构特征如何调节催化循环内竞争性氧化还原过程，并为未来涉及具有挑战性的烷基亲电子试剂的根本转变奠定了基础。</w:t>
      </w:r>
    </w:p>
    <w:p>
      <w:pPr>
        <w:spacing w:before="0" w:after="200" w:lineRule="auto" w:line="276"/>
      </w:pPr>
      <w:r>
        <w:rPr>
          <w:b/>
        </w:rPr>
        <w:t xml:space="preserve">Abstract (EN): </w:t>
      </w:r>
      <w:r>
        <w:t>Radical-mediated construction of all-carbon quaternary centers offers a powerful approach, yet its application to tertiary alkyl halides under mild conditions remains challenging, often due to the need to orchestrate multiple redox events within a single catalytic cycle. Herein, we report a cyclopropenimine-enabled copper-catalyzed radical cyclization that addresses this challenge. A range of 3,3-disubstituted oxindoles bearing a quaternary carbon center at the C3 position, including those incorporating aryl substituents, was obtained in good yields under mild conditions. Mechanistic investigations, including radical trapping, EPR, kinetic isotope effect experiments, cyclic voltammetry, and DFT studies, reveal that productive catalysis arises from a balance between oxidative C–X bond activation and reductive catalyst regeneration. The phenylene-bridged cyclopropenimine scaffold effectively modulates the redox behavior of the copper center, thereby enabling efficient reactions of tertiary alkyl halides, including chlorides. These findings highlight how the structural features of the cyclopropenimine scaffold regulate competing redox processes within a catalytic cycle and provide a foundation for future radical transformations involving challenging alkyl electrophiles.</w:t>
      </w:r>
    </w:p>
    <w:p>
      <w:pPr>
        <w:spacing w:before="120" w:after="120"/>
      </w:pPr>
      <w:r>
        <w:rPr>
          <w:sz w:val="18"/>
        </w:rPr>
        <w:t>——————————————————————————————————————————————————————————————————————</w:t>
      </w:r>
    </w:p>
    <w:p>
      <w:pPr>
        <w:spacing w:before="160" w:after="40" w:line="240" w:lineRule="auto"/>
      </w:pPr>
      <w:r>
        <w:rPr>
          <w:b/>
        </w:rPr>
        <w:t xml:space="preserve">[209] </w:t>
      </w:r>
      <w:hyperlink r:id="rId930">
        <w:r>
          <w:rPr>
            <w:color w:val="1155CC"/>
            <w:u w:val="single"/>
          </w:rPr>
          <w:t>考虑运行安全约束和寿命退化的水光伏混合储能系统协调调度</w:t>
        </w:r>
      </w:hyperlink>
    </w:p>
    <w:p>
      <w:pPr>
        <w:spacing w:before="0" w:after="80"/>
      </w:pPr>
      <w:r>
        <w:rPr>
          <w:i/>
          <w:sz w:val="20"/>
        </w:rPr>
        <w:t>EN: Coordinated scheduling of a hydro-PV-hybrid energy storage system considering operational safety constraints and lifetime degradation</w:t>
      </w:r>
    </w:p>
    <w:p>
      <w:pPr>
        <w:spacing w:before="0" w:after="120"/>
      </w:pPr>
      <w:r>
        <w:rPr>
          <w:b/>
        </w:rPr>
        <w:t xml:space="preserve">Source: </w:t>
      </w:r>
      <w:r>
        <w:t>ScienceDirect Publication: Applied Energy</w:t>
      </w:r>
      <w:r>
        <w:t xml:space="preserve">    </w:t>
      </w:r>
      <w:r>
        <w:rPr>
          <w:b/>
        </w:rPr>
        <w:t xml:space="preserve">Pub date: </w:t>
      </w:r>
      <w:r>
        <w:t>2026-08-03 00:00:00+00:00</w:t>
      </w:r>
      <w:r>
        <w:t xml:space="preserve">    </w:t>
      </w:r>
      <w:r>
        <w:rPr>
          <w:b/>
        </w:rPr>
        <w:t xml:space="preserve">DOI: </w:t>
      </w:r>
      <w:hyperlink r:id="rId931">
        <w:r>
          <w:rPr>
            <w:color w:val="1155CC"/>
            <w:u w:val="single"/>
          </w:rPr>
          <w:t>10.1016/j.apenergy.2026.128570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[210] </w:t>
      </w:r>
      <w:hyperlink r:id="rId932">
        <w:r>
          <w:rPr>
            <w:color w:val="1155CC"/>
            <w:u w:val="single"/>
          </w:rPr>
          <w:t>动脉粥样硬化治疗中协调 NF-κB 和 Nrf2 调节的巨噬细胞靶向 ROS 响应纳米平台</w:t>
        </w:r>
      </w:hyperlink>
    </w:p>
    <w:p>
      <w:pPr>
        <w:spacing w:before="0" w:after="80"/>
      </w:pPr>
      <w:r>
        <w:rPr>
          <w:i/>
          <w:sz w:val="20"/>
        </w:rPr>
        <w:t>EN: Macrophage-Targeted ROS-Responsive Nanoplatform for Coordinated NF-κB and Nrf2 Modulation in Atherosclerosis Therapy</w:t>
      </w:r>
    </w:p>
    <w:p>
      <w:pPr>
        <w:spacing w:before="0" w:after="120"/>
      </w:pPr>
      <w:r>
        <w:rPr>
          <w:b/>
        </w:rPr>
        <w:t xml:space="preserve">Source: </w:t>
      </w:r>
      <w:r>
        <w:t>ACS Applied Materials &amp; Interfaces: Latest Articles (ACS Publications)</w:t>
      </w:r>
      <w:r>
        <w:t xml:space="preserve">    </w:t>
      </w:r>
      <w:r>
        <w:rPr>
          <w:b/>
        </w:rPr>
        <w:t xml:space="preserve">Pub date: </w:t>
      </w:r>
      <w:r>
        <w:t>2026-08-03 00:00:00+00:00</w:t>
      </w:r>
      <w:r>
        <w:t xml:space="preserve">    </w:t>
      </w:r>
      <w:r>
        <w:rPr>
          <w:b/>
        </w:rPr>
        <w:t xml:space="preserve">DOI: </w:t>
      </w:r>
      <w:hyperlink r:id="rId933">
        <w:r>
          <w:rPr>
            <w:color w:val="1155CC"/>
            <w:u w:val="single"/>
          </w:rPr>
          <w:t>10.1021/acsami.6c07257</w:t>
        </w:r>
      </w:hyperlink>
    </w:p>
    <w:p>
      <w:pPr>
        <w:spacing w:before="0" w:after="120"/>
      </w:pPr>
      <w:r>
        <w:rPr>
          <w:b/>
        </w:rPr>
        <w:t xml:space="preserve">Notes: </w:t>
      </w:r>
      <w:r>
        <w:t>abstract_source=crossref</w:t>
      </w:r>
    </w:p>
    <w:p>
      <w:pPr>
        <w:spacing w:before="0" w:after="80" w:lineRule="auto" w:line="276"/>
      </w:pPr>
      <w:r>
        <w:rPr>
          <w:b/>
        </w:rPr>
        <w:t xml:space="preserve">摘要（ZH）: </w:t>
      </w:r>
      <w:r>
        <w:t>摘要 动脉粥样硬化（AS）是一种进行性心血管疾病，其特征是动脉斑块形成、巨噬细胞驱动的炎症和活性氧（ROS）过度积累。然而，目前的临床干预措施仍然受到再狭窄和血栓形成的限制，而传统的药物疗法存在生物利用度差和脱靶毒性等问题，凸显了迫切需要更有效、更有针对性的治疗策略。为了满足精确干预的需求，我们设计了一个多功能脂质体平台（Rh-ManLP@Ce），旨在将主动靶向能力与环境响应性有效负载释放相协同。该设计的核心是 DSPE-PEG-Rhein 的合成，这种修饰不仅显着提高了大黄酸的溶解度和稳定性，而且使其能够无缝整合到脂质双层中，同时充当结构元件和治疗剂。通过将 ROS 响应脂质纳入该载体主链，该系统被编程为仅在高 ROS 斑块微环境中进行快速结构分解，确保药物释放严格由局部病理条件触发。进一步完善其特异性，脂质体表面用甘露糖配体装饰，以主动靶向巨噬细胞甘露糖受体，最终构建最终的氧化铈 (CeO2) 负载纳米治疗系统 (Rh-ManLP@Ce)。体外实验和体内模型结果证实，Rh-ManLP@Ce 在高 ROS 环境中表现出优异的响应能力</w:t>
      </w:r>
    </w:p>
    <w:p>
      <w:pPr>
        <w:spacing w:before="0" w:after="200" w:lineRule="auto" w:line="276"/>
      </w:pPr>
      <w:r>
        <w:rPr>
          <w:b/>
        </w:rPr>
        <w:t xml:space="preserve">Abstract (EN): </w:t>
      </w:r>
      <w:r>
        <w:t>Atherosclerosis (AS) is a progressive cardiovascular disease characterized by arterial plaque formation, macrophage-driven inflammation, and excessive accumulation of reactive oxygen species (ROS). However, current clinical interventions remain limited by restenosis and thrombosis, while conventional pharmacotherapies suffer from poor bioavailability and off-target toxicity, highlighting the urgent need for more effective and targeted therapeutic strategies. To address the need for precise intervention, we engineered a multifunctional liposomal platform (Rh-ManLP@Ce) designed to synergize active targeting capabilities with environment-responsive payload release. Central to this design is the synthesis of DSPE-PEG-Rhein, a modification that not only significantly improves the solubility and stability of Rhein but also enables its seamless integration into the lipid bilayer, serving simultaneously as a structural element and a therapeutic agent. By incorporating ROS-responsive lipids into this carrier backbone, the system is programmed to undergo rapid structural disassembly solely within the high-ROS plaque microenvironment, ensuring drug release is strictly triggered by local pathological conditions. Further refining its specificity, the liposome surface is decorated with mannose ligands to actively target macrophage mannose receptors, culminating in the construction of the final Cerium Oxide (CeO2)-loaded nanotherapeutic system (Rh-ManLP@Ce). In vitro experiments and in vivo model results confirm that Rh-ManLP@Ce exhibits superior responsiveness in high-ROS contexts and is efficiently internalized by macrophages, achieving significant accumulation within atherosclerotic lesions. At the molecular level, the system orchestrates a dual synergistic effect via Rhein inhibiting the inflammatory NF-κB pathway, while the CeO2 concurrently activates the antioxidant Nrf2 pathway. This coordinated action effectively remodels the pathological microenvironment and suppresses foam cell formation, ultimately delaying plaque progression. Consequently, this work presents a robust, precise strategy for managing atherosclerosis, offering broad implications for therapeutic interventions in other diseases driven by oxidative stress and inflammation.</w:t>
      </w:r>
    </w:p>
    <w:p>
      <w:pPr>
        <w:spacing w:before="120" w:after="120"/>
      </w:pPr>
      <w:r>
        <w:rPr>
          <w:sz w:val="18"/>
        </w:rPr>
        <w:t>——————————————————————————————————————————————————————————————————————</w:t>
      </w:r>
    </w:p>
    <w:p>
      <w:pPr>
        <w:spacing w:before="160" w:after="40" w:line="240" w:lineRule="auto"/>
      </w:pPr>
      <w:r>
        <w:rPr>
          <w:b/>
        </w:rPr>
        <w:t xml:space="preserve">[211] </w:t>
      </w:r>
      <w:hyperlink r:id="rId934">
        <w:r>
          <w:rPr>
            <w:color w:val="1155CC"/>
            <w:u w:val="single"/>
          </w:rPr>
          <w:t>一种捕获全尾流异质性的新型偏航尾流模型，应用于公用事业规模风电场的布局-偏航协同优化</w:t>
        </w:r>
      </w:hyperlink>
    </w:p>
    <w:p>
      <w:pPr>
        <w:spacing w:before="0" w:after="80"/>
      </w:pPr>
      <w:r>
        <w:rPr>
          <w:i/>
          <w:sz w:val="20"/>
        </w:rPr>
        <w:t>EN: A novel yawed wake model capturing full-wake heterogeneity with application to layout-yaw co-optimization in utility-scale wind farms</w:t>
      </w:r>
    </w:p>
    <w:p>
      <w:pPr>
        <w:spacing w:before="0" w:after="120"/>
      </w:pPr>
      <w:r>
        <w:rPr>
          <w:b/>
        </w:rPr>
        <w:t xml:space="preserve">Source: </w:t>
      </w:r>
      <w:r>
        <w:t>ScienceDirect Publication: Applied Energy</w:t>
      </w:r>
      <w:r>
        <w:t xml:space="preserve">    </w:t>
      </w:r>
      <w:r>
        <w:rPr>
          <w:b/>
        </w:rPr>
        <w:t xml:space="preserve">Pub date: </w:t>
      </w:r>
      <w:r>
        <w:t>2026-08-03 00:00:00+00:00</w:t>
      </w:r>
      <w:r>
        <w:t xml:space="preserve">    </w:t>
      </w:r>
      <w:r>
        <w:rPr>
          <w:b/>
        </w:rPr>
        <w:t xml:space="preserve">DOI: </w:t>
      </w:r>
      <w:hyperlink r:id="rId935">
        <w:r>
          <w:rPr>
            <w:color w:val="1155CC"/>
            <w:u w:val="single"/>
          </w:rPr>
          <w:t>10.1016/j.apenergy.2026.128540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[212] </w:t>
      </w:r>
      <w:hyperlink r:id="rId936">
        <w:r>
          <w:rPr>
            <w:color w:val="1155CC"/>
            <w:u w:val="single"/>
          </w:rPr>
          <w:t>有益微生物群落的育种</w:t>
        </w:r>
      </w:hyperlink>
    </w:p>
    <w:p>
      <w:pPr>
        <w:spacing w:before="0" w:after="80"/>
      </w:pPr>
      <w:r>
        <w:rPr>
          <w:i/>
          <w:sz w:val="20"/>
        </w:rPr>
        <w:t>EN: Breeding for beneficial microbial associations</w:t>
      </w:r>
    </w:p>
    <w:p>
      <w:pPr>
        <w:spacing w:before="0" w:after="120"/>
      </w:pPr>
      <w:r>
        <w:rPr>
          <w:b/>
        </w:rPr>
        <w:t xml:space="preserve">Source: </w:t>
      </w:r>
      <w:r>
        <w:t>Earth and environmental sciences : Nature Communications subject feeds</w:t>
      </w:r>
      <w:r>
        <w:t xml:space="preserve">    </w:t>
      </w:r>
      <w:r>
        <w:rPr>
          <w:b/>
        </w:rPr>
        <w:t xml:space="preserve">Pub date: </w:t>
      </w:r>
      <w:r>
        <w:t>2026-08-03 00:00:00+00:00</w:t>
      </w:r>
    </w:p>
    <w:p>
      <w:pPr>
        <w:spacing w:before="0" w:after="120"/>
      </w:pPr>
      <w:r>
        <w:rPr>
          <w:b/>
        </w:rPr>
        <w:t xml:space="preserve">Notes: </w:t>
      </w:r>
      <w:r>
        <w:t>abstract_source=nature_html</w:t>
      </w:r>
    </w:p>
    <w:p>
      <w:pPr>
        <w:spacing w:before="0" w:after="80" w:lineRule="auto" w:line="276"/>
      </w:pPr>
      <w:r>
        <w:rPr>
          <w:b/>
        </w:rPr>
        <w:t xml:space="preserve">摘要（ZH）: </w:t>
      </w:r>
      <w:r>
        <w:t>有益的植物-微生物协会（BMA）为减少对合成投入的依赖提供了宝贵的机会。然而，传统育种很少有针对性地增强有益的相互作用，而传统的农业实践往往会降低土壤健康和微生物多样性。我们提出了一个框架，将促进 BMA 的性状育种与丰富 BMA 的土壤管理实践相结合。这种方法将先进的育种技术与微生物的精确生产和接种策略相结合。加强这些以植物和微生物为中心的互补方法并鼓励农民采用它们可以培育更具弹性和生产力的农业系统，减少对农药和化肥的依赖。</w:t>
      </w:r>
    </w:p>
    <w:p>
      <w:pPr>
        <w:spacing w:before="0" w:after="200" w:lineRule="auto" w:line="276"/>
      </w:pPr>
      <w:r>
        <w:rPr>
          <w:b/>
        </w:rPr>
        <w:t xml:space="preserve">Abstract (EN): </w:t>
      </w:r>
      <w:r>
        <w:t>Beneficial plant–microbe associations (BMAs) offer a valuable opportunity to reduce dependence on synthetic inputs. However, traditional breeding has rarely targeted traits that enhance beneficial interactions, and conventional agricultural practices have often degraded soil health and microbial diversity. We present a framework that combines breeding for traits that facilitate BMA with soil management practices that enrich BMA. This approach integrates advanced breeding technologies with strategies for precise production and inoculation of microbes. Strengthening these complementary plant- and microbe-centered approaches and encouraging their adoption by farmers can foster more resilient and productive agricultural systems with reduced dependence on pesticides and fertilizers.</w:t>
      </w:r>
    </w:p>
    <w:p>
      <w:pPr>
        <w:spacing w:before="120" w:after="120"/>
      </w:pPr>
      <w:r>
        <w:rPr>
          <w:sz w:val="18"/>
        </w:rPr>
        <w:t>——————————————————————————————————————————————————————————————————————</w:t>
      </w:r>
    </w:p>
    <w:p>
      <w:pPr>
        <w:spacing w:before="160" w:after="40" w:line="240" w:lineRule="auto"/>
      </w:pPr>
      <w:r>
        <w:rPr>
          <w:b/>
        </w:rPr>
        <w:t xml:space="preserve">[213] </w:t>
      </w:r>
      <w:hyperlink r:id="rId937">
        <w:r>
          <w:rPr>
            <w:color w:val="1155CC"/>
            <w:u w:val="single"/>
          </w:rPr>
          <w:t>抗生素耐受性加上引流效果有限：肺炎克雷伯菌肝脓肿的临床挑战</w:t>
        </w:r>
      </w:hyperlink>
    </w:p>
    <w:p>
      <w:pPr>
        <w:spacing w:before="0" w:after="80"/>
      </w:pPr>
      <w:r>
        <w:rPr>
          <w:i/>
          <w:sz w:val="20"/>
        </w:rPr>
        <w:t>EN: Antibiotic tolerance coupled with limited benefit from drainage: Clinical challenges in Klebsiella pneumoniae liver abscess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38">
        <w:r>
          <w:rPr>
            <w:color w:val="1155CC"/>
            <w:u w:val="single"/>
          </w:rPr>
          <w:t>10.1073/pnas.2606316123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939">
        <w:r>
          <w:rPr>
            <w:color w:val="1155CC"/>
            <w:u w:val="single"/>
          </w:rPr>
          <w:t>EV-A71 RNA 结合蛋白 Matrin 3 通过 ZDHHC20 介导的棕榈酰化稳定病毒 RNA，从而促进病毒复制</w:t>
        </w:r>
      </w:hyperlink>
    </w:p>
    <w:p>
      <w:pPr>
        <w:spacing w:before="0" w:after="80"/>
      </w:pPr>
      <w:r>
        <w:rPr>
          <w:i/>
          <w:sz w:val="20"/>
        </w:rPr>
        <w:t>EN: The EV-A71 RNA-binding protein Matrin 3 facilitates viral replication by stabilizing viral RNA via ZDHHC20-mediated palmitoylation</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40">
        <w:r>
          <w:rPr>
            <w:color w:val="1155CC"/>
            <w:u w:val="single"/>
          </w:rPr>
          <w:t>10.1073/pnas.2608455123</w:t>
        </w:r>
      </w:hyperlink>
    </w:p>
    <w:p>
      <w:pPr>
        <w:spacing w:before="0" w:after="120"/>
      </w:pPr>
      <w:r>
        <w:rPr>
          <w:b/>
        </w:rPr>
        <w:t xml:space="preserve">Notes: </w:t>
      </w:r>
      <w:r>
        <w:t>abstract_source=crossref</w:t>
      </w:r>
    </w:p>
    <w:p>
      <w:pPr>
        <w:spacing w:before="0" w:after="80" w:lineRule="auto" w:line="276"/>
      </w:pPr>
      <w:r>
        <w:rPr>
          <w:b/>
        </w:rPr>
        <w:t xml:space="preserve">摘要（ZH）: </w:t>
      </w:r>
      <w:r>
        <w:t>肠道病毒 71 (EV-A71) 是幼儿严重手足口病 (HFMD) 的主要病原体。然而，EV-A71 和宿主因子之间的分子相互作用，特别是这些相互作用如何控制病毒复制，仍不完全清楚。为了系统地鉴定参与 EV-A71 感染的宿主因素，我们在病毒感染期间通过质谱 (ChIRP-MS) 对 RNA 结合蛋白 (RBP) 进行了全面鉴定，并鉴定了与 EV-A71 基因组 RNA 相关的 374 个宿主蛋白。对现有数据集的综合分析进一步揭示了 Matrin 3 (MATR3) 和肠道病毒之间更广泛的关联，我们通过功能获得和功能丧失测定对其进行了功能验证，证明 MATR3 作为有效 EV-A71 复制所必需的前病毒因子。从机制上讲，我们表明 MATR3 通过其第二个 RNA 识别基序 (RRM2) 特异性结合 EV-A71 RNA 的 3' 非翻译区 (3'UTR)。这种相互作用促进 MATR3 的 RNA 依赖性凝聚体形成，从而增强病毒 RNA 的稳定性。此外，MATR3 将宿主棕榈酰转移酶 ZDHHC20 招募到病毒核糖核蛋白复合物中，促进 MATR3 棕榈酰化。这种翻译后修饰促进稳定核糖核蛋白复合物的组装，从而协同稳定病毒基因组并支持有效复制。总之，这项研究描绘了 EV-A71 通过缩合形成和棕榈酰化来选择 MATR3 的机制途径，以稳定其基因组 RNA 并促进 v</w:t>
      </w:r>
    </w:p>
    <w:p>
      <w:pPr>
        <w:spacing w:before="0" w:after="200" w:lineRule="auto" w:line="276"/>
      </w:pPr>
      <w:r>
        <w:rPr>
          <w:b/>
        </w:rPr>
        <w:t xml:space="preserve">Abstract (EN): </w:t>
      </w:r>
      <w:r>
        <w:t>Enterovirus 71 (EV-A71) is a major causative agent of severe hand, foot, and mouth disease (HFMD) in young children. However, the molecular interplay between EV-A71 and host factors, particularly how these interactions govern viral replication, remains incompletely understood. To systematically identify host factors involved in EV-A71 infection, we performed comprehensive identification of RNA-binding proteins (RBPs) by mass spectrometry (ChIRP-MS) during viral infection and identified 374 host proteins associated with the EV-A71 genomic RNA. Integrative analysis of existing datasets further revealed a broader association between Matrin 3 (MATR3) and enteroviruses, which we functionally validated through gain- and loss-of-function assays, demonstrating that MATR3 acts as a proviral factor essential for efficient EV-A71 replication. Mechanistically, we show that MATR3 specifically binds to the 3′ untranslated region (3′UTR) of EV-A71 RNA via its second RNA recognition motif (RRM2). This interaction promotes RNA-dependent condensate formation of MATR3, thereby enhancing viral RNA stability. Furthermore, MATR3 recruits the host palmitoyltransferase ZDHHC20 to the viral ribonucleoprotein complex, facilitating MATR3 palmitoylation. This posttranslational modification promotes the assembly of a stable ribonucleoprotein complex that cooperatively stabilizes the viral genome and supports efficient replication. Together, this study delineates a mechanistic pathway by which EV-A71 co-opts MATR3 through condensate formation and palmitoylation to stabilize its genomic RNA and promote viral replication, and provides a comprehensive profiling dataset of host proteins associated with EV-A71 RNA.</w:t>
      </w:r>
    </w:p>
    <w:p>
      <w:pPr>
        <w:spacing w:before="120" w:after="120"/>
      </w:pPr>
      <w:r>
        <w:rPr>
          <w:sz w:val="18"/>
        </w:rPr>
        <w:t>——————————————————————————————————————————————————————————————————————</w:t>
      </w:r>
    </w:p>
    <w:p>
      <w:pPr>
        <w:spacing w:before="160" w:after="40" w:line="240" w:lineRule="auto"/>
      </w:pPr>
      <w:r>
        <w:rPr>
          <w:b/>
        </w:rPr>
        <w:t xml:space="preserve">[215] </w:t>
      </w:r>
      <w:hyperlink r:id="rId941">
        <w:r>
          <w:rPr>
            <w:color w:val="1155CC"/>
            <w:u w:val="single"/>
          </w:rPr>
          <w:t>阿拉斯加东南部宇宙成因核素测量揭示了对冰川侵蚀率的控制</w:t>
        </w:r>
      </w:hyperlink>
    </w:p>
    <w:p>
      <w:pPr>
        <w:spacing w:before="0" w:after="80"/>
      </w:pPr>
      <w:r>
        <w:rPr>
          <w:i/>
          <w:sz w:val="20"/>
        </w:rPr>
        <w:t>EN: Controls on glacial erosion rates revealed by cosmogenic nuclide measurements in southeastern Alaska</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42">
        <w:r>
          <w:rPr>
            <w:color w:val="1155CC"/>
            <w:u w:val="single"/>
          </w:rPr>
          <w:t>10.1073/pnas.2608894123</w:t>
        </w:r>
      </w:hyperlink>
    </w:p>
    <w:p>
      <w:pPr>
        <w:spacing w:before="0" w:after="120"/>
      </w:pPr>
      <w:r>
        <w:rPr>
          <w:b/>
        </w:rPr>
        <w:t xml:space="preserve">Notes: </w:t>
      </w:r>
      <w:r>
        <w:t>abstract_source=crossref</w:t>
      </w:r>
    </w:p>
    <w:p>
      <w:pPr>
        <w:spacing w:before="0" w:after="80" w:lineRule="auto" w:line="276"/>
      </w:pPr>
      <w:r>
        <w:rPr>
          <w:b/>
        </w:rPr>
        <w:t xml:space="preserve">摘要（ZH）: </w:t>
      </w:r>
      <w:r>
        <w:t>由于冰川底部有效的基岩侵蚀，冰川在塑造景观方面发挥着重要作用。了解冰川侵蚀对地貌演化的贡献以及气候、侵蚀和构造之间的相关反馈需要确定控制冰川侵蚀的因素。然而，由于冰川环境中发生的侵蚀过程是多​​方面的组合，测量冰川侵蚀率很困难。对冰川侵蚀速率拟议控制措施的实证验证通常依赖于对全流域沉积物产量的间接测量，其中可能包括再流动沉积物和非冰川侵蚀源，这些可能会掩盖冰川侵蚀的贡献。在这里，我们使用替代代理来研究冰川侵蚀：测量基岩样本中的宇宙成因核素（</w:t>
      </w:r>
      <w:r>
        <w:t xml:space="preserve"> </w:t>
      </w:r>
      <w:r>
        <w:t>n</w:t>
      </w:r>
      <w:r>
        <w:t xml:space="preserve"> </w:t>
      </w:r>
      <w:r>
        <w:t>= 28) 在阿拉斯加东南部的一座冰川上。我们利用成对的原位空间排列</w:t>
      </w:r>
      <w:r>
        <w:rPr>
          <w:vertAlign w:val="subscript"/>
        </w:rPr>
        <w:t>14</w:t>
      </w:r>
      <w:r>
        <w:t>C-</w:t>
      </w:r>
      <w:r>
        <w:rPr>
          <w:vertAlign w:val="subscript"/>
        </w:rPr>
        <w:t>10</w:t>
      </w:r>
      <w:r>
        <w:t>在基岩中进行测量，以同时确定全新世的冰川覆盖历史和基岩侵蚀率。对冰川地貌侵蚀的测量表明，当地的采石率是磨损率的五倍。由数值冰流模型结果支持的观察到的磨损率（0.01至0.44毫米/年）的空间变异表明，冰川侵蚀取决于滑动速度和基础剪切应力（“基础功率”）的组合。千年尺度的宇宙核素衍生的爱欲</w:t>
      </w:r>
    </w:p>
    <w:p>
      <w:pPr>
        <w:spacing w:before="0" w:after="200" w:lineRule="auto" w:line="276"/>
      </w:pPr>
      <w:r>
        <w:rPr>
          <w:b/>
        </w:rPr>
        <w:t xml:space="preserve">Abstract (EN): </w:t>
      </w:r>
      <w:r>
        <w:t>Glaciers play an important role in shaping landscapes because of efficient bedrock erosion at their base. Understanding the contribution of glacial erosion to landscape evolution and the associated feedbacks between climate, erosion, and tectonics requires identifying the factors controlling glacial erosion. However, measuring glacial erosion rates is difficult due to the multifaceted combination of erosional processes occurring in glacial environments. Empirical validation of proposed controls on glacial erosion rates usually rely on indirect measurements of basin-wide sediment yields, which may include remobilized sediment and nonglacial sources of erosion that can obscure the contribution of glacial erosion. Here, we investigate glacial erosion using an alternative proxy: measurements of cosmogenic nuclides in bedrock samples (</w:t>
      </w:r>
      <w:r>
        <w:t xml:space="preserve"> </w:t>
      </w:r>
      <w:r>
        <w:t>n</w:t>
      </w:r>
      <w:r>
        <w:t xml:space="preserve"> </w:t>
      </w:r>
      <w:r>
        <w:t>= 28) at a glacier in southeastern Alaska. We leverage the spatial arrangement of paired in situ</w:t>
      </w:r>
      <w:r>
        <w:rPr>
          <w:vertAlign w:val="subscript"/>
        </w:rPr>
        <w:t>14</w:t>
      </w:r>
      <w:r>
        <w:t>C-</w:t>
      </w:r>
      <w:r>
        <w:rPr>
          <w:vertAlign w:val="subscript"/>
        </w:rPr>
        <w:t>10</w:t>
      </w:r>
      <w:r>
        <w:t>Be measurements in bedrock to simultaneously determine the Holocene history of glacial cover and bedrock erosion rates. Measurements of erosion from a glacial landform suggest that quarrying rates are locally five times greater than abrasion rates. The observed spatial variability in abrasion rates (0.01 to 0.44 mm/y) supported by numerical ice-flow model results suggests that glacial erosion depends on a combination of sliding velocity and basal shear stress (“basal power”). Millennial-scale cosmogenic nuclide-derived erosion rates are an order of magnitude lower than sediment-derived erosion rates, which may suggest that sediment-derived values of bedrock erosion are overestimated due to timescale biases and/or contributions from nonglacial sources of sediment.</w:t>
      </w:r>
    </w:p>
    <w:p>
      <w:pPr>
        <w:spacing w:before="120" w:after="120"/>
      </w:pPr>
      <w:r>
        <w:rPr>
          <w:sz w:val="18"/>
        </w:rPr>
        <w:t>——————————————————————————————————————————————————————————————————————</w:t>
      </w:r>
    </w:p>
    <w:p>
      <w:pPr>
        <w:spacing w:before="160" w:after="40" w:line="240" w:lineRule="auto"/>
      </w:pPr>
      <w:r>
        <w:rPr>
          <w:b/>
        </w:rPr>
        <w:t xml:space="preserve">[216] </w:t>
      </w:r>
      <w:hyperlink r:id="rId943">
        <w:r>
          <w:rPr>
            <w:color w:val="1155CC"/>
            <w:u w:val="single"/>
          </w:rPr>
          <w:t>膀胱粘膜传入检测尿路感染并帮助清除病原体</w:t>
        </w:r>
      </w:hyperlink>
    </w:p>
    <w:p>
      <w:pPr>
        <w:spacing w:before="0" w:after="80"/>
      </w:pPr>
      <w:r>
        <w:rPr>
          <w:i/>
          <w:sz w:val="20"/>
        </w:rPr>
        <w:t>EN: Bladder mucosal afferents detect UTI and aid pathogen clearance</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44">
        <w:r>
          <w:rPr>
            <w:color w:val="1155CC"/>
            <w:u w:val="single"/>
          </w:rPr>
          <w:t>10.1073/pnas.2604124123</w:t>
        </w:r>
      </w:hyperlink>
    </w:p>
    <w:p>
      <w:pPr>
        <w:spacing w:before="0" w:after="120"/>
      </w:pPr>
      <w:r>
        <w:rPr>
          <w:b/>
        </w:rPr>
        <w:t xml:space="preserve">Notes: </w:t>
      </w:r>
      <w:r>
        <w:t>abstract_source=crossref</w:t>
      </w:r>
    </w:p>
    <w:p>
      <w:pPr>
        <w:spacing w:before="0" w:after="80" w:lineRule="auto" w:line="276"/>
      </w:pPr>
      <w:r>
        <w:rPr>
          <w:b/>
        </w:rPr>
        <w:t xml:space="preserve">摘要（ZH）: </w:t>
      </w:r>
      <w:r>
        <w:t>膀胱由复杂的感觉神经元网络支配，这些神经元检测机械和化学信号并将其传输到中枢神经系统，调节尿液储存和排尿，并调节膀胱充盈和疼痛的感觉。虽然已知膀胱壁内的牵张敏感传入神经可以监测膀胱张力，但膀胱粘膜内的牵张不敏感传入神经对膀胱感觉和功能的贡献仍不清楚。在这里，我们利用膀胱内滴注树脂毒素建立了选择性膀胱粘膜传入去神经支配的小鼠模型，以定义这些纤维在健康和疾病中的功能作用。我们评估了粘膜去神经支配对健康小鼠和尿路感染（UTI）模型的感觉神经活动和膀胱功能的影响，该模型由尿路致病性急性细菌攻击引起</w:t>
      </w:r>
      <w:r>
        <w:t xml:space="preserve"> </w:t>
      </w:r>
      <w:r>
        <w:t>大肠杆菌</w:t>
      </w:r>
      <w:r>
        <w:t xml:space="preserve"> </w:t>
      </w:r>
      <w:r>
        <w:t>。我们表明，在健康条件下，粘膜神经传入不会影响膀胱扩张反应或排尿功能。相反，在尿路感染期间，这些传入神经变得高度敏感，并成为感染引起的盆腔疼痛和尿频的重要驱动因素，这些反应有助于细菌清除。总之，这些发现将膀胱粘膜传入确定为致病性挑战的关键传感器，并揭示了一种先前未被认识的机制，该机制可驱动行为反应以减轻尿路感染的负担和程度。</w:t>
      </w:r>
    </w:p>
    <w:p>
      <w:pPr>
        <w:spacing w:before="0" w:after="200" w:lineRule="auto" w:line="276"/>
      </w:pPr>
      <w:r>
        <w:rPr>
          <w:b/>
        </w:rPr>
        <w:t xml:space="preserve">Abstract (EN): </w:t>
      </w:r>
      <w:r>
        <w:t>The bladder is innervated by a complex network of sensory neurons that detect and transmit mechanical and chemical signals to the central nervous system, regulating both urine storage and voiding, and mediating sensations of bladder fullness and pain. While stretch-sensitive afferents within the bladder wall are known to monitor bladder tension, the contribution of stretch-insensitive afferents that reside within the bladder mucosa to bladder sensation and function remains unclear. Here, we establish a mouse model of selective bladder mucosal afferent denervation using intravesical instillation of resiniferatoxin to define the functional roles of these fibers in health and disease. We assessed the impact of mucosal denervation on sensory nerve activity and bladder function in healthy mice and in a model of urinary tract infection (UTI) induced by acute bacterial challenge with uropathogenic</w:t>
      </w:r>
      <w:r>
        <w:t xml:space="preserve"> </w:t>
      </w:r>
      <w:r>
        <w:t>Escherichia coli</w:t>
      </w:r>
      <w:r>
        <w:t xml:space="preserve"> </w:t>
      </w:r>
      <w:r>
        <w:t>. We show that mucosa-innervating afferents do not influence bladder distension responses or voiding function under healthy conditions. In contrast, during UTI, these afferents become hypersensitive and serve as important drivers of infection-induced pelvic pain and urinary frequency, responses that contribute to bacterial clearance. Together, these findings identify bladder mucosal afferents as key sensors of pathogenic challenge and reveal a previously unrecognized mechanism that drives behavioral responses to reduce the burden and extent of UTI.</w:t>
      </w:r>
    </w:p>
    <w:p>
      <w:pPr>
        <w:spacing w:before="120" w:after="120"/>
      </w:pPr>
      <w:r>
        <w:rPr>
          <w:sz w:val="18"/>
        </w:rPr>
        <w:t>——————————————————————————————————————————————————————————————————————</w:t>
      </w:r>
    </w:p>
    <w:p>
      <w:pPr>
        <w:spacing w:before="160" w:after="40" w:line="240" w:lineRule="auto"/>
      </w:pPr>
      <w:r>
        <w:rPr>
          <w:b/>
        </w:rPr>
        <w:t xml:space="preserve">[217] </w:t>
      </w:r>
      <w:hyperlink r:id="rId945">
        <w:r>
          <w:rPr>
            <w:color w:val="1155CC"/>
            <w:u w:val="single"/>
          </w:rPr>
          <w:t>KRI1 和 NPM1 的共相分离维持核仁完整性和核糖体生物合成，促进肝癌进展</w:t>
        </w:r>
      </w:hyperlink>
    </w:p>
    <w:p>
      <w:pPr>
        <w:spacing w:before="0" w:after="80"/>
      </w:pPr>
      <w:r>
        <w:rPr>
          <w:i/>
          <w:sz w:val="20"/>
        </w:rPr>
        <w:t>EN: Co-phase separation of KRI1 and NPM1 sustains nucleolar integrity and ribosome biogenesis to fuel liver cancer progression</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46">
        <w:r>
          <w:rPr>
            <w:color w:val="1155CC"/>
            <w:u w:val="single"/>
          </w:rPr>
          <w:t>10.1073/pnas.2535921123</w:t>
        </w:r>
      </w:hyperlink>
    </w:p>
    <w:p>
      <w:pPr>
        <w:spacing w:before="0" w:after="120"/>
      </w:pPr>
      <w:r>
        <w:rPr>
          <w:b/>
        </w:rPr>
        <w:t xml:space="preserve">Notes: </w:t>
      </w:r>
      <w:r>
        <w:t>abstract_source=crossref</w:t>
      </w:r>
    </w:p>
    <w:p>
      <w:pPr>
        <w:spacing w:before="0" w:after="80" w:lineRule="auto" w:line="276"/>
      </w:pPr>
      <w:r>
        <w:rPr>
          <w:b/>
        </w:rPr>
        <w:t xml:space="preserve">摘要（ZH）: </w:t>
      </w:r>
      <w:r>
        <w:t>肝癌是全球癌症死亡的第四大原因，其中肝细胞癌（HCC）占大多数原发性肝癌。核仁作为核糖体生物发生的主要场所，在肝癌的发生发展中发挥着至关重要的作用。在这里，我们报道核仁蛋白 KRR1 相互作用蛋白 (KRI1) 在 HCC 组织中异常过度表达，并通过相分离与核磷蛋白 1 (NPM1) 相互作用，以维持核仁结构和核糖体生物发生。 KRI1 的下调会显着损害 HCC 细胞增殖并增加细胞凋亡，并伴有核仁结构和核糖体生物发生的破坏。此外，我们发现 KRI1 的相分离通过其 N 端固有无序区域中的三个丝氨酸残基（S94、S95 和 S97）的磷酸化而增强，并且丙酮酸激酶 M2 (PKM2) 被确定为关键激酶。 PKM2 抑制剂紫草素显着减弱 KRI1 相分离及其与 NPM1 的相互作用，破坏核仁结构和核糖体生物发生，从而抑制 HCC 进展。该研究揭示了KRI1在HCC进展中的关键作用，并为开发核仁蛋白靶向HCC治疗策略提供了理论和实验证据。</w:t>
      </w:r>
    </w:p>
    <w:p>
      <w:pPr>
        <w:spacing w:before="0" w:after="200" w:lineRule="auto" w:line="276"/>
      </w:pPr>
      <w:r>
        <w:rPr>
          <w:b/>
        </w:rPr>
        <w:t xml:space="preserve">Abstract (EN): </w:t>
      </w:r>
      <w:r>
        <w:t>Liver cancer is the fourth leading cause of global cancer mortality, with hepatocellular carcinoma (HCC) accounting for most primary liver cancers. The nucleolus, as the primary site of ribosome biogenesis, plays a crucial role in HCC development. Here, we report that the nucleolar protein KRR1 interacting protein (KRI1) is aberrantly overexpressed in HCC tissues and interacts with nucleophosmin 1 (NPM1) via phase separation to maintain nucleolar structure and ribosome biogenesis. Downregulation of KRI1 significantly impairs HCC cell proliferation and increases apoptosis, accompanied by disrupted nucleolar structure and ribosome biogenesis. Moreover, we show that KRI1 phase separation is enhanced by the phosphorylation of three serine residues (S94, S95, and S97) in its N-terminal intrinsically disordered region, and pyruvate kinase M2 (PKM2) is identified as the key kinase. PKM2 inhibitor shikonin markedly attenuates KRI1 phase separation and its interaction with NPM1, disrupts nucleolar structure and ribosome biogenesis, thereby inhibiting HCC progression. This study uncovers the crucial role of KRI1 in HCC progression and provides theoretical and experimental evidence for the development of nucleolar protein-targeted therapeutic strategies for HCC treatment.</w:t>
      </w:r>
    </w:p>
    <w:p>
      <w:pPr>
        <w:spacing w:before="120" w:after="120"/>
      </w:pPr>
      <w:r>
        <w:rPr>
          <w:sz w:val="18"/>
        </w:rPr>
        <w:t>——————————————————————————————————————————————————————————————————————</w:t>
      </w:r>
    </w:p>
    <w:p>
      <w:pPr>
        <w:spacing w:before="160" w:after="40" w:line="240" w:lineRule="auto"/>
      </w:pPr>
      <w:r>
        <w:rPr>
          <w:b/>
        </w:rPr>
        <w:t xml:space="preserve">[218] </w:t>
      </w:r>
      <w:hyperlink r:id="rId947">
        <w:r>
          <w:rPr>
            <w:color w:val="1155CC"/>
            <w:u w:val="single"/>
          </w:rPr>
          <w:t>更正黄等人的支持信息，人口波动下的随机博弈动态</w:t>
        </w:r>
      </w:hyperlink>
    </w:p>
    <w:p>
      <w:pPr>
        <w:spacing w:before="0" w:after="80"/>
      </w:pPr>
      <w:r>
        <w:rPr>
          <w:i/>
          <w:sz w:val="20"/>
        </w:rPr>
        <w:t>EN: Correction to Supporting Information for Huang et al., Stochastic game dynamics under demographic fluctuations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48">
        <w:r>
          <w:rPr>
            <w:color w:val="1155CC"/>
            <w:u w:val="single"/>
          </w:rPr>
          <w:t>10.1073/pnas.2623195123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[219] </w:t>
      </w:r>
      <w:hyperlink r:id="rId949">
        <w:r>
          <w:rPr>
            <w:color w:val="1155CC"/>
            <w:u w:val="single"/>
          </w:rPr>
          <w:t>回复Gong等人：抗生素耐受性加上引流效果有限：肺炎克雷伯菌肝脓肿的临床挑战</w:t>
        </w:r>
      </w:hyperlink>
    </w:p>
    <w:p>
      <w:pPr>
        <w:spacing w:before="0" w:after="80"/>
      </w:pPr>
      <w:r>
        <w:rPr>
          <w:i/>
          <w:sz w:val="20"/>
        </w:rPr>
        <w:t>EN: Reply to Gong et al.: Antibiotic tolerance coupled with limited benefit from drainage: Clinical challenges in Klebsiella pneumoniae liver abscess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50">
        <w:r>
          <w:rPr>
            <w:color w:val="1155CC"/>
            <w:u w:val="single"/>
          </w:rPr>
          <w:t>10.1073/pnas.2615420123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[220] </w:t>
      </w:r>
      <w:hyperlink r:id="rId951">
        <w:r>
          <w:rPr>
            <w:color w:val="1155CC"/>
            <w:u w:val="single"/>
          </w:rPr>
          <w:t>大分子天然粗丝揭示肥厚型心肌病的致病界面</w:t>
        </w:r>
      </w:hyperlink>
    </w:p>
    <w:p>
      <w:pPr>
        <w:spacing w:before="0" w:after="80"/>
      </w:pPr>
      <w:r>
        <w:rPr>
          <w:i/>
          <w:sz w:val="20"/>
        </w:rPr>
        <w:t>EN: The macromolecular native thick filament reveals pathogenic interfaces for hypertrophic cardiomyopathy</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52">
        <w:r>
          <w:rPr>
            <w:color w:val="1155CC"/>
            <w:u w:val="single"/>
          </w:rPr>
          <w:t>10.1073/pnas.2621061123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[221] </w:t>
      </w:r>
      <w:hyperlink r:id="rId953">
        <w:r>
          <w:rPr>
            <w:color w:val="1155CC"/>
            <w:u w:val="single"/>
          </w:rPr>
          <w:t>核垃圾处理：淀粉样前体蛋白在阿尔茨海默病中的意想不到的作用</w:t>
        </w:r>
      </w:hyperlink>
    </w:p>
    <w:p>
      <w:pPr>
        <w:spacing w:before="0" w:after="80"/>
      </w:pPr>
      <w:r>
        <w:rPr>
          <w:i/>
          <w:sz w:val="20"/>
        </w:rPr>
        <w:t>EN: Nuclear garbage disposal: An unexpected role for amyloid precursor protein in Alzheimer’s disease</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54">
        <w:r>
          <w:rPr>
            <w:color w:val="1155CC"/>
            <w:u w:val="single"/>
          </w:rPr>
          <w:t>10.1073/pnas.2619791123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[222] </w:t>
      </w:r>
      <w:hyperlink r:id="rId955">
        <w:r>
          <w:rPr>
            <w:color w:val="1155CC"/>
            <w:u w:val="single"/>
          </w:rPr>
          <w:t>长春花中看不见的伙伴引导生物碱流向长春花碱</w:t>
        </w:r>
      </w:hyperlink>
    </w:p>
    <w:p>
      <w:pPr>
        <w:spacing w:before="0" w:after="80"/>
      </w:pPr>
      <w:r>
        <w:rPr>
          <w:i/>
          <w:sz w:val="20"/>
        </w:rPr>
        <w:t>EN: An unseen partner steers alkaloid flux toward vinblastine in Catharanthus roseus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56">
        <w:r>
          <w:rPr>
            <w:color w:val="1155CC"/>
            <w:u w:val="single"/>
          </w:rPr>
          <w:t>10.1073/pnas.2619789123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[223] </w:t>
      </w:r>
      <w:hyperlink r:id="rId957">
        <w:r>
          <w:rPr>
            <w:color w:val="1155CC"/>
            <w:u w:val="single"/>
          </w:rPr>
          <w:t>一个细胞可以有多小？</w:t>
        </w:r>
      </w:hyperlink>
    </w:p>
    <w:p>
      <w:pPr>
        <w:spacing w:before="0" w:after="80"/>
      </w:pPr>
      <w:r>
        <w:rPr>
          <w:i/>
          <w:sz w:val="20"/>
        </w:rPr>
        <w:t>EN: How small can a cell be?</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58">
        <w:r>
          <w:rPr>
            <w:color w:val="1155CC"/>
            <w:u w:val="single"/>
          </w:rPr>
          <w:t>10.1073/pnas.2619024123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[224] </w:t>
      </w:r>
      <w:hyperlink r:id="rId959">
        <w:r>
          <w:rPr>
            <w:color w:val="1155CC"/>
            <w:u w:val="single"/>
          </w:rPr>
          <w:t>早期遗传系统中紫外线光损伤途径和胸腺嘧啶相对于尿嘧啶的进化选择</w:t>
        </w:r>
      </w:hyperlink>
    </w:p>
    <w:p>
      <w:pPr>
        <w:spacing w:before="0" w:after="80"/>
      </w:pPr>
      <w:r>
        <w:rPr>
          <w:i/>
          <w:sz w:val="20"/>
        </w:rPr>
        <w:t>EN: UV photodamage pathways and the evolutionary selection of thymine over uracil in early genetic systems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60">
        <w:r>
          <w:rPr>
            <w:color w:val="1155CC"/>
            <w:u w:val="single"/>
          </w:rPr>
          <w:t>10.1073/pnas.2615278123</w:t>
        </w:r>
      </w:hyperlink>
    </w:p>
    <w:p>
      <w:pPr>
        <w:spacing w:before="0" w:after="120"/>
      </w:pPr>
      <w:r>
        <w:rPr>
          <w:b/>
        </w:rPr>
        <w:t xml:space="preserve">Notes: </w:t>
      </w:r>
      <w:r>
        <w:t>abstract_source=crossref</w:t>
      </w:r>
    </w:p>
    <w:p>
      <w:pPr>
        <w:spacing w:before="0" w:after="80" w:lineRule="auto" w:line="276"/>
      </w:pPr>
      <w:r>
        <w:rPr>
          <w:b/>
        </w:rPr>
        <w:t xml:space="preserve">摘要（ZH）: </w:t>
      </w:r>
      <w:r>
        <w:t>从光稳定性的角度来看，DNA 中胸腺嘧啶相对于尿嘧啶的进化选择呈现出一个悖论，因为人们发现胸腺嘧啶更容易受到早期地球上存在的强烈紫外线辐射的光损伤。本研究通过在受控 265 nm 紫外线照射下对胸腺嘧啶和尿嘧啶进行比较光谱分析来解决这一悖论。为此，我们使用稳态吸收、荧光和拉曼光谱来量化和比较两种核碱基的光化学行为和损伤动力学。我们的研究结果表明，胸腺嘧啶本质上比尿嘧啶更具光反应性，表现出更快的光损伤总体速率、更宽的吸收带，增加了与原始 UVC 光谱的光谱重叠，以及位于太阳强度明显更高的光谱区域的红移吸收最大值。然而，损伤途径的动力学分析表明，胸腺嘧啶形成不可逆 (6-4) 光产物的速度明显低于尿嘧啶，而是将紫外线诱导的损伤主要导向可逆的环丁烷嘧啶二聚体途径。这些发现支持这样的假设：经典核碱基经过进化优化，不是为了最小化光损伤，而是为了将损伤定位在碱基内，并将损伤形成引导至适合非酶促自我修复的可逆途径。</w:t>
      </w:r>
    </w:p>
    <w:p>
      <w:pPr>
        <w:spacing w:before="0" w:after="200" w:lineRule="auto" w:line="276"/>
      </w:pPr>
      <w:r>
        <w:rPr>
          <w:b/>
        </w:rPr>
        <w:t xml:space="preserve">Abstract (EN): </w:t>
      </w:r>
      <w:r>
        <w:t>The evolutionary selection of thymine over uracil in DNA presents a paradox from a photostability perspective, since thymine is found to be more susceptible to photodamage from the intense UV radiation present on the early Earth. This study addresses this paradox by providing a comparative spectroscopic analysis of thymine and uracil under controlled 265 nm UV irradiation. To that effect, we used steady-state absorption, fluorescence, and Raman spectroscopy to quantify and compare the photochemical behavior and damage kinetics of the two nucleobases. Our results show that thymine is inherently more photoreactive than uracil, exhibiting a faster overall rate of photodamage, a broader absorption band that increases spectral overlap with the primordial UVC spectrum, and a redshifted absorption maximum located in a spectral region where solar intensity was substantially higher. However, kinetic analysis of lesion pathways reveals that thymine forms irreversible (6-4) photoproducts at a significantly lower rate than uracil, instead directing UV-induced damage primarily toward the reversible cyclobutane pyrimidine dimer pathway. These findings support the hypothesis that canonical nucleobases were evolutionarily optimized not to minimize photodamage but to localize damage within the bases and direct lesion formation toward reversible pathways amenable to nonenzymatic self-repair.</w:t>
      </w:r>
    </w:p>
    <w:p>
      <w:pPr>
        <w:spacing w:before="120" w:after="120"/>
      </w:pPr>
      <w:r>
        <w:rPr>
          <w:sz w:val="18"/>
        </w:rPr>
        <w:t>——————————————————————————————————————————————————————————————————————</w:t>
      </w:r>
    </w:p>
    <w:p>
      <w:pPr>
        <w:spacing w:before="160" w:after="40" w:line="240" w:lineRule="auto"/>
      </w:pPr>
      <w:r>
        <w:rPr>
          <w:b/>
        </w:rPr>
        <w:t xml:space="preserve">[225] </w:t>
      </w:r>
      <w:hyperlink r:id="rId961">
        <w:r>
          <w:rPr>
            <w:color w:val="1155CC"/>
            <w:u w:val="single"/>
          </w:rPr>
          <w:t>非典型炎症小体的动态和异质结构</w:t>
        </w:r>
      </w:hyperlink>
    </w:p>
    <w:p>
      <w:pPr>
        <w:spacing w:before="0" w:after="80"/>
      </w:pPr>
      <w:r>
        <w:rPr>
          <w:i/>
          <w:sz w:val="20"/>
        </w:rPr>
        <w:t>EN: The dynamic and heterogeneous structure of the non-canonical inflammasome</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62">
        <w:r>
          <w:rPr>
            <w:color w:val="1155CC"/>
            <w:u w:val="single"/>
          </w:rPr>
          <w:t>10.1073/pnas.2613431123</w:t>
        </w:r>
      </w:hyperlink>
    </w:p>
    <w:p>
      <w:pPr>
        <w:spacing w:before="0" w:after="120"/>
      </w:pPr>
      <w:r>
        <w:rPr>
          <w:b/>
        </w:rPr>
        <w:t xml:space="preserve">Notes: </w:t>
      </w:r>
      <w:r>
        <w:t>abstract_source=crossref</w:t>
      </w:r>
    </w:p>
    <w:p>
      <w:pPr>
        <w:spacing w:before="0" w:after="80" w:lineRule="auto" w:line="276"/>
      </w:pPr>
      <w:r>
        <w:rPr>
          <w:b/>
        </w:rPr>
        <w:t xml:space="preserve">摘要（ZH）: </w:t>
      </w:r>
      <w:r>
        <w:t>炎性体是高分子量复合物，在先天免疫系统中发挥着不可或缺的作用，引发炎症级联反应以防止细胞应激，例如病原菌。文献中已经描述了规范和非规范炎症小体，并且已经报道了对更复杂和更大的规范版本的许多成分的详细结构研究。相比之下，非典型炎症小体的相应结构尚未出现，尽管它仅由两种成分组成：来自革兰氏阴性细菌的脂多糖（LPS）以及人类中的 caspase-4 或 caspase-5 或小鼠中的 caspase-11 之一。在这里，我们确定了非典型炎症小体的化学计量，表明它是异质的，由具有不同数量的 LPS 和 caspase 分子的三种主要复合物组成。对与 LPS 结合的 caspase-11 的 N 端 caspase 激活和募集结构域 (CARD) 进行的核磁共振波谱研究表明，在没有脂质的情况下，它基本上是非结构化的，在 µs-ms 时间尺度上具有普遍的动力学。该复合物的形成增加了 CARD 的 α 螺旋含量，但动力学持续存在，形成了多个构象异构体，并且三级接触是短暂的。 NMR 结果表明 caspase-11 的蛋白酶结构域是分离的单体。由于蛋白水解与二聚化相关，因此蛋白酶结构域在这种状态下是无活性的，但在形成非典型炎性体时，会发生二聚化，从而启动复合物以快速处理底物。我们的种马</w:t>
      </w:r>
    </w:p>
    <w:p>
      <w:pPr>
        <w:spacing w:before="0" w:after="200" w:lineRule="auto" w:line="276"/>
      </w:pPr>
      <w:r>
        <w:rPr>
          <w:b/>
        </w:rPr>
        <w:t xml:space="preserve">Abstract (EN): </w:t>
      </w:r>
      <w:r>
        <w:t>Inflammasomes are high-molecular-weight complexes that play integral roles in the innate immune system, triggering an inflammatory cascade to protect against cellular stresses such as pathogenic bacteria. Both canonical and non-canonical inflammasomes have been described in the literature and detailed structural studies of many components of the more complex and larger canonical versions have been reported. In contrast, corresponding structures of the non-canonical inflammasome have not emerged even though it consists of only two components: lipopolysaccharide (LPS) from Gram-negative bacteria and one of caspase-4 or caspase-5 in humans or caspase-11 in mice. Here, we determine the stoichiometry of the non-canonical inflammasome showing that it is heterogeneous, comprised of three major complexes with different numbers of LPS and caspase molecules. NMR spectroscopy studies of the N-terminal caspase activation and recruitment domain (CARD) of caspase-11, which binds LPS, establish that it is largely unstructured in the absence of lipid, with pervasive dynamics on the µs-ms timescale. Formation of this complex increases the α-helical content of the CARD, but the dynamics persist, multiple conformers are formed, and tertiary contacts are transient. The NMR results presented establish that the protease domain of caspase-11 is monomeric in isolation. As proteolysis is linked with dimerization, the protease domains are inactive in this state, but upon formation of the non-canonical inflammasome, dimerization occurs, priming the complex for rapid processing of substrates. Our study highlights the utility of NMR for studies of heterogeneous systems that are recalcitrant to crystallographic or cryo-EM analyses.</w:t>
      </w:r>
    </w:p>
    <w:p>
      <w:pPr>
        <w:spacing w:before="120" w:after="120"/>
      </w:pPr>
      <w:r>
        <w:rPr>
          <w:sz w:val="18"/>
        </w:rPr>
        <w:t>——————————————————————————————————————————————————————————————————————</w:t>
      </w:r>
    </w:p>
    <w:p>
      <w:pPr>
        <w:spacing w:before="160" w:after="40" w:line="240" w:lineRule="auto"/>
      </w:pPr>
      <w:r>
        <w:rPr>
          <w:b/>
        </w:rPr>
        <w:t xml:space="preserve">[226] </w:t>
      </w:r>
      <w:hyperlink r:id="rId963">
        <w:r>
          <w:rPr>
            <w:color w:val="1155CC"/>
            <w:u w:val="single"/>
          </w:rPr>
          <w:t>用于神经形态电子器件的高度灵活的垂直电解质门控金属氧化物晶体管</w:t>
        </w:r>
      </w:hyperlink>
    </w:p>
    <w:p>
      <w:pPr>
        <w:spacing w:before="0" w:after="80"/>
      </w:pPr>
      <w:r>
        <w:rPr>
          <w:i/>
          <w:sz w:val="20"/>
        </w:rPr>
        <w:t>EN: Highly flexible vertical electrolyte-gated metal oxide transistors for neuromorphic electronics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64">
        <w:r>
          <w:rPr>
            <w:color w:val="1155CC"/>
            <w:u w:val="single"/>
          </w:rPr>
          <w:t>10.1073/pnas.2606103123</w:t>
        </w:r>
      </w:hyperlink>
    </w:p>
    <w:p>
      <w:pPr>
        <w:spacing w:before="0" w:after="120"/>
      </w:pPr>
      <w:r>
        <w:rPr>
          <w:b/>
        </w:rPr>
        <w:t xml:space="preserve">Notes: </w:t>
      </w:r>
      <w:r>
        <w:t>abstract_source=crossref</w:t>
      </w:r>
    </w:p>
    <w:p>
      <w:pPr>
        <w:spacing w:before="0" w:after="80" w:lineRule="auto" w:line="276"/>
      </w:pPr>
      <w:r>
        <w:rPr>
          <w:b/>
        </w:rPr>
        <w:t xml:space="preserve">摘要（ZH）: </w:t>
      </w:r>
      <w:r>
        <w:t>基于金属氧化物的电解质门控晶体管（EGT）对于低功耗生物传感器和神经形态系统很有吸引力，但其电气特性受到通道缩小和双电层（EDL）电容之间基本权衡的限制，导致有限的跨导和指标低于有机同类晶体管。在这里，我们报告了通过垂直器件架构和纳米级沟道长度实现的高性能和超柔性氧化铟镓锌（IGZO）EGT。我们系统地研究了器件几何形状（包括 IGZO 电极接触面积、IGZO 厚度和半导体电极界面）如何影响电性能和 EDL 电容，从而揭示垂直结构如何将沟道长度与 EDL 形成区域解耦。优化的垂直 EGT (vEGT) 的跨导高达 22.5 mS，开/关电流比约为 10</w:t>
      </w:r>
      <w:r>
        <w:rPr>
          <w:vertAlign w:val="subscript"/>
        </w:rPr>
        <w:t>5</w:t>
      </w:r>
      <w:r>
        <w:t>，低于 0.5 V 的超低工作电压，以及显着的超柔韧性，在弯曲半径为 0.3 mm 时仍能保持稳定的性能。此外，vEGT 被集成到工作电压低至 0.1 V 的逆变器、NOR 和 NAND 逻辑电路中。最后，我们演示了一种闭环神经形态系统，其中成对脉冲促进指数的缓慢衰减使得可穿戴显示器能够响应皮肤界面传感器而进行自适应和无线控制。</w:t>
      </w:r>
    </w:p>
    <w:p>
      <w:pPr>
        <w:spacing w:before="0" w:after="200" w:lineRule="auto" w:line="276"/>
      </w:pPr>
      <w:r>
        <w:rPr>
          <w:b/>
        </w:rPr>
        <w:t xml:space="preserve">Abstract (EN): </w:t>
      </w:r>
      <w:r>
        <w:t>Metal oxide-based electrolyte-gated transistors (EGTs) are attractive for low-power biosensors and neuromorphic systems, but their electrical characteristics has been constrained by a fundamental trade-off between channel downscaling and electrical double layer (EDL) capacitance, resulting in limited transconductance and metrics inferior to that of organic counterparts. Here, we report high-performance and ultraflexible indium gallium zinc oxide (IGZO) EGTs enabled by a vertical device architecture and a nanoscale channel length. We systematically examined how device geometries—including the IGZO-electrode contact area, IGZO thickness, and semiconductor-electrode interface—affect the electrical properties and EDL capacitance, thereby revealing how the vertical structure decouples the channel length from the EDL formation area. Optimized vertical EGTs (vEGTs) exhibit a transconductance of up to 22.5 mS, an on/off current ratio of ~10</w:t>
      </w:r>
      <w:r>
        <w:rPr>
          <w:vertAlign w:val="subscript"/>
        </w:rPr>
        <w:t>5</w:t>
      </w:r>
      <w:r>
        <w:t>, ultralow operating voltages below 0.5 V, and pronounced ultraflexibility, maintaining stable performance when bent to a radius of 0.3 mm. Furthermore, vEGTs were integrated into inverter, NOR, and NAND logic circuits operating at voltages as low as 0.1 V. Finally, we demonstrate a closed-loop neuromorphic system in which the slow attenuation of the paired-pulse facilitation index enables adaptive and wireless control of a wearable display in response to a skin-interfaced sensor.</w:t>
      </w:r>
    </w:p>
    <w:p>
      <w:pPr>
        <w:spacing w:before="120" w:after="120"/>
      </w:pPr>
      <w:r>
        <w:rPr>
          <w:sz w:val="18"/>
        </w:rPr>
        <w:t>——————————————————————————————————————————————————————————————————————</w:t>
      </w:r>
    </w:p>
    <w:p>
      <w:pPr>
        <w:spacing w:before="160" w:after="40" w:line="240" w:lineRule="auto"/>
      </w:pPr>
      <w:r>
        <w:rPr>
          <w:b/>
        </w:rPr>
        <w:t xml:space="preserve">[227] </w:t>
      </w:r>
      <w:hyperlink r:id="rId965">
        <w:r>
          <w:rPr>
            <w:color w:val="1155CC"/>
            <w:u w:val="single"/>
          </w:rPr>
          <w:t>一种真菌，两种行业：代谢广度将杀死昆虫的能力与植物共生结合起来</w:t>
        </w:r>
      </w:hyperlink>
    </w:p>
    <w:p>
      <w:pPr>
        <w:spacing w:before="0" w:after="80"/>
      </w:pPr>
      <w:r>
        <w:rPr>
          <w:i/>
          <w:sz w:val="20"/>
        </w:rPr>
        <w:t>EN: One fungus, two trades: Metabolic breadth couples the ability to kill insects to plant symbiosis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66">
        <w:r>
          <w:rPr>
            <w:color w:val="1155CC"/>
            <w:u w:val="single"/>
          </w:rPr>
          <w:t>10.1073/pnas.2621880123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[228] </w:t>
      </w:r>
      <w:hyperlink r:id="rId967">
        <w:r>
          <w:rPr>
            <w:color w:val="1155CC"/>
            <w:u w:val="single"/>
          </w:rPr>
          <w:t>退化适应度景观的进化不是随机的：曲率驱动方向漂移</w:t>
        </w:r>
      </w:hyperlink>
    </w:p>
    <w:p>
      <w:pPr>
        <w:spacing w:before="0" w:after="80"/>
      </w:pPr>
      <w:r>
        <w:rPr>
          <w:i/>
          <w:sz w:val="20"/>
        </w:rPr>
        <w:t>EN: Evolution on degenerate fitness landscapes is not random: Curvature drives directional drift</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68">
        <w:r>
          <w:rPr>
            <w:color w:val="1155CC"/>
            <w:u w:val="single"/>
          </w:rPr>
          <w:t>10.1073/pnas.2605142123</w:t>
        </w:r>
      </w:hyperlink>
    </w:p>
    <w:p>
      <w:pPr>
        <w:spacing w:before="0" w:after="120"/>
      </w:pPr>
      <w:r>
        <w:rPr>
          <w:b/>
        </w:rPr>
        <w:t xml:space="preserve">Notes: </w:t>
      </w:r>
      <w:r>
        <w:t>abstract_source=crossref</w:t>
      </w:r>
    </w:p>
    <w:p>
      <w:pPr>
        <w:spacing w:before="0" w:after="80" w:lineRule="auto" w:line="276"/>
      </w:pPr>
      <w:r>
        <w:rPr>
          <w:b/>
        </w:rPr>
        <w:t xml:space="preserve">摘要（ZH）: </w:t>
      </w:r>
      <w:r>
        <w:t>简并性（具有相同适应性的表型多样性）是生物系统的一个普遍特征。这种简并性通常与中性进化相关，假设简并适应度流形上的自适应动力学是随机的且缺乏方向。在这里我们表明情况并非普遍如此。在平滑简并适应度景观上使用进化动力学的最小模型，我们证明随机突变选择动力学会导致最佳适应度流形向曲率减小的区域方向漂移。这种漂移是由种群变异性和景观曲率之间的相互作用引起的：曲率塑造表型变异，即使适应度梯度消失，这反过来也会使进化探索产生偏差。因此，进化表现出隐式偏差，优先选择简并适应度流形的平坦且稳健的区域，而不对这些属性进行显式优化。有趣的是，在其他随机优化算法中也发现了类似的寻求平坦的隐式偏差。在这里，我们揭示了它们不同的潜在机制，尽管结果相似，展示了进化动力学的独特性质。我们的结果强调了简并性塑造长期进化结果的一般机制，影响我们对高维生物系统中表型变异性、鲁棒性和中性的解释。</w:t>
      </w:r>
    </w:p>
    <w:p>
      <w:pPr>
        <w:spacing w:before="0" w:after="200" w:lineRule="auto" w:line="276"/>
      </w:pPr>
      <w:r>
        <w:rPr>
          <w:b/>
        </w:rPr>
        <w:t xml:space="preserve">Abstract (EN): </w:t>
      </w:r>
      <w:r>
        <w:t>Degeneracy—the multiplicity of phenotypes with equal fitness—is a prevalent feature of biological systems. Such degeneracy is often associated with neutral evolution, under the assumption that adaptive dynamics on degenerate fitness manifolds is random and lacks direction. Here we show that this is not generally the case. Using a minimal model of evolutionary dynamics on smooth degenerate fitness landscapes, we demonstrate that stochastic mutation–selection dynamics induce a directional drift on manifolds of optimal fitness toward regions of reduced curvature. This drift arises from an interaction between population variability and landscape curvature: Curvature shapes phenotypic variation, which in turn biases evolutionary exploration even when fitness gradients vanish. As a result evolution exhibits an implicit bias, preferentially selecting flat and robust regions of the degenerate fitness manifolds, without explicit optimization for these properties. Interestingly, similar flatness-seeking implicit biases have been discovered in other stochastic optimization algorithms; here we reveal their different underlying mechanisms despite similar outcome, demonstrating the unique properties of evolutionary dynamics. Our results highlight a general mechanism by which degeneracy shapes long-term evolutionary outcomes, affecting our interpretation of phenotypic variability, robustness, and neutrality in high-dimensional biological systems.</w:t>
      </w:r>
    </w:p>
    <w:p>
      <w:pPr>
        <w:spacing w:before="120" w:after="120"/>
      </w:pPr>
      <w:r>
        <w:rPr>
          <w:sz w:val="18"/>
        </w:rPr>
        <w:t>——————————————————————————————————————————————————————————————————————</w:t>
      </w:r>
    </w:p>
    <w:p>
      <w:pPr>
        <w:spacing w:before="160" w:after="40" w:line="240" w:lineRule="auto"/>
      </w:pPr>
      <w:r>
        <w:rPr>
          <w:b/>
        </w:rPr>
        <w:t xml:space="preserve">[229] </w:t>
      </w:r>
      <w:hyperlink r:id="rId969">
        <w:r>
          <w:rPr>
            <w:color w:val="1155CC"/>
            <w:u w:val="single"/>
          </w:rPr>
          <w:t>在动态条件下优化传染病缓解</w:t>
        </w:r>
      </w:hyperlink>
    </w:p>
    <w:p>
      <w:pPr>
        <w:spacing w:before="0" w:after="80"/>
      </w:pPr>
      <w:r>
        <w:rPr>
          <w:i/>
          <w:sz w:val="20"/>
        </w:rPr>
        <w:t>EN: Optimizing infectious disease mitigation under dynamic conditions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70">
        <w:r>
          <w:rPr>
            <w:color w:val="1155CC"/>
            <w:u w:val="single"/>
          </w:rPr>
          <w:t>10.1073/pnas.2527395123</w:t>
        </w:r>
      </w:hyperlink>
    </w:p>
    <w:p>
      <w:pPr>
        <w:spacing w:before="0" w:after="120"/>
      </w:pPr>
      <w:r>
        <w:rPr>
          <w:b/>
        </w:rPr>
        <w:t xml:space="preserve">Notes: </w:t>
      </w:r>
      <w:r>
        <w:t>abstract_source=crossref</w:t>
      </w:r>
    </w:p>
    <w:p>
      <w:pPr>
        <w:spacing w:before="0" w:after="80" w:lineRule="auto" w:line="276"/>
      </w:pPr>
      <w:r>
        <w:rPr>
          <w:b/>
        </w:rPr>
        <w:t xml:space="preserve">摘要（ZH）: </w:t>
      </w:r>
      <w:r>
        <w:t>缓解措施对于在大流行和流行病期间控制传染病的传播至关重要，但它们会带来相当大的社会、个人和经济成本。我们开发了一个通用框架，将疾病动态模拟与最优控制相结合，以确定平衡感染和缓解成本的缓解策略。优化这种权衡，我们发现了三个令人惊讶的影响：首先，假设繁殖数恒定</w:t>
      </w:r>
      <w:r>
        <w:t xml:space="preserve"> </w:t>
      </w:r>
      <w:r>
        <w:t>右</w:t>
      </w:r>
      <w:r>
        <w:rPr>
          <w:vertAlign w:val="subscript"/>
        </w:rPr>
        <w:t>0</w:t>
      </w:r>
      <w:r>
        <w:t xml:space="preserve"> </w:t>
      </w:r>
      <w:r>
        <w:t>，最佳反应通常是“全有或全无”：根据疾病的严重程度，严格缓解或根本没有缓解都是最佳的，只有在我们分析描述的受限方案中才会出现中间水平。其次，在季节变化下，冬季的最佳缓解措施更为严格。有趣的是，春季仍然会出现一波感染，取代了以经典流感闻名的秋冬季浪潮。第三，在稳定的疫苗接种活动中，即使是最佳的缓解措施也可能导致短暂的感染浪潮。最后，我们量化了延迟缓解开始的成本，并表明，如果疾病严重，即使是短暂的延迟也会大幅增加总成本。总体而言，我们的框架很容易适用于一般和复杂的环境，从而提供了一个多功能工具来探索地方性和大流行性传染病的最佳缓解策略</w:t>
      </w:r>
    </w:p>
    <w:p>
      <w:pPr>
        <w:spacing w:before="0" w:after="200" w:lineRule="auto" w:line="276"/>
      </w:pPr>
      <w:r>
        <w:rPr>
          <w:b/>
        </w:rPr>
        <w:t xml:space="preserve">Abstract (EN): </w:t>
      </w:r>
      <w:r>
        <w:t>Mitigation measures are essential for controlling the spread of infectious diseases during pandemics and epidemics, but they impose considerable societal, individual, and economic costs. We developed a general framework that combines simulation of disease dynamics with optimal control to determine mitigation strategies that balance infection and mitigation costs. Optimizing this trade-off, we identified three surprising effects: first, assuming a constant reproduction number</w:t>
      </w:r>
      <w:r>
        <w:t xml:space="preserve"> </w:t>
      </w:r>
      <w:r>
        <w:t>R</w:t>
      </w:r>
      <w:r>
        <w:rPr>
          <w:vertAlign w:val="subscript"/>
        </w:rPr>
        <w:t>0</w:t>
      </w:r>
      <w:r>
        <w:t xml:space="preserve"> </w:t>
      </w:r>
      <w:r>
        <w:t>, the optimal response is typically “all-or-nothing”: depending on disease severity, either strict mitigation or none at all is optimal, with intermediate levels emerging only in restricted regimes that we characterize analytically. Second, under seasonal variations, optimal mitigation is stricter during winter. Interestingly, a single wave of infections still arises in spring, replacing the autumn/winter waves known for classical influenza. Third, during steady vaccination campaigns, even optimal mitigation can result in transient infection waves. Finally, we quantify the cost of delayed mitigation onset and show that even short delays can substantially increase total costs—if the disease is severe. Overall, our framework is easily applicable to general and complex settings and thereby presents a versatile tool to explore optimal mitigation strategies for endemic and pandemic infectious disease.</w:t>
      </w:r>
    </w:p>
    <w:p>
      <w:pPr>
        <w:spacing w:before="120" w:after="120"/>
      </w:pPr>
      <w:r>
        <w:rPr>
          <w:sz w:val="18"/>
        </w:rPr>
        <w:t>——————————————————————————————————————————————————————————————————————</w:t>
      </w:r>
    </w:p>
    <w:p>
      <w:pPr>
        <w:spacing w:before="160" w:after="40" w:line="240" w:lineRule="auto"/>
      </w:pPr>
      <w:r>
        <w:rPr>
          <w:b/>
        </w:rPr>
        <w:t xml:space="preserve">[230] </w:t>
      </w:r>
      <w:hyperlink r:id="rId971">
        <w:r>
          <w:rPr>
            <w:color w:val="1155CC"/>
            <w:u w:val="single"/>
          </w:rPr>
          <w:t>采用 MasSpec Pen 对口腔鳞状细胞癌进行无创检测</w:t>
        </w:r>
      </w:hyperlink>
    </w:p>
    <w:p>
      <w:pPr>
        <w:spacing w:before="0" w:after="80"/>
      </w:pPr>
      <w:r>
        <w:rPr>
          <w:i/>
          <w:sz w:val="20"/>
        </w:rPr>
        <w:t>EN: Adapting the MasSpec Pen for noninvasive detection of oral cavity squamous cell carcinoma</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72">
        <w:r>
          <w:rPr>
            <w:color w:val="1155CC"/>
            <w:u w:val="single"/>
          </w:rPr>
          <w:t>10.1073/pnas.2603602123</w:t>
        </w:r>
      </w:hyperlink>
    </w:p>
    <w:p>
      <w:pPr>
        <w:spacing w:before="0" w:after="120"/>
      </w:pPr>
      <w:r>
        <w:rPr>
          <w:b/>
        </w:rPr>
        <w:t xml:space="preserve">Notes: </w:t>
      </w:r>
      <w:r>
        <w:t>abstract_source=crossref</w:t>
      </w:r>
    </w:p>
    <w:p>
      <w:pPr>
        <w:spacing w:before="0" w:after="80" w:lineRule="auto" w:line="276"/>
      </w:pPr>
      <w:r>
        <w:rPr>
          <w:b/>
        </w:rPr>
        <w:t xml:space="preserve">摘要（ZH）: </w:t>
      </w:r>
      <w:r>
        <w:t>口腔鳞状细胞癌 (OCSCC) 是一种常见且致命的头颈癌，尤其影响低收入和中等收入社区。由于大多数 OCSCC 病变在口腔内可见，因此目视检查引导的活检仍然是标准检测方法。然而，目视检查可能是主观的，活检可能是痛苦的，并且病理评估可能是耗时的。为了开发一个可访问且非侵入性的 OCSCC 检测平台，我们将 MSPen 技术改造为模块化系统，用于对 OCSCC 进行体内直接分子分析。模块化 MSPen (Mod-MSPen) 系统由控制器单元和一次性手持设备组成，可直接接触组织，对分子进行温和的液体萃取，并将样品收集在小瓶中用于后续质谱分析。我们使用 Mod-MSPen 来分析 OCSCC 和跨越不同解剖区域的正常口腔组织：舌头、颊粘膜、牙龈和口底。获得的分子数据呈现出谷氨酸等代谢物丰度的明显趋势，与正常口腔组织相比，在 OCSCC 组织中始终观察到谷氨酸的相对丰度较高。这些趋势得到了质谱成像的证实，该成像揭示了 OCSCC 和邻近正常口腔粘膜组织中明显的空间分子差异。根据数据构建的统计分类器为疾病检测提供了高性能，与标准组织病理学的一致性超过 95%。为了评估临床适用性，我们</w:t>
      </w:r>
    </w:p>
    <w:p>
      <w:pPr>
        <w:spacing w:before="0" w:after="200" w:lineRule="auto" w:line="276"/>
      </w:pPr>
      <w:r>
        <w:rPr>
          <w:b/>
        </w:rPr>
        <w:t xml:space="preserve">Abstract (EN): </w:t>
      </w:r>
      <w:r>
        <w:t>Oral Cavity Squamous Cell Carcinoma (OCSCC) is a common and deadly form of head and neck cancer which disproportionately afflicts low- and middle-income communities. Since the majority of OCSCC lesions are visible within the oral cavity, visual exam-guided biopsy remains the standard method for detection. However, visual examination can be subjective, biopsy can be painful, and pathological evaluation can be time consuming. With the goal of developing an accessible and noninvasive platform for OCSCC detection, we adapted the MSPen technology as a modular system for direct molecular analysis of OCSCC in vivo. The modular MSPen (Mod-MSPen) system consists of a controller unit and a disposable handheld device that directly contacts tissues, performs gentle liquid extraction of molecules, and collects the sample in a vial for subsequent mass spectrometric analysis. We have used the Mod-MSPen to analyze OCSCC and normal oral tissues spanning various anatomical areas: tongue, buccal mucosa, gingiva, and floor of mouth. The molecular data obtained presented distinct trends in the abundances of metabolites such as glutamate, which was consistently observed in higher relative abundances in OCSCC tissues when compared to normal oral tissues. These trends were corroborated using mass spectrometry imaging, which revealed clear spatio-molecular differences in OCSCC and adjacent normal oral mucosa tissues. Statistical classifiers built from the data provided high performance for disease detection, with &amp;gt;95% agreement with standard histopathology. To evaluate clinical suitability, we also deployed the Mod-MSPen for in vivo analysis of OCSCC and normal oral tissues alongside clinical procedures.</w:t>
      </w:r>
    </w:p>
    <w:p>
      <w:pPr>
        <w:spacing w:before="120" w:after="120"/>
      </w:pPr>
      <w:r>
        <w:rPr>
          <w:sz w:val="18"/>
        </w:rPr>
        <w:t>——————————————————————————————————————————————————————————————————————</w:t>
      </w:r>
    </w:p>
    <w:p>
      <w:pPr>
        <w:spacing w:before="160" w:after="40" w:line="240" w:lineRule="auto"/>
      </w:pPr>
      <w:r>
        <w:rPr>
          <w:b/>
        </w:rPr>
        <w:t xml:space="preserve">[231] </w:t>
      </w:r>
      <w:hyperlink r:id="rId973">
        <w:r>
          <w:rPr>
            <w:color w:val="1155CC"/>
            <w:u w:val="single"/>
          </w:rPr>
          <w:t>对 Singh 等人的修正，受驱动原子约瑟夫森结中 3D 涡流的受控生成</w:t>
        </w:r>
      </w:hyperlink>
    </w:p>
    <w:p>
      <w:pPr>
        <w:spacing w:before="0" w:after="80"/>
      </w:pPr>
      <w:r>
        <w:rPr>
          <w:i/>
          <w:sz w:val="20"/>
        </w:rPr>
        <w:t>EN: Correction for Singh et al., Controlled generation of 3D vortices in driven atomic Josephson junctions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74">
        <w:r>
          <w:rPr>
            <w:color w:val="1155CC"/>
            <w:u w:val="single"/>
          </w:rPr>
          <w:t>10.1073/pnas.2625656123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975">
        <w:r>
          <w:rPr>
            <w:color w:val="1155CC"/>
            <w:u w:val="single"/>
          </w:rPr>
          <w:t>对比学习将序列和结构统一在蛋白质空间的全局表示中</w:t>
        </w:r>
      </w:hyperlink>
    </w:p>
    <w:p>
      <w:pPr>
        <w:spacing w:before="0" w:after="80"/>
      </w:pPr>
      <w:r>
        <w:rPr>
          <w:i/>
          <w:sz w:val="20"/>
        </w:rPr>
        <w:t>EN: Contrastive learning unites sequence and structure in a global representation of protein space</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76">
        <w:r>
          <w:rPr>
            <w:color w:val="1155CC"/>
            <w:u w:val="single"/>
          </w:rPr>
          <w:t>10.1073/pnas.2532702123</w:t>
        </w:r>
      </w:hyperlink>
    </w:p>
    <w:p>
      <w:pPr>
        <w:spacing w:before="0" w:after="120"/>
      </w:pPr>
      <w:r>
        <w:rPr>
          <w:b/>
        </w:rPr>
        <w:t xml:space="preserve">Notes: </w:t>
      </w:r>
      <w:r>
        <w:t>abstract_source=crossref</w:t>
      </w:r>
    </w:p>
    <w:p>
      <w:pPr>
        <w:spacing w:before="0" w:after="80" w:lineRule="auto" w:line="276"/>
      </w:pPr>
      <w:r>
        <w:rPr>
          <w:b/>
        </w:rPr>
        <w:t xml:space="preserve">摘要（ZH）: </w:t>
      </w:r>
      <w:r>
        <w:t>建立所有已知蛋白质之间关系的连贯图谱对于阐明蛋白质出现和进化的过程至关重要。然而，由于序列和结构之间的非直接相互作用，完全捕获蛋白质相似性关系的能力变得复杂。事实上，具有不相关序列的蛋白质可以采用相似的结构，相反，具有相似或相同序列的蛋白质可以表现出完全不同的结构。在这里，我们引入对比学习序列结构（CLSS），这是一种对比蛋白质语言模型（PLM），经过训练以自我监督的方式共嵌入序列和结构信息，促进蛋白质相关性的整体表示。 CLSS 将完整域和域子序列的结构和序列表示为同一高维潜在空间中的向量。我们表明，这种方法产生了有意义的共享表示，它概括了人类策划的分层蛋白质分类系统（ECOD 和 CATH）中编码的广泛的基于结构和序列的知识。此外，在下游分类任务中，CLSS 生成的表示优于其他最先进的 PLM 生成的表示。值得注意的是，我们表明，即使是更大的域子序列空间也可以成功地共同嵌入，从而建立适合这些具有进化意义的对象的 PLM。正如我们通过分析优先关联赌注所证明的那样，CLSS 嵌入无需进一步的下游处理即可产生蛋白质宇宙的信息表示</w:t>
      </w:r>
    </w:p>
    <w:p>
      <w:pPr>
        <w:spacing w:before="0" w:after="200" w:lineRule="auto" w:line="276"/>
      </w:pPr>
      <w:r>
        <w:rPr>
          <w:b/>
        </w:rPr>
        <w:t xml:space="preserve">Abstract (EN): </w:t>
      </w:r>
      <w:r>
        <w:t>Establishing a coherent mapping of the relationships among all known proteins is crucial for elucidating processes of protein emergence and evolution. Yet the capacity to fully capture relationships of protein similarity is complicated by the nonstraightforward interplay between sequence and structure; indeed, proteins with unrelated sequences can adopt similar structures, and, conversely, proteins with similar or identical sequences can manifest radically different structures. Here, we introduce Contrastive Learning Sequence–Structure (CLSS), a contrastive protein language model (PLM) trained to coembed sequence and structure information in a self-supervised manner, facilitating a holistic representation of protein relatedness. CLSS represents the structures and sequences of full domains and domain subsequences as vectors in the same high-dimensional latent space. We show that this approach yields meaningful shared representations, which recapitulate the extensive structure- and sequence-based knowledge encoded in human-curated hierarchical protein classification systems (ECOD and CATH). Moreover, the representations generated by CLSS outperform those generated by alternative state-of-the-art PLMs in downstream classification tasks. Notably, we show that even the far larger space of domain subsequences is successfully coembedded, establishing a PLM tailored to these evolutionarily meaningful objects. CLSS embeddings produce informative representations of the protein universe without further downstream processing, as we demonstrate by analyzing preferential associations between protein architectures and ligand types across protein space.</w:t>
      </w:r>
    </w:p>
    <w:p>
      <w:pPr>
        <w:spacing w:before="120" w:after="120"/>
      </w:pPr>
      <w:r>
        <w:rPr>
          <w:sz w:val="18"/>
        </w:rPr>
        <w:t>——————————————————————————————————————————————————————————————————————</w:t>
      </w:r>
    </w:p>
    <w:p>
      <w:pPr>
        <w:spacing w:before="160" w:after="40" w:line="240" w:lineRule="auto"/>
      </w:pPr>
      <w:r>
        <w:rPr>
          <w:b/>
        </w:rPr>
        <w:t xml:space="preserve">[233] </w:t>
      </w:r>
      <w:hyperlink r:id="rId977">
        <w:r>
          <w:rPr>
            <w:color w:val="1155CC"/>
            <w:u w:val="single"/>
          </w:rPr>
          <w:t>深度学习绘制了与人类成年认知相关的局部大脑衰老图</w:t>
        </w:r>
      </w:hyperlink>
    </w:p>
    <w:p>
      <w:pPr>
        <w:spacing w:before="0" w:after="80"/>
      </w:pPr>
      <w:r>
        <w:rPr>
          <w:i/>
          <w:sz w:val="20"/>
        </w:rPr>
        <w:t>EN: Deep learning maps local brain aging in relation to cognition across human adulthood</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78">
        <w:r>
          <w:rPr>
            <w:color w:val="1155CC"/>
            <w:u w:val="single"/>
          </w:rPr>
          <w:t>10.1073/pnas.2532233123</w:t>
        </w:r>
      </w:hyperlink>
    </w:p>
    <w:p>
      <w:pPr>
        <w:spacing w:before="0" w:after="120"/>
      </w:pPr>
      <w:r>
        <w:rPr>
          <w:b/>
        </w:rPr>
        <w:t xml:space="preserve">Notes: </w:t>
      </w:r>
      <w:r>
        <w:t>abstract_source=crossref</w:t>
      </w:r>
    </w:p>
    <w:p>
      <w:pPr>
        <w:spacing w:before="0" w:after="80" w:lineRule="auto" w:line="276"/>
      </w:pPr>
      <w:r>
        <w:rPr>
          <w:b/>
        </w:rPr>
        <w:t xml:space="preserve">摘要（ZH）: </w:t>
      </w:r>
      <w:r>
        <w:t>大脑衰老是阿尔茨海默病 (AD) 的最强危险因素，不同皮质区域的衰老程度不同。全球脑年龄（GBA）是一种神经解剖学衰退的成像测量方法，可将结构老化降低到单一汇总值。这可能会掩盖 AD 之前认知脆弱性的区域模式。本研究介绍了一种经过训练的深度学习架构</w:t>
      </w:r>
      <w:r>
        <w:t xml:space="preserve"> </w:t>
      </w:r>
      <w:r>
        <w:t>时间</w:t>
      </w:r>
      <w:r>
        <w:rPr>
          <w:vertAlign w:val="subscript"/>
        </w:rPr>
        <w:t>1</w:t>
      </w:r>
      <w:r>
        <w:t xml:space="preserve"> </w:t>
      </w:r>
      <w:r>
        <w:t>来自多个地点的 14,748 名认知正常 (CN) 参与者的加权 MRI，以估计体素水平的局部大脑年龄 (LBA)。通过绘制大脑衰老的空间变化图，该模型揭示了与顶叶和枕叶区域相比，额叶和颞叶的衰老相对较早。超越中国老年人的老龄化（</w:t>
      </w:r>
      <w:r>
        <w:t xml:space="preserve"> </w:t>
      </w:r>
      <w:r>
        <w:t>氮</w:t>
      </w:r>
      <w:r>
        <w:t xml:space="preserve"> </w:t>
      </w:r>
      <w:r>
        <w:t>=</w:t>
      </w:r>
      <w:r>
        <w:rPr>
          <w:vertAlign w:val="subscript"/>
        </w:rPr>
        <w:t>1</w:t>
      </w:r>
      <w:r>
        <w:t>,</w:t>
      </w:r>
      <w:r>
        <w:rPr>
          <w:vertAlign w:val="subscript"/>
        </w:rPr>
        <w:t>102</w:t>
      </w:r>
      <w:r>
        <w:t xml:space="preserve"> </w:t>
      </w:r>
      <w:r>
        <w:t>），研究结果揭示了额颞叶逐渐衰老的模式作为神经退行性阶段的函数，范围从轻度认知障碍（MCI，</w:t>
      </w:r>
      <w:r>
        <w:t xml:space="preserve"> </w:t>
      </w:r>
      <w:r>
        <w:t>氮</w:t>
      </w:r>
      <w:r>
        <w:t xml:space="preserve"> </w:t>
      </w:r>
      <w:r>
        <w:t>=</w:t>
      </w:r>
      <w:r>
        <w:t xml:space="preserve"> </w:t>
      </w:r>
      <w:r>
        <w:t>第354章</w:t>
      </w:r>
    </w:p>
    <w:p>
      <w:pPr>
        <w:spacing w:before="0" w:after="200" w:lineRule="auto" w:line="276"/>
      </w:pPr>
      <w:r>
        <w:rPr>
          <w:b/>
        </w:rPr>
        <w:t xml:space="preserve">Abstract (EN): </w:t>
      </w:r>
      <w:r>
        <w:t>Brain aging, the strongest risk factor for Alzheimer’s disease (AD), varies across cortical regions. Global brain age (GBA), an imaging-derived measure of neuroanatomic decline, reduces structural aging to a single summary value. This can potentially obscure regional patterns of cognitive vulnerability preceding AD. This study introduces a deep-learning architecture trained on the</w:t>
      </w:r>
      <w:r>
        <w:t xml:space="preserve"> </w:t>
      </w:r>
      <w:r>
        <w:t>T</w:t>
      </w:r>
      <w:r>
        <w:rPr>
          <w:vertAlign w:val="subscript"/>
        </w:rPr>
        <w:t>1</w:t>
      </w:r>
      <w:r>
        <w:t xml:space="preserve"> </w:t>
      </w:r>
      <w:r>
        <w:t>-weighted MRIs of 14,748 cognitively normal (CN) participants from multiple sites to estimate local brain age (LBA) at voxel level. By mapping spatial variations in brain aging, the model reveals relatively advanced aging in frontal and temporal lobes compared to parietal and occipital regions. Beyond aging in CN aging adults (</w:t>
      </w:r>
      <w:r>
        <w:t xml:space="preserve"> </w:t>
      </w:r>
      <w:r>
        <w:t>N</w:t>
      </w:r>
      <w:r>
        <w:t xml:space="preserve"> </w:t>
      </w:r>
      <w:r>
        <w:t>=</w:t>
      </w:r>
      <w:r>
        <w:rPr>
          <w:vertAlign w:val="subscript"/>
        </w:rPr>
        <w:t>1</w:t>
      </w:r>
      <w:r>
        <w:t>,</w:t>
      </w:r>
      <w:r>
        <w:rPr>
          <w:vertAlign w:val="subscript"/>
        </w:rPr>
        <w:t>102</w:t>
      </w:r>
      <w:r>
        <w:t xml:space="preserve"> </w:t>
      </w:r>
      <w:r>
        <w:t>), findings reveal a pattern of progressively advanced frontotemporal aging as a function of neurodegeneration stage, ranging from mild cognitive impairment (MCI,</w:t>
      </w:r>
      <w:r>
        <w:t xml:space="preserve"> </w:t>
      </w:r>
      <w:r>
        <w:t>N</w:t>
      </w:r>
      <w:r>
        <w:t xml:space="preserve"> </w:t>
      </w:r>
      <w:r>
        <w:t>=</w:t>
      </w:r>
      <w:r>
        <w:rPr>
          <w:vertAlign w:val="subscript"/>
        </w:rPr>
        <w:t>354</w:t>
      </w:r>
      <w:r>
        <w:t xml:space="preserve"> </w:t>
      </w:r>
      <w:r>
        <w:t>) to AD (</w:t>
      </w:r>
      <w:r>
        <w:t xml:space="preserve"> </w:t>
      </w:r>
      <w:r>
        <w:t>N</w:t>
      </w:r>
      <w:r>
        <w:t xml:space="preserve"> </w:t>
      </w:r>
      <w:r>
        <w:t>=</w:t>
      </w:r>
      <w:r>
        <w:rPr>
          <w:vertAlign w:val="subscript"/>
        </w:rPr>
        <w:t>529</w:t>
      </w:r>
      <w:r>
        <w:t xml:space="preserve"> </w:t>
      </w:r>
      <w:r>
        <w:t>). Compared to CN adults, key cortical and subcortical structures known to manifest early AD pathology exhibit significantly older LBAs in both early MCI and AD (</w:t>
      </w:r>
      <w:r>
        <w:t xml:space="preserve"> </w:t>
      </w:r>
      <w:r>
        <w:t>P</w:t>
      </w:r>
      <w:r>
        <w:t xml:space="preserve"> </w:t>
      </w:r>
      <w:r>
        <w:t>&amp;lt;</w:t>
      </w:r>
      <w:r>
        <w:t xml:space="preserve"> </w:t>
      </w:r>
      <w:r>
        <w:t>0.05</w:t>
      </w:r>
      <w:r>
        <w:t xml:space="preserve"> </w:t>
      </w:r>
      <w:r>
        <w:t>). Deviations from normative regional aging are significantly associated with cognitive performance supported by neural processes linked to those regions (</w:t>
      </w:r>
      <w:r>
        <w:t xml:space="preserve"> </w:t>
      </w:r>
      <w:r>
        <w:t>P</w:t>
      </w:r>
      <w:r>
        <w:t xml:space="preserve"> </w:t>
      </w:r>
      <w:r>
        <w:t>&amp;lt;</w:t>
      </w:r>
      <w:r>
        <w:t xml:space="preserve"> </w:t>
      </w:r>
      <w:r>
        <w:t>0.05</w:t>
      </w:r>
      <w:r>
        <w:t xml:space="preserve"> </w:t>
      </w:r>
      <w:r>
        <w:t>), thereby relating anatomic aging to functional outcomes. By quantifying regional variations in brain aging, this framework extends GBA models to provide anatomically interpretable measures that can improve characterization of typical and pathological aging.</w:t>
      </w:r>
    </w:p>
    <w:p>
      <w:pPr>
        <w:spacing w:before="120" w:after="120"/>
      </w:pPr>
      <w:r>
        <w:rPr>
          <w:sz w:val="18"/>
        </w:rPr>
        <w:t>——————————————————————————————————————————————————————————————————————</w:t>
      </w:r>
    </w:p>
    <w:p>
      <w:pPr>
        <w:spacing w:before="160" w:after="40" w:line="240" w:lineRule="auto"/>
      </w:pPr>
      <w:r>
        <w:rPr>
          <w:b/>
        </w:rPr>
        <w:t xml:space="preserve">[234] </w:t>
      </w:r>
      <w:hyperlink r:id="rId979">
        <w:r>
          <w:rPr>
            <w:color w:val="1155CC"/>
            <w:u w:val="single"/>
          </w:rPr>
          <w:t>自小冰期以来，工程和土地利用加剧了气候驱动的长江洪水灾害</w:t>
        </w:r>
      </w:hyperlink>
    </w:p>
    <w:p>
      <w:pPr>
        <w:spacing w:before="0" w:after="80"/>
      </w:pPr>
      <w:r>
        <w:rPr>
          <w:i/>
          <w:sz w:val="20"/>
        </w:rPr>
        <w:t>EN: Engineering and land use intensified climate-driven Yangtze River flood hazards since the Little Ice Age</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80">
        <w:r>
          <w:rPr>
            <w:color w:val="1155CC"/>
            <w:u w:val="single"/>
          </w:rPr>
          <w:t>10.1073/pnas.2529389123</w:t>
        </w:r>
      </w:hyperlink>
    </w:p>
    <w:p>
      <w:pPr>
        <w:spacing w:before="0" w:after="120"/>
      </w:pPr>
      <w:r>
        <w:rPr>
          <w:b/>
        </w:rPr>
        <w:t xml:space="preserve">Notes: </w:t>
      </w:r>
      <w:r>
        <w:t>abstract_source=crossref</w:t>
      </w:r>
    </w:p>
    <w:p>
      <w:pPr>
        <w:spacing w:before="0" w:after="80" w:lineRule="auto" w:line="276"/>
      </w:pPr>
      <w:r>
        <w:rPr>
          <w:b/>
        </w:rPr>
        <w:t xml:space="preserve">摘要（ZH）: </w:t>
      </w:r>
      <w:r>
        <w:t>了解气候变化与人类活动之间的相互作用对于评估长期河流洪水危害至关重要。然而，由于多世纪记录有限以及物理机制与土地利用历史的整合不足，自然和人为驱动因素对洪水强度的相对贡献仍然受到很大限制。在这里，我们利用湖泊沉积物档案、历史文献和高分辨率气候再分析数据重建了长江洪水变化的 500 年历史。我们的研究结果表明，洪水频率在小冰期（公元1500−1850年）期间达到顶峰，其驱动因素包括西太平洋副热带高压（WPSH）减弱、热带辐合带（ITCZ）南移以及进入盆地的西南季风湿气通量增强。这些条件与类厄尔尼诺现象的热带海面温度（SST）异常和温带罗斯贝波活动有关，凸显了热带-温带耦合在形成易发生洪水的环流状况中的作用。尽管自公元 1850 年以来大气温度有所上升，但洪水频率却下降了，这与副高增强、热带温带北移以及类拉尼娜或中性海表温度模式占主导地位相一致。非平稳洪水频率模型显示，堤坝和湖泊围垦将气候驱动的 100 年洪水强度分别放大了约 18% 和 8%。这些发现表明，人类干预加剧了而不是减轻了气候强迫的水文后果。一致的w</w:t>
      </w:r>
    </w:p>
    <w:p>
      <w:pPr>
        <w:spacing w:before="0" w:after="200" w:lineRule="auto" w:line="276"/>
      </w:pPr>
      <w:r>
        <w:rPr>
          <w:b/>
        </w:rPr>
        <w:t xml:space="preserve">Abstract (EN): </w:t>
      </w:r>
      <w:r>
        <w:t>Understanding the interplay between climate variability and human activities is essential for assessing long-term river flood hazards. Yet, the relative contributions of natural and anthropogenic drivers to flood magnitude remain poorly constrained due to limited multicentury records and insufficient integration of physical mechanisms with land-use histories. Here, we present the reconstruction of a 500-y history of Yangtze River flood variability using lake sediment archives, historical documents, and high-resolution climate reanalysis data. Our results reveal that flood frequency peaked during the Little Ice Age (~1500−1850 CE), driven by a weakened Western Pacific Subtropical High (WPSH), a southward-shifted Intertropical Convergence Zone (ITCZ), and enhanced southwesterly monsoonal moisture flux into the basin. These conditions were associated with El Niño-like tropical sea surface temperature (SST) anomalies and extratropical Rossby wave activity, highlighting the role of tropical-extratropical coupling in shaping flood-prone circulation regimes. Despite increased atmospheric temperature since 1850 CE, flood frequency declined, coinciding with a strengthened WPSH, a northward-shifted ITCZ, and the dominance of La Niña-like or neutral SST patterns. A nonstationary flood frequency model reveals that embankments and lake reclamation amplified the climate-driven 100-y flood magnitude by around 18% and 8%, respectively. These findings demonstrate that human interventions have intensified, rather than mitigated, the hydrological consequences of climatic forcing. Consistent with the recognition that flood risk is inherently nonstationary, our results provide empirical, multicentennial constraints on how atmospheric dynamics and landscape modification interact to shape flood hazards, highlighting the need for process-informed flood risk assessment in large river basins.</w:t>
      </w:r>
    </w:p>
    <w:p>
      <w:pPr>
        <w:spacing w:before="120" w:after="120"/>
      </w:pPr>
      <w:r>
        <w:rPr>
          <w:sz w:val="18"/>
        </w:rPr>
        <w:t>——————————————————————————————————————————————————————————————————————</w:t>
      </w:r>
    </w:p>
    <w:p>
      <w:pPr>
        <w:spacing w:before="160" w:after="40" w:line="240" w:lineRule="auto"/>
      </w:pPr>
      <w:r>
        <w:rPr>
          <w:b/>
        </w:rPr>
        <w:t xml:space="preserve">[235] </w:t>
      </w:r>
      <w:hyperlink r:id="rId981">
        <w:r>
          <w:rPr>
            <w:color w:val="1155CC"/>
            <w:u w:val="single"/>
          </w:rPr>
          <w:t>TCR 模拟双特异性抗体可减少 HLA 匹配的人源化小鼠中的 HIV-1 原病毒并延迟病毒反弹</w:t>
        </w:r>
      </w:hyperlink>
    </w:p>
    <w:p>
      <w:pPr>
        <w:spacing w:before="0" w:after="80"/>
      </w:pPr>
      <w:r>
        <w:rPr>
          <w:i/>
          <w:sz w:val="20"/>
        </w:rPr>
        <w:t>EN: A TCR-mimic bispecific antibody reduces HIV-1 provirus and delays viral rebound in HLA-matched humanized mice</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82">
        <w:r>
          <w:rPr>
            <w:color w:val="1155CC"/>
            <w:u w:val="single"/>
          </w:rPr>
          <w:t>10.1073/pnas.2527880123</w:t>
        </w:r>
      </w:hyperlink>
    </w:p>
    <w:p>
      <w:pPr>
        <w:spacing w:before="0" w:after="120"/>
      </w:pPr>
      <w:r>
        <w:rPr>
          <w:b/>
        </w:rPr>
        <w:t xml:space="preserve">Notes: </w:t>
      </w:r>
      <w:r>
        <w:t>abstract_source=crossref</w:t>
      </w:r>
    </w:p>
    <w:p>
      <w:pPr>
        <w:spacing w:before="0" w:after="80" w:lineRule="auto" w:line="276"/>
      </w:pPr>
      <w:r>
        <w:rPr>
          <w:b/>
        </w:rPr>
        <w:t xml:space="preserve">摘要（ZH）: </w:t>
      </w:r>
      <w:r>
        <w:t>将细胞毒性效应器重新引导至受感染细胞的双特异性抗体是有前途的 HIV-1 治疗剂，但现有的形式与 Env 结合，并受到抗原变异和 Env 下调的限制。我们设计了一种 TCR 模拟单链双抗体 HI12，它可以识别 HLA-A*02:01 呈递的保守的 Pol 衍生肽，并评估其在 HLA 匹配、感染 HIV 的人源化小鼠中的效果。在早期抗逆转录病毒治疗 (ART) 期间施用时，HI12 耐受性良好，可激活 CD8</w:t>
      </w:r>
      <w:r>
        <w:t xml:space="preserve"> </w:t>
      </w:r>
      <w:r>
        <w:t>+</w:t>
      </w:r>
      <w:r>
        <w:t xml:space="preserve"> </w:t>
      </w:r>
      <w:r>
        <w:t>T 细胞，并加速血浆病毒的衰变。治疗后，淋巴结和脾脏 CD4 内的完整前病毒 DNA 和总病毒 DNA 减少了三到八倍</w:t>
      </w:r>
      <w:r>
        <w:t xml:space="preserve"> </w:t>
      </w:r>
      <w:r>
        <w:t>+</w:t>
      </w:r>
      <w:r>
        <w:t xml:space="preserve"> </w:t>
      </w:r>
      <w:r>
        <w:t>T 细胞，表明储库已被实质性清除。 ART 中断后，与对照组相比，接受 HI12 治疗的动物表现出病毒反弹的显着延迟，这将病毒储存库的减少与治疗后控制的改善联系起来。这些发现提供了体内证据，表明肽-HLA导向的双特异性抗体既可以缩小完整的HIV储存库，又可以推迟病毒复发，支持进一步开发TCR模拟双特异性抗体用于治疗策略。</w:t>
      </w:r>
    </w:p>
    <w:p>
      <w:pPr>
        <w:spacing w:before="0" w:after="200" w:lineRule="auto" w:line="276"/>
      </w:pPr>
      <w:r>
        <w:rPr>
          <w:b/>
        </w:rPr>
        <w:t xml:space="preserve">Abstract (EN): </w:t>
      </w:r>
      <w:r>
        <w:t>Bispecific antibodies that reroute cytotoxic effectors toward infected cells are promising HIV-1 cure agents, yet existing formats bind Env and are limited by antigenic variation and Env down-regulation. We engineered a TCR-mimic single-chain diabody, HI12, that recognizes a conserved Pol-derived peptide presented by HLA-A*02:01 and evaluated its effect in HLA-matched, HIV-infected humanized mice. When administered during early antiretroviral therapy (ART), HI12 was well tolerated, activated CD8</w:t>
      </w:r>
      <w:r>
        <w:t xml:space="preserve"> </w:t>
      </w:r>
      <w:r>
        <w:t>+</w:t>
      </w:r>
      <w:r>
        <w:t xml:space="preserve"> </w:t>
      </w:r>
      <w:r>
        <w:t>T cells, and accelerated plasma virus decay. Treatment produced three- to eightfold reductions in intact and total proviral DNA within lymph-node and splenic CD4</w:t>
      </w:r>
      <w:r>
        <w:t xml:space="preserve"> </w:t>
      </w:r>
      <w:r>
        <w:t>+</w:t>
      </w:r>
      <w:r>
        <w:t xml:space="preserve"> </w:t>
      </w:r>
      <w:r>
        <w:t>T cells, indicating substantive reservoir clearance. After ART interruption, HI12-treated animals showed a significant delay in viral rebound compared with controls, linking reservoir reduction to improved posttherapy control. These findings provide in vivo evidence that a peptide-HLA-directed bispecific antibody can both shrink the intact HIV reservoir and defer viral recrudescence, supporting further development of TCR-mimic bispecific antibodies for cure strategies.</w:t>
      </w:r>
    </w:p>
    <w:p>
      <w:pPr>
        <w:spacing w:before="120" w:after="120"/>
      </w:pPr>
      <w:r>
        <w:rPr>
          <w:sz w:val="18"/>
        </w:rPr>
        <w:t>——————————————————————————————————————————————————————————————————————</w:t>
      </w:r>
    </w:p>
    <w:p>
      <w:pPr>
        <w:spacing w:before="160" w:after="40" w:line="240" w:lineRule="auto"/>
      </w:pPr>
      <w:r>
        <w:rPr>
          <w:b/>
        </w:rPr>
        <w:t xml:space="preserve">[236] </w:t>
      </w:r>
      <w:hyperlink r:id="rId983">
        <w:r>
          <w:rPr>
            <w:color w:val="1155CC"/>
            <w:u w:val="single"/>
          </w:rPr>
          <w:t>更正 You 等人通过蛋白激酶 SGK1 响应 DNA 损伤时 p53 依赖性抑制 FKHRL1</w:t>
        </w:r>
      </w:hyperlink>
    </w:p>
    <w:p>
      <w:pPr>
        <w:spacing w:before="0" w:after="80"/>
      </w:pPr>
      <w:r>
        <w:rPr>
          <w:i/>
          <w:sz w:val="20"/>
        </w:rPr>
        <w:t>EN: Correction for You et al., p53-dependent inhibition of FKHRL1 in response to DNA damage through protein kinase SGK1</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84">
        <w:r>
          <w:rPr>
            <w:color w:val="1155CC"/>
            <w:u w:val="single"/>
          </w:rPr>
          <w:t>10.1073/pnas.2625466123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985">
        <w:r>
          <w:rPr>
            <w:color w:val="1155CC"/>
            <w:u w:val="single"/>
          </w:rPr>
          <w:t>SIX1 是成人耳蜗感觉上皮稳态和听觉功能所必需的</w:t>
        </w:r>
      </w:hyperlink>
    </w:p>
    <w:p>
      <w:pPr>
        <w:spacing w:before="0" w:after="80"/>
      </w:pPr>
      <w:r>
        <w:rPr>
          <w:i/>
          <w:sz w:val="20"/>
        </w:rPr>
        <w:t>EN: SIX1 is required for adult cochlear sensory epithelium homeostasis and auditory function</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86">
        <w:r>
          <w:rPr>
            <w:color w:val="1155CC"/>
            <w:u w:val="single"/>
          </w:rPr>
          <w:t>10.1073/pnas.2520879123</w:t>
        </w:r>
      </w:hyperlink>
    </w:p>
    <w:p>
      <w:pPr>
        <w:spacing w:before="0" w:after="120"/>
      </w:pPr>
      <w:r>
        <w:rPr>
          <w:b/>
        </w:rPr>
        <w:t xml:space="preserve">Notes: </w:t>
      </w:r>
      <w:r>
        <w:t>abstract_source=crossref</w:t>
      </w:r>
    </w:p>
    <w:p>
      <w:pPr>
        <w:spacing w:before="0" w:after="80" w:lineRule="auto" w:line="276"/>
      </w:pPr>
      <w:r>
        <w:rPr>
          <w:b/>
        </w:rPr>
        <w:t xml:space="preserve">摘要（ZH）: </w:t>
      </w:r>
      <w:r>
        <w:t>哺乳动物听觉感觉上皮由毛细胞 (HC) 和支持细胞 (SC) 组成，毛细胞的静纤毛束将声音诱发的振动转化为电信号，而支持细胞则提供机械稳定性。转录因子 SIX1 在耳神经感觉细胞规范和 HC 承诺过程中至关重要，但其在出生后的贡献仍然难以捉摸。在这里，我们证明 SIX1 是维持成人耳蜗感觉上皮的结构和功能所必需的。有条件删除</w:t>
      </w:r>
      <w:r>
        <w:t xml:space="preserve"> </w:t>
      </w:r>
      <w:r>
        <w:t>六1</w:t>
      </w:r>
      <w:r>
        <w:t xml:space="preserve"> </w:t>
      </w:r>
      <w:r>
        <w:t>在年轻成年小鼠的 SC 或 HC 中会导致严重的耳聋。 SC 特异性缺失破坏上皮组织并促进 SC 损失并继发 HC 变性，而 HC 特异性损失导致静纤毛束缺陷和进行性 HC 死亡。为了定义早期分子缺陷，我们在广泛退化之前进行了单核 RNA 测序，发现成熟 HC 身份和功能基因程序的早期崩溃，包括机械转导、立体纤毛束和突触网络。 SIX1 ChIP-seq 分析成熟耳蜗映射的 SIX1 占据参与上皮连接、肌动蛋白/细胞骨架调节、离子转运、机械转导和细胞存活的基因附近的调节元件，并与</w:t>
      </w:r>
      <w:r>
        <w:t xml:space="preserve"> </w:t>
      </w:r>
      <w:r>
        <w:t>六1</w:t>
      </w:r>
      <w:r>
        <w:t xml:space="preserve"> </w:t>
      </w:r>
      <w:r>
        <w:t>依赖性转录本和耳聋基因座。总之，这些结果确定 SIX1 是成人耳蜗稳态的关键转录调节因子，并揭示了保护感觉上皮内质的下游基因网络。</w:t>
      </w:r>
    </w:p>
    <w:p>
      <w:pPr>
        <w:spacing w:before="0" w:after="200" w:lineRule="auto" w:line="276"/>
      </w:pPr>
      <w:r>
        <w:rPr>
          <w:b/>
        </w:rPr>
        <w:t xml:space="preserve">Abstract (EN): </w:t>
      </w:r>
      <w:r>
        <w:t>The mammalian auditory sensory epithelium consists of hair cells (HCs), whose stereociliary bundles convert sound-evoked vibrations into electrical signals, and supporting cells (SCs), which provide mechanical stability. The transcription factor SIX1 is essential during otic neurosensory cell specification and HC commitment, but its contribution after birth has remained elusive. Here, we show that SIX1 is required for maintaining the structure and function of the adult cochlear sensory epithelium. Conditional deletion of</w:t>
      </w:r>
      <w:r>
        <w:t xml:space="preserve"> </w:t>
      </w:r>
      <w:r>
        <w:t>Six1</w:t>
      </w:r>
      <w:r>
        <w:t xml:space="preserve"> </w:t>
      </w:r>
      <w:r>
        <w:t>in SCs or HCs of young adult mice causes profound deafness. SC-specific deletion disrupts epithelial organization and promotes SC loss with secondary HC degeneration, whereas HC-specific loss results in stereociliary-bundle defects and progressive HC death. To define early molecular defects, we performed single-nucleus RNA-seq before widespread degeneration and found early collapse of mature HC identity and functional gene programs, including mechanotransduction, stereociliary-bundle, and synaptic networks. SIX1 ChIP-seq analysis in the mature cochleamapped SIX1 occupancy at regulatory elements near genes involved in epithelial junctions, actin/cytoskeletal regulation, ion transport, mechanotransduction, and cell survival, and overlapped with a subset of</w:t>
      </w:r>
      <w:r>
        <w:t xml:space="preserve"> </w:t>
      </w:r>
      <w:r>
        <w:t>Six1</w:t>
      </w:r>
      <w:r>
        <w:t xml:space="preserve"> </w:t>
      </w:r>
      <w:r>
        <w:t>-dependent transcripts and deafness loci. Together, these results identify SIX1 as a key transcriptional regulator of adult cochlear homeostasis and reveal downstream gene networks that preserve sensory epithelial integrity and hearing throughout life.</w:t>
      </w:r>
    </w:p>
    <w:p>
      <w:pPr>
        <w:spacing w:before="120" w:after="120"/>
      </w:pPr>
      <w:r>
        <w:rPr>
          <w:sz w:val="18"/>
        </w:rPr>
        <w:t>——————————————————————————————————————————————————————————————————————</w:t>
      </w:r>
    </w:p>
    <w:p>
      <w:pPr>
        <w:spacing w:before="160" w:after="40" w:line="240" w:lineRule="auto"/>
      </w:pPr>
      <w:r>
        <w:rPr>
          <w:b/>
        </w:rPr>
        <w:t xml:space="preserve">[238] </w:t>
      </w:r>
      <w:hyperlink r:id="rId987">
        <w:r>
          <w:rPr>
            <w:color w:val="1155CC"/>
            <w:u w:val="single"/>
          </w:rPr>
          <w:t>细胞表面 ADGRG1 和 CD86 表达识别人类癌症中的抗肿瘤 CD4+ T 细胞</w:t>
        </w:r>
      </w:hyperlink>
    </w:p>
    <w:p>
      <w:pPr>
        <w:spacing w:before="0" w:after="80"/>
      </w:pPr>
      <w:r>
        <w:rPr>
          <w:i/>
          <w:sz w:val="20"/>
        </w:rPr>
        <w:t>EN: Cell surface ADGRG1 and CD86 expression identifies antitumor CD4+ T cells in human cancer</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88">
        <w:r>
          <w:rPr>
            <w:color w:val="1155CC"/>
            <w:u w:val="single"/>
          </w:rPr>
          <w:t>10.1073/pnas.2517883123</w:t>
        </w:r>
      </w:hyperlink>
    </w:p>
    <w:p>
      <w:pPr>
        <w:spacing w:before="0" w:after="120"/>
      </w:pPr>
      <w:r>
        <w:rPr>
          <w:b/>
        </w:rPr>
        <w:t xml:space="preserve">Notes: </w:t>
      </w:r>
      <w:r>
        <w:t>abstract_source=crossref</w:t>
      </w:r>
    </w:p>
    <w:p>
      <w:pPr>
        <w:spacing w:before="0" w:after="80" w:lineRule="auto" w:line="276"/>
      </w:pPr>
      <w:r>
        <w:rPr>
          <w:b/>
        </w:rPr>
        <w:t xml:space="preserve">摘要（ZH）: </w:t>
      </w:r>
      <w:r>
        <w:t>肿瘤浸润CD4的过继细胞转移</w:t>
      </w:r>
      <w:r>
        <w:t xml:space="preserve"> </w:t>
      </w:r>
      <w:r>
        <w:t>+</w:t>
      </w:r>
      <w:r>
        <w:t xml:space="preserve"> </w:t>
      </w:r>
      <w:r>
        <w:t>T细胞或经过基因修饰以表达抗肿瘤CD4的T细胞</w:t>
      </w:r>
      <w:r>
        <w:t xml:space="preserve"> </w:t>
      </w:r>
      <w:r>
        <w:t>+</w:t>
      </w:r>
      <w:r>
        <w:t xml:space="preserve"> </w:t>
      </w:r>
      <w:r>
        <w:t>T 细胞受体（TCR）已在晚期实体瘤患者中显示出临床疗效。我们之前定义了抗肿瘤、新抗原特异性 CD8 的独特转录组状态</w:t>
      </w:r>
      <w:r>
        <w:t xml:space="preserve"> </w:t>
      </w:r>
      <w:r>
        <w:t>+</w:t>
      </w:r>
      <w:r>
        <w:t xml:space="preserve"> </w:t>
      </w:r>
      <w:r>
        <w:t>和CD4</w:t>
      </w:r>
      <w:r>
        <w:t xml:space="preserve"> </w:t>
      </w:r>
      <w:r>
        <w:t>+</w:t>
      </w:r>
      <w:r>
        <w:t xml:space="preserve"> </w:t>
      </w:r>
      <w:r>
        <w:t>人类癌症中的肿瘤浸润淋巴细胞（TIL）。然而，最佳的细胞表面蛋白标记物可以识别并实现活细胞分离和抗肿瘤 CD4 的选择性富集</w:t>
      </w:r>
      <w:r>
        <w:t xml:space="preserve"> </w:t>
      </w:r>
      <w:r>
        <w:t>+</w:t>
      </w:r>
      <w:r>
        <w:t xml:space="preserve"> </w:t>
      </w:r>
      <w:r>
        <w:t>T 细胞尚未被鉴定。在这里，我们定义了抗肿瘤 CD4 的转录组和相应的细胞表面蛋白谱</w:t>
      </w:r>
      <w:r>
        <w:t xml:space="preserve"> </w:t>
      </w:r>
      <w:r>
        <w:t>+</w:t>
      </w:r>
      <w:r>
        <w:t xml:space="preserve"> </w:t>
      </w:r>
      <w:r>
        <w:t>使用高维单细胞转录组和蛋白质组分析对转移性结直肠肿瘤内的 TIL 进行分析。 45种抗肿瘤CD4综合分析</w:t>
      </w:r>
      <w:r>
        <w:t xml:space="preserve"> </w:t>
      </w:r>
      <w:r>
        <w:t>+</w:t>
      </w:r>
      <w:r>
        <w:t xml:space="preserve"> </w:t>
      </w:r>
      <w:r>
        <w:t>TCR 克隆型表现出 ADGRG1、CD86 和 CD57 独特的高细胞表面蛋白表达。在所有含有肿瘤新抗原反应性 CD4 的样本中</w:t>
      </w:r>
      <w:r>
        <w:t xml:space="preserve"> </w:t>
      </w:r>
      <w:r>
        <w:t>+</w:t>
      </w:r>
      <w:r>
        <w:t xml:space="preserve"> </w:t>
      </w:r>
      <w:r>
        <w:t>TIL 克隆型、已知反应性 TCR 克隆型的基于 ADGRG1 和 CD86 的细胞表面富集分别比散装 CD4 高 11 倍和 9 倍</w:t>
      </w:r>
      <w:r>
        <w:t xml:space="preserve"> </w:t>
      </w:r>
      <w:r>
        <w:t>+</w:t>
      </w:r>
      <w:r>
        <w:t xml:space="preserve"> </w:t>
      </w:r>
      <w:r>
        <w:t>分别为TIL。鉴定出基于 ADGRG1 和 CD86 的细胞表面富集超过 60 个经过验证的抗肿瘤 CD4</w:t>
      </w:r>
      <w:r>
        <w:t xml:space="preserve"> </w:t>
      </w:r>
      <w:r>
        <w:t>+</w:t>
      </w:r>
    </w:p>
    <w:p>
      <w:pPr>
        <w:spacing w:before="0" w:after="200" w:lineRule="auto" w:line="276"/>
      </w:pPr>
      <w:r>
        <w:rPr>
          <w:b/>
        </w:rPr>
        <w:t xml:space="preserve">Abstract (EN): </w:t>
      </w:r>
      <w:r>
        <w:t>Adoptive cell transfer of tumor infiltrating CD4</w:t>
      </w:r>
      <w:r>
        <w:t xml:space="preserve"> </w:t>
      </w:r>
      <w:r>
        <w:t>+</w:t>
      </w:r>
      <w:r>
        <w:t xml:space="preserve"> </w:t>
      </w:r>
      <w:r>
        <w:t>T cells or T cells genetically modified to express antitumor CD4</w:t>
      </w:r>
      <w:r>
        <w:t xml:space="preserve"> </w:t>
      </w:r>
      <w:r>
        <w:t>+</w:t>
      </w:r>
      <w:r>
        <w:t xml:space="preserve"> </w:t>
      </w:r>
      <w:r>
        <w:t>T cell receptors (TCRs) has shown clinical efficacy in patients with advanced solid tumors. We previously defined unique transcriptomic states of antitumor, neoantigen-specific CD8</w:t>
      </w:r>
      <w:r>
        <w:t xml:space="preserve"> </w:t>
      </w:r>
      <w:r>
        <w:t>+</w:t>
      </w:r>
      <w:r>
        <w:t xml:space="preserve"> </w:t>
      </w:r>
      <w:r>
        <w:t>and CD4</w:t>
      </w:r>
      <w:r>
        <w:t xml:space="preserve"> </w:t>
      </w:r>
      <w:r>
        <w:t>+</w:t>
      </w:r>
      <w:r>
        <w:t xml:space="preserve"> </w:t>
      </w:r>
      <w:r>
        <w:t>tumor infiltrating lymphocytes (TIL) in human cancer. However, optimal cell surface protein markers that identify and would enable viable cell isolation and selective enrichment of antitumor CD4</w:t>
      </w:r>
      <w:r>
        <w:t xml:space="preserve"> </w:t>
      </w:r>
      <w:r>
        <w:t>+</w:t>
      </w:r>
      <w:r>
        <w:t xml:space="preserve"> </w:t>
      </w:r>
      <w:r>
        <w:t>T cells have yet to be identified. Here, we define transcriptomic and corresponding cell surface protein profiles of antitumor CD4</w:t>
      </w:r>
      <w:r>
        <w:t xml:space="preserve"> </w:t>
      </w:r>
      <w:r>
        <w:t>+</w:t>
      </w:r>
      <w:r>
        <w:t xml:space="preserve"> </w:t>
      </w:r>
      <w:r>
        <w:t>TIL within metastatic colorectal tumors using high dimensional single cell transcriptomic and proteomic analysis. Comprehensive analysis of 45 antitumor CD4</w:t>
      </w:r>
      <w:r>
        <w:t xml:space="preserve"> </w:t>
      </w:r>
      <w:r>
        <w:t>+</w:t>
      </w:r>
      <w:r>
        <w:t xml:space="preserve"> </w:t>
      </w:r>
      <w:r>
        <w:t>TCR clonotypes demonstrated uniquely high cell surface protein expression of ADGRG1, CD86, and CD57. In all samples containing tumor neoantigen-reactive CD4</w:t>
      </w:r>
      <w:r>
        <w:t xml:space="preserve"> </w:t>
      </w:r>
      <w:r>
        <w:t>+</w:t>
      </w:r>
      <w:r>
        <w:t xml:space="preserve"> </w:t>
      </w:r>
      <w:r>
        <w:t>TIL clonotypes, ADGRG1- and CD86-based cell surface enrichment of known reactive TCR clonotypes were 11-fold and 9-fold higher than bulk CD4</w:t>
      </w:r>
      <w:r>
        <w:t xml:space="preserve"> </w:t>
      </w:r>
      <w:r>
        <w:t>+</w:t>
      </w:r>
      <w:r>
        <w:t xml:space="preserve"> </w:t>
      </w:r>
      <w:r>
        <w:t>TIL, respectively. ADGRG1- and CD86-based cell surface enrichment identified &amp;gt;60 validated antitumor CD4</w:t>
      </w:r>
      <w:r>
        <w:t xml:space="preserve"> </w:t>
      </w:r>
      <w:r>
        <w:t>+</w:t>
      </w:r>
      <w:r>
        <w:t xml:space="preserve"> </w:t>
      </w:r>
      <w:r>
        <w:t>TCR-clonotypes including tumor organoid-reactive TCRs, as well as neoantigen-specific TCRs targeting private tumor mutations and cancer driver mutations. While both ADGRG1 and CD86 enriched CD4</w:t>
      </w:r>
      <w:r>
        <w:t xml:space="preserve"> </w:t>
      </w:r>
      <w:r>
        <w:t>+</w:t>
      </w:r>
      <w:r>
        <w:t xml:space="preserve"> </w:t>
      </w:r>
      <w:r>
        <w:t>TIL displayed an exhausted neoantigen-specific gene expression signature, CD86 also enriched for cytotoxic CD4</w:t>
      </w:r>
      <w:r>
        <w:t xml:space="preserve"> </w:t>
      </w:r>
      <w:r>
        <w:t>+</w:t>
      </w:r>
      <w:r>
        <w:t xml:space="preserve"> </w:t>
      </w:r>
      <w:r>
        <w:t>TIL phenotypes. CD4</w:t>
      </w:r>
      <w:r>
        <w:t xml:space="preserve"> </w:t>
      </w:r>
      <w:r>
        <w:t>+</w:t>
      </w:r>
      <w:r>
        <w:t xml:space="preserve"> </w:t>
      </w:r>
      <w:r>
        <w:t>TIL isolated based on ADGRG1 expression and expanded in vitro also demonstrated neoantigen reactivity in two samples. Thus, ADGRG1 and CD86 appear to be effective protein markers for isolating human tumor-specific CD4</w:t>
      </w:r>
      <w:r>
        <w:t xml:space="preserve"> </w:t>
      </w:r>
      <w:r>
        <w:t>+</w:t>
      </w:r>
      <w:r>
        <w:t xml:space="preserve"> </w:t>
      </w:r>
      <w:r>
        <w:t>TCR clonotypes and studying antitumor CD4</w:t>
      </w:r>
      <w:r>
        <w:t xml:space="preserve"> </w:t>
      </w:r>
      <w:r>
        <w:t>+</w:t>
      </w:r>
      <w:r>
        <w:t xml:space="preserve"> </w:t>
      </w:r>
      <w:r>
        <w:t>TIL.</w:t>
      </w:r>
    </w:p>
    <w:p>
      <w:pPr>
        <w:spacing w:before="120" w:after="120"/>
      </w:pPr>
      <w:r>
        <w:rPr>
          <w:sz w:val="18"/>
        </w:rPr>
        <w:t>——————————————————————————————————————————————————————————————————————</w:t>
      </w:r>
    </w:p>
    <w:p>
      <w:pPr>
        <w:spacing w:before="160" w:after="40" w:line="240" w:lineRule="auto"/>
      </w:pPr>
      <w:r>
        <w:rPr>
          <w:b/>
        </w:rPr>
        <w:t xml:space="preserve">[239] </w:t>
      </w:r>
      <w:hyperlink r:id="rId989">
        <w:r>
          <w:rPr>
            <w:color w:val="1155CC"/>
            <w:u w:val="single"/>
          </w:rPr>
          <w:t>对 Mileo 等人的修正，通过非微扰自旋探针监测的 KatG 双功能过氧化物酶中的色氨酸进行多步电子隧道效应</w:t>
        </w:r>
      </w:hyperlink>
    </w:p>
    <w:p>
      <w:pPr>
        <w:spacing w:before="0" w:after="80"/>
      </w:pPr>
      <w:r>
        <w:rPr>
          <w:i/>
          <w:sz w:val="20"/>
        </w:rPr>
        <w:t>EN: Correction for Mileo et al., Multistep electron tunneling through tryptophans in the KatG bifunctional peroxidase monitored by a nonperturbing spin probe</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90">
        <w:r>
          <w:rPr>
            <w:color w:val="1155CC"/>
            <w:u w:val="single"/>
          </w:rPr>
          <w:t>10.1073/pnas.2625497123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991">
        <w:r>
          <w:rPr>
            <w:color w:val="1155CC"/>
            <w:u w:val="single"/>
          </w:rPr>
          <w:t>夏威夷蜜旋木的网状适应性辐射和系统发育多样性丧失</w:t>
        </w:r>
      </w:hyperlink>
    </w:p>
    <w:p>
      <w:pPr>
        <w:spacing w:before="0" w:after="80"/>
      </w:pPr>
      <w:r>
        <w:rPr>
          <w:i/>
          <w:sz w:val="20"/>
        </w:rPr>
        <w:t>EN: Reticulated adaptive radiation and phylogenomic diversity loss in the Hawaiian honeycreepers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92">
        <w:r>
          <w:rPr>
            <w:color w:val="1155CC"/>
            <w:u w:val="single"/>
          </w:rPr>
          <w:t>10.1073/pnas.2536533123</w:t>
        </w:r>
      </w:hyperlink>
    </w:p>
    <w:p>
      <w:pPr>
        <w:spacing w:before="0" w:after="120"/>
      </w:pPr>
      <w:r>
        <w:rPr>
          <w:b/>
        </w:rPr>
        <w:t xml:space="preserve">Notes: </w:t>
      </w:r>
      <w:r>
        <w:t>abstract_source=crossref</w:t>
      </w:r>
    </w:p>
    <w:p>
      <w:pPr>
        <w:spacing w:before="0" w:after="80" w:lineRule="auto" w:line="276"/>
      </w:pPr>
      <w:r>
        <w:rPr>
          <w:b/>
        </w:rPr>
        <w:t xml:space="preserve">摘要（ZH）: </w:t>
      </w:r>
      <w:r>
        <w:t>夏威夷蜜旋木雀是世界上最具标志性的适应性辐射之一，正面临着人类介导的灭绝危机。超过 60 种夏威夷蜜旋雀（燕雀科：雀鸟亚科：Drepanidini）是从殖民夏威夷群岛的单一朱雀状祖先进化而来的。目前已知夏威夷蜜旋木雀类群仅存 17 种，其中只有常见的“amakihi”（</w:t>
      </w:r>
      <w:r>
        <w:t xml:space="preserve"> </w:t>
      </w:r>
      <w:r>
        <w:t>绿绿藻</w:t>
      </w:r>
      <w:r>
        <w:t xml:space="preserve"> </w:t>
      </w:r>
      <w:r>
        <w:t>) 和 ‘apapan (</w:t>
      </w:r>
      <w:r>
        <w:t xml:space="preserve"> </w:t>
      </w:r>
      <w:r>
        <w:t>血红</w:t>
      </w:r>
      <w:r>
        <w:t xml:space="preserve"> </w:t>
      </w:r>
      <w:r>
        <w:t>）被归类为“最不关心”。利用线粒体基因组、全基因组和杂交捕获数据，我们提出了历史上已知的夏威夷蜜旋木辐射的全面系统发育。我们还放置了两个仅从古生物学标本中已知的分类单元（</w:t>
      </w:r>
      <w:r>
        <w:t xml:space="preserve"> </w:t>
      </w:r>
      <w:r>
        <w:t>万古利弗氏瘤</w:t>
      </w:r>
      <w:r>
        <w:t xml:space="preserve"> </w:t>
      </w:r>
      <w:r>
        <w:t>和</w:t>
      </w:r>
      <w:r>
        <w:t xml:space="preserve"> </w:t>
      </w:r>
      <w:r>
        <w:t>参见圆锥花甲</w:t>
      </w:r>
      <w:r>
        <w:t xml:space="preserve"> </w:t>
      </w:r>
      <w:r>
        <w:t>）在他们的系统发育背景下。我们证明，大多数夏威夷蜜旋木雀谱系在与欧胡岛形成相关的适应性辐射“大爆炸”中多样化，并且种间渗入可能在这一过程中发挥了作用。使用全基因组数据，我们确认了假定的种间混合物[N. A·S·普泽洛姆斯卡</w:t>
      </w:r>
      <w:r>
        <w:t xml:space="preserve"> </w:t>
      </w:r>
      <w:r>
        <w:t>等人。</w:t>
      </w:r>
      <w:r>
        <w:t xml:space="preserve"> </w:t>
      </w:r>
      <w:r>
        <w:t>,</w:t>
      </w:r>
      <w:r>
        <w:t xml:space="preserve"> </w:t>
      </w:r>
      <w:r>
        <w:t>生物。莱特。</w:t>
      </w:r>
      <w:r>
        <w:rPr>
          <w:vertAlign w:val="subscript"/>
        </w:rPr>
        <w:t>21</w:t>
      </w:r>
      <w:r>
        <w:t>, 20250265 (2025)] 之间的‘ō‘ū (</w:t>
      </w:r>
      <w:r>
        <w:t xml:space="preserve"> </w:t>
      </w:r>
      <w:r>
        <w:t>鹦鹉螺</w:t>
      </w:r>
      <w:r>
        <w:t xml:space="preserve"> </w:t>
      </w:r>
      <w:r>
        <w:t>) 和拉纳钩嘴鸟 (</w:t>
      </w:r>
      <w:r>
        <w:t xml:space="preserve"> </w:t>
      </w:r>
      <w:r>
        <w:t>孟罗烦躁症</w:t>
      </w:r>
      <w:r>
        <w:t xml:space="preserve"> </w:t>
      </w:r>
      <w:r>
        <w:t>）并记录正在进行的基因流a</w:t>
      </w:r>
    </w:p>
    <w:p>
      <w:pPr>
        <w:spacing w:before="0" w:after="200" w:lineRule="auto" w:line="276"/>
      </w:pPr>
      <w:r>
        <w:rPr>
          <w:b/>
        </w:rPr>
        <w:t xml:space="preserve">Abstract (EN): </w:t>
      </w:r>
      <w:r>
        <w:t>The Hawaiian honeycreepers, one of the world’s most iconic adaptive radiations, are facing a human-mediated extinction crisis. More than 60 Hawaiian honeycreepers (Fringillidae: Carduelinae: Drepanidini) evolved from a single rosefinch-like ancestor that colonized the Hawaiian Islands. Only 17 Hawaiian honeycreeper taxa are known to be extant, of which only the common ‘amakihi (</w:t>
      </w:r>
      <w:r>
        <w:t xml:space="preserve"> </w:t>
      </w:r>
      <w:r>
        <w:t>Chlorodrepanis virens</w:t>
      </w:r>
      <w:r>
        <w:t xml:space="preserve"> </w:t>
      </w:r>
      <w:r>
        <w:t>) and ‘apapane (</w:t>
      </w:r>
      <w:r>
        <w:t xml:space="preserve"> </w:t>
      </w:r>
      <w:r>
        <w:t>Himatione sanguinea</w:t>
      </w:r>
      <w:r>
        <w:t xml:space="preserve"> </w:t>
      </w:r>
      <w:r>
        <w:t>) are classified as “Least Concern.” Using mitogenome, whole-genome, and hybridization-capture data, we present a comprehensive phylogeny of the historically known Hawaiian honeycreeper radiation. We also place two taxa known only from paleontological specimens (</w:t>
      </w:r>
      <w:r>
        <w:t xml:space="preserve"> </w:t>
      </w:r>
      <w:r>
        <w:t>Vangulifer neophasis</w:t>
      </w:r>
      <w:r>
        <w:t xml:space="preserve"> </w:t>
      </w:r>
      <w:r>
        <w:t>and</w:t>
      </w:r>
      <w:r>
        <w:t xml:space="preserve"> </w:t>
      </w:r>
      <w:r>
        <w:t>cf. Xestospiza conica</w:t>
      </w:r>
      <w:r>
        <w:t xml:space="preserve"> </w:t>
      </w:r>
      <w:r>
        <w:t>) in their phylogenomic context. We demonstrate that most Hawaiian honeycreeper lineages diversified in a “Big Bang” of adaptive radiation correlating with the formation of O‘ahu and that interspecies introgression likely played a role in this process. Using whole-genome data, we confirm putative interspecies admixture [N. A. S. Przelomska</w:t>
      </w:r>
      <w:r>
        <w:t xml:space="preserve"> </w:t>
      </w:r>
      <w:r>
        <w:t>et al.</w:t>
      </w:r>
      <w:r>
        <w:t xml:space="preserve"> </w:t>
      </w:r>
      <w:r>
        <w:t>,</w:t>
      </w:r>
      <w:r>
        <w:t xml:space="preserve"> </w:t>
      </w:r>
      <w:r>
        <w:t>Biol. Lett.</w:t>
      </w:r>
      <w:r>
        <w:rPr>
          <w:vertAlign w:val="subscript"/>
        </w:rPr>
        <w:t>21</w:t>
      </w:r>
      <w:r>
        <w:t>, 20250265 (2025)] between the ‘ō‘ū (</w:t>
      </w:r>
      <w:r>
        <w:t xml:space="preserve"> </w:t>
      </w:r>
      <w:r>
        <w:t>Psittirostra psittacea</w:t>
      </w:r>
      <w:r>
        <w:t xml:space="preserve"> </w:t>
      </w:r>
      <w:r>
        <w:t>) and Lāna‘i hookbill (</w:t>
      </w:r>
      <w:r>
        <w:t xml:space="preserve"> </w:t>
      </w:r>
      <w:r>
        <w:t>Dysmorodrepanis munroi</w:t>
      </w:r>
      <w:r>
        <w:t xml:space="preserve"> </w:t>
      </w:r>
      <w:r>
        <w:t>) and document ongoing gene flow across the ‘amakihi species complex. Furthermore, we reject the synonymization of</w:t>
      </w:r>
      <w:r>
        <w:t xml:space="preserve"> </w:t>
      </w:r>
      <w:r>
        <w:t>Vestiaria</w:t>
      </w:r>
      <w:r>
        <w:t xml:space="preserve"> </w:t>
      </w:r>
      <w:r>
        <w:t>(‘i‘iwi) and</w:t>
      </w:r>
      <w:r>
        <w:t xml:space="preserve"> </w:t>
      </w:r>
      <w:r>
        <w:t>Drepanis</w:t>
      </w:r>
      <w:r>
        <w:t xml:space="preserve"> </w:t>
      </w:r>
      <w:r>
        <w:t>(Hawai‘i and black mamo). Instead, the mamo species form an extinct clade with no close extant relatives, demonstrating a greater loss of phylogenomic diversity than previously understood.</w:t>
      </w:r>
    </w:p>
    <w:p>
      <w:pPr>
        <w:spacing w:before="120" w:after="120"/>
      </w:pPr>
      <w:r>
        <w:rPr>
          <w:sz w:val="18"/>
        </w:rPr>
        <w:t>——————————————————————————————————————————————————————————————————————</w:t>
      </w:r>
    </w:p>
    <w:p>
      <w:pPr>
        <w:spacing w:before="160" w:after="40" w:line="240" w:lineRule="auto"/>
      </w:pPr>
      <w:r>
        <w:rPr>
          <w:b/>
        </w:rPr>
        <w:t xml:space="preserve">[241] </w:t>
      </w:r>
      <w:hyperlink r:id="rId993">
        <w:r>
          <w:rPr>
            <w:color w:val="1155CC"/>
            <w:u w:val="single"/>
          </w:rPr>
          <w:t>Gardner 等人的修正，人类体型进化的竞争模型</w:t>
        </w:r>
      </w:hyperlink>
    </w:p>
    <w:p>
      <w:pPr>
        <w:spacing w:before="0" w:after="80"/>
      </w:pPr>
      <w:r>
        <w:rPr>
          <w:i/>
          <w:sz w:val="20"/>
        </w:rPr>
        <w:t>EN: Correction for Gardner et al., Competing models of hominin body size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94">
        <w:r>
          <w:rPr>
            <w:color w:val="1155CC"/>
            <w:u w:val="single"/>
          </w:rPr>
          <w:t>10.1073/pnas.2625195123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[242] </w:t>
      </w:r>
      <w:hyperlink r:id="rId995">
        <w:r>
          <w:rPr>
            <w:color w:val="1155CC"/>
            <w:u w:val="single"/>
          </w:rPr>
          <w:t>CIP2A–TOPBP1 复合物和 PP2A 动态调节有丝分裂 DNA 双链断裂时的 Polθ 募集和磷酸化</w:t>
        </w:r>
      </w:hyperlink>
    </w:p>
    <w:p>
      <w:pPr>
        <w:spacing w:before="0" w:after="80"/>
      </w:pPr>
      <w:r>
        <w:rPr>
          <w:i/>
          <w:sz w:val="20"/>
        </w:rPr>
        <w:t>EN: CIP2A–TOPBP1 complex and PP2A dynamically regulate Polθ recruitment and phosphorylation at mitotic DNA double-strand breaks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96">
        <w:r>
          <w:rPr>
            <w:color w:val="1155CC"/>
            <w:u w:val="single"/>
          </w:rPr>
          <w:t>10.1073/pnas.2600248123</w:t>
        </w:r>
      </w:hyperlink>
    </w:p>
    <w:p>
      <w:pPr>
        <w:spacing w:before="0" w:after="120"/>
      </w:pPr>
      <w:r>
        <w:rPr>
          <w:b/>
        </w:rPr>
        <w:t xml:space="preserve">Notes: </w:t>
      </w:r>
      <w:r>
        <w:t>abstract_source=crossref</w:t>
      </w:r>
    </w:p>
    <w:p>
      <w:pPr>
        <w:spacing w:before="0" w:after="80" w:lineRule="auto" w:line="276"/>
      </w:pPr>
      <w:r>
        <w:rPr>
          <w:b/>
        </w:rPr>
        <w:t xml:space="preserve">摘要（ZH）: </w:t>
      </w:r>
      <w:r>
        <w:t>有丝分裂期间发生的 DNA 双链断裂 (DSB) 主要通过 Polθ 介导的微同源介导的末端连接 (MMEJ) 进行修复。 CIP2A-TOPBP1 复合物已被证明可以在有丝分裂 DSB 处束缚断裂的染色质，但它是否与 Polθ 协调或独立发挥作用仍然未知。在这里，我们表明 CIP2A-TOPBP1 复合物被招募到有丝分裂 DSB 位点，在那里它直接与 Polθ 相互作用，并与染色质的核心 Polθ 相互作用。 CIP2A 通过抑制 PP2A 维持 Polθ 磷酸化，从而延长 Polθ 染色质保留并实现有效修复。修复完成后，CIP2A-TOPBP1 复合物解离，PP2A 使 Polθ 去磷酸化，并且 Polθ 从染色质中释放。 CIP2A 的缺失会损害肿瘤生长，而 CIP2A-Polθ 结合的破坏会导致 BRCA1/2 缺陷细胞中持续的 DNA 损伤、微核形成和合成致死。这些发现揭示了 CIP2A-TOPBP1 在有丝分裂 DSB 修复中动态调节 Polθ 的协作机制，并为放疗下 CIP2A 与 BRCA1/2 的合成致死相互作用提供了见解。</w:t>
      </w:r>
    </w:p>
    <w:p>
      <w:pPr>
        <w:spacing w:before="0" w:after="200" w:lineRule="auto" w:line="276"/>
      </w:pPr>
      <w:r>
        <w:rPr>
          <w:b/>
        </w:rPr>
        <w:t xml:space="preserve">Abstract (EN): </w:t>
      </w:r>
      <w:r>
        <w:t>DNA double-strand breaks (DSBs) that occur during mitosis are primarily repaired by Polθ-mediated microhomology-mediated end joining (MMEJ). The CIP2A–TOPBP1 complex has been shown to tether broken chromatin at mitotic DSBs, but whether it coordinates with or functions independently of Polθ remains unknown. Here, we show that the CIP2A–TOPBP1 complex is recruited to mitotic DSB sites, where it directly interacts with Polθ and corecruits Polθ to chromatin. CIP2A sustains Polθ phosphorylation by inhibiting PP2A, thereby prolonging Polθ chromatin retention and enabling efficient repair. Upon repair completion, the CIP2A–TOPBP1 complex dissociates, PP2A dephosphorylates Polθ, and Polθ is released from chromatin. Loss of CIP2A impairs tumor growth, while disruption of CIP2A–Polθ binding leads to persistent DNA damage, micronucleus formation, and synthetic lethality in BRCA1/2-deficient cells. These findings uncover a cooperative mechanism by which CIP2A–TOPBP1 dynamically regulates Polθ in mitotic DSB repair and provide insights into the synthetic lethal interaction of CIP2A with BRCA1/2 under radiotherapy.</w:t>
      </w:r>
    </w:p>
    <w:p>
      <w:pPr>
        <w:spacing w:before="120" w:after="120"/>
      </w:pPr>
      <w:r>
        <w:rPr>
          <w:sz w:val="18"/>
        </w:rPr>
        <w:t>——————————————————————————————————————————————————————————————————————</w:t>
      </w:r>
    </w:p>
    <w:p>
      <w:pPr>
        <w:spacing w:before="160" w:after="40" w:line="240" w:lineRule="auto"/>
      </w:pPr>
      <w:r>
        <w:rPr>
          <w:b/>
        </w:rPr>
        <w:t xml:space="preserve">[243] </w:t>
      </w:r>
      <w:hyperlink r:id="rId997">
        <w:r>
          <w:rPr>
            <w:color w:val="1155CC"/>
            <w:u w:val="single"/>
          </w:rPr>
          <w:t>绘制婴儿健康产前起源的暴露组-微生物群-宿主轴</w:t>
        </w:r>
      </w:hyperlink>
    </w:p>
    <w:p>
      <w:pPr>
        <w:spacing w:before="0" w:after="80"/>
      </w:pPr>
      <w:r>
        <w:rPr>
          <w:i/>
          <w:sz w:val="20"/>
        </w:rPr>
        <w:t>EN: Mapping the exposome–microbiota–host axis for prenatal origins of infant health</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998">
        <w:r>
          <w:rPr>
            <w:color w:val="1155CC"/>
            <w:u w:val="single"/>
          </w:rPr>
          <w:t>10.1073/pnas.2600701123</w:t>
        </w:r>
      </w:hyperlink>
    </w:p>
    <w:p>
      <w:pPr>
        <w:spacing w:before="0" w:after="120"/>
      </w:pPr>
      <w:r>
        <w:rPr>
          <w:b/>
        </w:rPr>
        <w:t xml:space="preserve">Notes: </w:t>
      </w:r>
      <w:r>
        <w:t>abstract_source=crossref</w:t>
      </w:r>
    </w:p>
    <w:p>
      <w:pPr>
        <w:spacing w:before="0" w:after="80" w:lineRule="auto" w:line="276"/>
      </w:pPr>
      <w:r>
        <w:rPr>
          <w:b/>
        </w:rPr>
        <w:t xml:space="preserve">摘要（ZH）: </w:t>
      </w:r>
      <w:r>
        <w:t>产前暴露会影响婴儿健康，但微生物群相关机制仍不清楚。我们分析了 1,689 对母婴中的 776 个孕产妇暴露变量和胎便微生物群，建立了一个将孕产妇暴露、新生儿微生物群和 10 个婴儿结局联系起来的网络。利用多组学、通路富集和稳健回归，我们确定母亲人体测量学和临床指标是婴儿发育的关键预测因素，特定代谢和化学暴露是与微生物群组成相关的主要因素。这些微生物变化与婴儿生长、湿疹和神经发育有关。值得注意的是，母体代谢物（例如胆固醇）和环境化学物质（例如磷酸三苯酯和全氟丁磺酸）与微生物群组成相关，特别是厚壁菌门、变形菌门和拟杆菌门。我们的研究结果建立了产前暴露组-微生物群-宿主轴，提供了一个可扩展的框架来了解生命早期的健康决定因素并指导预防策略。</w:t>
      </w:r>
    </w:p>
    <w:p>
      <w:pPr>
        <w:spacing w:before="0" w:after="200" w:lineRule="auto" w:line="276"/>
      </w:pPr>
      <w:r>
        <w:rPr>
          <w:b/>
        </w:rPr>
        <w:t xml:space="preserve">Abstract (EN): </w:t>
      </w:r>
      <w:r>
        <w:t>Prenatal exposures influence infant health, yet the microbiota related mechanisms remain unclear. We profiled 776 maternal exposome variables and meconium microbiota in 1,689 mother–infant pairs, establishing a network linking maternal exposures, neonatal microbiota, and 10 infant outcomes. Using multiomics, pathway enrichment, and robust regression, we identified maternal anthropometrics and clinical indicators as key predictors of infant development, and specific metabolic and chemical exposures as major factors associated with microbiota composition. These microbial changes were associated with infant growth, eczema, and neurodevelopment. Notably, maternal metabolites (e.g., cholesterol) and environmental chemicals (e.g., triphenyl phosphate and perfluorobutane sulfonic acid) were associated with microbiota composition, particularly in Firmicutes, Proteobacteria, and Bacteroidetes. Our findings establish a prenatal exposome–microbiota–host axis, offering a scalable framework to understand early-life health determinants and guide preventive strategies.</w:t>
      </w:r>
    </w:p>
    <w:p>
      <w:pPr>
        <w:spacing w:before="120" w:after="120"/>
      </w:pPr>
      <w:r>
        <w:rPr>
          <w:sz w:val="18"/>
        </w:rPr>
        <w:t>——————————————————————————————————————————————————————————————————————</w:t>
      </w:r>
    </w:p>
    <w:p>
      <w:pPr>
        <w:spacing w:before="160" w:after="40" w:line="240" w:lineRule="auto"/>
      </w:pPr>
      <w:r>
        <w:rPr>
          <w:b/>
        </w:rPr>
        <w:t xml:space="preserve">[244] </w:t>
      </w:r>
      <w:hyperlink r:id="rId999">
        <w:r>
          <w:rPr>
            <w:color w:val="1155CC"/>
            <w:u w:val="single"/>
          </w:rPr>
          <w:t>TK1 的棕榈酰化通过促进 JNK 介导的代谢重编程加剧骨关节炎</w:t>
        </w:r>
      </w:hyperlink>
    </w:p>
    <w:p>
      <w:pPr>
        <w:spacing w:before="0" w:after="80"/>
      </w:pPr>
      <w:r>
        <w:rPr>
          <w:i/>
          <w:sz w:val="20"/>
        </w:rPr>
        <w:t>EN: Palmitoylation of TK1 exacerbates osteoarthritis by promoting JNK-mediated metabolic reprogramming</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1000">
        <w:r>
          <w:rPr>
            <w:color w:val="1155CC"/>
            <w:u w:val="single"/>
          </w:rPr>
          <w:t>10.1073/pnas.2602136123</w:t>
        </w:r>
      </w:hyperlink>
    </w:p>
    <w:p>
      <w:pPr>
        <w:spacing w:before="0" w:after="120"/>
      </w:pPr>
      <w:r>
        <w:rPr>
          <w:b/>
        </w:rPr>
        <w:t xml:space="preserve">Notes: </w:t>
      </w:r>
      <w:r>
        <w:t>abstract_source=crossref</w:t>
      </w:r>
    </w:p>
    <w:p>
      <w:pPr>
        <w:spacing w:before="0" w:after="80" w:lineRule="auto" w:line="276"/>
      </w:pPr>
      <w:r>
        <w:rPr>
          <w:b/>
        </w:rPr>
        <w:t xml:space="preserve">摘要（ZH）: </w:t>
      </w:r>
      <w:r>
        <w:t>骨关节炎 (OA) 缺乏经批准的疾病缓解疗法。在这里，通过将定量蛋白质组学与来自人类关节软骨的公共单细胞 RNA 测序数据的重新分析相结合，我们确定胸苷激酶 1 (TK1) 是一种将炎症应激与代谢重连和基质分解联系起来的致病调节因子。 TK1 在 OA 软骨细胞中显着上调。从机制上讲，IL-1β 增强 TK1 在 Cys153 处的 S-棕榈酰化，从而促进 USP9X 依赖性去泛素化并防止蛋白酶体降解，从而导致 TK1 积累。稳定的 TK1 作为支架来增强 JNK 信号传导、增加 PRMT1 和 PFKFB3 表达、驱动过度糖酵解并加速细胞外基质分解代谢。相反，去棕榈酰化酶 PPT1 会使 TK1 不稳定并抑制糖酵解激活。基于这一机制，我们开发了一种细胞穿透干扰肽 Depalm-WT，它破坏 TK1-JNK 相互作用，促进 TK1 去棕榈酰化和降解，并抑制下游分解代谢反应。在临床前 OA 模型中，Depalm-WT 减轻了软骨退化和疾病进展。这些发现定义了 OA 中棕榈酰化稳定的 TK1-JNK-糖酵解轴，并支持靶向 TK1 去稳定作为一种潜在的治疗策略。</w:t>
      </w:r>
    </w:p>
    <w:p>
      <w:pPr>
        <w:spacing w:before="0" w:after="200" w:lineRule="auto" w:line="276"/>
      </w:pPr>
      <w:r>
        <w:rPr>
          <w:b/>
        </w:rPr>
        <w:t xml:space="preserve">Abstract (EN): </w:t>
      </w:r>
      <w:r>
        <w:t>Osteoarthritis (OA) lacks approved disease-modifying therapies. Here, by integrating quantitative proteomics with reanalysis of public single-cell RNA sequencing data from human articular cartilage, we identify thymidine kinase 1 (TK1) as a pathogenic regulator linking inflammatory stress to metabolic rewiring and matrix breakdown. TK1 is markedly upregulated in OA chondrocytes. Mechanistically, IL-1β enhances S-palmitoylation of TK1 at Cys153, which promotes USP9X-dependent deubiquitination and prevents proteasomal degradation, leading to TK1 accumulation. Stabilized TK1 acts as a scaffold to potentiate JNK signaling, increase PRMT1 and PFKFB3 expression, drive excessive glycolysis, and accelerate extracellular matrix catabolism. Conversely, the depalmitoylase PPT1 destabilizes TK1 and restrains glycolytic activation. Based on this mechanism, we developed a cell-penetrating interfering peptide, Depalm-WT, which disrupts the TK1–JNK interaction, promotes TK1 depalmitoylation and degradation, and suppresses downstream catabolic responses. In preclinical OA models, Depalm-WT attenuated cartilage degeneration and disease progression. These findings define a palmitoylation-stabilized TK1–JNK–glycolysis axis in OA and support targeted TK1 destabilization as a potential therapeutic strategy.</w:t>
      </w:r>
    </w:p>
    <w:p>
      <w:pPr>
        <w:spacing w:before="120" w:after="120"/>
      </w:pPr>
      <w:r>
        <w:rPr>
          <w:sz w:val="18"/>
        </w:rPr>
        <w:t>——————————————————————————————————————————————————————————————————————</w:t>
      </w:r>
    </w:p>
    <w:p>
      <w:pPr>
        <w:spacing w:before="160" w:after="40" w:line="240" w:lineRule="auto"/>
      </w:pPr>
      <w:r>
        <w:rPr>
          <w:b/>
        </w:rPr>
        <w:t xml:space="preserve">[245] </w:t>
      </w:r>
      <w:hyperlink r:id="rId1001">
        <w:r>
          <w:rPr>
            <w:color w:val="1155CC"/>
            <w:u w:val="single"/>
          </w:rPr>
          <w:t>使用进化模型鉴定 Cav1.3 钙通道 α1 亚基中的新功能位点</w:t>
        </w:r>
      </w:hyperlink>
    </w:p>
    <w:p>
      <w:pPr>
        <w:spacing w:before="0" w:after="80"/>
      </w:pPr>
      <w:r>
        <w:rPr>
          <w:i/>
          <w:sz w:val="20"/>
        </w:rPr>
        <w:t>EN: Identification of novel functional sites in the Cav1.3 calcium channel α1-subunit using evolutionary modeling</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1002">
        <w:r>
          <w:rPr>
            <w:color w:val="1155CC"/>
            <w:u w:val="single"/>
          </w:rPr>
          <w:t>10.1073/pnas.2602636123</w:t>
        </w:r>
      </w:hyperlink>
    </w:p>
    <w:p>
      <w:pPr>
        <w:spacing w:before="0" w:after="120"/>
      </w:pPr>
      <w:r>
        <w:rPr>
          <w:b/>
        </w:rPr>
        <w:t xml:space="preserve">Notes: </w:t>
      </w:r>
      <w:r>
        <w:t>abstract_source=crossref</w:t>
      </w:r>
    </w:p>
    <w:p>
      <w:pPr>
        <w:spacing w:before="0" w:after="80" w:lineRule="auto" w:line="276"/>
      </w:pPr>
      <w:r>
        <w:rPr>
          <w:b/>
        </w:rPr>
        <w:t xml:space="preserve">摘要（ZH）: </w:t>
      </w:r>
      <w:r>
        <w:t>电压门控钙通道 (VGCC) 调节可兴奋细胞的分化、功能和存活，致病变异会导致多种疾病。大多数已知的与疾病相关的 VGCC 突变会影响控制电压依赖性门控和通道动力学的明确特征区域，而许多残基在功能上仍未注释。我们开发了一个进化模型来预测成孔钙中残留物的致病潜力</w:t>
      </w:r>
      <w:r>
        <w:t xml:space="preserve"> </w:t>
      </w:r>
      <w:r>
        <w:t>v</w:t>
      </w:r>
      <w:r>
        <w:t xml:space="preserve"> </w:t>
      </w:r>
      <w:r>
        <w:t>1.3 亚基，之前已通过与神经发育疾病相关的功能获得性变体进行了验证。在这里，我们展示了该模型概括了已建立的功能区域，并前瞻性地以单氨基酸分辨率识别功能位点。对跨多个通道域的五种预测变异的电生理学分析证实了功能改变。该方法还捕获通常仅在纯合状态下致病的功能丧失变异，建立了用于识别和功能表征 Ca 致病变异的预测框架。</w:t>
      </w:r>
      <w:r>
        <w:t xml:space="preserve"> </w:t>
      </w:r>
      <w:r>
        <w:t>v</w:t>
      </w:r>
      <w:r>
        <w:t xml:space="preserve"> </w:t>
      </w:r>
      <w:r>
        <w:t>1.3 及相关离子通道。</w:t>
      </w:r>
    </w:p>
    <w:p>
      <w:pPr>
        <w:spacing w:before="0" w:after="200" w:lineRule="auto" w:line="276"/>
      </w:pPr>
      <w:r>
        <w:rPr>
          <w:b/>
        </w:rPr>
        <w:t xml:space="preserve">Abstract (EN): </w:t>
      </w:r>
      <w:r>
        <w:t>Voltage-gated calcium channels (VGCCs) regulate differentiation, function, and survival of excitable cells, and pathogenic variants cause diverse disorders. Most known disease-associated VGCC mutations affect well-characterized regions controlling voltage-dependent gating and channel kinetics, while many residues remain functionally unannotated. We developed an evolutionary model to predict the pathogenic potential of residues in the pore-forming Ca</w:t>
      </w:r>
      <w:r>
        <w:t xml:space="preserve"> </w:t>
      </w:r>
      <w:r>
        <w:t>v</w:t>
      </w:r>
      <w:r>
        <w:t xml:space="preserve"> </w:t>
      </w:r>
      <w:r>
        <w:t>1.3 subunit, previously validated with de novo gain-of-function variants linked to neurodevelopmental diseases. Here we show that the model recapitulates established functional regions and prospectively identifies functional sites at single–amino acid resolution. Electrophysiological analyses of five predicted variants across multiple channel domains confirmed functional alterations. The approach also captures loss-of-function variants typically pathogenic only in the homozygous state, establishing a predictive framework for identifying and functionally characterizing pathogenic variants in Ca</w:t>
      </w:r>
      <w:r>
        <w:t xml:space="preserve"> </w:t>
      </w:r>
      <w:r>
        <w:t>v</w:t>
      </w:r>
      <w:r>
        <w:t xml:space="preserve"> </w:t>
      </w:r>
      <w:r>
        <w:t>1.3 and related ion channels.</w:t>
      </w:r>
    </w:p>
    <w:p>
      <w:pPr>
        <w:spacing w:before="120" w:after="120"/>
      </w:pPr>
      <w:r>
        <w:rPr>
          <w:sz w:val="18"/>
        </w:rPr>
        <w:t>——————————————————————————————————————————————————————————————————————</w:t>
      </w:r>
    </w:p>
    <w:p>
      <w:pPr>
        <w:spacing w:before="160" w:after="40" w:line="240" w:lineRule="auto"/>
      </w:pPr>
      <w:r>
        <w:rPr>
          <w:b/>
        </w:rPr>
        <w:t xml:space="preserve">[246] </w:t>
      </w:r>
      <w:hyperlink r:id="rId1003">
        <w:r>
          <w:rPr>
            <w:color w:val="1155CC"/>
            <w:u w:val="single"/>
          </w:rPr>
          <w:t>Khan 等人撤稿，巨噬细胞 TBK1 信号驱动乳腺癌脑转移的发展和生长</w:t>
        </w:r>
      </w:hyperlink>
    </w:p>
    <w:p>
      <w:pPr>
        <w:spacing w:before="0" w:after="80"/>
      </w:pPr>
      <w:r>
        <w:rPr>
          <w:i/>
          <w:sz w:val="20"/>
        </w:rPr>
        <w:t>EN: Retraction for Khan et al., Macrophage TBK1 signaling drives the development and outgrowth of breast cancer brain metastasis</w:t>
      </w:r>
    </w:p>
    <w:p>
      <w:pPr>
        <w:spacing w:before="0" w:after="120"/>
      </w:pPr>
      <w:r>
        <w:rPr>
          <w:b/>
        </w:rPr>
        <w:t xml:space="preserve">Source: </w:t>
      </w:r>
      <w:r>
        <w:t>Proceedings of the National Academy of Sciences: Keyword search for query</w:t>
      </w:r>
      <w:r>
        <w:t xml:space="preserve">    </w:t>
      </w:r>
      <w:r>
        <w:rPr>
          <w:b/>
        </w:rPr>
        <w:t xml:space="preserve">Pub date: </w:t>
      </w:r>
      <w:r>
        <w:t>2026-08-03 07:00:00+00:00</w:t>
      </w:r>
      <w:r>
        <w:t xml:space="preserve">    </w:t>
      </w:r>
      <w:r>
        <w:rPr>
          <w:b/>
        </w:rPr>
        <w:t xml:space="preserve">DOI: </w:t>
      </w:r>
      <w:hyperlink r:id="rId1004">
        <w:r>
          <w:rPr>
            <w:color w:val="1155CC"/>
            <w:u w:val="single"/>
          </w:rPr>
          <w:t>10.1073/pnas.2625886123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1005">
        <w:r>
          <w:rPr>
            <w:color w:val="1155CC"/>
            <w:u w:val="single"/>
          </w:rPr>
          <w:t>从纤维束到结构膜：生物混合人工肺的三周期最小表面结构</w:t>
        </w:r>
      </w:hyperlink>
    </w:p>
    <w:p>
      <w:pPr>
        <w:spacing w:before="0" w:after="80"/>
      </w:pPr>
      <w:r>
        <w:rPr>
          <w:i/>
          <w:sz w:val="20"/>
        </w:rPr>
        <w:t>EN: From Fiber Bundles to Architected Membranes: Triply Periodic Minimal Surface Architectures for Biohybrid Artificial Lungs</w:t>
      </w:r>
    </w:p>
    <w:p>
      <w:pPr>
        <w:spacing w:before="0" w:after="120"/>
      </w:pPr>
      <w:r>
        <w:rPr>
          <w:b/>
        </w:rPr>
        <w:t xml:space="preserve">Source: </w:t>
      </w:r>
      <w:r>
        <w:t>Wiley: Advanced Materials: Table of Contents</w:t>
      </w:r>
      <w:r>
        <w:t xml:space="preserve">    </w:t>
      </w:r>
      <w:r>
        <w:rPr>
          <w:b/>
        </w:rPr>
        <w:t xml:space="preserve">Pub date: </w:t>
      </w:r>
      <w:r>
        <w:t>2026-08-03 09:44:53+00:00</w:t>
      </w:r>
      <w:r>
        <w:t xml:space="preserve">    </w:t>
      </w:r>
      <w:r>
        <w:rPr>
          <w:b/>
        </w:rPr>
        <w:t xml:space="preserve">DOI: </w:t>
      </w:r>
      <w:hyperlink r:id="rId1006">
        <w:r>
          <w:rPr>
            <w:color w:val="1155CC"/>
            <w:u w:val="single"/>
          </w:rPr>
          <w:t>10.1002/adma.74361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肺系统几乎完全依赖于中空纤维膜（HFM）束，其中气体交换受到不均匀的流量分布和血栓形成的血液-物质界面的限制。在这里，我们介绍了一种基于增材制造的三周期最小表面（TPMS）膜的架构驱动的人工肺设计框架。与离散纤维束相比，TPMS 膜形成连续的三维结构，可同时调节灌注路径、扩散界面和血液与材料的相互作用。计算流体动力学和多物理场传输模拟表明，膜结构通过膜厚度、晶胞尺寸和三维流动拓扑的耦合效应来控制气体交换。与传统的 HFM 相比，优化的 TPMS 架构在所研究的流态中平均实现了高达约 88% 的氧传递率，同时实现了更加均匀的流场并减少了停滞区。实验筛选确定了与薄透气膜和内皮功能化相容的聚二甲基硅氧烷基可印刷弹性体。生物混合内皮界面减轻血栓形成相互作用，同时维持气体运输。计算机断层扫描衍生的植入物几何形状证明了将结构化膜系统转化为解剖学集成人工肺的可行性。这些结果共同建立了人工肺的新设计范例，其中膜架构</w:t>
      </w:r>
    </w:p>
    <w:p>
      <w:pPr>
        <w:spacing w:before="0" w:after="200" w:lineRule="auto" w:line="276"/>
      </w:pPr>
      <w:r>
        <w:rPr>
          <w:b/>
        </w:rPr>
        <w:t xml:space="preserve">Abstract (EN): </w:t>
      </w:r>
      <w:r>
        <w:t>Artificial lung systems rely almost exclusively on hollow fiber membrane (HFM) bundles, where gas exchange is constrained by heterogeneous flow distribution and thrombogenic blood–material interfaces. Here, we introduce an architecture‐driven design framework for artificial lungs based on additively manufactured triply periodic minimal surface (TPMS) membranes. In contrast to discrete fiber bundles, TPMS membranes form continuous three‐dimensional architectures that simultaneously regulate perfusion pathways, diffusion interfaces, and blood–material interactions. Computational fluid dynamics and multiphysics transport simulations reveal that membrane architecture governs gas exchange through coupled effects of membrane thickness, unit cell size, and three‐dimensional flow topology. Optimized TPMS architectures achieved on average up to ∼88% higher oxygen transfer rates across the investigated flow regime compared to conventional HFM while enabling substantially more homogeneous flow fields and reduced stagnation zones. Experimental screening identifies polydimethylsiloxane‐based printable elastomers compatible with thin gas‐permeable membranes and endothelial functionalization. The biohybrid endothelial interface mitigates thrombogenic interactions, while maintaining gas transport. Computed tomography–derived implant geometries demonstrate the feasibility of translating architected membrane systems into anatomically integrated artificial lungs. Together, these results establish a new design paradigm for artificial lungs, in which membrane architecture becomes the primary determinant of gas transport, flow distribution, and hemocompatibility.</w:t>
      </w:r>
    </w:p>
    <w:p>
      <w:pPr>
        <w:spacing w:before="120" w:after="120"/>
      </w:pPr>
      <w:r>
        <w:rPr>
          <w:sz w:val="18"/>
        </w:rPr>
        <w:t>——————————————————————————————————————————————————————————————————————</w:t>
      </w:r>
    </w:p>
    <w:p>
      <w:pPr>
        <w:spacing w:before="160" w:after="40" w:line="240" w:lineRule="auto"/>
      </w:pPr>
      <w:r>
        <w:rPr>
          <w:b/>
        </w:rPr>
        <w:t xml:space="preserve">[248] </w:t>
      </w:r>
      <w:hyperlink r:id="rId1007">
        <w:r>
          <w:rPr>
            <w:color w:val="1155CC"/>
            <w:u w:val="single"/>
          </w:rPr>
          <w:t>用于机器人感知危险化学品泄漏的摩擦电电子皮肤</w:t>
        </w:r>
      </w:hyperlink>
    </w:p>
    <w:p>
      <w:pPr>
        <w:spacing w:before="0" w:after="80"/>
      </w:pPr>
      <w:r>
        <w:rPr>
          <w:i/>
          <w:sz w:val="20"/>
        </w:rPr>
        <w:t>EN: Triboelectric E‐Skin for Robotic Perception of Hazardous Chemical Leaks</w:t>
      </w:r>
    </w:p>
    <w:p>
      <w:pPr>
        <w:spacing w:before="0" w:after="120"/>
      </w:pPr>
      <w:r>
        <w:rPr>
          <w:b/>
        </w:rPr>
        <w:t xml:space="preserve">Source: </w:t>
      </w:r>
      <w:r>
        <w:t>Wiley: Advanced Materials: Table of Contents</w:t>
      </w:r>
      <w:r>
        <w:t xml:space="preserve">    </w:t>
      </w:r>
      <w:r>
        <w:rPr>
          <w:b/>
        </w:rPr>
        <w:t xml:space="preserve">Pub date: </w:t>
      </w:r>
      <w:r>
        <w:t>2026-08-03 09:47:18+00:00</w:t>
      </w:r>
      <w:r>
        <w:t xml:space="preserve">    </w:t>
      </w:r>
      <w:r>
        <w:rPr>
          <w:b/>
        </w:rPr>
        <w:t xml:space="preserve">DOI: </w:t>
      </w:r>
      <w:hyperlink r:id="rId1008">
        <w:r>
          <w:rPr>
            <w:color w:val="1155CC"/>
            <w:u w:val="single"/>
          </w:rPr>
          <w:t>10.1002/adma.74261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在危险化学品意外泄漏期间，机器人快速识别泄漏液体的化学成分、温度和动态行为将显着降低对人类健康和环境的潜在风险。在这里，我们设计了一种柔性的手掌形液体感应电子皮肤 (PSLSES)，具有 128 个金属电极，通过柔性印刷电路 (FPC) 技术制造，并涂有氟化乙烯丙烯 (FEP) 薄膜。通过沿着液滴轨迹捕获局部摩擦起电信号，PSLSES 实现多模态动态液体传感，同时通过可视化轨迹模式实现液体成分识别、温度传感以及液滴运动跟踪。 PSLSES与一维卷积神经网络（1D CNN）集成，对21种液体实现了99.5%的超高识别精度，监测分辨率高达ppb级，液体温度识别准确率高达98%。其中包括去离子水、酸、碱、盐和有机溶液，展示了广泛的液体识别多功能性。与之前报道的电子皮肤系统相比，它实现了更快的识别（0.3 s）、更低的检测限（0.1 ppb）、更广泛的液体识别和更高的准确度。将 PSLSES 集成到可穿戴机器人系统中，为机器人协助人类分析和处理危险环境中的化学品泄漏开辟了新方法。</w:t>
      </w:r>
    </w:p>
    <w:p>
      <w:pPr>
        <w:spacing w:before="0" w:after="200" w:lineRule="auto" w:line="276"/>
      </w:pPr>
      <w:r>
        <w:rPr>
          <w:b/>
        </w:rPr>
        <w:t xml:space="preserve">Abstract (EN): </w:t>
      </w:r>
      <w:r>
        <w:t>The rapid identification of chemical composition, temperature, and dynamic behavior of leaked liquids by robots during accidental spills of hazardous chemicals would significantly reduce the potential risks to both human health and the environment. Here, we designed a flexible, palm‐shaped liquid‐sensing e‐skin (PSLSES) featuring 128 metal electrodes fabricated via flexible printed circuit (FPC) technology and coated with a fluorinated ethylene propylene (FEP) film. By capturing the local triboelectrification signals along the droplet's trajectory, PSLSES enables multimodal dynamic liquid sensing, simultaneously achieving liquid composition identification, temperature sensing, as well as droplet motion tracking through visualized trajectory patterns. Integrated with a one‐dimensional convolutional neural network (1D CNN), PSLSES achieves an ultrahigh identification accuracy of 99.5% across 21 types of liquids, with a high monitoring resolution down to the ppb level and 98% accuracy in identifying liquid temperature. This includes deionized water, acids, bases, salts, and organic solutions, demonstrating broad liquid identification versatility. Compared with previously reported E‐skin systems, it achieved faster identification (0.3 s), a lower detection limit (0.1 ppb), broader liquid recognition, and higher accuracy. The integration of PSLSES into wearable robotics systems opens new ways for robots to assist humans in analyzing and handling chemical leakage in hazardous environments.</w:t>
      </w:r>
    </w:p>
    <w:p>
      <w:pPr>
        <w:spacing w:before="120" w:after="120"/>
      </w:pPr>
      <w:r>
        <w:rPr>
          <w:sz w:val="18"/>
        </w:rPr>
        <w:t>——————————————————————————————————————————————————————————————————————</w:t>
      </w:r>
    </w:p>
    <w:p>
      <w:pPr>
        <w:spacing w:before="160" w:after="40" w:line="240" w:lineRule="auto"/>
      </w:pPr>
      <w:r>
        <w:rPr>
          <w:b/>
        </w:rPr>
        <w:t xml:space="preserve">[249] </w:t>
      </w:r>
      <w:hyperlink r:id="rId1009">
        <w:r>
          <w:rPr>
            <w:color w:val="1155CC"/>
            <w:u w:val="single"/>
          </w:rPr>
          <w:t>用于快速药物输送和精确剂量监测的电子交织治疗性隐形眼镜系统</w:t>
        </w:r>
      </w:hyperlink>
    </w:p>
    <w:p>
      <w:pPr>
        <w:spacing w:before="0" w:after="80"/>
      </w:pPr>
      <w:r>
        <w:rPr>
          <w:i/>
          <w:sz w:val="20"/>
        </w:rPr>
        <w:t>EN: An E‐interwoven Therapeutic Contact Lens System for Rapid Drug Delivery and Precision Dose Monitoring</w:t>
      </w:r>
    </w:p>
    <w:p>
      <w:pPr>
        <w:spacing w:before="0" w:after="120"/>
      </w:pPr>
      <w:r>
        <w:rPr>
          <w:b/>
        </w:rPr>
        <w:t xml:space="preserve">Source: </w:t>
      </w:r>
      <w:r>
        <w:t>Wiley: Advanced Materials: Table of Contents</w:t>
      </w:r>
      <w:r>
        <w:t xml:space="preserve">    </w:t>
      </w:r>
      <w:r>
        <w:rPr>
          <w:b/>
        </w:rPr>
        <w:t xml:space="preserve">Pub date: </w:t>
      </w:r>
      <w:r>
        <w:t>2026-08-03 09:49:08+00:00</w:t>
      </w:r>
      <w:r>
        <w:t xml:space="preserve">    </w:t>
      </w:r>
      <w:r>
        <w:rPr>
          <w:b/>
        </w:rPr>
        <w:t xml:space="preserve">DOI: </w:t>
      </w:r>
      <w:hyperlink r:id="rId1010">
        <w:r>
          <w:rPr>
            <w:color w:val="1155CC"/>
            <w:u w:val="single"/>
          </w:rPr>
          <w:t>10.1002/adma.74433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的眼压（IOP）管理和快速干预可以保护青光眼患者的视力，但目前的眼部给药系统缺乏原位剂量验证，导致治疗盲点。在这里，我们开发了一种无线治疗智能隐形眼镜（SCL），包含带有实时剂量监测传感器的快速电压触发药物输送系统。电子交织设计将药物输送和传感电极集成在超薄（17.4 µm）三叉指结构中，使电场能够与同一空间区域中的载药水凝胶相互作用。频率匹配策略增强电压耦合，驱动酒石酸溴莫尼定水凝胶在 20 分钟内在房水中达到高浓度，明显快于局部滴眼剂。得益于无线频率漂移和释放剂量之间良好的线性相关性，内置药物剂量传感器具有&lt;2.8 µg 的高精度。在急性青光眼兔模型中，与滴眼液相比，该 SCL 可将峰值 IOP 升高抑制 85.7%。该 SCL 提供了一个高度集成的治疗平台，展示了快速、精确的青光眼治疗的潜力。</w:t>
      </w:r>
    </w:p>
    <w:p>
      <w:pPr>
        <w:spacing w:before="0" w:after="200" w:lineRule="auto" w:line="276"/>
      </w:pPr>
      <w:r>
        <w:rPr>
          <w:b/>
        </w:rPr>
        <w:t xml:space="preserve">Abstract (EN): </w:t>
      </w:r>
      <w:r>
        <w:t>Precise intraocular pressure (IOP) management and rapid intervention preserve glaucoma vision, yet current ocular delivery systems lack in situ dosage verification, causing treatment blind spots. Here, we develop a wireless therapeutic smart contact lens (SCL) containing a rapid voltage‐triggered drug delivery system with a real‐time dosage monitoring sensor. The e‐interwoven design integrates drug delivery and sensing electrodes in an ultra‐thin (17.4 µm) tri‐interdigital configuration, which enables the electric field to interact with the drug‐loaded hydrogel in the same spatial region. A frequency‐matching strategy boosts voltage coupling to drive a brimonidine tartrate‐loaded hydrogel to achieve high concentrations in the aqueous humor in 20 min, significantly faster than topical eye drops. The built‐in drug dose sensor has a high accuracy &amp;lt;2.8 µg, benefiting from the great linear correlation between wireless frequency drift and release dosage. In acute glaucoma rabbit models, this SCL suppresses peak IOP elevation by 85.7% compared to eye drops. This SCL presents a highly integrated therapeutic platform demonstrating potential for rapid and precise glaucoma treatment.</w:t>
      </w:r>
    </w:p>
    <w:p>
      <w:pPr>
        <w:spacing w:before="120" w:after="120"/>
      </w:pPr>
      <w:r>
        <w:rPr>
          <w:sz w:val="18"/>
        </w:rPr>
        <w:t>——————————————————————————————————————————————————————————————————————</w:t>
      </w:r>
    </w:p>
    <w:p>
      <w:pPr>
        <w:spacing w:before="160" w:after="40" w:line="240" w:lineRule="auto"/>
      </w:pPr>
      <w:r>
        <w:rPr>
          <w:b/>
        </w:rPr>
        <w:t xml:space="preserve">[250] </w:t>
      </w:r>
      <w:hyperlink r:id="rId1011">
        <w:r>
          <w:rPr>
            <w:color w:val="1155CC"/>
            <w:u w:val="single"/>
          </w:rPr>
          <w:t>具有 Zigzag B/N 排列的 Triboron 多谐振发射器可实现近简并单重态-三重态，从而实现具有轻微滚降的高性能非敏化 OLED</w:t>
        </w:r>
      </w:hyperlink>
    </w:p>
    <w:p>
      <w:pPr>
        <w:spacing w:before="0" w:after="80"/>
      </w:pPr>
      <w:r>
        <w:rPr>
          <w:i/>
          <w:sz w:val="20"/>
        </w:rPr>
        <w:t>EN: Triboron Multiresonant Emitter With Zigzag B/N Alignment Enables Near‐Degenerate Singlet–Triplet States for High‐Performance Non‐Sensitized OLEDs With Mild Roll‐Off</w:t>
      </w:r>
    </w:p>
    <w:p>
      <w:pPr>
        <w:spacing w:before="0" w:after="120"/>
      </w:pPr>
      <w:r>
        <w:rPr>
          <w:b/>
        </w:rPr>
        <w:t xml:space="preserve">Source: </w:t>
      </w:r>
      <w:r>
        <w:t>Wiley: Advanced Materials: Table of Contents</w:t>
      </w:r>
      <w:r>
        <w:t xml:space="preserve">    </w:t>
      </w:r>
      <w:r>
        <w:rPr>
          <w:b/>
        </w:rPr>
        <w:t xml:space="preserve">Pub date: </w:t>
      </w:r>
      <w:r>
        <w:t>2026-08-03 09:53:25+00:00</w:t>
      </w:r>
      <w:r>
        <w:t xml:space="preserve">    </w:t>
      </w:r>
      <w:r>
        <w:rPr>
          <w:b/>
        </w:rPr>
        <w:t xml:space="preserve">DOI: </w:t>
      </w:r>
      <w:hyperlink r:id="rId1012">
        <w:r>
          <w:rPr>
            <w:color w:val="1155CC"/>
            <w:u w:val="single"/>
          </w:rPr>
          <w:t>10.1002/adma.74444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硼/氮嵌入的多环骨架是有机发光二极管（OLED）中有吸引力的发射体，因为它们将窄带发射与热激活延迟荧光相结合。预计具有锯齿形硼/氮排列的多共振框架的线性延伸将能够实现红色发射、减少单线态-三线态能隙并增强振荡器强度，但实验获得高阶结构仍然具有挑战性。在这里，我们报告了一种位点可编程的逐步硼化策略，用于构建具有锯齿形硼/氮排列的三硼 DABNA 扩展框架，L-DABNA-TriB。我们结合理论和实验研究揭示了从单硼骨架到三硼骨架的渐进线性延伸如何调节电子结构，导致带隙变窄、辐射跃迁增强以及近简并单重态和三重态激发态。重要的是，甲苯中的 L-DABNA-TriB 在 559 nm 处呈现黄橙色发射，半峰全宽为 33 nm/0.13 eV，单重态-三重态能隙约为 100 nm。 4 meV，辐射衰变率为 1.5 × 10</w:t>
      </w:r>
      <w:r>
        <w:rPr>
          <w:vertAlign w:val="subscript"/>
        </w:rPr>
        <w:t>8</w:t>
      </w:r>
      <w:r>
        <w:t>s</w:t>
      </w:r>
      <w:r>
        <w:t xml:space="preserve"> </w:t>
      </w:r>
      <w:r>
        <w:t>−1</w:t>
      </w:r>
      <w:r>
        <w:t xml:space="preserve"> </w:t>
      </w:r>
      <w:r>
        <w:t>。一种基于非敏化OLED</w:t>
      </w:r>
      <w:r>
        <w:t xml:space="preserve"> </w:t>
      </w:r>
      <w:r>
        <w:t>L</w:t>
      </w:r>
      <w:r>
        <w:t xml:space="preserve"> </w:t>
      </w:r>
      <w:r>
        <w:t>‐DABNA-TriB 的最大外量子效率达到 38.0%，并在 1000 cd m 下保持 35.2%</w:t>
      </w:r>
      <w:r>
        <w:t xml:space="preserve"> </w:t>
      </w:r>
      <w:r>
        <w:t>−2</w:t>
      </w:r>
      <w:r>
        <w:t xml:space="preserve"> </w:t>
      </w:r>
      <w:r>
        <w:t>。这项工作将锯齿形硼/氮对齐线性延伸确立为一种有效的分子设计方法</w:t>
      </w:r>
    </w:p>
    <w:p>
      <w:pPr>
        <w:spacing w:before="0" w:after="200" w:lineRule="auto" w:line="276"/>
      </w:pPr>
      <w:r>
        <w:rPr>
          <w:b/>
        </w:rPr>
        <w:t xml:space="preserve">Abstract (EN): </w:t>
      </w:r>
      <w:r>
        <w:t>Boron/nitrogen‐embedded polycyclic frameworks are attractive emitters in organic light‐emitting diodes (OLEDs) because they combine narrowband emission with thermally activated delayed fluorescence. Linear extension of multiresonant frameworks with zigzag boron/nitrogen alignment is predicted to enable bathochromic emission, reduced singlet–triplet energy gaps, and enhanced oscillator strengths, yet experimental access to higher‐order structures remains challenging. Here we report a site‐programmable, stepwise borylation strategy for constructing a triboron DABNA‐extended framework with zigzag boron/nitrogen alignment, L‐DABNA‐TriB. Our combined theoretical and experimental studies reveal how progressive linear extension from mono‐ to tri‐boron frameworks modulates the electronic structure, leading to bandgap narrowing, strengthened radiative transition, and near‐degenerate singlet and triplet excited states. Importantly, L‐DABNA‐TriB in toluene exhibits yellow–orange emission at 559 nm with a narrow full width at half‐maximum of 33 nm/0.13 eV, a singlet–triplet energy gap of ca. 4 meV, and a radiative decay rate of 1.5 × 10</w:t>
      </w:r>
      <w:r>
        <w:rPr>
          <w:vertAlign w:val="subscript"/>
        </w:rPr>
        <w:t>8</w:t>
      </w:r>
      <w:r>
        <w:t>s</w:t>
      </w:r>
      <w:r>
        <w:t xml:space="preserve"> </w:t>
      </w:r>
      <w:r>
        <w:t>−1</w:t>
      </w:r>
      <w:r>
        <w:t xml:space="preserve"> </w:t>
      </w:r>
      <w:r>
        <w:t>. A non‐sensitized OLED based on</w:t>
      </w:r>
      <w:r>
        <w:t xml:space="preserve"> </w:t>
      </w:r>
      <w:r>
        <w:t>L</w:t>
      </w:r>
      <w:r>
        <w:t xml:space="preserve"> </w:t>
      </w:r>
      <w:r>
        <w:t>‐DABNA‐TriB achieves a maximum external quantum efficiency of 38.0% and retains 35.2% at 1000 cd m</w:t>
      </w:r>
      <w:r>
        <w:t xml:space="preserve"> </w:t>
      </w:r>
      <w:r>
        <w:t>−2</w:t>
      </w:r>
      <w:r>
        <w:t xml:space="preserve"> </w:t>
      </w:r>
      <w:r>
        <w:t>. This work establishes zigzag boron/nitrogen‐aligned linear extension as an effective molecular design strategy for narrowband emitters with efficient exciton harvesting at long wavelengths.</w:t>
      </w:r>
    </w:p>
    <w:p>
      <w:pPr>
        <w:spacing w:before="120" w:after="120"/>
      </w:pPr>
      <w:r>
        <w:rPr>
          <w:sz w:val="18"/>
        </w:rPr>
        <w:t>——————————————————————————————————————————————————————————————————————</w:t>
      </w:r>
    </w:p>
    <w:p>
      <w:pPr>
        <w:spacing w:before="160" w:after="40" w:line="240" w:lineRule="auto"/>
      </w:pPr>
      <w:r>
        <w:rPr>
          <w:b/>
        </w:rPr>
        <w:t xml:space="preserve">[251] </w:t>
      </w:r>
      <w:hyperlink r:id="rId1013">
        <w:r>
          <w:rPr>
            <w:color w:val="1155CC"/>
            <w:u w:val="single"/>
          </w:rPr>
          <w:t>穿过层状材料中的整体地下台阶时的双峰摩擦</w:t>
        </w:r>
      </w:hyperlink>
    </w:p>
    <w:p>
      <w:pPr>
        <w:spacing w:before="0" w:after="80"/>
      </w:pPr>
      <w:r>
        <w:rPr>
          <w:i/>
          <w:sz w:val="20"/>
        </w:rPr>
        <w:t>EN: Dual‐Peak Friction Upon Traversing a Monolithic Subsurface Step in Layered Materials</w:t>
      </w:r>
    </w:p>
    <w:p>
      <w:pPr>
        <w:spacing w:before="0" w:after="120"/>
      </w:pPr>
      <w:r>
        <w:rPr>
          <w:b/>
        </w:rPr>
        <w:t xml:space="preserve">Source: </w:t>
      </w:r>
      <w:r>
        <w:t>Wiley: Advanced Materials: Table of Contents</w:t>
      </w:r>
      <w:r>
        <w:t xml:space="preserve">    </w:t>
      </w:r>
      <w:r>
        <w:rPr>
          <w:b/>
        </w:rPr>
        <w:t xml:space="preserve">Pub date: </w:t>
      </w:r>
      <w:r>
        <w:t>2026-08-03 09:56:21+00:00</w:t>
      </w:r>
      <w:r>
        <w:t xml:space="preserve">    </w:t>
      </w:r>
      <w:r>
        <w:rPr>
          <w:b/>
        </w:rPr>
        <w:t xml:space="preserve">DOI: </w:t>
      </w:r>
      <w:hyperlink r:id="rId1014">
        <w:r>
          <w:rPr>
            <w:color w:val="1155CC"/>
            <w:u w:val="single"/>
          </w:rPr>
          <w:t>10.1002/adma.74468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分辨率原子力显微镜（AFM）测量显示，当尖端扫描由几层二维材料覆盖的明确定义的整体台阶时，摩擦力中会出现独特的异常双峰特征，这从根本上偏离了简单地形障碍物预期的传统单峰。通过系统的高分辨率粘滑测量、纳米压痕实验和分子动力学（MD）模拟，这种分叉的摩擦响应归因于阻力和驱动力的异步演变，因为尖端首先暂时固定在台阶的前部，然后固定在台阶的后部。双峰摩擦机制为解决二维材料润滑系​​统中不可避免的阶跃相关挑战提供了新的视角，这对于阐明设备中结构超润滑的摩擦起源至关重要。</w:t>
      </w:r>
    </w:p>
    <w:p>
      <w:pPr>
        <w:spacing w:before="0" w:after="200" w:lineRule="auto" w:line="276"/>
      </w:pPr>
      <w:r>
        <w:rPr>
          <w:b/>
        </w:rPr>
        <w:t xml:space="preserve">Abstract (EN): </w:t>
      </w:r>
      <w:r>
        <w:t>High‐resolution atomic force microscopy (AFM) measurements reveal a distinctive anomalous dual‐peak feature emerges in friction force when the tip scans across a well‐defined monolithic step covered by few‐layer 2D materials, deviating fundamentally from the conventional single‐peak expected for a simple topographic obstacle. Through systematic high‐resolution stick‐slip measurements, nanoindentation experiments, and molecular dynamics (MD) simulations, this bifurcated frictional response is attributed to the asynchronous evolution of the resistive and driving force as the tip becomes transiently pinned first at the front and then at the rear of the step. The dual‐peak friction mechanism provides new perspectives for addressing inevitable step‐related challenges in 2D material lubrication systems, which is essential for elucidating the frictional origins of structural superlubricity in devices.</w:t>
      </w:r>
    </w:p>
    <w:p>
      <w:pPr>
        <w:spacing w:before="120" w:after="120"/>
      </w:pPr>
      <w:r>
        <w:rPr>
          <w:sz w:val="18"/>
        </w:rPr>
        <w:t>——————————————————————————————————————————————————————————————————————</w:t>
      </w:r>
    </w:p>
    <w:p>
      <w:pPr>
        <w:spacing w:before="160" w:after="40" w:line="240" w:lineRule="auto"/>
      </w:pPr>
      <w:r>
        <w:rPr>
          <w:b/>
        </w:rPr>
        <w:t xml:space="preserve">[252] </w:t>
      </w:r>
      <w:hyperlink r:id="rId1015">
        <w:r>
          <w:rPr>
            <w:color w:val="1155CC"/>
            <w:u w:val="single"/>
          </w:rPr>
          <w:t>生长素功能化纳米载体劫持内源运输以实现植物的系统性作物保护</w:t>
        </w:r>
      </w:hyperlink>
    </w:p>
    <w:p>
      <w:pPr>
        <w:spacing w:before="0" w:after="80"/>
      </w:pPr>
      <w:r>
        <w:rPr>
          <w:i/>
          <w:sz w:val="20"/>
        </w:rPr>
        <w:t>EN: Auxin‐Functionalized Nanocarriers Hijack Endogenous Transport for Systemic Crop Protection in Plants</w:t>
      </w:r>
    </w:p>
    <w:p>
      <w:pPr>
        <w:spacing w:before="0" w:after="120"/>
      </w:pPr>
      <w:r>
        <w:rPr>
          <w:b/>
        </w:rPr>
        <w:t xml:space="preserve">Source: </w:t>
      </w:r>
      <w:r>
        <w:t>Wiley: Advanced Materials: Table of Contents</w:t>
      </w:r>
      <w:r>
        <w:t xml:space="preserve">    </w:t>
      </w:r>
      <w:r>
        <w:rPr>
          <w:b/>
        </w:rPr>
        <w:t xml:space="preserve">Pub date: </w:t>
      </w:r>
      <w:r>
        <w:t>2026-08-03 09:58:43+00:00</w:t>
      </w:r>
      <w:r>
        <w:t xml:space="preserve">    </w:t>
      </w:r>
      <w:r>
        <w:rPr>
          <w:b/>
        </w:rPr>
        <w:t xml:space="preserve">DOI: </w:t>
      </w:r>
      <w:hyperlink r:id="rId1016">
        <w:r>
          <w:rPr>
            <w:color w:val="1155CC"/>
            <w:u w:val="single"/>
          </w:rPr>
          <w:t>10.1002/adma.74440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功能剂精确输送到特定植物器官仍然是一个主要挑战，因为合成材料很少进入内源性长距离运输途径。在这里，我们报告了一种生长素功能化纳米载体策略，该策略通过将工程材料与植物信号网络连接来实现可编程的系统运输。纳米载体尺寸调整为~55 nm，以限制内吞作用并有利于细胞外定位，同时在颗粒表面引入生长素基序。该设计建立了一个主要的细胞外界面，劫持极性生长素运输途径。结果，PIN 介导的通量增强，同时 PIN1 上调 10.42 倍，从而实现厘米尺度上从叶到根的定向运输，根积累增加 72.32 倍。这种信号耦合传输机制能够通过叶面喷施对农用化学品（阿维菌素）进行高效的根部靶向递送，实现对根结线虫高达 79.71% 的控制，同时将农药投入量减少一半。此外，绕过土壤施用可将生态安全裕度提高 3.20 倍，并使作物产量增加 16.47%。除了这一应用之外，这项工作还建立了一个通用的设计原则，其中合成材料利用内源信号框架来导航生物运输系统，为系统性作物保护和生物集成材料输送开辟了新的机会。</w:t>
      </w:r>
    </w:p>
    <w:p>
      <w:pPr>
        <w:spacing w:before="0" w:after="200" w:lineRule="auto" w:line="276"/>
      </w:pPr>
      <w:r>
        <w:rPr>
          <w:b/>
        </w:rPr>
        <w:t xml:space="preserve">Abstract (EN): </w:t>
      </w:r>
      <w:r>
        <w:t>Precise delivery of functional agents to specific plant organs remains a central challenge, as synthetic materials rarely access endogenous long‐distance transport pathways. Here, we report an auxin‐functionalized nanocarrier strategy that enables programmable systemic transport by interfacing engineered materials with plant signaling networks. Nanocarrier dimensions were tuned to ∼55 nm to limit endocytosis and favor extracellular localization, while auxin motifs were introduced on the particle surface. This design establishes a predominantly extracellular interface that hijacks polar auxin transport pathways. As a result, PIN‐mediated fluxes are enhanced, accompanied by a 10.42‐fold upregulation of PIN1, enabling directional leaf‐to‐root transport over centimeter scales and a 72.32‐fold increase in root accumulation. This signal‐coupled transport mechanism enables efficient root‐targeted delivery of agrochemical cargos (abamectin) via foliar application, achieving up to 79.71% control of root‐knot nematodes while reducing pesticide input by half. Furthermore, bypassing soil application provides a 3.20‐fold higher ecological safety margin and yields a 16.47% increase in crop production. Beyond this application, the work establishes a generalizable design principle in which synthetic materials exploit endogenous signaling frameworks to navigate biological transport systems, opening new opportunities for systemic crop protection and bio‐integrated material delivery.</w:t>
      </w:r>
    </w:p>
    <w:p>
      <w:pPr>
        <w:spacing w:before="120" w:after="120"/>
      </w:pPr>
      <w:r>
        <w:rPr>
          <w:sz w:val="18"/>
        </w:rPr>
        <w:t>——————————————————————————————————————————————————————————————————————</w:t>
      </w:r>
    </w:p>
    <w:p>
      <w:pPr>
        <w:spacing w:before="160" w:after="40" w:line="240" w:lineRule="auto"/>
      </w:pPr>
      <w:r>
        <w:rPr>
          <w:b/>
        </w:rPr>
        <w:t xml:space="preserve">[253] </w:t>
      </w:r>
      <w:hyperlink r:id="rId1017">
        <w:r>
          <w:rPr>
            <w:color w:val="1155CC"/>
            <w:u w:val="single"/>
          </w:rPr>
          <w:t>使用神经网络变分蒙特卡罗和特征向量延拓有效模拟核基态</w:t>
        </w:r>
      </w:hyperlink>
    </w:p>
    <w:p>
      <w:pPr>
        <w:spacing w:before="0" w:after="80"/>
      </w:pPr>
      <w:r>
        <w:rPr>
          <w:i/>
          <w:sz w:val="20"/>
        </w:rPr>
        <w:t>EN: Efficient emulation of nuclear ground states with neural-network variational Monte Carlo and eigenvector continuation</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18">
        <w:r>
          <w:rPr>
            <w:color w:val="1155CC"/>
            <w:u w:val="single"/>
          </w:rPr>
          <w:t>10.1103/8s5q-rssh</w:t>
        </w:r>
      </w:hyperlink>
    </w:p>
    <w:p>
      <w:pPr>
        <w:spacing w:before="0" w:after="120"/>
      </w:pPr>
      <w:r>
        <w:rPr>
          <w:b/>
        </w:rPr>
        <w:t xml:space="preserve">Notes: </w:t>
      </w:r>
      <w:r>
        <w:t>abstract_source=rss_description</w:t>
      </w:r>
    </w:p>
    <w:p>
      <w:pPr>
        <w:spacing w:before="0" w:after="80" w:lineRule="auto" w:line="276"/>
      </w:pPr>
      <w:r>
        <w:rPr>
          <w:b/>
        </w:rPr>
        <w:t xml:space="preserve">摘要（ZH）: </w:t>
      </w:r>
      <w:r>
        <w:t>作者：李茂、杨一龙、赵鹏巍通过将神经网络变分蒙特卡罗框架 FeynmanNet 与特征向量延拓相结合，开发了一种高效的核基态特性从头计算仿真器。它能够以最少的计算量计算不同哈密顿量的可观测量......[Phys。 Rev. C 114, 024302] 于 2026 年 8 月 3 日星期一发布</w:t>
      </w:r>
    </w:p>
    <w:p>
      <w:pPr>
        <w:spacing w:before="0" w:after="200" w:lineRule="auto" w:line="276"/>
      </w:pPr>
      <w:r>
        <w:rPr>
          <w:b/>
        </w:rPr>
        <w:t xml:space="preserve">Abstract (EN): </w:t>
      </w:r>
      <w:r>
        <w:t>Author(s): Mao Li (李茂), Yilong Yang (杨一龙), and Pengwei Zhao (赵鹏巍)An efficient emulator for ab initio calculations of nuclear ground-state properties is developed by integrating the neural-network variational Monte Carlo framework, FeynmanNet, with the eigenvector continuation. It enables the calculation of observables for different Hamiltonians with minimal compu…[Phys. Rev. C 114, 024302] Published Mon Aug 03, 2026</w:t>
      </w:r>
    </w:p>
    <w:p>
      <w:pPr>
        <w:spacing w:before="120" w:after="120"/>
      </w:pPr>
      <w:r>
        <w:rPr>
          <w:sz w:val="18"/>
        </w:rPr>
        <w:t>——————————————————————————————————————————————————————————————————————</w:t>
      </w:r>
    </w:p>
    <w:p>
      <w:pPr>
        <w:spacing w:before="160" w:after="40" w:line="240" w:lineRule="auto"/>
      </w:pPr>
      <w:r>
        <w:rPr>
          <w:b/>
        </w:rPr>
        <w:t xml:space="preserve">[254] </w:t>
      </w:r>
      <w:hyperlink r:id="rId1019">
        <w:r>
          <w:rPr>
            <w:color w:val="1155CC"/>
            <w:u w:val="single"/>
          </w:rPr>
          <w:t>$^{115}\mathrm{I}$ 中完整的低自旋单粒子激发及其终止演化</w:t>
        </w:r>
      </w:hyperlink>
    </w:p>
    <w:p>
      <w:pPr>
        <w:spacing w:before="0" w:after="80"/>
      </w:pPr>
      <w:r>
        <w:rPr>
          <w:i/>
          <w:sz w:val="20"/>
        </w:rPr>
        <w:t>EN: Complete set of low-spin single-particle excitations in $^{115}\mathrm{I}$ and their evolution toward termination</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20">
        <w:r>
          <w:rPr>
            <w:color w:val="1155CC"/>
            <w:u w:val="single"/>
          </w:rPr>
          <w:t>10.1103/44zk-rh97</w:t>
        </w:r>
      </w:hyperlink>
    </w:p>
    <w:p>
      <w:pPr>
        <w:spacing w:before="0" w:after="120"/>
      </w:pPr>
      <w:r>
        <w:rPr>
          <w:b/>
        </w:rPr>
        <w:t xml:space="preserve">Notes: </w:t>
      </w:r>
      <w:r>
        <w:t>abstract_source=rss_description</w:t>
      </w:r>
    </w:p>
    <w:p>
      <w:pPr>
        <w:spacing w:before="0" w:after="80" w:lineRule="auto" w:line="276"/>
      </w:pPr>
      <w:r>
        <w:rPr>
          <w:b/>
        </w:rPr>
        <w:t xml:space="preserve">摘要（ZH）: </w:t>
      </w:r>
      <w:r>
        <w:t>作者：P. M. Jodidar 等人使用 $^{58}\mathrm{Ni}(^{64}\mathrm{Zn},$ $1α3\mathrm{p})$ 反应和与 MARA 反冲质量分离器耦合的 JUROGAM 3 $γ$ 射线探测器阵列对非常缺乏中子的 $^{115}\mathrm{I}$ 核进行了研究。先前已知的频段已被大幅修改并已扩展......[Phys。 Rev. C 114, 024303] 于 2026 年 8 月 3 日星期一发布</w:t>
      </w:r>
    </w:p>
    <w:p>
      <w:pPr>
        <w:spacing w:before="0" w:after="200" w:lineRule="auto" w:line="276"/>
      </w:pPr>
      <w:r>
        <w:rPr>
          <w:b/>
        </w:rPr>
        <w:t xml:space="preserve">Abstract (EN): </w:t>
      </w:r>
      <w:r>
        <w:t>Author(s): P. M. Jodidar et al.The very neutron-deficient $^{115}\mathrm{I}$ nucleus has been studied using the $^{58}\mathrm{Ni}(^{64}\mathrm{Zn},$ $1α3\mathrm{p})$ reaction and JUROGAM 3 $γ$-ray detector array coupled to the MARA recoil-mass separator. The previously known bands have been largely revised and have been extended …[Phys. Rev. C 114, 024303] Published Mon Aug 03, 2026</w:t>
      </w:r>
    </w:p>
    <w:p>
      <w:pPr>
        <w:spacing w:before="120" w:after="120"/>
      </w:pPr>
      <w:r>
        <w:rPr>
          <w:sz w:val="18"/>
        </w:rPr>
        <w:t>——————————————————————————————————————————————————————————————————————</w:t>
      </w:r>
    </w:p>
    <w:p>
      <w:pPr>
        <w:spacing w:before="160" w:after="40" w:line="240" w:lineRule="auto"/>
      </w:pPr>
      <w:r>
        <w:rPr>
          <w:b/>
        </w:rPr>
        <w:t xml:space="preserve">[255] </w:t>
      </w:r>
      <w:hyperlink r:id="rId1021">
        <w:r>
          <w:rPr>
            <w:color w:val="1155CC"/>
            <w:u w:val="single"/>
          </w:rPr>
          <w:t>使用转移矩阵法系统研究质子放射性</w:t>
        </w:r>
      </w:hyperlink>
    </w:p>
    <w:p>
      <w:pPr>
        <w:spacing w:before="0" w:after="80"/>
      </w:pPr>
      <w:r>
        <w:rPr>
          <w:i/>
          <w:sz w:val="20"/>
        </w:rPr>
        <w:t>EN: Systematic study of proton radioactivity using the transfer matrix method</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22">
        <w:r>
          <w:rPr>
            <w:color w:val="1155CC"/>
            <w:u w:val="single"/>
          </w:rPr>
          <w:t>10.1103/n2xs-8s5j</w:t>
        </w:r>
      </w:hyperlink>
    </w:p>
    <w:p>
      <w:pPr>
        <w:spacing w:before="0" w:after="120"/>
      </w:pPr>
      <w:r>
        <w:rPr>
          <w:b/>
        </w:rPr>
        <w:t xml:space="preserve">Notes: </w:t>
      </w:r>
      <w:r>
        <w:t>abstract_source=rss_description</w:t>
      </w:r>
    </w:p>
    <w:p>
      <w:pPr>
        <w:spacing w:before="0" w:after="80" w:lineRule="auto" w:line="276"/>
      </w:pPr>
      <w:r>
        <w:rPr>
          <w:b/>
        </w:rPr>
        <w:t xml:space="preserve">摘要（ZH）: </w:t>
      </w:r>
      <w:r>
        <w:t>作者：杨海涛、赵中霞、李张艳、李小攀、于公明和鲍晓军质子放射性为质子滴线以外的单粒子结构提供了灵敏的探针，但全局半衰期描述往往受到核结构效应近似处理的限制。我们发现引入一个 ${E}_{\mathrm{mic}}$ 依赖的质子预形成事实......[Phys. Rev. C 114, 024304] 于 2026 年 8 月 3 日星期一发布</w:t>
      </w:r>
    </w:p>
    <w:p>
      <w:pPr>
        <w:spacing w:before="0" w:after="200" w:lineRule="auto" w:line="276"/>
      </w:pPr>
      <w:r>
        <w:rPr>
          <w:b/>
        </w:rPr>
        <w:t xml:space="preserve">Abstract (EN): </w:t>
      </w:r>
      <w:r>
        <w:t>Author(s): Haitao Yang, Zhongxia Zhao, Zhangyan Li, Xiaopan Li, Gongming Yu, and Xiaojun BaoProton radioactivity provides a sensitive probe of single-particle structure beyond the proton drip line, but global half-life descriptions are often limited by the approximate treatment of nuclear-structure effects. We find that introducing an ${E}_{\mathrm{mic}}$-dependent proton preformation fact…[Phys. Rev. C 114, 024304] Published Mon Aug 03, 2026</w:t>
      </w:r>
    </w:p>
    <w:p>
      <w:pPr>
        <w:spacing w:before="120" w:after="120"/>
      </w:pPr>
      <w:r>
        <w:rPr>
          <w:sz w:val="18"/>
        </w:rPr>
        <w:t>——————————————————————————————————————————————————————————————————————</w:t>
      </w:r>
    </w:p>
    <w:p>
      <w:pPr>
        <w:spacing w:before="160" w:after="40" w:line="240" w:lineRule="auto"/>
      </w:pPr>
      <w:r>
        <w:rPr>
          <w:b/>
        </w:rPr>
        <w:t xml:space="preserve">[256] </w:t>
      </w:r>
      <w:hyperlink r:id="rId1023">
        <w:r>
          <w:rPr>
            <w:color w:val="1155CC"/>
            <w:u w:val="single"/>
          </w:rPr>
          <w:t>$l$-在 Cd 和 Sn 的敲除反应中禁止 $M1$ 在 $^{100}\mathrm{Sn}$ 附近的强度</w:t>
        </w:r>
      </w:hyperlink>
    </w:p>
    <w:p>
      <w:pPr>
        <w:spacing w:before="0" w:after="80"/>
      </w:pPr>
      <w:r>
        <w:rPr>
          <w:i/>
          <w:sz w:val="20"/>
        </w:rPr>
        <w:t>EN: $l$-forbidden $M1$ strengths near $^{100}\mathrm{Sn}$ from knockout reactions in Cd and Sn</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24">
        <w:r>
          <w:rPr>
            <w:color w:val="1155CC"/>
            <w:u w:val="single"/>
          </w:rPr>
          <w:t>10.1103/jd5v-hg3c</w:t>
        </w:r>
      </w:hyperlink>
    </w:p>
    <w:p>
      <w:pPr>
        <w:spacing w:before="0" w:after="120"/>
      </w:pPr>
      <w:r>
        <w:rPr>
          <w:b/>
        </w:rPr>
        <w:t xml:space="preserve">Notes: </w:t>
      </w:r>
      <w:r>
        <w:t>abstract_source=rss_description</w:t>
      </w:r>
    </w:p>
    <w:p>
      <w:pPr>
        <w:spacing w:before="0" w:after="80" w:lineRule="auto" w:line="276"/>
      </w:pPr>
      <w:r>
        <w:rPr>
          <w:b/>
        </w:rPr>
        <w:t xml:space="preserve">摘要（ZH）: </w:t>
      </w:r>
      <w:r>
        <w:t>作者：T. J. Gray、K. L. Jones、R. Grzywacz、B. A. Brown、A. Gade、B. C. He、T. Miyagi、A. Peter、M. J. Basson、T. Beck、C. M. Campbell、G. Cerizza、J. Chung-Jung、I. Cox、P. Farris、R. Ghimire、S. Gillespie、M. Grinder、A. Hill、 S. D. Pain、A. Palmisano-Kyle、K. P. Rykaczewski、D. Weisshaar 和 M. Williams 介绍了 $^{104,102}\mathrm{Cd}$ 和 $^{104}\mathrm{Sn}$ 梁上的中子敲除反应。剩余 $^{103,101}\mathrm{Cd}$ 和 $^{103}\mathrm{Sn}$ 核中的状态已填充，包括 $ν{g}_{7/2}$ 字符的低位 $7/{2}^{+}$ 状态。这些状态的半衰期为 $≈400$ ps ...[物理。 Rev. C 114, 024305] 于 2026 年 8 月 3 日星期一发布</w:t>
      </w:r>
    </w:p>
    <w:p>
      <w:pPr>
        <w:spacing w:before="0" w:after="200" w:lineRule="auto" w:line="276"/>
      </w:pPr>
      <w:r>
        <w:rPr>
          <w:b/>
        </w:rPr>
        <w:t xml:space="preserve">Abstract (EN): </w:t>
      </w:r>
      <w:r>
        <w:t>Author(s): T. J. Gray, K. L. Jones, R. Grzywacz, B. A. Brown, A. Gade, B. C. He, T. Miyagi, A. Peter, M. J. Basson, T. Beck, C. M. Campbell, G. Cerizza, J. Chung-Jung, I. Cox, P. Farris, R. Ghimire, S. Gillespie, M. Grinder, A. Hill, S. D. Pain, A. Palmisano-Kyle, K. P. Rykaczewski, D. Weisshaar, and M. WilliamsNeutron knockout reactions on beams of $^{104,102}\mathrm{Cd}$ and $^{104}\mathrm{Sn}$ are presented. States in the residual $^{103,101}\mathrm{Cd}$ and $^{103}\mathrm{Sn}$ nuclei are populated, including low-lying $7/{2}^{+}$ states of $ν{g}_{7/2}$ character. These states have half-lives $≈400$ ps …[Phys. Rev. C 114, 024305] Published Mon Aug 03, 2026</w:t>
      </w:r>
    </w:p>
    <w:p>
      <w:pPr>
        <w:spacing w:before="120" w:after="120"/>
      </w:pPr>
      <w:r>
        <w:rPr>
          <w:sz w:val="18"/>
        </w:rPr>
        <w:t>——————————————————————————————————————————————————————————————————————</w:t>
      </w:r>
    </w:p>
    <w:p>
      <w:pPr>
        <w:spacing w:before="160" w:after="40" w:line="240" w:lineRule="auto"/>
      </w:pPr>
      <w:r>
        <w:rPr>
          <w:b/>
        </w:rPr>
        <w:t xml:space="preserve">[257] </w:t>
      </w:r>
      <w:hyperlink r:id="rId1025">
        <w:r>
          <w:rPr>
            <w:color w:val="1155CC"/>
            <w:u w:val="single"/>
          </w:rPr>
          <w:t>耦合通道表示中 $^{13}\mathrm{O}$($p,p$) 和 $^{14}\mathrm{O}$($p,p$) 反应的伽莫夫壳模型计算</w:t>
        </w:r>
      </w:hyperlink>
    </w:p>
    <w:p>
      <w:pPr>
        <w:spacing w:before="0" w:after="80"/>
      </w:pPr>
      <w:r>
        <w:rPr>
          <w:i/>
          <w:sz w:val="20"/>
        </w:rPr>
        <w:t>EN: Gamow shell model calculations for $^{13}\mathrm{O}$($p,p$) and $^{14}\mathrm{O}$($p,p$) reactions within the coupled-channel representation</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26">
        <w:r>
          <w:rPr>
            <w:color w:val="1155CC"/>
            <w:u w:val="single"/>
          </w:rPr>
          <w:t>10.1103/yytr-2rg3</w:t>
        </w:r>
      </w:hyperlink>
    </w:p>
    <w:p>
      <w:pPr>
        <w:spacing w:before="0" w:after="120"/>
      </w:pPr>
      <w:r>
        <w:rPr>
          <w:b/>
        </w:rPr>
        <w:t xml:space="preserve">Notes: </w:t>
      </w:r>
      <w:r>
        <w:t>abstract_source=rss_description</w:t>
      </w:r>
    </w:p>
    <w:p>
      <w:pPr>
        <w:spacing w:before="0" w:after="80" w:lineRule="auto" w:line="276"/>
      </w:pPr>
      <w:r>
        <w:rPr>
          <w:b/>
        </w:rPr>
        <w:t xml:space="preserve">摘要（ZH）: </w:t>
      </w:r>
      <w:r>
        <w:t>作者：N. Chen、J. G. Li、N. Michel、M. R. Xie、Q. Yuan 和 W. Zuo我们提出了 $^{13}\mathrm{O}$($p,p$) 和 $^{14}\mathrm{O}$($p,p$) 弹性散射反应的耦合通道伽莫夫壳模型 (GSM-CC) 计算$\mathrm{核心}+\mathrm{化合价}$核子图片。在这个统一的框架内，我们研究了结构和散射特性......[Phys。 Rev. C 114, 024306] 于 2026 年 8 月 3 日星期一发布</w:t>
      </w:r>
    </w:p>
    <w:p>
      <w:pPr>
        <w:spacing w:before="0" w:after="200" w:lineRule="auto" w:line="276"/>
      </w:pPr>
      <w:r>
        <w:rPr>
          <w:b/>
        </w:rPr>
        <w:t xml:space="preserve">Abstract (EN): </w:t>
      </w:r>
      <w:r>
        <w:t>Author(s): N. Chen, J. G. Li, N. Michel, M. R. Xie, Q. Yuan, and W. ZuoWe present coupled-channel Gamow shell model (GSM-CC) calculations of the $^{13}\mathrm{O}$($p,p$) and $^{14}\mathrm{O}$($p,p$) elastic-scattering reactions in the $\mathrm{core}+\mathrm{valence}$ nucleon picture. Within this unified framework, we investigate the structural and scattering properties…[Phys. Rev. C 114, 024306] Published Mon Aug 03, 2026</w:t>
      </w:r>
    </w:p>
    <w:p>
      <w:pPr>
        <w:spacing w:before="120" w:after="120"/>
      </w:pPr>
      <w:r>
        <w:rPr>
          <w:sz w:val="18"/>
        </w:rPr>
        <w:t>——————————————————————————————————————————————————————————————————————</w:t>
      </w:r>
    </w:p>
    <w:p>
      <w:pPr>
        <w:spacing w:before="160" w:after="40" w:line="240" w:lineRule="auto"/>
      </w:pPr>
      <w:r>
        <w:rPr>
          <w:b/>
        </w:rPr>
        <w:t xml:space="preserve">[258] </w:t>
      </w:r>
      <w:hyperlink r:id="rId1027">
        <w:r>
          <w:rPr>
            <w:color w:val="1155CC"/>
            <w:u w:val="single"/>
          </w:rPr>
          <w:t>$^{60}\mathrm{Cu}$ 中的高自旋态及其对镜像核 $^{60}\mathrm{Ga}$ 中态的影响</w:t>
        </w:r>
      </w:hyperlink>
    </w:p>
    <w:p>
      <w:pPr>
        <w:spacing w:before="0" w:after="80"/>
      </w:pPr>
      <w:r>
        <w:rPr>
          <w:i/>
          <w:sz w:val="20"/>
        </w:rPr>
        <w:t>EN: High-spin states in $^{60}\mathrm{Cu}$ and implications for states in the mirror nucleus $^{60}\mathrm{Ga}$</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28">
        <w:r>
          <w:rPr>
            <w:color w:val="1155CC"/>
            <w:u w:val="single"/>
          </w:rPr>
          <w:t>10.1103/mfz2-qldg</w:t>
        </w:r>
      </w:hyperlink>
    </w:p>
    <w:p>
      <w:pPr>
        <w:spacing w:before="0" w:after="120"/>
      </w:pPr>
      <w:r>
        <w:rPr>
          <w:b/>
        </w:rPr>
        <w:t xml:space="preserve">Notes: </w:t>
      </w:r>
      <w:r>
        <w:t>abstract_source=rss_description</w:t>
      </w:r>
    </w:p>
    <w:p>
      <w:pPr>
        <w:spacing w:before="0" w:after="80" w:lineRule="auto" w:line="276"/>
      </w:pPr>
      <w:r>
        <w:rPr>
          <w:b/>
        </w:rPr>
        <w:t xml:space="preserve">摘要（ZH）: </w:t>
      </w:r>
      <w:r>
        <w:t>作者：D. Rudolph、I. Ragnarsson、C. J. Chiara、W. Reviol、C. Andreoiu、M. P. Carpenter、R. J. Charity、J. Ekman、C. Fahlander、R. du Rietz、D. Seweryniak 和 L. G. Sobotka 对 $^{60}\mathrm{Cu}$ 中的高自旋态进行了研究反应通道选择的$γ$射线光谱。数据来自三个实验，这些实验在相似的光束能量下使用相同的聚变蒸发反应。 Gammasphere $γ$ 射线光谱仪与 Microball CsI 结合使用（T…[Phys. Rev. C 114, 024307] 2026 年 8 月 3 日星期一发布</w:t>
      </w:r>
    </w:p>
    <w:p>
      <w:pPr>
        <w:spacing w:before="0" w:after="200" w:lineRule="auto" w:line="276"/>
      </w:pPr>
      <w:r>
        <w:rPr>
          <w:b/>
        </w:rPr>
        <w:t xml:space="preserve">Abstract (EN): </w:t>
      </w:r>
      <w:r>
        <w:t>Author(s): D. Rudolph, I. Ragnarsson, C. J. Chiara, W. Reviol, C. Andreoiu, M. P. Carpenter, R. J. Charity, J. Ekman, C. Fahlander, R. du Rietz, D. Seweryniak, and L. G. SobotkaHigh-spin states in $^{60}\mathrm{Cu}$ are investigated on the basis of reaction-channel-selected $γ$-ray spectroscopy. Data stem from three experiments that used the same fusion-evaporation reaction at similar beam energies. The Gammasphere $γ$-ray spectrometer was combined with the Microball CsI(T…[Phys. Rev. C 114, 024307] Published Mon Aug 03, 2026</w:t>
      </w:r>
    </w:p>
    <w:p>
      <w:pPr>
        <w:spacing w:before="120" w:after="120"/>
      </w:pPr>
      <w:r>
        <w:rPr>
          <w:sz w:val="18"/>
        </w:rPr>
        <w:t>——————————————————————————————————————————————————————————————————————</w:t>
      </w:r>
    </w:p>
    <w:p>
      <w:pPr>
        <w:spacing w:before="160" w:after="40" w:line="240" w:lineRule="auto"/>
      </w:pPr>
      <w:r>
        <w:rPr>
          <w:b/>
        </w:rPr>
        <w:t xml:space="preserve">[259] </w:t>
      </w:r>
      <w:hyperlink r:id="rId1029">
        <w:r>
          <w:rPr>
            <w:color w:val="1155CC"/>
            <w:u w:val="single"/>
          </w:rPr>
          <w:t>破译重离子碰撞中粒子横向动量谱的通用标度</w:t>
        </w:r>
      </w:hyperlink>
    </w:p>
    <w:p>
      <w:pPr>
        <w:spacing w:before="0" w:after="80"/>
      </w:pPr>
      <w:r>
        <w:rPr>
          <w:i/>
          <w:sz w:val="20"/>
        </w:rPr>
        <w:t>EN: Deciphering the universal scaling of particle transverse momentum spectra in heavy-ion collisions</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30">
        <w:r>
          <w:rPr>
            <w:color w:val="1155CC"/>
            <w:u w:val="single"/>
          </w:rPr>
          <w:t>10.1103/2dp4-q43h</w:t>
        </w:r>
      </w:hyperlink>
    </w:p>
    <w:p>
      <w:pPr>
        <w:spacing w:before="0" w:after="120"/>
      </w:pPr>
      <w:r>
        <w:rPr>
          <w:b/>
        </w:rPr>
        <w:t xml:space="preserve">Notes: </w:t>
      </w:r>
      <w:r>
        <w:t>abstract_source=rss_description</w:t>
      </w:r>
    </w:p>
    <w:p>
      <w:pPr>
        <w:spacing w:before="0" w:after="80" w:lineRule="auto" w:line="276"/>
      </w:pPr>
      <w:r>
        <w:rPr>
          <w:b/>
        </w:rPr>
        <w:t xml:space="preserve">摘要（ZH）: </w:t>
      </w:r>
      <w:r>
        <w:t>作者：郭熙耀、郑华、张文超、朱立林、刘兴全、谭志光、周代梅和萨本浩我们系统地研究了$\mathrm{Au}+\mathrm{Au}$碰撞中π介子、Ka介子和质子横向动量谱的标度特性$\sqrt{{s}_{NN}}=7.7$、11.5、14.5、19.6、27、39、62.4 和 200 GeV，以及在 $\sqrt{{s}_{NN}}=19 处的 $\mathrm{U}+\mathrm{U}$ 碰撞…[Phys. Rev. C 114, 024902] 于 2026 年 8 月 3 日星期一发布</w:t>
      </w:r>
    </w:p>
    <w:p>
      <w:pPr>
        <w:spacing w:before="0" w:after="200" w:lineRule="auto" w:line="276"/>
      </w:pPr>
      <w:r>
        <w:rPr>
          <w:b/>
        </w:rPr>
        <w:t xml:space="preserve">Abstract (EN): </w:t>
      </w:r>
      <w:r>
        <w:t>Author(s): Xi-Yao Guo, Hua Zheng, Wen-Chao Zhang, Li-Lin Zhu, Xing-Quan Liu, Zhi-Guang Tan, Dai-Mei Zhou, and Ben-Hao SaWe systematically investigate the scaling properties of the transverse momentum spectra for pions, kaons, and protons in $\mathrm{Au}+\mathrm{Au}$ collisions at $\sqrt{{s}_{NN}}=7.7$, 11.5, 14.5, 19.6, 27, 39, 62.4, and 200 GeV, as well as in $\mathrm{U}+\mathrm{U}$ collisions at $\sqrt{{s}_{NN}}=19…[Phys. Rev. C 114, 024902] Published Mon Aug 03, 2026</w:t>
      </w:r>
    </w:p>
    <w:p>
      <w:pPr>
        <w:spacing w:before="120" w:after="120"/>
      </w:pPr>
      <w:r>
        <w:rPr>
          <w:sz w:val="18"/>
        </w:rPr>
        <w:t>——————————————————————————————————————————————————————————————————————</w:t>
      </w:r>
    </w:p>
    <w:p>
      <w:pPr>
        <w:spacing w:before="160" w:after="40" w:line="240" w:lineRule="auto"/>
      </w:pPr>
      <w:r>
        <w:rPr>
          <w:b/>
        </w:rPr>
        <w:t xml:space="preserve">[260] </w:t>
      </w:r>
      <w:hyperlink r:id="rId1031">
        <w:r>
          <w:rPr>
            <w:color w:val="1155CC"/>
            <w:u w:val="single"/>
          </w:rPr>
          <w:t>通过角动量投影探测过渡核中的四重变形</w:t>
        </w:r>
      </w:hyperlink>
    </w:p>
    <w:p>
      <w:pPr>
        <w:spacing w:before="0" w:after="80"/>
      </w:pPr>
      <w:r>
        <w:rPr>
          <w:i/>
          <w:sz w:val="20"/>
        </w:rPr>
        <w:t>EN: Probing quadruple deformation in transitional nuclei via angular momentum projection</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32">
        <w:r>
          <w:rPr>
            <w:color w:val="1155CC"/>
            <w:u w:val="single"/>
          </w:rPr>
          <w:t>10.1103/29sg-clv3</w:t>
        </w:r>
      </w:hyperlink>
    </w:p>
    <w:p>
      <w:pPr>
        <w:spacing w:before="0" w:after="120"/>
      </w:pPr>
      <w:r>
        <w:rPr>
          <w:b/>
        </w:rPr>
        <w:t xml:space="preserve">Notes: </w:t>
      </w:r>
      <w:r>
        <w:t>abstract_source=rss_description</w:t>
      </w:r>
    </w:p>
    <w:p>
      <w:pPr>
        <w:spacing w:before="0" w:after="80" w:lineRule="auto" w:line="276"/>
      </w:pPr>
      <w:r>
        <w:rPr>
          <w:b/>
        </w:rPr>
        <w:t xml:space="preserve">摘要（ZH）: </w:t>
      </w:r>
      <w:r>
        <w:t>作者：赵先志、王胜男、张宇 在相互作用玻色子模型 (IBM) 中，通过本征相干态的角动量投影对过渡核进行几何分析。结果表明，计算中的 $K$ 混合效应通常可以忽略不计，验证了 $K$ 固定项目的使用......[Phys。 Rev. C 114, 024301] 于 2026 年 8 月 3 日星期一发布</w:t>
      </w:r>
    </w:p>
    <w:p>
      <w:pPr>
        <w:spacing w:before="0" w:after="200" w:lineRule="auto" w:line="276"/>
      </w:pPr>
      <w:r>
        <w:rPr>
          <w:b/>
        </w:rPr>
        <w:t xml:space="preserve">Abstract (EN): </w:t>
      </w:r>
      <w:r>
        <w:t>Author(s): Xian-Zhi Zhao, Sheng-Nan Wang, and Yu ZhangWithin the interacting boson model (IBM), a geometric analysis of transitional nuclei is carried out through angular momentum projection of the intrinsic coherent state. The results indicate that $K$-mixing effects in the calculations are typically negligible, validating the use of $K$-fixed project…[Phys. Rev. C 114, 024301] Published Mon Aug 03, 2026</w:t>
      </w:r>
    </w:p>
    <w:p>
      <w:pPr>
        <w:spacing w:before="120" w:after="120"/>
      </w:pPr>
      <w:r>
        <w:rPr>
          <w:sz w:val="18"/>
        </w:rPr>
        <w:t>——————————————————————————————————————————————————————————————————————</w:t>
      </w:r>
    </w:p>
    <w:p>
      <w:pPr>
        <w:spacing w:before="160" w:after="40" w:line="240" w:lineRule="auto"/>
      </w:pPr>
      <w:r>
        <w:rPr>
          <w:b/>
        </w:rPr>
        <w:t xml:space="preserve">[261] </w:t>
      </w:r>
      <w:hyperlink r:id="rId1033">
        <w:r>
          <w:rPr>
            <w:color w:val="1155CC"/>
            <w:u w:val="single"/>
          </w:rPr>
          <w:t>封闭量子系统中重复时间的严格界限</w:t>
        </w:r>
      </w:hyperlink>
    </w:p>
    <w:p>
      <w:pPr>
        <w:spacing w:before="0" w:after="80"/>
      </w:pPr>
      <w:r>
        <w:rPr>
          <w:i/>
          <w:sz w:val="20"/>
        </w:rPr>
        <w:t>EN: Tight Bounds on Recurrence Time in Closed Quantum Systems</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34">
        <w:r>
          <w:rPr>
            <w:color w:val="1155CC"/>
            <w:u w:val="single"/>
          </w:rPr>
          <w:t>10.1103/crwj-qfw5</w:t>
        </w:r>
      </w:hyperlink>
    </w:p>
    <w:p>
      <w:pPr>
        <w:spacing w:before="0" w:after="120"/>
      </w:pPr>
      <w:r>
        <w:rPr>
          <w:b/>
        </w:rPr>
        <w:t xml:space="preserve">Notes: </w:t>
      </w:r>
      <w:r>
        <w:t>abstract_source=rss_description</w:t>
      </w:r>
    </w:p>
    <w:p>
      <w:pPr>
        <w:spacing w:before="0" w:after="80" w:lineRule="auto" w:line="276"/>
      </w:pPr>
      <w:r>
        <w:rPr>
          <w:b/>
        </w:rPr>
        <w:t xml:space="preserve">摘要（ZH）: </w:t>
      </w:r>
      <w:r>
        <w:t>作者：Marcin Kotowski 和 Michał Oszmaniec 孤立量子系统的演化不可避免地表现出递归性：状态在有限时间后返回到其初始条件附近。尽管具有基本性质，但仍缺乏对复发的严格定量理解。我们建立了复发的上限……[物理。莱特牧师。 137, 060402] 发布于 2026 年 8 月 3 日星期一</w:t>
      </w:r>
    </w:p>
    <w:p>
      <w:pPr>
        <w:spacing w:before="0" w:after="200" w:lineRule="auto" w:line="276"/>
      </w:pPr>
      <w:r>
        <w:rPr>
          <w:b/>
        </w:rPr>
        <w:t xml:space="preserve">Abstract (EN): </w:t>
      </w:r>
      <w:r>
        <w:t>Author(s): Marcin Kotowski and Michał OszmaniecThe evolution of an isolated quantum system inevitably exhibits recurrence: the state returns to the vicinity of its initial condition after finite time. Despite its fundamental nature, a rigorous quantitative understanding of recurrence has been lacking. We establish upper bounds on the recurrence …[Phys. Rev. Lett. 137, 060402] Published Mon Aug 03, 2026</w:t>
      </w:r>
    </w:p>
    <w:p>
      <w:pPr>
        <w:spacing w:before="120" w:after="120"/>
      </w:pPr>
      <w:r>
        <w:rPr>
          <w:sz w:val="18"/>
        </w:rPr>
        <w:t>——————————————————————————————————————————————————————————————————————</w:t>
      </w:r>
    </w:p>
    <w:p>
      <w:pPr>
        <w:spacing w:before="160" w:after="40" w:line="240" w:lineRule="auto"/>
      </w:pPr>
      <w:r>
        <w:rPr>
          <w:b/>
        </w:rPr>
        <w:t xml:space="preserve">[262] </w:t>
      </w:r>
      <w:hyperlink r:id="rId1035">
        <w:r>
          <w:rPr>
            <w:color w:val="1155CC"/>
            <w:u w:val="single"/>
          </w:rPr>
          <w:t>在片上声子晶体中捕获彩虹</w:t>
        </w:r>
      </w:hyperlink>
    </w:p>
    <w:p>
      <w:pPr>
        <w:spacing w:before="0" w:after="80"/>
      </w:pPr>
      <w:r>
        <w:rPr>
          <w:i/>
          <w:sz w:val="20"/>
        </w:rPr>
        <w:t>EN: Capturing Rainbow in On-Chip Phononic Crystals</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36">
        <w:r>
          <w:rPr>
            <w:color w:val="1155CC"/>
            <w:u w:val="single"/>
          </w:rPr>
          <w:t>10.1103/bkg4-9pr4</w:t>
        </w:r>
      </w:hyperlink>
    </w:p>
    <w:p>
      <w:pPr>
        <w:spacing w:before="0" w:after="120"/>
      </w:pPr>
      <w:r>
        <w:rPr>
          <w:b/>
        </w:rPr>
        <w:t xml:space="preserve">Notes: </w:t>
      </w:r>
      <w:r>
        <w:t>abstract_source=rss_description</w:t>
      </w:r>
    </w:p>
    <w:p>
      <w:pPr>
        <w:spacing w:before="0" w:after="80" w:lineRule="auto" w:line="276"/>
      </w:pPr>
      <w:r>
        <w:rPr>
          <w:b/>
        </w:rPr>
        <w:t xml:space="preserve">摘要（ZH）: </w:t>
      </w:r>
      <w:r>
        <w:t>Author(s): Riyi Zheng, Weijian Xie, Xinhua Wen, Weiyin Deng, Manzhu Ke, Jiuyang Lu, Xueqin Huang, and Zhengyou LiuTwo experiments demonstrate a promising platform for trapping, sorting, and directing vibrational energy.[Phys. Rev. Lett. 137, 066602] Published Mon Aug 03, 2026</w:t>
      </w:r>
    </w:p>
    <w:p>
      <w:pPr>
        <w:spacing w:before="0" w:after="200" w:lineRule="auto" w:line="276"/>
      </w:pPr>
      <w:r>
        <w:rPr>
          <w:b/>
        </w:rPr>
        <w:t xml:space="preserve">Abstract (EN): </w:t>
      </w:r>
      <w:r>
        <w:t>Author(s): Riyi Zheng, Weijian Xie, Xinhua Wen, Weiyin Deng, Manzhu Ke, Jiuyang Lu, Xueqin Huang, and Zhengyou LiuTwo experiments demonstrate a promising platform for trapping, sorting, and directing vibrational energy.[Phys. Rev. Lett. 137, 066602] Published Mon Aug 03, 2026</w:t>
      </w:r>
    </w:p>
    <w:p>
      <w:pPr>
        <w:spacing w:before="120" w:after="120"/>
      </w:pPr>
      <w:r>
        <w:rPr>
          <w:sz w:val="18"/>
        </w:rPr>
        <w:t>——————————————————————————————————————————————————————————————————————</w:t>
      </w:r>
    </w:p>
    <w:p>
      <w:pPr>
        <w:spacing w:before="160" w:after="40" w:line="240" w:lineRule="auto"/>
      </w:pPr>
      <w:r>
        <w:rPr>
          <w:b/>
        </w:rPr>
        <w:t xml:space="preserve">[263] </w:t>
      </w:r>
      <w:hyperlink r:id="rId1037">
        <w:r>
          <w:rPr>
            <w:color w:val="1155CC"/>
            <w:u w:val="single"/>
          </w:rPr>
          <w:t>纤毛虫的限制诱导运动</w:t>
        </w:r>
      </w:hyperlink>
    </w:p>
    <w:p>
      <w:pPr>
        <w:spacing w:before="0" w:after="80"/>
      </w:pPr>
      <w:r>
        <w:rPr>
          <w:i/>
          <w:sz w:val="20"/>
        </w:rPr>
        <w:t>EN: Confinement-Induced Motion of Ciliates</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38">
        <w:r>
          <w:rPr>
            <w:color w:val="1155CC"/>
            <w:u w:val="single"/>
          </w:rPr>
          <w:t>10.1103/c9nx-h2jk</w:t>
        </w:r>
      </w:hyperlink>
    </w:p>
    <w:p>
      <w:pPr>
        <w:spacing w:before="0" w:after="120"/>
      </w:pPr>
      <w:r>
        <w:rPr>
          <w:b/>
        </w:rPr>
        <w:t xml:space="preserve">Notes: </w:t>
      </w:r>
      <w:r>
        <w:t>abstract_source=rss_description</w:t>
      </w:r>
    </w:p>
    <w:p>
      <w:pPr>
        <w:spacing w:before="0" w:after="80" w:lineRule="auto" w:line="276"/>
      </w:pPr>
      <w:r>
        <w:rPr>
          <w:b/>
        </w:rPr>
        <w:t xml:space="preserve">摘要（ZH）: </w:t>
      </w:r>
      <w:r>
        <w:t>作者：G. C. Antunes、C. Obst 和 H. Stark 在微型游泳器的理论中，鞭毛和纤毛跳动的时间动力学经常被忽视，最常见的模型规定了周围流体的时间常数驱动。通过明确地引入异时波，粗粒度到正弦表面滑移速度，我们展示了……[物理。莱特牧师。 137, 068301] 发布于 2026 年 8 月 3 日星期一</w:t>
      </w:r>
    </w:p>
    <w:p>
      <w:pPr>
        <w:spacing w:before="0" w:after="200" w:lineRule="auto" w:line="276"/>
      </w:pPr>
      <w:r>
        <w:rPr>
          <w:b/>
        </w:rPr>
        <w:t xml:space="preserve">Abstract (EN): </w:t>
      </w:r>
      <w:r>
        <w:t>Author(s): G. C. Antunes, C. Obst, and H. StarkThe time dynamics of flagellar and ciliary beating is often neglected in theories of microswimmers, with the most common models prescribing a time-constant actuation of the surrounding fluid. By explicitly introducing a metachronal wave, coarse-grained to a sinusoidal surface slip velocity, we show …[Phys. Rev. Lett. 137, 068301] Published Mon Aug 03, 2026</w:t>
      </w:r>
    </w:p>
    <w:p>
      <w:pPr>
        <w:spacing w:before="120" w:after="120"/>
      </w:pPr>
      <w:r>
        <w:rPr>
          <w:sz w:val="18"/>
        </w:rPr>
        <w:t>——————————————————————————————————————————————————————————————————————</w:t>
      </w:r>
    </w:p>
    <w:p>
      <w:pPr>
        <w:spacing w:before="160" w:after="40" w:line="240" w:lineRule="auto"/>
      </w:pPr>
      <w:r>
        <w:rPr>
          <w:b/>
        </w:rPr>
        <w:t xml:space="preserve">[264] </w:t>
      </w:r>
      <w:hyperlink r:id="rId1039">
        <w:r>
          <w:rPr>
            <w:color w:val="1155CC"/>
            <w:u w:val="single"/>
          </w:rPr>
          <w:t>局域性对遍历性的阻碍和$\mathrm{U}(1)$格子上的更高对称性</w:t>
        </w:r>
      </w:hyperlink>
    </w:p>
    <w:p>
      <w:pPr>
        <w:spacing w:before="0" w:after="80"/>
      </w:pPr>
      <w:r>
        <w:rPr>
          <w:i/>
          <w:sz w:val="20"/>
        </w:rPr>
        <w:t>EN: Obstruction to Ergodicity from Locality and $\mathrm{U}(1)$ Higher Symmetries on the Lattice</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40">
        <w:r>
          <w:rPr>
            <w:color w:val="1155CC"/>
            <w:u w:val="single"/>
          </w:rPr>
          <w:t>10.1103/6dpg-bt89</w:t>
        </w:r>
      </w:hyperlink>
    </w:p>
    <w:p>
      <w:pPr>
        <w:spacing w:before="0" w:after="120"/>
      </w:pPr>
      <w:r>
        <w:rPr>
          <w:b/>
        </w:rPr>
        <w:t xml:space="preserve">Notes: </w:t>
      </w:r>
      <w:r>
        <w:t>abstract_source=rss_description</w:t>
      </w:r>
    </w:p>
    <w:p>
      <w:pPr>
        <w:spacing w:before="0" w:after="80" w:lineRule="auto" w:line="276"/>
      </w:pPr>
      <w:r>
        <w:rPr>
          <w:b/>
        </w:rPr>
        <w:t xml:space="preserve">摘要（ZH）: </w:t>
      </w:r>
      <w:r>
        <w:t>作者：Ramanjit Sohal 和 Ruben Verresen 我们认为，在温和的假设下，任何精确的 U(1) 高阶对称性的存在都会对具有局域相互作用和有限现场希尔伯特空间维数的晶格系统中酉动力学下的遍历性构成根本障碍。着眼于二维情况，我们表明......[物理。莱特牧师。 137, 060401] 发布于 2026 年 8 月 3 日星期一</w:t>
      </w:r>
    </w:p>
    <w:p>
      <w:pPr>
        <w:spacing w:before="0" w:after="200" w:lineRule="auto" w:line="276"/>
      </w:pPr>
      <w:r>
        <w:rPr>
          <w:b/>
        </w:rPr>
        <w:t xml:space="preserve">Abstract (EN): </w:t>
      </w:r>
      <w:r>
        <w:t>Author(s): Ramanjit Sohal and Ruben VerresenWe argue that the presence of any exact U(1) higher-form symmetry, under mild assumptions, presents a fundamental obstruction to ergodicity under unitary dynamics in lattice systems with local interactions and finite on-site Hilbert space dimension. Focusing on the two-dimensional case, we show that…[Phys. Rev. Lett. 137, 060401] Published Mon Aug 03, 2026</w:t>
      </w:r>
    </w:p>
    <w:p>
      <w:pPr>
        <w:spacing w:before="120" w:after="120"/>
      </w:pPr>
      <w:r>
        <w:rPr>
          <w:sz w:val="18"/>
        </w:rPr>
        <w:t>——————————————————————————————————————————————————————————————————————</w:t>
      </w:r>
    </w:p>
    <w:p>
      <w:pPr>
        <w:spacing w:before="160" w:after="40" w:line="240" w:lineRule="auto"/>
      </w:pPr>
      <w:r>
        <w:rPr>
          <w:b/>
        </w:rPr>
        <w:t xml:space="preserve">[265] </w:t>
      </w:r>
      <w:hyperlink r:id="rId1041">
        <w:r>
          <w:rPr>
            <w:color w:val="1155CC"/>
            <w:u w:val="single"/>
          </w:rPr>
          <w:t>$\sqrt{s}=5.02 \mathrm{TeV}$ 质子-质子碰撞中奇异值产生与带电粒子多重性的关系</w:t>
        </w:r>
      </w:hyperlink>
    </w:p>
    <w:p>
      <w:pPr>
        <w:spacing w:before="0" w:after="80"/>
      </w:pPr>
      <w:r>
        <w:rPr>
          <w:i/>
          <w:sz w:val="20"/>
        </w:rPr>
        <w:t>EN: Strangeness production as a function of charged-particle multiplicity in proton-proton collisions at $\sqrt{s}=5.02 \mathrm{TeV}$</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42">
        <w:r>
          <w:rPr>
            <w:color w:val="1155CC"/>
            <w:u w:val="single"/>
          </w:rPr>
          <w:t>10.1103/xtf2-bsc9</w:t>
        </w:r>
      </w:hyperlink>
    </w:p>
    <w:p>
      <w:pPr>
        <w:spacing w:before="0" w:after="120"/>
      </w:pPr>
      <w:r>
        <w:rPr>
          <w:b/>
        </w:rPr>
        <w:t xml:space="preserve">Notes: </w:t>
      </w:r>
      <w:r>
        <w:t>abstract_source=rss_description</w:t>
      </w:r>
    </w:p>
    <w:p>
      <w:pPr>
        <w:spacing w:before="0" w:after="80" w:lineRule="auto" w:line="276"/>
      </w:pPr>
      <w:r>
        <w:rPr>
          <w:b/>
        </w:rPr>
        <w:t xml:space="preserve">摘要（ZH）: </w:t>
      </w:r>
      <w:r>
        <w:t>作者：I. J. Abualrob 等人(ALICE 协作)(多)奇怪粒子产生速率和横向动量分布在中速下测量 $(|y|[Phys. Rev. C 114, 024901] 于 2026 年 8 月 3 日星期一发布</w:t>
      </w:r>
    </w:p>
    <w:p>
      <w:pPr>
        <w:spacing w:before="0" w:after="200" w:lineRule="auto" w:line="276"/>
      </w:pPr>
      <w:r>
        <w:rPr>
          <w:b/>
        </w:rPr>
        <w:t xml:space="preserve">Abstract (EN): </w:t>
      </w:r>
      <w:r>
        <w:t>Author(s): I. J. Abualrob et al. (ALICE Collaboration)(Multi-)strange particle production rates and transverse momentum distributions are measured at midrapidity $(|y|[Phys. Rev. C 114, 024901] Published Mon Aug 03, 2026</w:t>
      </w:r>
    </w:p>
    <w:p>
      <w:pPr>
        <w:spacing w:before="120" w:after="120"/>
      </w:pPr>
      <w:r>
        <w:rPr>
          <w:sz w:val="18"/>
        </w:rPr>
        <w:t>——————————————————————————————————————————————————————————————————————</w:t>
      </w:r>
    </w:p>
    <w:p>
      <w:pPr>
        <w:spacing w:before="160" w:after="40" w:line="240" w:lineRule="auto"/>
      </w:pPr>
      <w:r>
        <w:rPr>
          <w:b/>
        </w:rPr>
        <w:t xml:space="preserve">[266] </w:t>
      </w:r>
      <w:hyperlink r:id="rId1043">
        <w:r>
          <w:rPr>
            <w:color w:val="1155CC"/>
            <w:u w:val="single"/>
          </w:rPr>
          <w:t>质子-氘核弹性散射的相对论性和非相对论性 Faddeev 计算的比较</w:t>
        </w:r>
      </w:hyperlink>
    </w:p>
    <w:p>
      <w:pPr>
        <w:spacing w:before="0" w:after="80"/>
      </w:pPr>
      <w:r>
        <w:rPr>
          <w:i/>
          <w:sz w:val="20"/>
        </w:rPr>
        <w:t>EN: Comparison of relativistic and nonrelativistic Faddeev calculations for proton-deuteron elastic scattering</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44">
        <w:r>
          <w:rPr>
            <w:color w:val="1155CC"/>
            <w:u w:val="single"/>
          </w:rPr>
          <w:t>10.1103/cjf3-hk9v</w:t>
        </w:r>
      </w:hyperlink>
    </w:p>
    <w:p>
      <w:pPr>
        <w:spacing w:before="0" w:after="120"/>
      </w:pPr>
      <w:r>
        <w:rPr>
          <w:b/>
        </w:rPr>
        <w:t xml:space="preserve">Notes: </w:t>
      </w:r>
      <w:r>
        <w:t>abstract_source=rss_description</w:t>
      </w:r>
    </w:p>
    <w:p>
      <w:pPr>
        <w:spacing w:before="0" w:after="80" w:lineRule="auto" w:line="276"/>
      </w:pPr>
      <w:r>
        <w:rPr>
          <w:b/>
        </w:rPr>
        <w:t xml:space="preserve">摘要（ZH）: </w:t>
      </w:r>
      <w:r>
        <w:t>作者：H. Kamada、A. Arslanaliev、Y. Kostylenko、A. V. Shebeko、J. Golak、R. Skibiński、K. Topolnicki、H. Witała、V. Chahar、D. F. Ramírez Jiménez 和 W. N. Polyzou 这项研究比较了非相对论性和相对论性核子-核子势质子-氘核散射。传统的神经网络势（例如 CDBonn、AV18、奈梅亨）依赖于非相对论性薛定谔方程，而哈尔科夫势本质上是相对论性的……[Phys. Rev. C 114, 024001] 于 2026 年 8 月 3 日星期一发布</w:t>
      </w:r>
    </w:p>
    <w:p>
      <w:pPr>
        <w:spacing w:before="0" w:after="200" w:lineRule="auto" w:line="276"/>
      </w:pPr>
      <w:r>
        <w:rPr>
          <w:b/>
        </w:rPr>
        <w:t xml:space="preserve">Abstract (EN): </w:t>
      </w:r>
      <w:r>
        <w:t>Author(s): H. Kamada, A. Arslanaliev, Y. Kostylenko, A. V. Shebeko, J. Golak, R. Skibiński, K. Topolnicki, H. Witała, V. Chahar, D. F. Ramírez Jiménez, and W. N. PolyzouThis investigation compares nonrelativistic and relativistic nucleon-nucleon potentials in the context of proton-deuteron scattering. Conventional NN potentials (e.g., CDBonn, AV18, Nijmegen) rely on the nonrelativistic Schrödinger equation, whereas the Kharkiv potential is intrinsically relativisti…[Phys. Rev. C 114, 024001] Published Mon Aug 03, 2026</w:t>
      </w:r>
    </w:p>
    <w:p>
      <w:pPr>
        <w:spacing w:before="120" w:after="120"/>
      </w:pPr>
      <w:r>
        <w:rPr>
          <w:sz w:val="18"/>
        </w:rPr>
        <w:t>——————————————————————————————————————————————————————————————————————</w:t>
      </w:r>
    </w:p>
    <w:p>
      <w:pPr>
        <w:spacing w:before="160" w:after="40" w:line="240" w:lineRule="auto"/>
      </w:pPr>
      <w:r>
        <w:rPr>
          <w:b/>
        </w:rPr>
        <w:t xml:space="preserve">[267] </w:t>
      </w:r>
      <w:hyperlink r:id="rId1045">
        <w:r>
          <w:rPr>
            <w:color w:val="1155CC"/>
            <w:u w:val="single"/>
          </w:rPr>
          <w:t>偏振自旋 1 目标上的半包容深度非弹性散射。二.氘核和观察核子标记</w:t>
        </w:r>
      </w:hyperlink>
    </w:p>
    <w:p>
      <w:pPr>
        <w:spacing w:before="0" w:after="80"/>
      </w:pPr>
      <w:r>
        <w:rPr>
          <w:i/>
          <w:sz w:val="20"/>
        </w:rPr>
        <w:t>EN: Semi-inclusive deep-inelastic scattering on a polarized spin-1 target. II. Deuteron and spectator nucleon tagging</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46">
        <w:r>
          <w:rPr>
            <w:color w:val="1155CC"/>
            <w:u w:val="single"/>
          </w:rPr>
          <w:t>10.1103/nf26-tkx7</w:t>
        </w:r>
      </w:hyperlink>
    </w:p>
    <w:p>
      <w:pPr>
        <w:spacing w:before="0" w:after="120"/>
      </w:pPr>
      <w:r>
        <w:rPr>
          <w:b/>
        </w:rPr>
        <w:t xml:space="preserve">Notes: </w:t>
      </w:r>
      <w:r>
        <w:t>abstract_source=rss_description</w:t>
      </w:r>
    </w:p>
    <w:p>
      <w:pPr>
        <w:spacing w:before="0" w:after="80" w:lineRule="auto" w:line="276"/>
      </w:pPr>
      <w:r>
        <w:rPr>
          <w:b/>
        </w:rPr>
        <w:t xml:space="preserve">摘要（ZH）: </w:t>
      </w:r>
      <w:r>
        <w:t>作者：W. Cosyn 和 C. Weiss 我们开发了偏振自旋 1 目标上的半包容深度非弹性散射的理论框架，并将其应用于具有观察者核子标记的偏振氘核上的散射。在第一部分（上一篇文章）中，我们提出了半包容截面和极坐标的一般形式……[物理。 Rev. C 114, 025202] 于 2026 年 8 月 3 日星期一发布</w:t>
      </w:r>
    </w:p>
    <w:p>
      <w:pPr>
        <w:spacing w:before="0" w:after="200" w:lineRule="auto" w:line="276"/>
      </w:pPr>
      <w:r>
        <w:rPr>
          <w:b/>
        </w:rPr>
        <w:t xml:space="preserve">Abstract (EN): </w:t>
      </w:r>
      <w:r>
        <w:t>Author(s): W. Cosyn and C. WeissWe develop the theoretical framework for semi-inclusive deep-inelastic scattering on a polarized spin-1 target and apply it to scattering on the polarized deuteron with spectator nucleon tagging. In Part I (previous article), we present the general form of the semi-inclusive cross section and polari…[Phys. Rev. C 114, 025202] Published Mon Aug 03, 2026</w:t>
      </w:r>
    </w:p>
    <w:p>
      <w:pPr>
        <w:spacing w:before="120" w:after="120"/>
      </w:pPr>
      <w:r>
        <w:rPr>
          <w:sz w:val="18"/>
        </w:rPr>
        <w:t>——————————————————————————————————————————————————————————————————————</w:t>
      </w:r>
    </w:p>
    <w:p>
      <w:pPr>
        <w:spacing w:before="160" w:after="40" w:line="240" w:lineRule="auto"/>
      </w:pPr>
      <w:r>
        <w:rPr>
          <w:b/>
        </w:rPr>
        <w:t xml:space="preserve">[268] </w:t>
      </w:r>
      <w:hyperlink r:id="rId1047">
        <w:r>
          <w:rPr>
            <w:color w:val="1155CC"/>
            <w:u w:val="single"/>
          </w:rPr>
          <w:t>${\overline{B}}^{0}→{\overline{K}}^{*0}{μ}^{+}{μ}^{−}$ 衰减中局部和非局部幅度的 $CP$ 违规分析</w:t>
        </w:r>
      </w:hyperlink>
    </w:p>
    <w:p>
      <w:pPr>
        <w:spacing w:before="0" w:after="80"/>
      </w:pPr>
      <w:r>
        <w:rPr>
          <w:i/>
          <w:sz w:val="20"/>
        </w:rPr>
        <w:t>EN: $CP$ Violation Analysis of Local and Nonlocal Amplitudes in the ${\overline{B}}^{0}→{\overline{K}}^{*0}{μ}^{+}{μ}^{−}$ Decay</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48">
        <w:r>
          <w:rPr>
            <w:color w:val="1155CC"/>
            <w:u w:val="single"/>
          </w:rPr>
          <w:t>10.1103/gg5v-mp26</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协作）使用 LHCb 实验在运行 1 和运行 2 期间收集的质子-质子碰撞数据来搜索 ${\overline{B}}^{0}→{\overline{K}}^{*0}{μ}^{+}{μ}^{−}$ 衰变中的 $CP$ 违规，对应于 $8.4\text{ }\text{ 的积分光度}{\mathrm{fb}}^{−1}$。分析……[物理。莱特牧师。 137, 061801] 发布于 2026 年 8 月 3 日星期一</w:t>
      </w:r>
    </w:p>
    <w:p>
      <w:pPr>
        <w:spacing w:before="0" w:after="200" w:lineRule="auto" w:line="276"/>
      </w:pPr>
      <w:r>
        <w:rPr>
          <w:b/>
        </w:rPr>
        <w:t xml:space="preserve">Abstract (EN): </w:t>
      </w:r>
      <w:r>
        <w:t>Author(s): R. Aaij et al. (LHCb Collaboration)A search for $CP$ violation in the ${\overline{B}}^{0}→{\overline{K}}^{*0}{μ}^{+}{μ}^{−}$ decay is performed using proton-proton collision data collected by the LHCb experiment during Run 1 and Run 2, corresponding to an integrated luminosity of $8.4\text{ }\text{ }{\mathrm{fb}}^{−1}$. The analysis …[Phys. Rev. Lett. 137, 061801] Published Mon Aug 03, 2026</w:t>
      </w:r>
    </w:p>
    <w:p>
      <w:pPr>
        <w:spacing w:before="120" w:after="120"/>
      </w:pPr>
      <w:r>
        <w:rPr>
          <w:sz w:val="18"/>
        </w:rPr>
        <w:t>——————————————————————————————————————————————————————————————————————</w:t>
      </w:r>
    </w:p>
    <w:p>
      <w:pPr>
        <w:spacing w:before="160" w:after="40" w:line="240" w:lineRule="auto"/>
      </w:pPr>
      <w:r>
        <w:rPr>
          <w:b/>
        </w:rPr>
        <w:t xml:space="preserve">[269] </w:t>
      </w:r>
      <w:hyperlink r:id="rId1049">
        <w:r>
          <w:rPr>
            <w:color w:val="1155CC"/>
            <w:u w:val="single"/>
          </w:rPr>
          <w:t>偏振自旋 1 目标上的半包容深度非弹性散射。 I. 横截面和自旋可观测量</w:t>
        </w:r>
      </w:hyperlink>
    </w:p>
    <w:p>
      <w:pPr>
        <w:spacing w:before="0" w:after="80"/>
      </w:pPr>
      <w:r>
        <w:rPr>
          <w:i/>
          <w:sz w:val="20"/>
        </w:rPr>
        <w:t>EN: Semi-inclusive deep-inelastic scattering on a polarized spin-1 target. I. Cross section and spin observables</w:t>
      </w:r>
    </w:p>
    <w:p>
      <w:pPr>
        <w:spacing w:before="0" w:after="120"/>
      </w:pPr>
      <w:r>
        <w:rPr>
          <w:b/>
        </w:rPr>
        <w:t xml:space="preserve">Source: </w:t>
      </w:r>
      <w:r>
        <w:t>Recent Articles in Phys. Rev. C</w:t>
      </w:r>
      <w:r>
        <w:t xml:space="preserve">    </w:t>
      </w:r>
      <w:r>
        <w:rPr>
          <w:b/>
        </w:rPr>
        <w:t xml:space="preserve">Pub date: </w:t>
      </w:r>
      <w:r>
        <w:t>2026-08-03 10:00:00+00:00</w:t>
      </w:r>
      <w:r>
        <w:t xml:space="preserve">    </w:t>
      </w:r>
      <w:r>
        <w:rPr>
          <w:b/>
        </w:rPr>
        <w:t xml:space="preserve">DOI: </w:t>
      </w:r>
      <w:hyperlink r:id="rId1050">
        <w:r>
          <w:rPr>
            <w:color w:val="1155CC"/>
            <w:u w:val="single"/>
          </w:rPr>
          <w:t>10.1103/cwp5-7c96</w:t>
        </w:r>
      </w:hyperlink>
    </w:p>
    <w:p>
      <w:pPr>
        <w:spacing w:before="0" w:after="120"/>
      </w:pPr>
      <w:r>
        <w:rPr>
          <w:b/>
        </w:rPr>
        <w:t xml:space="preserve">Notes: </w:t>
      </w:r>
      <w:r>
        <w:t>abstract_source=rss_description</w:t>
      </w:r>
    </w:p>
    <w:p>
      <w:pPr>
        <w:spacing w:before="0" w:after="80" w:lineRule="auto" w:line="276"/>
      </w:pPr>
      <w:r>
        <w:rPr>
          <w:b/>
        </w:rPr>
        <w:t xml:space="preserve">摘要（ZH）: </w:t>
      </w:r>
      <w:r>
        <w:t>作者：W. Cosyn 和 C. Weiss 我们开发了偏振自旋 1 目标上的半包容深度非弹性散射的理论框架，并将其应用于具有观察者核子标记的偏振氘核上的散射。在第一部分（本文）中，我们介绍了半包容截面和极化的一般形式……[物理。 Rev. C 114, 025201] 于 2026 年 8 月 3 日星期一发布</w:t>
      </w:r>
    </w:p>
    <w:p>
      <w:pPr>
        <w:spacing w:before="0" w:after="200" w:lineRule="auto" w:line="276"/>
      </w:pPr>
      <w:r>
        <w:rPr>
          <w:b/>
        </w:rPr>
        <w:t xml:space="preserve">Abstract (EN): </w:t>
      </w:r>
      <w:r>
        <w:t>Author(s): W. Cosyn and C. WeissWe develop the theoretical framework for semi-inclusive deep-inelastic scattering on a polarized spin-1 target and apply it to scattering on the polarized deuteron with spectator nucleon tagging. In Part I (this article) we present the general form of the semi-inclusive cross section and polarizatio…[Phys. Rev. C 114, 025201] Published Mon Aug 03, 2026</w:t>
      </w:r>
    </w:p>
    <w:p>
      <w:pPr>
        <w:spacing w:before="120" w:after="120"/>
      </w:pPr>
      <w:r>
        <w:rPr>
          <w:sz w:val="18"/>
        </w:rPr>
        <w:t>——————————————————————————————————————————————————————————————————————</w:t>
      </w:r>
    </w:p>
    <w:p>
      <w:pPr>
        <w:spacing w:before="160" w:after="40" w:line="240" w:lineRule="auto"/>
      </w:pPr>
      <w:r>
        <w:rPr>
          <w:b/>
        </w:rPr>
        <w:t xml:space="preserve">[270] </w:t>
      </w:r>
      <w:hyperlink r:id="rId1051">
        <w:r>
          <w:rPr>
            <w:color w:val="1155CC"/>
            <w:u w:val="single"/>
          </w:rPr>
          <w:t>Peierls 相位扭曲和平移共形塔揭示的相互作用周期链中的副统计</w:t>
        </w:r>
      </w:hyperlink>
    </w:p>
    <w:p>
      <w:pPr>
        <w:spacing w:before="0" w:after="80"/>
      </w:pPr>
      <w:r>
        <w:rPr>
          <w:i/>
          <w:sz w:val="20"/>
        </w:rPr>
        <w:t>EN: Parastatistics in Interacting Periodic Chains Revealed by Peierls Phase Twists and Shifted Conformal Towers</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52">
        <w:r>
          <w:rPr>
            <w:color w:val="1155CC"/>
            <w:u w:val="single"/>
          </w:rPr>
          <w:t>10.1103/3spr-jfq4</w:t>
        </w:r>
      </w:hyperlink>
    </w:p>
    <w:p>
      <w:pPr>
        <w:spacing w:before="0" w:after="120"/>
      </w:pPr>
      <w:r>
        <w:rPr>
          <w:b/>
        </w:rPr>
        <w:t xml:space="preserve">Notes: </w:t>
      </w:r>
      <w:r>
        <w:t>abstract_source=rss_description</w:t>
      </w:r>
    </w:p>
    <w:p>
      <w:pPr>
        <w:spacing w:before="0" w:after="80" w:lineRule="auto" w:line="276"/>
      </w:pPr>
      <w:r>
        <w:rPr>
          <w:b/>
        </w:rPr>
        <w:t xml:space="preserve">摘要（ZH）: </w:t>
      </w:r>
      <w:r>
        <w:t>作者：Dirk Schuricht 和 Jesko Sirker 我们考虑将副粒子链与恒定的 $R$ 矩阵相互作用，其中哈密顿量对副粒子的内部度（风味）求和。对于这种风味盲汉密尔顿主义者，我们用哈密顿量将希尔伯特空间一般分解为占据和风味部分......[物理。莱特牧师。 137, 066503] 发布于 2026 年 8 月 3 日星期一</w:t>
      </w:r>
    </w:p>
    <w:p>
      <w:pPr>
        <w:spacing w:before="0" w:after="200" w:lineRule="auto" w:line="276"/>
      </w:pPr>
      <w:r>
        <w:rPr>
          <w:b/>
        </w:rPr>
        <w:t xml:space="preserve">Abstract (EN): </w:t>
      </w:r>
      <w:r>
        <w:t>Author(s): Dirk Schuricht and Jesko SirkerWe consider interacting paraparticle chains with a constant $R$ matrix where the Hamiltonian sums over the internal degrees (flavors) of the paraparticles. For such flavor-blind Hamiltonians, we show a general factorization of the Hilbert space into occupation and flavor parts with the Hamiltonian a…[Phys. Rev. Lett. 137, 066503] Published Mon Aug 03, 2026</w:t>
      </w:r>
    </w:p>
    <w:p>
      <w:pPr>
        <w:spacing w:before="120" w:after="120"/>
      </w:pPr>
      <w:r>
        <w:rPr>
          <w:sz w:val="18"/>
        </w:rPr>
        <w:t>——————————————————————————————————————————————————————————————————————</w:t>
      </w:r>
    </w:p>
    <w:p>
      <w:pPr>
        <w:spacing w:before="160" w:after="40" w:line="240" w:lineRule="auto"/>
      </w:pPr>
      <w:r>
        <w:rPr>
          <w:b/>
        </w:rPr>
        <w:t xml:space="preserve">[271] </w:t>
      </w:r>
      <w:hyperlink r:id="rId1053">
        <w:r>
          <w:rPr>
            <w:color w:val="1155CC"/>
            <w:u w:val="single"/>
          </w:rPr>
          <w:t>弹性扁平兰道彩虹的可视化</w:t>
        </w:r>
      </w:hyperlink>
    </w:p>
    <w:p>
      <w:pPr>
        <w:spacing w:before="0" w:after="80"/>
      </w:pPr>
      <w:r>
        <w:rPr>
          <w:i/>
          <w:sz w:val="20"/>
        </w:rPr>
        <w:t>EN: Visualization of Elastic Flat Landau Rainbow</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54">
        <w:r>
          <w:rPr>
            <w:color w:val="1155CC"/>
            <w:u w:val="single"/>
          </w:rPr>
          <w:t>10.1103/rt58-kxy9</w:t>
        </w:r>
      </w:hyperlink>
    </w:p>
    <w:p>
      <w:pPr>
        <w:spacing w:before="0" w:after="120"/>
      </w:pPr>
      <w:r>
        <w:rPr>
          <w:b/>
        </w:rPr>
        <w:t xml:space="preserve">Notes: </w:t>
      </w:r>
      <w:r>
        <w:t>abstract_source=rss_description</w:t>
      </w:r>
    </w:p>
    <w:p>
      <w:pPr>
        <w:spacing w:before="0" w:after="80" w:lineRule="auto" w:line="276"/>
      </w:pPr>
      <w:r>
        <w:rPr>
          <w:b/>
        </w:rPr>
        <w:t xml:space="preserve">摘要（ZH）: </w:t>
      </w:r>
      <w:r>
        <w:t>作者：Yafeng Chen、Zhihao Lan、Xueyun Wen 和 Jie Zhu 两个实验展示了一个有前途的捕获、分类和引导振动能量的平台。莱特牧师。 137, 066601] 发布于 2026 年 8 月 3 日星期一</w:t>
      </w:r>
    </w:p>
    <w:p>
      <w:pPr>
        <w:spacing w:before="0" w:after="200" w:lineRule="auto" w:line="276"/>
      </w:pPr>
      <w:r>
        <w:rPr>
          <w:b/>
        </w:rPr>
        <w:t xml:space="preserve">Abstract (EN): </w:t>
      </w:r>
      <w:r>
        <w:t>Author(s): Yafeng Chen, Zhihao Lan, Xueyun Wen, and Jie ZhuTwo experiments demonstrate a promising platform for trapping, sorting, and directing vibrational energy.[Phys. Rev. Lett. 137, 066601] Published Mon Aug 03, 2026</w:t>
      </w:r>
    </w:p>
    <w:p>
      <w:pPr>
        <w:spacing w:before="120" w:after="120"/>
      </w:pPr>
      <w:r>
        <w:rPr>
          <w:sz w:val="18"/>
        </w:rPr>
        <w:t>——————————————————————————————————————————————————————————————————————</w:t>
      </w:r>
    </w:p>
    <w:p>
      <w:pPr>
        <w:spacing w:before="160" w:after="40" w:line="240" w:lineRule="auto"/>
      </w:pPr>
      <w:r>
        <w:rPr>
          <w:b/>
        </w:rPr>
        <w:t xml:space="preserve">[272] </w:t>
      </w:r>
      <w:hyperlink r:id="rId1055">
        <w:r>
          <w:rPr>
            <w:color w:val="1155CC"/>
            <w:u w:val="single"/>
          </w:rPr>
          <w:t>固体的密度校正密度泛函理论</w:t>
        </w:r>
      </w:hyperlink>
    </w:p>
    <w:p>
      <w:pPr>
        <w:spacing w:before="0" w:after="80"/>
      </w:pPr>
      <w:r>
        <w:rPr>
          <w:i/>
          <w:sz w:val="20"/>
        </w:rPr>
        <w:t>EN: Density-Corrected Density Functional Theory for Solids</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56">
        <w:r>
          <w:rPr>
            <w:color w:val="1155CC"/>
            <w:u w:val="single"/>
          </w:rPr>
          <w:t>10.1103/7bck-y4ls</w:t>
        </w:r>
      </w:hyperlink>
    </w:p>
    <w:p>
      <w:pPr>
        <w:spacing w:before="0" w:after="120"/>
      </w:pPr>
      <w:r>
        <w:rPr>
          <w:b/>
        </w:rPr>
        <w:t xml:space="preserve">Notes: </w:t>
      </w:r>
      <w:r>
        <w:t>abstract_source=rss_description</w:t>
      </w:r>
    </w:p>
    <w:p>
      <w:pPr>
        <w:spacing w:before="0" w:after="80" w:lineRule="auto" w:line="276"/>
      </w:pPr>
      <w:r>
        <w:rPr>
          <w:b/>
        </w:rPr>
        <w:t xml:space="preserve">摘要（ZH）: </w:t>
      </w:r>
      <w:r>
        <w:t>作者：Youngsam Kim、Suhwan Song、Mihira Sogal、Kieron Burke 和 Eunji Sim 密度校正密度泛函理论 (DC-DFT) 考虑自洽密度是否在 Kohn-Sham 计算中产生最佳能量学。由于在分子计算方面取得了相当大的成功，我们在这里将 DC-DFT 应用于 Hartree-Fock (HF) 密度的固态计算。我们解决了一个问题……[物理。莱特牧师。 137, 066401] 发布于 2026 年 8 月 3 日星期一</w:t>
      </w:r>
    </w:p>
    <w:p>
      <w:pPr>
        <w:spacing w:before="0" w:after="200" w:lineRule="auto" w:line="276"/>
      </w:pPr>
      <w:r>
        <w:rPr>
          <w:b/>
        </w:rPr>
        <w:t xml:space="preserve">Abstract (EN): </w:t>
      </w:r>
      <w:r>
        <w:t>Author(s): Youngsam Kim, Suhwan Song, Mihira Sogal, Kieron Burke, and Eunji SimDensity-corrected density functional theory (DC-DFT) considers whether self-consistent densities yield optimal energetics in Kohn-Sham calculations. With considerable success in molecular calculations, we here apply DC-DFT to solid-state calculations with Hartree-Fock (HF) densities. We resolve a kn…[Phys. Rev. Lett. 137, 066401] Published Mon Aug 03, 2026</w:t>
      </w:r>
    </w:p>
    <w:p>
      <w:pPr>
        <w:spacing w:before="120" w:after="120"/>
      </w:pPr>
      <w:r>
        <w:rPr>
          <w:sz w:val="18"/>
        </w:rPr>
        <w:t>——————————————————————————————————————————————————————————————————————</w:t>
      </w:r>
    </w:p>
    <w:p>
      <w:pPr>
        <w:spacing w:before="160" w:after="40" w:line="240" w:lineRule="auto"/>
      </w:pPr>
      <w:r>
        <w:rPr>
          <w:b/>
        </w:rPr>
        <w:t xml:space="preserve">[273] </w:t>
      </w:r>
      <w:hyperlink r:id="rId1057">
        <w:r>
          <w:rPr>
            <w:color w:val="1155CC"/>
            <w:u w:val="single"/>
          </w:rPr>
          <w:t>量子准晶体的热力学和熔化</w:t>
        </w:r>
      </w:hyperlink>
    </w:p>
    <w:p>
      <w:pPr>
        <w:spacing w:before="0" w:after="80"/>
      </w:pPr>
      <w:r>
        <w:rPr>
          <w:i/>
          <w:sz w:val="20"/>
        </w:rPr>
        <w:t>EN: Thermodynamics and Melting of a Quantum Quasicrystal</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58">
        <w:r>
          <w:rPr>
            <w:color w:val="1155CC"/>
            <w:u w:val="single"/>
          </w:rPr>
          <w:t>10.1103/3646-v33q</w:t>
        </w:r>
      </w:hyperlink>
    </w:p>
    <w:p>
      <w:pPr>
        <w:spacing w:before="0" w:after="120"/>
      </w:pPr>
      <w:r>
        <w:rPr>
          <w:b/>
        </w:rPr>
        <w:t xml:space="preserve">Notes: </w:t>
      </w:r>
      <w:r>
        <w:t>abstract_source=rss_description</w:t>
      </w:r>
    </w:p>
    <w:p>
      <w:pPr>
        <w:spacing w:before="0" w:after="80" w:lineRule="auto" w:line="276"/>
      </w:pPr>
      <w:r>
        <w:rPr>
          <w:b/>
        </w:rPr>
        <w:t xml:space="preserve">摘要（ZH）: </w:t>
      </w:r>
      <w:r>
        <w:t>作者：Ethan C. McGarrigle、Thomas G. Kiely、Leon Balents 和 Glenn H. Fredrickson 提出量子准晶体存在于具有偶极相互作用的二维 Rashba 自旋轨道耦合 BEC 中的平均场、变分论证。尽管有这个非凡的预测，但人们对这种准晶态的超流体特性或稳定性知之甚少……[物理。莱特牧师。 137, 063401] 发布于 2026 年 8 月 3 日星期一</w:t>
      </w:r>
    </w:p>
    <w:p>
      <w:pPr>
        <w:spacing w:before="0" w:after="200" w:lineRule="auto" w:line="276"/>
      </w:pPr>
      <w:r>
        <w:rPr>
          <w:b/>
        </w:rPr>
        <w:t xml:space="preserve">Abstract (EN): </w:t>
      </w:r>
      <w:r>
        <w:t>Author(s): Ethan C. McGarrigle, Thomas G. Kiely, Leon Balents, and Glenn H. FredricksonA quantum quasicrystal was proposed to exist by mean-field, variational arguments in two-dimensional Rashba spin-orbit coupled BECs with dipolar interactions. Despite this remarkable prediction, there is little known about the superfluid character or stability of this quasicrystalline state against …[Phys. Rev. Lett. 137, 063401] Published Mon Aug 03, 2026</w:t>
      </w:r>
    </w:p>
    <w:p>
      <w:pPr>
        <w:spacing w:before="120" w:after="120"/>
      </w:pPr>
      <w:r>
        <w:rPr>
          <w:sz w:val="18"/>
        </w:rPr>
        <w:t>——————————————————————————————————————————————————————————————————————</w:t>
      </w:r>
    </w:p>
    <w:p>
      <w:pPr>
        <w:spacing w:before="160" w:after="40" w:line="240" w:lineRule="auto"/>
      </w:pPr>
      <w:r>
        <w:rPr>
          <w:b/>
        </w:rPr>
        <w:t xml:space="preserve">[274] </w:t>
      </w:r>
      <w:hyperlink r:id="rId1059">
        <w:r>
          <w:rPr>
            <w:color w:val="1155CC"/>
            <w:u w:val="single"/>
          </w:rPr>
          <w:t>质子内夸克-胶子-夸克干涉的测定</w:t>
        </w:r>
      </w:hyperlink>
    </w:p>
    <w:p>
      <w:pPr>
        <w:spacing w:before="0" w:after="80"/>
      </w:pPr>
      <w:r>
        <w:rPr>
          <w:i/>
          <w:sz w:val="20"/>
        </w:rPr>
        <w:t>EN: Determination of Quark-Gluon-Quark Interference within the Proton</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60">
        <w:r>
          <w:rPr>
            <w:color w:val="1155CC"/>
            <w:u w:val="single"/>
          </w:rPr>
          <w:t>10.1103/rd63-hdwp</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作者：Alexey Vladimirov、Guillermo Portela 和 Simone Rodini 概念验证全局 QCD 拟合发现夸克-胶子-夸克干涉的大小与极化夸克密度贡献相当，这表明质子比假设的具有更多的量子性质。莱特牧师。 137, 061902] 发布于 2026 年 8 月 3 日星期一</w:t>
      </w:r>
    </w:p>
    <w:p>
      <w:pPr>
        <w:spacing w:before="0" w:after="200" w:lineRule="auto" w:line="276"/>
      </w:pPr>
      <w:r>
        <w:rPr>
          <w:b/>
        </w:rPr>
        <w:t xml:space="preserve">Abstract (EN): </w:t>
      </w:r>
      <w:r>
        <w:t>Author(s): Alexey Vladimirov, Guillermo Portela, and Simone RodiniA proof-of-concept global QCD fit finds the quark-gluon-quark interference comparable in size to polarized quark density contributions, which suggests a more quantum nature of the proton than assumed.[Phys. Rev. Lett. 137, 061902] Published Mon Aug 03, 2026</w:t>
      </w:r>
    </w:p>
    <w:p>
      <w:pPr>
        <w:spacing w:before="120" w:after="120"/>
      </w:pPr>
      <w:r>
        <w:rPr>
          <w:sz w:val="18"/>
        </w:rPr>
        <w:t>——————————————————————————————————————————————————————————————————————</w:t>
      </w:r>
    </w:p>
    <w:p>
      <w:pPr>
        <w:spacing w:before="160" w:after="40" w:line="240" w:lineRule="auto"/>
      </w:pPr>
      <w:r>
        <w:rPr>
          <w:b/>
        </w:rPr>
        <w:t xml:space="preserve">[275] </w:t>
      </w:r>
      <w:hyperlink r:id="rId1061">
        <w:r>
          <w:rPr>
            <w:color w:val="1155CC"/>
            <w:u w:val="single"/>
          </w:rPr>
          <w:t>利用成形自由电子对三能级系统的相干控制</w:t>
        </w:r>
      </w:hyperlink>
    </w:p>
    <w:p>
      <w:pPr>
        <w:spacing w:before="0" w:after="80"/>
      </w:pPr>
      <w:r>
        <w:rPr>
          <w:i/>
          <w:sz w:val="20"/>
        </w:rPr>
        <w:t>EN: Coherent Control of Three-Level System Using Shaped Free Electrons</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62">
        <w:r>
          <w:rPr>
            <w:color w:val="1155CC"/>
            <w:u w:val="single"/>
          </w:rPr>
          <w:t>10.1103/l2y4-tpzb</w:t>
        </w:r>
      </w:hyperlink>
    </w:p>
    <w:p>
      <w:pPr>
        <w:spacing w:before="0" w:after="120"/>
      </w:pPr>
      <w:r>
        <w:rPr>
          <w:b/>
        </w:rPr>
        <w:t xml:space="preserve">Notes: </w:t>
      </w:r>
      <w:r>
        <w:t>abstract_source=rss_description</w:t>
      </w:r>
    </w:p>
    <w:p>
      <w:pPr>
        <w:spacing w:before="0" w:after="80" w:lineRule="auto" w:line="276"/>
      </w:pPr>
      <w:r>
        <w:rPr>
          <w:b/>
        </w:rPr>
        <w:t xml:space="preserve">摘要（ZH）: </w:t>
      </w:r>
      <w:r>
        <w:t>作者：吴迪轩、李静、江雨涵和刘云泉三能级系统表现出两能级系统所不存在的量子干涉效应，这使得它们对于量子光学非常重要。在这里，我们研究 $\mathrm{Λ}$ 型三能级系统与光学近场形成的自由电子的相干相互作用。通过将电子列车视为准……[物理。莱特牧师。 137, 063601] 发布于 2026 年 8 月 3 日星期一</w:t>
      </w:r>
    </w:p>
    <w:p>
      <w:pPr>
        <w:spacing w:before="0" w:after="200" w:lineRule="auto" w:line="276"/>
      </w:pPr>
      <w:r>
        <w:rPr>
          <w:b/>
        </w:rPr>
        <w:t xml:space="preserve">Abstract (EN): </w:t>
      </w:r>
      <w:r>
        <w:t>Author(s): Dixuan Wu, Jing Li, Yuhan Jiang, and Yunquan LiuThree-level systems exhibit quantum interference effects absent in two-level systems, making them important for quantum optics. Here, we study the coherent interaction of a $\mathrm{Λ}$-type three-level system with free electrons shaped by optical near fields. By treating the electron train as a qua…[Phys. Rev. Lett. 137, 063601] Published Mon Aug 03, 2026</w:t>
      </w:r>
    </w:p>
    <w:p>
      <w:pPr>
        <w:spacing w:before="120" w:after="120"/>
      </w:pPr>
      <w:r>
        <w:rPr>
          <w:sz w:val="18"/>
        </w:rPr>
        <w:t>——————————————————————————————————————————————————————————————————————</w:t>
      </w:r>
    </w:p>
    <w:p>
      <w:pPr>
        <w:spacing w:before="160" w:after="40" w:line="240" w:lineRule="auto"/>
      </w:pPr>
      <w:r>
        <w:rPr>
          <w:b/>
        </w:rPr>
        <w:t xml:space="preserve">[276] </w:t>
      </w:r>
      <w:hyperlink r:id="rId1063">
        <w:r>
          <w:rPr>
            <w:color w:val="1155CC"/>
            <w:u w:val="single"/>
          </w:rPr>
          <w:t>使用变频电信单光子源在 227 公里范围内进行诱饵态量子密钥分发</w:t>
        </w:r>
      </w:hyperlink>
    </w:p>
    <w:p>
      <w:pPr>
        <w:spacing w:before="0" w:after="80"/>
      </w:pPr>
      <w:r>
        <w:rPr>
          <w:i/>
          <w:sz w:val="20"/>
        </w:rPr>
        <w:t>EN: Decoy-State Quantum Key Distribution over 227 km with a Frequency-Converted Telecom Single-Photon Source</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64">
        <w:r>
          <w:rPr>
            <w:color w:val="1155CC"/>
            <w:u w:val="single"/>
          </w:rPr>
          <w:t>10.1103/5wwp-rbpm</w:t>
        </w:r>
      </w:hyperlink>
    </w:p>
    <w:p>
      <w:pPr>
        <w:spacing w:before="0" w:after="120"/>
      </w:pPr>
      <w:r>
        <w:rPr>
          <w:b/>
        </w:rPr>
        <w:t xml:space="preserve">Notes: </w:t>
      </w:r>
      <w:r>
        <w:t>abstract_source=rss_description</w:t>
      </w:r>
    </w:p>
    <w:p>
      <w:pPr>
        <w:spacing w:before="0" w:after="80" w:lineRule="auto" w:line="276"/>
      </w:pPr>
      <w:r>
        <w:rPr>
          <w:b/>
        </w:rPr>
        <w:t xml:space="preserve">摘要（ZH）: </w:t>
      </w:r>
      <w:r>
        <w:t>作者：Frederik Brooke Barnes、Roberto G. Pousa、Christopher L. Morrison、Zhe Xian Koong、Joseph Ho、Francesco Graffitti、John Jeffers、Daniel K. L. Oi、Brian D. Gerardot 和 Alessandro Fedrizzi 我们使用电信 C 波段单发射源实现了诱饵态量子密钥分配方案。通过改变量子发射器的光学激发来调制光子数分布来创建诱饵态。我们根据现有的安全方案对我们的方案进行了分析……[Phys。莱特牧师。 137, 060801] 发布于 2026 年 8 月 3 日星期一</w:t>
      </w:r>
    </w:p>
    <w:p>
      <w:pPr>
        <w:spacing w:before="0" w:after="200" w:lineRule="auto" w:line="276"/>
      </w:pPr>
      <w:r>
        <w:rPr>
          <w:b/>
        </w:rPr>
        <w:t xml:space="preserve">Abstract (EN): </w:t>
      </w:r>
      <w:r>
        <w:t>Author(s): Frederik Brooke Barnes, Roberto G. Pousa, Christopher L. Morrison, Zhe Xian Koong, Joseph Ho, Francesco Graffitti, John Jeffers, Daniel K. L. Oi, Brian D. Gerardot, and Alessandro FedrizziWe implement a decoy-state quantum key distribution scheme using a telecom C-band single-emitter source. The decoy states are created by varying the optical excitation of the quantum emitter to modulate the photon-number distribution. We provide an analysis of our scheme based on existing security p…[Phys. Rev. Lett. 137, 060801] Published Mon Aug 03, 2026</w:t>
      </w:r>
    </w:p>
    <w:p>
      <w:pPr>
        <w:spacing w:before="120" w:after="120"/>
      </w:pPr>
      <w:r>
        <w:rPr>
          <w:sz w:val="18"/>
        </w:rPr>
        <w:t>——————————————————————————————————————————————————————————————————————</w:t>
      </w:r>
    </w:p>
    <w:p>
      <w:pPr>
        <w:spacing w:before="160" w:after="40" w:line="240" w:lineRule="auto"/>
      </w:pPr>
      <w:r>
        <w:rPr>
          <w:b/>
        </w:rPr>
        <w:t xml:space="preserve">[277] </w:t>
      </w:r>
      <w:hyperlink r:id="rId1065">
        <w:r>
          <w:rPr>
            <w:color w:val="1155CC"/>
            <w:u w:val="single"/>
          </w:rPr>
          <w:t>量子晶格门玻色码的单周期Floquet控制</w:t>
        </w:r>
      </w:hyperlink>
    </w:p>
    <w:p>
      <w:pPr>
        <w:spacing w:before="0" w:after="80"/>
      </w:pPr>
      <w:r>
        <w:rPr>
          <w:i/>
          <w:sz w:val="20"/>
        </w:rPr>
        <w:t>EN: Single-Period Floquet Control of Bosonic Codes with Quantum Lattice Gates</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66">
        <w:r>
          <w:rPr>
            <w:color w:val="1155CC"/>
            <w:u w:val="single"/>
          </w:rPr>
          <w:t>10.1103/tnb8-3m8m</w:t>
        </w:r>
      </w:hyperlink>
    </w:p>
    <w:p>
      <w:pPr>
        <w:spacing w:before="0" w:after="120"/>
      </w:pPr>
      <w:r>
        <w:rPr>
          <w:b/>
        </w:rPr>
        <w:t xml:space="preserve">Notes: </w:t>
      </w:r>
      <w:r>
        <w:t>abstract_source=rss_description</w:t>
      </w:r>
    </w:p>
    <w:p>
      <w:pPr>
        <w:spacing w:before="0" w:after="80" w:lineRule="auto" w:line="276"/>
      </w:pPr>
      <w:r>
        <w:rPr>
          <w:b/>
        </w:rPr>
        <w:t xml:space="preserve">摘要（ZH）: </w:t>
      </w:r>
      <w:r>
        <w:t>作者：Tangyou Huang、Lei Du 和 LingzhenGuoBosonic 代码构成了一条通向容错量子计算的有前途的途径。现有的 Floquet 协议可以分析构建玻色码，但通常依赖于具有数千个驱动周期的缓慢绝热斜坡。在这封信中，我们通过引入分析来规避这个瓶颈……[物理。莱特牧师。 137, 060602] 发布于 2026 年 8 月 3 日星期一</w:t>
      </w:r>
    </w:p>
    <w:p>
      <w:pPr>
        <w:spacing w:before="0" w:after="200" w:lineRule="auto" w:line="276"/>
      </w:pPr>
      <w:r>
        <w:rPr>
          <w:b/>
        </w:rPr>
        <w:t xml:space="preserve">Abstract (EN): </w:t>
      </w:r>
      <w:r>
        <w:t>Author(s): Tangyou Huang, Lei Du, and Lingzhen GuoBosonic codes constitute a promising route to fault-tolerant quantum computing. Existing Floquet protocols enable analytical construction of bosonic codes but typically rely on slow adiabatic ramps with thousands of driving periods. In this Letter, we circumvent this bottleneck by introducing an ana…[Phys. Rev. Lett. 137, 060602] Published Mon Aug 03, 2026</w:t>
      </w:r>
    </w:p>
    <w:p>
      <w:pPr>
        <w:spacing w:before="120" w:after="120"/>
      </w:pPr>
      <w:r>
        <w:rPr>
          <w:sz w:val="18"/>
        </w:rPr>
        <w:t>——————————————————————————————————————————————————————————————————————</w:t>
      </w:r>
    </w:p>
    <w:p>
      <w:pPr>
        <w:spacing w:before="160" w:after="40" w:line="240" w:lineRule="auto"/>
      </w:pPr>
      <w:r>
        <w:rPr>
          <w:b/>
        </w:rPr>
        <w:t xml:space="preserve">[278] </w:t>
      </w:r>
      <w:hyperlink r:id="rId1067">
        <w:r>
          <w:rPr>
            <w:color w:val="1155CC"/>
            <w:u w:val="single"/>
          </w:rPr>
          <w:t>通过循环控制克服快速直方晶闸门中的速度与保真度权衡</w:t>
        </w:r>
      </w:hyperlink>
    </w:p>
    <w:p>
      <w:pPr>
        <w:spacing w:before="0" w:after="80"/>
      </w:pPr>
      <w:r>
        <w:rPr>
          <w:i/>
          <w:sz w:val="20"/>
        </w:rPr>
        <w:t>EN: Overcoming the Speed-Fidelity Trade-Off in Fast cz Gates via Cyclic Control</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68">
        <w:r>
          <w:rPr>
            <w:color w:val="1155CC"/>
            <w:u w:val="single"/>
          </w:rPr>
          <w:t>10.1103/xd7q-2kf9</w:t>
        </w:r>
      </w:hyperlink>
    </w:p>
    <w:p>
      <w:pPr>
        <w:spacing w:before="0" w:after="120"/>
      </w:pPr>
      <w:r>
        <w:rPr>
          <w:b/>
        </w:rPr>
        <w:t xml:space="preserve">Notes: </w:t>
      </w:r>
      <w:r>
        <w:t>abstract_source=rss_description</w:t>
      </w:r>
    </w:p>
    <w:p>
      <w:pPr>
        <w:spacing w:before="0" w:after="80" w:lineRule="auto" w:line="276"/>
      </w:pPr>
      <w:r>
        <w:rPr>
          <w:b/>
        </w:rPr>
        <w:t xml:space="preserve">摘要（ZH）: </w:t>
      </w:r>
      <w:r>
        <w:t>作者：赵泽安、张海峰、王天乐、杨晓燕、王鹏、赵仁泽、张胜、李志飞、吴元、付子豪、刘胜日、段鹏和郭国平高保真量子门对于可扩展的量子计算至关重要。然而，在短时间内，短时间尺度的波形畸变打破了控制脉冲的时间反射对称性，从而阻止了循环演化的精确闭合。这种机制使得传统的对称协议......[Phys。莱特牧师。 137, 060601] 发布于 2026 年 8 月 3 日星期一</w:t>
      </w:r>
    </w:p>
    <w:p>
      <w:pPr>
        <w:spacing w:before="0" w:after="200" w:lineRule="auto" w:line="276"/>
      </w:pPr>
      <w:r>
        <w:rPr>
          <w:b/>
        </w:rPr>
        <w:t xml:space="preserve">Abstract (EN): </w:t>
      </w:r>
      <w:r>
        <w:t>Author(s): Ze-An Zhao, Hai-Feng Zhang, Tian-Le Wang, Xiao-Yan Yang, Peng Wang, Ren-Ze Zhao, Sheng Zhang, Zhi-Fei Li, Yuan Wu, Zi-Hao Fu, Sheng-Ri Liu, Peng Duan, and Guo-Ping GuoHigh-fidelity quantum gates are essential for scalable quantum computation. However, at short durations, short-timescale waveform distortions break the time-reflection symmetry of control pulses, preventing the precise closure of cyclic evolution. This mechanism renders conventional symmetric protoc…[Phys. Rev. Lett. 137, 060601] Published Mon Aug 03, 2026</w:t>
      </w:r>
    </w:p>
    <w:p>
      <w:pPr>
        <w:spacing w:before="120" w:after="120"/>
      </w:pPr>
      <w:r>
        <w:rPr>
          <w:sz w:val="18"/>
        </w:rPr>
        <w:t>——————————————————————————————————————————————————————————————————————</w:t>
      </w:r>
    </w:p>
    <w:p>
      <w:pPr>
        <w:spacing w:before="160" w:after="40" w:line="240" w:lineRule="auto"/>
      </w:pPr>
      <w:r>
        <w:rPr>
          <w:b/>
        </w:rPr>
        <w:t xml:space="preserve">[279] </w:t>
      </w:r>
      <w:hyperlink r:id="rId1069">
        <w:r>
          <w:rPr>
            <w:color w:val="1155CC"/>
            <w:u w:val="single"/>
          </w:rPr>
          <w:t>量子自旋玻璃的能隙：投影量子蒙特卡罗研究</w:t>
        </w:r>
      </w:hyperlink>
    </w:p>
    <w:p>
      <w:pPr>
        <w:spacing w:before="0" w:after="80"/>
      </w:pPr>
      <w:r>
        <w:rPr>
          <w:i/>
          <w:sz w:val="20"/>
        </w:rPr>
        <w:t>EN: Energy Gap of Quantum Spin Glasses: A Projection Quantum Monte Carlo Study</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70">
        <w:r>
          <w:rPr>
            <w:color w:val="1155CC"/>
            <w:u w:val="single"/>
          </w:rPr>
          <w:t>10.1103/fm8m-kz13</w:t>
        </w:r>
      </w:hyperlink>
    </w:p>
    <w:p>
      <w:pPr>
        <w:spacing w:before="0" w:after="120"/>
      </w:pPr>
      <w:r>
        <w:rPr>
          <w:b/>
        </w:rPr>
        <w:t xml:space="preserve">Notes: </w:t>
      </w:r>
      <w:r>
        <w:t>abstract_source=rss_description</w:t>
      </w:r>
    </w:p>
    <w:p>
      <w:pPr>
        <w:spacing w:before="0" w:after="80" w:lineRule="auto" w:line="276"/>
      </w:pPr>
      <w:r>
        <w:rPr>
          <w:b/>
        </w:rPr>
        <w:t xml:space="preserve">摘要（ZH）: </w:t>
      </w:r>
      <w:r>
        <w:t>作者：L. Brodoloni、G. E. Astrakharchik、S. Giorgini 和 S. Pilati 用于组合优化的量子退火的性能从根本上受到量子相变时遇到的最小能隙 $\mathrm{Δ}$ 的限制。我们研究了两个典型量子自旋玻璃模型的 $\mathrm{Δ}$ 与系统大小 $N$ 的缩放比例：二维......[Phys.莱特牧师。 137, 060403] 发布于 2026 年 8 月 3 日星期一</w:t>
      </w:r>
    </w:p>
    <w:p>
      <w:pPr>
        <w:spacing w:before="0" w:after="200" w:lineRule="auto" w:line="276"/>
      </w:pPr>
      <w:r>
        <w:rPr>
          <w:b/>
        </w:rPr>
        <w:t xml:space="preserve">Abstract (EN): </w:t>
      </w:r>
      <w:r>
        <w:t>Author(s): L. Brodoloni, G. E. Astrakharchik, S. Giorgini, and S. PilatiThe performance of quantum annealing for combinatorial optimization is fundamentally limited by the minimum energy gap $\mathrm{Δ}$ encountered at quantum phase transitions. We investigate the scaling of $\mathrm{Δ}$ with system size $N$ for two paradigmatic quantum spin-glass models: the two-dimens…[Phys. Rev. Lett. 137, 060403] Published Mon Aug 03, 2026</w:t>
      </w:r>
    </w:p>
    <w:p>
      <w:pPr>
        <w:spacing w:before="120" w:after="120"/>
      </w:pPr>
      <w:r>
        <w:rPr>
          <w:sz w:val="18"/>
        </w:rPr>
        <w:t>——————————————————————————————————————————————————————————————————————</w:t>
      </w:r>
    </w:p>
    <w:p>
      <w:pPr>
        <w:spacing w:before="160" w:after="40" w:line="240" w:lineRule="auto"/>
      </w:pPr>
      <w:r>
        <w:rPr>
          <w:b/>
        </w:rPr>
        <w:t xml:space="preserve">[280] </w:t>
      </w:r>
      <w:hyperlink r:id="rId1071">
        <w:r>
          <w:rPr>
            <w:color w:val="1155CC"/>
            <w:u w:val="single"/>
          </w:rPr>
          <w:t>量子戈薇冰中突现规范场导致的自旋带展平</w:t>
        </w:r>
      </w:hyperlink>
    </w:p>
    <w:p>
      <w:pPr>
        <w:spacing w:before="0" w:after="80"/>
      </w:pPr>
      <w:r>
        <w:rPr>
          <w:i/>
          <w:sz w:val="20"/>
        </w:rPr>
        <w:t>EN: Spinon Band Flattening by Its Emergent Gauge Field in a Quantum Kagome Ice</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72">
        <w:r>
          <w:rPr>
            <w:color w:val="1155CC"/>
            <w:u w:val="single"/>
          </w:rPr>
          <w:t>10.1103/1vmv-zdqt</w:t>
        </w:r>
      </w:hyperlink>
    </w:p>
    <w:p>
      <w:pPr>
        <w:spacing w:before="0" w:after="120"/>
      </w:pPr>
      <w:r>
        <w:rPr>
          <w:b/>
        </w:rPr>
        <w:t xml:space="preserve">Notes: </w:t>
      </w:r>
      <w:r>
        <w:t>abstract_source=rss_description</w:t>
      </w:r>
    </w:p>
    <w:p>
      <w:pPr>
        <w:spacing w:before="0" w:after="80" w:lineRule="auto" w:line="276"/>
      </w:pPr>
      <w:r>
        <w:rPr>
          <w:b/>
        </w:rPr>
        <w:t xml:space="preserve">摘要（ZH）: </w:t>
      </w:r>
      <w:r>
        <w:t>作者：Masafumi Udakawa 和 Roderich Moessner 分数阶激发为识别现实材料中广受欢迎的拓扑量子自旋液态提供了关键。由于与新兴规范场的耦合，它们的单粒子动力学已经提出了具有挑战性的多体问题。在这里，我们研究自旋激发……[物理。莱特牧师。 137, 066501] 发布于 2026 年 8 月 3 日星期一</w:t>
      </w:r>
    </w:p>
    <w:p>
      <w:pPr>
        <w:spacing w:before="0" w:after="200" w:lineRule="auto" w:line="276"/>
      </w:pPr>
      <w:r>
        <w:rPr>
          <w:b/>
        </w:rPr>
        <w:t xml:space="preserve">Abstract (EN): </w:t>
      </w:r>
      <w:r>
        <w:t>Author(s): Masafumi Udagawa and Roderich MoessnerFractional excitations provide a key to identifying sought-after topological quantum spin liquid states in realistic materials. Their single-particle dynamics already presents a challenging many-body problem on account of the coupling to their emergent gauge field. Here, we study the spinon excitati…[Phys. Rev. Lett. 137, 066501] Published Mon Aug 03, 2026</w:t>
      </w:r>
    </w:p>
    <w:p>
      <w:pPr>
        <w:spacing w:before="120" w:after="120"/>
      </w:pPr>
      <w:r>
        <w:rPr>
          <w:sz w:val="18"/>
        </w:rPr>
        <w:t>——————————————————————————————————————————————————————————————————————</w:t>
      </w:r>
    </w:p>
    <w:p>
      <w:pPr>
        <w:spacing w:before="160" w:after="40" w:line="240" w:lineRule="auto"/>
      </w:pPr>
      <w:r>
        <w:rPr>
          <w:b/>
        </w:rPr>
        <w:t xml:space="preserve">[281] </w:t>
      </w:r>
      <w:hyperlink r:id="rId1073">
        <w:r>
          <w:rPr>
            <w:color w:val="1155CC"/>
            <w:u w:val="single"/>
          </w:rPr>
          <w:t>使用无线电源对全球宇宙双折射的限制</w:t>
        </w:r>
      </w:hyperlink>
    </w:p>
    <w:p>
      <w:pPr>
        <w:spacing w:before="0" w:after="80"/>
      </w:pPr>
      <w:r>
        <w:rPr>
          <w:i/>
          <w:sz w:val="20"/>
        </w:rPr>
        <w:t>EN: Limits on Global Cosmic Birefringence Using Radio Sources</w:t>
      </w:r>
    </w:p>
    <w:p>
      <w:pPr>
        <w:spacing w:before="0" w:after="120"/>
      </w:pPr>
      <w:r>
        <w:rPr>
          <w:b/>
        </w:rPr>
        <w:t xml:space="preserve">Source: </w:t>
      </w:r>
      <w:r>
        <w:t>Recent Articles in Phys. Rev. Lett.</w:t>
      </w:r>
      <w:r>
        <w:t xml:space="preserve">    </w:t>
      </w:r>
      <w:r>
        <w:rPr>
          <w:b/>
        </w:rPr>
        <w:t xml:space="preserve">Pub date: </w:t>
      </w:r>
      <w:r>
        <w:t>2026-08-03 10:00:00+00:00</w:t>
      </w:r>
      <w:r>
        <w:t xml:space="preserve">    </w:t>
      </w:r>
      <w:r>
        <w:rPr>
          <w:b/>
        </w:rPr>
        <w:t xml:space="preserve">DOI: </w:t>
      </w:r>
      <w:hyperlink r:id="rId1074">
        <w:r>
          <w:rPr>
            <w:color w:val="1155CC"/>
            <w:u w:val="single"/>
          </w:rPr>
          <w:t>10.1103/5j64-ybm5</w:t>
        </w:r>
      </w:hyperlink>
    </w:p>
    <w:p>
      <w:pPr>
        <w:spacing w:before="0" w:after="120"/>
      </w:pPr>
      <w:r>
        <w:rPr>
          <w:b/>
        </w:rPr>
        <w:t xml:space="preserve">Notes: </w:t>
      </w:r>
      <w:r>
        <w:t>abstract_source=rss_description</w:t>
      </w:r>
    </w:p>
    <w:p>
      <w:pPr>
        <w:spacing w:before="0" w:after="80" w:lineRule="auto" w:line="276"/>
      </w:pPr>
      <w:r>
        <w:rPr>
          <w:b/>
        </w:rPr>
        <w:t xml:space="preserve">摘要（ZH）: </w:t>
      </w:r>
      <w:r>
        <w:t>作者：Richard A. Battye、Neal Jackson 和 Ian Browne 我们利用来自 2.7 至 15 GHz 频率范围内的无线电基本目录 (RFC) 和宇宙透镜全天巡天数据组合的数据，测量了天空位置角 (PA) 与无线电源偏振位置角 (PPA) 之间的差异。莱特牧师。 137, 061001] 发布于 2026 年 8 月 3 日星期一</w:t>
      </w:r>
    </w:p>
    <w:p>
      <w:pPr>
        <w:spacing w:before="0" w:after="200" w:lineRule="auto" w:line="276"/>
      </w:pPr>
      <w:r>
        <w:rPr>
          <w:b/>
        </w:rPr>
        <w:t xml:space="preserve">Abstract (EN): </w:t>
      </w:r>
      <w:r>
        <w:t>Author(s): Richard A. Battye, Neal Jackson, and Ian BrowneWe have made measurements of the difference between the position angle (PA) on the sky and the polarization position angle (PPA) of radio sources using data from a combination of the Radio Fundamental Catalogue (RFC) across a range of frequencies between 2.7 and 15 GHz and Cosmic Lens All-Sky Survey…[Phys. Rev. Lett. 137, 061001] Published Mon Aug 03, 2026</w:t>
      </w:r>
    </w:p>
    <w:p>
      <w:pPr>
        <w:spacing w:before="120" w:after="120"/>
      </w:pPr>
      <w:r>
        <w:rPr>
          <w:sz w:val="18"/>
        </w:rPr>
        <w:t>——————————————————————————————————————————————————————————————————————</w:t>
      </w:r>
    </w:p>
    <w:p>
      <w:pPr>
        <w:spacing w:before="160" w:after="40" w:line="240" w:lineRule="auto"/>
      </w:pPr>
      <w:r>
        <w:rPr>
          <w:b/>
        </w:rPr>
        <w:t xml:space="preserve">[282] </w:t>
      </w:r>
      <w:hyperlink r:id="rId1075">
        <w:r>
          <w:rPr>
            <w:color w:val="1155CC"/>
            <w:u w:val="single"/>
          </w:rPr>
          <w:t>体温激活高效三基色超长持续发光，方便信息加密和存储</w:t>
        </w:r>
      </w:hyperlink>
    </w:p>
    <w:p>
      <w:pPr>
        <w:spacing w:before="0" w:after="80"/>
      </w:pPr>
      <w:r>
        <w:rPr>
          <w:i/>
          <w:sz w:val="20"/>
        </w:rPr>
        <w:t>EN: Efficient Trichromatic Ultralong Persistent Luminescence Activated by Body Temperature Toward Convenient Information Encryption and Storage</w:t>
      </w:r>
    </w:p>
    <w:p>
      <w:pPr>
        <w:spacing w:before="0" w:after="120"/>
      </w:pPr>
      <w:r>
        <w:rPr>
          <w:b/>
        </w:rPr>
        <w:t xml:space="preserve">Source: </w:t>
      </w:r>
      <w:r>
        <w:t>Wiley: Advanced Materials: Table of Contents</w:t>
      </w:r>
      <w:r>
        <w:t xml:space="preserve">    </w:t>
      </w:r>
      <w:r>
        <w:rPr>
          <w:b/>
        </w:rPr>
        <w:t xml:space="preserve">Pub date: </w:t>
      </w:r>
      <w:r>
        <w:t>2026-08-03 13:02:31+00:00</w:t>
      </w:r>
      <w:r>
        <w:t xml:space="preserve">    </w:t>
      </w:r>
      <w:r>
        <w:rPr>
          <w:b/>
        </w:rPr>
        <w:t xml:space="preserve">DOI: </w:t>
      </w:r>
      <w:hyperlink r:id="rId1076">
        <w:r>
          <w:rPr>
            <w:color w:val="1155CC"/>
            <w:u w:val="single"/>
          </w:rPr>
          <w:t>10.1002/adma.74539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长余辉发光（LPL）材料以其在较长时间内捕获和逐渐释放光的卓越能力而闻名，促进了光学数据存储和生物成像等领域的进步。然而，合成高效、多色超长 LPL 并精确调节持续时间仍然是一个艰巨的挑战。在这里，我们介绍了一种在 Cs 中诱导三色超长 LPL 的有效策略</w:t>
      </w:r>
      <w:r>
        <w:rPr>
          <w:vertAlign w:val="subscript"/>
        </w:rPr>
        <w:t>2</w:t>
      </w:r>
      <w:r>
        <w:t>氯化钠</w:t>
      </w:r>
      <w:r>
        <w:rPr>
          <w:vertAlign w:val="subscript"/>
        </w:rPr>
        <w:t>6</w:t>
      </w:r>
      <w:r>
        <w:t>:锑</w:t>
      </w:r>
      <w:r>
        <w:t xml:space="preserve"> </w:t>
      </w:r>
      <w:r>
        <w:t>3+</w:t>
      </w:r>
      <w:r>
        <w:t xml:space="preserve"> </w:t>
      </w:r>
      <w:r>
        <w:t>通过细致的缺陷工程。通过在合成过程中明智地调整盐酸的用量，我们系统地调节了Na的形成</w:t>
      </w:r>
      <w:r>
        <w:t xml:space="preserve"> </w:t>
      </w:r>
      <w:r>
        <w:t>+</w:t>
      </w:r>
      <w:r>
        <w:t xml:space="preserve"> </w:t>
      </w:r>
      <w:r>
        <w:t>和氯</w:t>
      </w:r>
      <w:r>
        <w:t xml:space="preserve"> </w:t>
      </w:r>
      <w:r>
        <w:t>-</w:t>
      </w:r>
      <w:r>
        <w:t>空位以及 Sb</w:t>
      </w:r>
      <w:r>
        <w:t xml:space="preserve"> </w:t>
      </w:r>
      <w:r>
        <w:t>3+</w:t>
      </w:r>
      <w:r>
        <w:t xml:space="preserve"> </w:t>
      </w:r>
      <w:r>
        <w:t>诱导的晶格畸变，对材料的发光特性提供前所未有的控制。这种方法最终实现了肉眼持续时间超过 30 小时的破纪录蓝色余辉，同时绿色和红色余辉分别持续 48 小时和 24 小时。值得注意的是，双自陷激子（STE）发射表现出不同的热行为，较高能量的 STE 表现出抗热猝灭，而较低能量的对应物则经历典型的热猝灭。我们首次阐明了 LPL 通过体温激活，从而能够通过触觉交互进行信息检索。</w:t>
      </w:r>
    </w:p>
    <w:p>
      <w:pPr>
        <w:spacing w:before="0" w:after="200" w:lineRule="auto" w:line="276"/>
      </w:pPr>
      <w:r>
        <w:rPr>
          <w:b/>
        </w:rPr>
        <w:t xml:space="preserve">Abstract (EN): </w:t>
      </w:r>
      <w:r>
        <w:t>Long‐persistent luminescence (LPL) materials, celebrated for their remarkable ability to capture and gradually release light over extended durations, have catalyzed advances in domains such as optical data storage and bioimaging. However, the synthesis of efficient, multicolor ultralong LPL with precise modulation of duration remains a formidable challenge. Here, we introduce an effective strategy for inducing trichromatic ultralong LPL in Cs</w:t>
      </w:r>
      <w:r>
        <w:rPr>
          <w:vertAlign w:val="subscript"/>
        </w:rPr>
        <w:t>2</w:t>
      </w:r>
      <w:r>
        <w:t>NaScCl</w:t>
      </w:r>
      <w:r>
        <w:rPr>
          <w:vertAlign w:val="subscript"/>
        </w:rPr>
        <w:t>6</w:t>
      </w:r>
      <w:r>
        <w:t>:Sb</w:t>
      </w:r>
      <w:r>
        <w:t xml:space="preserve"> </w:t>
      </w:r>
      <w:r>
        <w:t>3+</w:t>
      </w:r>
      <w:r>
        <w:t xml:space="preserve"> </w:t>
      </w:r>
      <w:r>
        <w:t>through meticulous defect engineering. By judiciously adjusting the dosage of hydrochloric acid during synthesis, we systematically regulate the formation of Na</w:t>
      </w:r>
      <w:r>
        <w:t xml:space="preserve"> </w:t>
      </w:r>
      <w:r>
        <w:t>+</w:t>
      </w:r>
      <w:r>
        <w:t xml:space="preserve"> </w:t>
      </w:r>
      <w:r>
        <w:t>and Cl</w:t>
      </w:r>
      <w:r>
        <w:t xml:space="preserve"> </w:t>
      </w:r>
      <w:r>
        <w:t>−</w:t>
      </w:r>
      <w:r>
        <w:t>vacancies as well as Sb</w:t>
      </w:r>
      <w:r>
        <w:t xml:space="preserve"> </w:t>
      </w:r>
      <w:r>
        <w:t>3+</w:t>
      </w:r>
      <w:r>
        <w:t xml:space="preserve"> </w:t>
      </w:r>
      <w:r>
        <w:t>‐induced lattice distortions, affording unprecedented control over the material's luminescent properties. This approach culminates in the achievement of a record‐breaking blue afterglow exceeding 30 h for naked eye, alongside green and red persisting for 48 and 24 h, respectively. Notably, the dual self‐trapped exciton (STE) emissions exhibit disparate thermal behaviors, with the higher‐energy STE demonstrating anti‐thermal quenching, while the lower‐energy counterpart undergoes typical thermal quenching. For the first time, we elucidate the activation of LPL via body temperature, enabling information retrieval through tactile interaction. This innovative material showcases profound potential for x‐ray imaging and secure data encoding, offering a novel avenue for the development of advanced LPL materials with finely tuned emission characteristics.</w:t>
      </w:r>
    </w:p>
    <w:p>
      <w:pPr>
        <w:spacing w:before="120" w:after="120"/>
      </w:pPr>
      <w:r>
        <w:rPr>
          <w:sz w:val="18"/>
        </w:rPr>
        <w:t>——————————————————————————————————————————————————————————————————————</w:t>
      </w:r>
    </w:p>
    <w:p>
      <w:pPr>
        <w:spacing w:before="160" w:after="40" w:line="240" w:lineRule="auto"/>
      </w:pPr>
      <w:r>
        <w:rPr>
          <w:b/>
        </w:rPr>
        <w:t xml:space="preserve">[283] </w:t>
      </w:r>
      <w:hyperlink r:id="rId1077">
        <w:r>
          <w:rPr>
            <w:color w:val="1155CC"/>
            <w:u w:val="single"/>
          </w:rPr>
          <w:t>用于组织再生的柔性介电声谐振器贴片（Adv. Mater. 43/2026）</w:t>
        </w:r>
      </w:hyperlink>
    </w:p>
    <w:p>
      <w:pPr>
        <w:spacing w:before="0" w:after="80"/>
      </w:pPr>
      <w:r>
        <w:rPr>
          <w:i/>
          <w:sz w:val="20"/>
        </w:rPr>
        <w:t>EN: Flexible Dielectric Acoustic Resonator Patch for Tissue Regeneration (Adv. Mater. 43/2026)</w:t>
      </w:r>
    </w:p>
    <w:p>
      <w:pPr>
        <w:spacing w:before="0" w:after="120"/>
      </w:pPr>
      <w:r>
        <w:rPr>
          <w:b/>
        </w:rPr>
        <w:t xml:space="preserve">Source: </w:t>
      </w:r>
      <w:r>
        <w:t>Wiley: Advanced Materials: Table of Contents</w:t>
      </w:r>
      <w:r>
        <w:t xml:space="preserve">    </w:t>
      </w:r>
      <w:r>
        <w:rPr>
          <w:b/>
        </w:rPr>
        <w:t xml:space="preserve">Pub date: </w:t>
      </w:r>
      <w:r>
        <w:t>2026-08-03 15:01:30+00:00</w:t>
      </w:r>
      <w:r>
        <w:t xml:space="preserve">    </w:t>
      </w:r>
      <w:r>
        <w:rPr>
          <w:b/>
        </w:rPr>
        <w:t xml:space="preserve">DOI: </w:t>
      </w:r>
      <w:hyperlink r:id="rId1078">
        <w:r>
          <w:rPr>
            <w:color w:val="1155CC"/>
            <w:u w:val="single"/>
          </w:rPr>
          <w:t>10.1002/adma.74411</w:t>
        </w:r>
      </w:hyperlink>
    </w:p>
    <w:p>
      <w:pPr>
        <w:spacing w:before="0" w:after="120"/>
      </w:pPr>
      <w:r>
        <w:rPr>
          <w:b/>
        </w:rPr>
        <w:t xml:space="preserve">Notes: </w:t>
      </w:r>
      <w:r>
        <w:t>abstract_source=openalex</w:t>
      </w:r>
    </w:p>
    <w:p>
      <w:pPr>
        <w:spacing w:before="0" w:after="80" w:lineRule="auto" w:line="276"/>
      </w:pPr>
      <w:r>
        <w:rPr>
          <w:b/>
        </w:rPr>
        <w:t xml:space="preserve">摘要（ZH）: </w:t>
      </w:r>
      <w:r>
        <w:t>基于聚合物的柔性透明介电声谐振器贴片 作为刚性压电晶体的替代品，基于聚合物的柔性介电声谐振器贴片可将电谐振转换为 MHz 超声波。该贴片与生物表面保形，可以促进伤口愈合和组织再生。更多详细信息，请参阅 Won-Gun Koh、Hyungsuk Lee 及其同事的研究文章 (DOI: 10.1002/adma.202516491)。</w:t>
      </w:r>
    </w:p>
    <w:p>
      <w:pPr>
        <w:spacing w:before="0" w:after="200" w:lineRule="auto" w:line="276"/>
      </w:pPr>
      <w:r>
        <w:rPr>
          <w:b/>
        </w:rPr>
        <w:t xml:space="preserve">Abstract (EN): </w:t>
      </w:r>
      <w:r>
        <w:t>Polymer-Based, Flexible, and Transparent Dielectric Acoustic Resonator Patch As an alternative to a rigid piezoelectric crystal, a flexible polymer-based dielectric acoustic resonator patch transforms electrical resonance into MHz ultrasound. Conformal to bio-surfaces, the patch can promote wound healing and tissue regeneration. More details can be found in the Research Article by Won-Gun Koh, Hyungsuk Lee, and co-workers (DOI: 10.1002/adma.202516491).</w:t>
      </w:r>
    </w:p>
    <w:p>
      <w:pPr>
        <w:spacing w:before="120" w:after="120"/>
      </w:pPr>
      <w:r>
        <w:rPr>
          <w:sz w:val="18"/>
        </w:rPr>
        <w:t>——————————————————————————————————————————————————————————————————————</w:t>
      </w:r>
    </w:p>
    <w:p>
      <w:pPr>
        <w:spacing w:before="160" w:after="40" w:line="240" w:lineRule="auto"/>
      </w:pPr>
      <w:r>
        <w:rPr>
          <w:b/>
        </w:rPr>
        <w:t xml:space="preserve">[284] </w:t>
      </w:r>
      <w:hyperlink r:id="rId1079">
        <w:r>
          <w:rPr>
            <w:color w:val="1155CC"/>
            <w:u w:val="single"/>
          </w:rPr>
          <w:t>分子传感过程中 WO3 多晶型特异性电子转导 (Adv. Mater. 43/2026)</w:t>
        </w:r>
      </w:hyperlink>
    </w:p>
    <w:p>
      <w:pPr>
        <w:spacing w:before="0" w:after="80"/>
      </w:pPr>
      <w:r>
        <w:rPr>
          <w:i/>
          <w:sz w:val="20"/>
        </w:rPr>
        <w:t>EN: Polymorph‐Specific Electronic Transduction in WO3 during Molecular Sensing (Adv. Mater. 43/2026)</w:t>
      </w:r>
    </w:p>
    <w:p>
      <w:pPr>
        <w:spacing w:before="0" w:after="120"/>
      </w:pPr>
      <w:r>
        <w:rPr>
          <w:b/>
        </w:rPr>
        <w:t xml:space="preserve">Source: </w:t>
      </w:r>
      <w:r>
        <w:t>Wiley: Advanced Materials: Table of Contents</w:t>
      </w:r>
      <w:r>
        <w:t xml:space="preserve">    </w:t>
      </w:r>
      <w:r>
        <w:rPr>
          <w:b/>
        </w:rPr>
        <w:t xml:space="preserve">Pub date: </w:t>
      </w:r>
      <w:r>
        <w:t>2026-08-03 15:01:30+00:00</w:t>
      </w:r>
      <w:r>
        <w:t xml:space="preserve">    </w:t>
      </w:r>
      <w:r>
        <w:rPr>
          <w:b/>
        </w:rPr>
        <w:t xml:space="preserve">DOI: </w:t>
      </w:r>
      <w:hyperlink r:id="rId1080">
        <w:r>
          <w:rPr>
            <w:color w:val="1155CC"/>
            <w:u w:val="single"/>
          </w:rPr>
          <w:t>10.1002/adma.74409</w:t>
        </w:r>
      </w:hyperlink>
    </w:p>
    <w:p>
      <w:pPr>
        <w:spacing w:before="0" w:after="120"/>
      </w:pPr>
      <w:r>
        <w:rPr>
          <w:b/>
        </w:rPr>
        <w:t xml:space="preserve">Notes: </w:t>
      </w:r>
      <w:r>
        <w:t>abstract_source=openalex</w:t>
      </w:r>
    </w:p>
    <w:p>
      <w:pPr>
        <w:spacing w:before="0" w:after="80" w:lineRule="auto" w:line="276"/>
      </w:pPr>
      <w:r>
        <w:rPr>
          <w:b/>
        </w:rPr>
        <w:t xml:space="preserve">摘要（ZH）: </w:t>
      </w:r>
      <w:r>
        <w:t>WO3 多晶型物中的多晶型物特异性电子转导提供了一个多功能平台，可以在不改变材料成分的情况下调整分子传感特性。 Andreas T. Güntner 及其同事在他们的研究文章 (DOI: 10.1002/adma.202516840) 中表明，WO3 多晶型物中的丙酮传感的特点是吸附质诱导的电荷与传输相关的电子态的耦合。</w:t>
      </w:r>
    </w:p>
    <w:p>
      <w:pPr>
        <w:spacing w:before="0" w:after="200" w:lineRule="auto" w:line="276"/>
      </w:pPr>
      <w:r>
        <w:rPr>
          <w:b/>
        </w:rPr>
        <w:t xml:space="preserve">Abstract (EN): </w:t>
      </w:r>
      <w:r>
        <w:t>Polymorph-Specific Electronic Transduction in WO3 Polymorphs offer a versatile platform to tune molecular sensing properties without altering material composition. In their Research Article (DOI: 10.1002/adma.202516840), Andreas T. Güntner and co-workers show that acetone sensing in WO3 polymorphs is distinguished by the coupling of adsorbate-induced charge into transport-relevant electronic states.</w:t>
      </w:r>
    </w:p>
    <w:p>
      <w:pPr>
        <w:spacing w:before="120" w:after="120"/>
      </w:pPr>
      <w:r>
        <w:rPr>
          <w:sz w:val="18"/>
        </w:rPr>
        <w:t>——————————————————————————————————————————————————————————————————————</w:t>
      </w:r>
    </w:p>
    <w:p>
      <w:pPr>
        <w:spacing w:before="160" w:after="40" w:line="240" w:lineRule="auto"/>
      </w:pPr>
      <w:r>
        <w:rPr>
          <w:b/>
        </w:rPr>
        <w:t xml:space="preserve">[285] </w:t>
      </w:r>
      <w:hyperlink r:id="rId1081">
        <w:r>
          <w:rPr>
            <w:color w:val="1155CC"/>
            <w:u w:val="single"/>
          </w:rPr>
          <w:t>用于大面积耐压气体分离膜的带正电聚合物刷 MOF（Adv. Mater. 43/2026）</w:t>
        </w:r>
      </w:hyperlink>
    </w:p>
    <w:p>
      <w:pPr>
        <w:spacing w:before="0" w:after="80"/>
      </w:pPr>
      <w:r>
        <w:rPr>
          <w:i/>
          <w:sz w:val="20"/>
        </w:rPr>
        <w:t>EN: Positively Charged Polymer‐Brush MOFs for Large‐Area, Pressure‐Resistant Gas Separation Membranes (Adv. Mater. 43/2026)</w:t>
      </w:r>
    </w:p>
    <w:p>
      <w:pPr>
        <w:spacing w:before="0" w:after="120"/>
      </w:pPr>
      <w:r>
        <w:rPr>
          <w:b/>
        </w:rPr>
        <w:t xml:space="preserve">Source: </w:t>
      </w:r>
      <w:r>
        <w:t>Wiley: Advanced Materials: Table of Contents</w:t>
      </w:r>
      <w:r>
        <w:t xml:space="preserve">    </w:t>
      </w:r>
      <w:r>
        <w:rPr>
          <w:b/>
        </w:rPr>
        <w:t xml:space="preserve">Pub date: </w:t>
      </w:r>
      <w:r>
        <w:t>2026-08-03 15:01:30+00:00</w:t>
      </w:r>
      <w:r>
        <w:t xml:space="preserve">    </w:t>
      </w:r>
      <w:r>
        <w:rPr>
          <w:b/>
        </w:rPr>
        <w:t xml:space="preserve">DOI: </w:t>
      </w:r>
      <w:hyperlink r:id="rId1082">
        <w:r>
          <w:rPr>
            <w:color w:val="1155CC"/>
            <w:u w:val="single"/>
          </w:rPr>
          <w:t>10.1002/adma.74408</w:t>
        </w:r>
      </w:hyperlink>
    </w:p>
    <w:p>
      <w:pPr>
        <w:spacing w:before="0" w:after="120"/>
      </w:pPr>
      <w:r>
        <w:rPr>
          <w:b/>
        </w:rPr>
        <w:t xml:space="preserve">Notes: </w:t>
      </w:r>
      <w:r>
        <w:t>abstract_source=openalex</w:t>
      </w:r>
    </w:p>
    <w:p>
      <w:pPr>
        <w:spacing w:before="0" w:after="80" w:lineRule="auto" w:line="276"/>
      </w:pPr>
      <w:r>
        <w:rPr>
          <w:b/>
        </w:rPr>
        <w:t xml:space="preserve">摘要（ZH）: </w:t>
      </w:r>
      <w:r>
        <w:t>带正电荷的聚合物刷金属有机框架一种通用策略可以实现 MOF 纳米填料的可扩展、无缺陷集成，从而实现高性能气体分离膜。通过将电空间稳定与动态界面锁定相结合，米级卷对卷制造成为可能。更多详细信息，请参阅Zhihua Qiao、Jingwei Hou、Anthony K. Cheetham、Zhi Wang 及其同事的研究文章（DOI：10.1002/adma.202520099）。</w:t>
      </w:r>
    </w:p>
    <w:p>
      <w:pPr>
        <w:spacing w:before="0" w:after="200" w:lineRule="auto" w:line="276"/>
      </w:pPr>
      <w:r>
        <w:rPr>
          <w:b/>
        </w:rPr>
        <w:t xml:space="preserve">Abstract (EN): </w:t>
      </w:r>
      <w:r>
        <w:t>Positively Charged Polymer-Brush Metal–Organic Frameworks A universal strategy unlocks scalable, defect-free integration of MOF nanofillers for high-performance gas separation membranes. By combining electro-steric stabilization with dynamic interfacial locking, meter-scale roll-to-roll fabrication becomes possible. More details can be found in the Research Article by Zhihua Qiao, Jingwei Hou, Anthony K. Cheetham, Zhi Wang, and co-workers (DOI: 10.1002/adma.202520099).</w:t>
      </w:r>
    </w:p>
    <w:p>
      <w:pPr>
        <w:spacing w:before="120" w:after="120"/>
      </w:pPr>
      <w:r>
        <w:rPr>
          <w:sz w:val="18"/>
        </w:rPr>
        <w:t>——————————————————————————————————————————————————————————————————————</w:t>
      </w:r>
    </w:p>
    <w:p>
      <w:pPr>
        <w:spacing w:before="160" w:after="40" w:line="240" w:lineRule="auto"/>
      </w:pPr>
      <w:r>
        <w:rPr>
          <w:b/>
        </w:rPr>
        <w:t xml:space="preserve">[286] </w:t>
      </w:r>
      <w:hyperlink r:id="rId1083">
        <w:r>
          <w:rPr>
            <w:color w:val="1155CC"/>
            <w:u w:val="single"/>
          </w:rPr>
          <w:t>利用纳米球自组装和掠射角沉积相结合制造的大面积柔性 SERS 传感器芯片，用于化学和生物传感</w:t>
        </w:r>
      </w:hyperlink>
    </w:p>
    <w:p>
      <w:pPr>
        <w:spacing w:before="0" w:after="80"/>
      </w:pPr>
      <w:r>
        <w:rPr>
          <w:i/>
          <w:sz w:val="20"/>
        </w:rPr>
        <w:t>EN: Large-Area Flexible SERS Sensor Chips Fabricated Using a Combination of Nanosphere Self-Assembly and Glancing Angle Deposition for Chemical and Biological Sensing</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084">
        <w:r>
          <w:rPr>
            <w:color w:val="1155CC"/>
            <w:u w:val="single"/>
          </w:rPr>
          <w:t>10.1021/acsami.6c07213</w:t>
        </w:r>
      </w:hyperlink>
    </w:p>
    <w:p>
      <w:pPr>
        <w:spacing w:before="0" w:after="120"/>
      </w:pPr>
      <w:r>
        <w:rPr>
          <w:b/>
        </w:rPr>
        <w:t xml:space="preserve">Notes: </w:t>
      </w:r>
      <w:r>
        <w:t>abstract_source=crossref</w:t>
      </w:r>
    </w:p>
    <w:p>
      <w:pPr>
        <w:spacing w:before="0" w:after="80" w:lineRule="auto" w:line="276"/>
      </w:pPr>
      <w:r>
        <w:rPr>
          <w:b/>
        </w:rPr>
        <w:t xml:space="preserve">摘要（ZH）: </w:t>
      </w:r>
      <w:r>
        <w:t>摘要：在这项工作中，我们结合两种高效的纳米制造方法，纳米球光刻（NSL）和掠射角沉积（GLAD），制造了大面积、低成本的由高度有序的尖等离子体纳米线阵列组成的表面增强拉曼散射（SERS）基底，使得等离子体纳米线的尺寸以及纳米线之间的间隙可以精确控制。这些 SERS 基底被切割成小型 SERS 传感器芯片，用于高灵敏度、选择性地检测感兴趣的分析物分子，包括农药噻菌灵、对氧磷、亚胺磷和核苷酸腺嘌呤和胸腺嘧啶。此外，本文报道了使用 NSL 和 GLAD 的组合在柔性聚合物薄膜上制造 SERS 基底，这在之前没有报道过。该过程涉及在聚合物基底上原子层沉积二氧化硅涂层，以使纳米球能够在这些基底上自组装，然后在这些自组装纳米球上进行 GLAD。我们演示了使用灵活的 NSL-GLAD 芯片检测农药 Phosmet 和生物标记物吡啶二羧酸。</w:t>
      </w:r>
    </w:p>
    <w:p>
      <w:pPr>
        <w:spacing w:before="0" w:after="200" w:lineRule="auto" w:line="276"/>
      </w:pPr>
      <w:r>
        <w:rPr>
          <w:b/>
        </w:rPr>
        <w:t xml:space="preserve">Abstract (EN): </w:t>
      </w:r>
      <w:r>
        <w:t>In this work, we combine two highly efficient nanofabrication methods, nanosphere lithography (NSL) and glancing angle deposition (GLAD), to fabricate large-area and low-cost surface-enhanced Raman scattering (SERS) substrates consisting of highly ordered arrays of pointed plasmonic nanowires, such that the size of the plasmonic nanowires as well as the gaps between the nanowires can be precisely controlled. These SERS substrates are cut into small SERS sensor chips for highly sensitive, selective detection of analyte molecules of interest, including pesticides thiabendazole, paraoxon-ethyl, and phosmet and nucleotides adenine and thymine. Moreover, this paper reports the fabrication of SERS substrates on flexible polymeric films using a combination of NSL and GLAD, which has not been reported earlier. This process involves atomic layer deposition coating of silicon dioxide on polymeric substrates to enable self-assembly of nanospheres on these substrates, followed by GLAD on these self-assembled nanospheres. We demonstrated the detection of the pesticide Phosmet and the biomarker dipicolinic acid using flexible NSL-GLAD chips.</w:t>
      </w:r>
    </w:p>
    <w:p>
      <w:pPr>
        <w:spacing w:before="120" w:after="120"/>
      </w:pPr>
      <w:r>
        <w:rPr>
          <w:sz w:val="18"/>
        </w:rPr>
        <w:t>——————————————————————————————————————————————————————————————————————</w:t>
      </w:r>
    </w:p>
    <w:p>
      <w:pPr>
        <w:spacing w:before="160" w:after="40" w:line="240" w:lineRule="auto"/>
      </w:pPr>
      <w:r>
        <w:rPr>
          <w:b/>
        </w:rPr>
        <w:t xml:space="preserve">[287] </w:t>
      </w:r>
      <w:hyperlink r:id="rId1085">
        <w:r>
          <w:rPr>
            <w:color w:val="1155CC"/>
            <w:u w:val="single"/>
          </w:rPr>
          <w:t>混合维度银纳米线/海藻酸钠：用于高性能柔性有机发光二极管的 MXene 透明电极</w:t>
        </w:r>
      </w:hyperlink>
    </w:p>
    <w:p>
      <w:pPr>
        <w:spacing w:before="0" w:after="80"/>
      </w:pPr>
      <w:r>
        <w:rPr>
          <w:i/>
          <w:sz w:val="20"/>
        </w:rPr>
        <w:t>EN: Hybrid-Dimensional Silver Nanowire/Sodium Alginate: MXene Transparent Electrodes for High-Performance Flexible Organic Light-Emitting Diodes</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086">
        <w:r>
          <w:rPr>
            <w:color w:val="1155CC"/>
            <w:u w:val="single"/>
          </w:rPr>
          <w:t>10.1021/acsami.6c12518</w:t>
        </w:r>
      </w:hyperlink>
    </w:p>
    <w:p>
      <w:pPr>
        <w:spacing w:before="0" w:after="120"/>
      </w:pPr>
      <w:r>
        <w:rPr>
          <w:b/>
        </w:rPr>
        <w:t xml:space="preserve">Notes: </w:t>
      </w:r>
      <w:r>
        <w:t>abstract_source=crossref</w:t>
      </w:r>
    </w:p>
    <w:p>
      <w:pPr>
        <w:spacing w:before="0" w:after="80" w:lineRule="auto" w:line="276"/>
      </w:pPr>
      <w:r>
        <w:rPr>
          <w:b/>
        </w:rPr>
        <w:t xml:space="preserve">摘要（ZH）: </w:t>
      </w:r>
      <w:r>
        <w:t>摘要 高性能柔性透明导电电极（FTCE）对于柔性显示器和可穿戴设备至关重要，但高粗糙度和长期环境稳定性仍然是商业应用的重大障碍。在此，提出了一种混合维度架构，通过简单的全水工艺集成 1D 银纳米线（AgNW）、2D MXene 纳米片和 3D 生物基海藻酸钠（SA）来制造 FTCE。得益于 MXene 和 SA 之间强大的氢键网络，混合 FTCE 在 180 天的环境存储中表现出卓越的机械稳定性和最小的电阻退化。优化的 AgNWs/SA:MXene FTCE 在 550 nm 处实现了 87.8% 的透射率，方块电阻为 12.3 Ω sq–1。此外，基于混合 FTCE 的柔性绿色 OLED 表现出 24,687 cd m-2 的出色峰值亮度和 23.9% 的外量子效率，并且抑制了效率滚降，这归因于界面润湿性的增强和均方根表面粗糙度的降低。这项工作为开发高性能、环保的柔性光电器件提供了一种可持续且多功能的策略。</w:t>
      </w:r>
    </w:p>
    <w:p>
      <w:pPr>
        <w:spacing w:before="0" w:after="200" w:lineRule="auto" w:line="276"/>
      </w:pPr>
      <w:r>
        <w:rPr>
          <w:b/>
        </w:rPr>
        <w:t xml:space="preserve">Abstract (EN): </w:t>
      </w:r>
      <w:r>
        <w:t>High-performance flexible transparent conductive electrodes (FTCEs) are critical for flexible displays and wearable devices, yet high roughness and long-term environmental stability remain significant hurdles for commercial applications. Herein, a hybrid-dimensional architecture is proposed to fabricate FTCEs by integrating 1D silver nanowires (AgNWs), 2D MXene nanosheets, and 3D bio-based sodium alginate (SA) through a facile all-aqueous process. Thanks to the robust hydrogen-bonding network between MXene and SA, the hybrid FTCE exhibits remarkable mechanical stability and minimal resistance deterioration over 180 days of ambient storage. The optimized AgNWs/SA:MXene FTCE achieves 87.8% transmittance at 550 nm with a sheet resistance of 12.3 Ω sq–1. Moreover, flexible green OLEDs based on hybrid FTCE demonstrate an outstanding peak luminance of 24,687 cd m–2 and an external quantum efficiency of 23.9% with suppressed efficiency roll-off, which is attributed to the enhanced interfacial wettability and reduced root-mean-square surface roughness. This work provides a sustainable and versatile strategy for developing high-performance, eco-friendly flexible optoelectronics.</w:t>
      </w:r>
    </w:p>
    <w:p>
      <w:pPr>
        <w:spacing w:before="120" w:after="120"/>
      </w:pPr>
      <w:r>
        <w:rPr>
          <w:sz w:val="18"/>
        </w:rPr>
        <w:t>——————————————————————————————————————————————————————————————————————</w:t>
      </w:r>
    </w:p>
    <w:p>
      <w:pPr>
        <w:spacing w:before="160" w:after="40" w:line="240" w:lineRule="auto"/>
      </w:pPr>
      <w:r>
        <w:rPr>
          <w:b/>
        </w:rPr>
        <w:t xml:space="preserve">[288] </w:t>
      </w:r>
      <w:hyperlink r:id="rId1087">
        <w:r>
          <w:rPr>
            <w:color w:val="1155CC"/>
            <w:u w:val="single"/>
          </w:rPr>
          <w:t>磁化非交换启发黑洞：从带电粒子动力学到 QPO 研究</w:t>
        </w:r>
      </w:hyperlink>
    </w:p>
    <w:p>
      <w:pPr>
        <w:spacing w:before="0" w:after="80"/>
      </w:pPr>
      <w:r>
        <w:rPr>
          <w:i/>
          <w:sz w:val="20"/>
        </w:rPr>
        <w:t>EN: Magnetized non-commutative inspired black holes: from charged particle dynamics to QPO studies</w:t>
      </w:r>
    </w:p>
    <w:p>
      <w:pPr>
        <w:spacing w:before="0" w:after="120"/>
      </w:pPr>
      <w:r>
        <w:rPr>
          <w:b/>
        </w:rPr>
        <w:t xml:space="preserve">Source: </w:t>
      </w:r>
      <w:r>
        <w:t>ScienceDirect Publication: Physics Letters B</w:t>
      </w:r>
      <w:r>
        <w:t xml:space="preserve">    </w:t>
      </w:r>
      <w:r>
        <w:rPr>
          <w:b/>
        </w:rPr>
        <w:t xml:space="preserve">Pub date: </w:t>
      </w:r>
      <w:r>
        <w:t>2026-08-04 00:00:00+00:00</w:t>
      </w:r>
      <w:r>
        <w:t xml:space="preserve">    </w:t>
      </w:r>
      <w:r>
        <w:rPr>
          <w:b/>
        </w:rPr>
        <w:t xml:space="preserve">DOI: </w:t>
      </w:r>
      <w:hyperlink r:id="rId1088">
        <w:r>
          <w:rPr>
            <w:color w:val="1155CC"/>
            <w:u w:val="single"/>
          </w:rPr>
          <w:t>10.1016/j.physletb.2026.140821</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 年 8 月 4 日在线发布来源：Physics Letters B 作者：Abubakir Shermatov、Bekir Can Lütfüoğlu、Ashfaque H. Bokhari、Faisal Javed、Javlon Rayimbaev、Sardor Murodov、Bahran Shermatov</w:t>
      </w:r>
    </w:p>
    <w:p>
      <w:pPr>
        <w:spacing w:before="0" w:after="200" w:lineRule="auto" w:line="276"/>
      </w:pPr>
      <w:r>
        <w:rPr>
          <w:b/>
        </w:rPr>
        <w:t xml:space="preserve">Abstract (EN): </w:t>
      </w:r>
      <w:r>
        <w:t>Publication date: Available online 4 August 2026Source: Physics Letters BAuthor(s): Abubakir Shermatov, Bekir Can Lütfüoğlu, Ashfaque H. Bokhari, Faisal Javed, Javlon Rayimbaev, Sardor Murodov, Bahran Shermatov</w:t>
      </w:r>
    </w:p>
    <w:p>
      <w:pPr>
        <w:spacing w:before="120" w:after="120"/>
      </w:pPr>
      <w:r>
        <w:rPr>
          <w:sz w:val="18"/>
        </w:rPr>
        <w:t>——————————————————————————————————————————————————————————————————————</w:t>
      </w:r>
    </w:p>
    <w:p>
      <w:pPr>
        <w:spacing w:before="160" w:after="40" w:line="240" w:lineRule="auto"/>
      </w:pPr>
      <w:r>
        <w:rPr>
          <w:b/>
        </w:rPr>
        <w:t xml:space="preserve">[289] </w:t>
      </w:r>
      <w:hyperlink r:id="rId1089">
        <w:r>
          <w:rPr>
            <w:color w:val="1155CC"/>
            <w:u w:val="single"/>
          </w:rPr>
          <w:t>现代高阶环加法</w:t>
        </w:r>
      </w:hyperlink>
    </w:p>
    <w:p>
      <w:pPr>
        <w:spacing w:before="0" w:after="80"/>
      </w:pPr>
      <w:r>
        <w:rPr>
          <w:i/>
          <w:sz w:val="20"/>
        </w:rPr>
        <w:t>EN: Modern Higher-Order Cycloadditions</w:t>
      </w:r>
    </w:p>
    <w:p>
      <w:pPr>
        <w:spacing w:before="0" w:after="120"/>
      </w:pPr>
      <w:r>
        <w:rPr>
          <w:b/>
        </w:rPr>
        <w:t xml:space="preserve">Source: </w:t>
      </w:r>
      <w:r>
        <w:t>Chemical Reviews: Latest Articles (ACS Publications)</w:t>
      </w:r>
      <w:r>
        <w:t xml:space="preserve">    </w:t>
      </w:r>
      <w:r>
        <w:rPr>
          <w:b/>
        </w:rPr>
        <w:t xml:space="preserve">Pub date: </w:t>
      </w:r>
      <w:r>
        <w:t>2026-08-04 00:00:00+00:00</w:t>
      </w:r>
      <w:r>
        <w:t xml:space="preserve">    </w:t>
      </w:r>
      <w:r>
        <w:rPr>
          <w:b/>
        </w:rPr>
        <w:t xml:space="preserve">DOI: </w:t>
      </w:r>
      <w:hyperlink r:id="rId1090">
        <w:r>
          <w:rPr>
            <w:color w:val="1155CC"/>
            <w:u w:val="single"/>
          </w:rPr>
          <w:t>10.1021/acs.chemrev.5c01109</w:t>
        </w:r>
      </w:hyperlink>
    </w:p>
    <w:p>
      <w:pPr>
        <w:spacing w:before="0" w:after="120"/>
      </w:pPr>
      <w:r>
        <w:rPr>
          <w:b/>
        </w:rPr>
        <w:t xml:space="preserve">Notes: </w:t>
      </w:r>
      <w:r>
        <w:t>abstract_source=crossref</w:t>
      </w:r>
    </w:p>
    <w:p>
      <w:pPr>
        <w:spacing w:before="0" w:after="80" w:lineRule="auto" w:line="276"/>
      </w:pPr>
      <w:r>
        <w:rPr>
          <w:b/>
        </w:rPr>
        <w:t xml:space="preserve">摘要（ZH）: </w:t>
      </w:r>
      <w:r>
        <w:t>摘要 高阶环加成被定义为涉及超过 6 个π 电子的周环反应，已成为强大且机制多样的反应，允许构建超出经典 Diels-Alder 反应的更大、更复杂的多环系统。这篇综述全面概述了涉及 8π–18π-电子的高阶环加成的发展、范围和基本原理。重点介绍了过渡金属、路易斯酸、有机和酶催化的高阶环加成的关键进展，重点介绍了现代催化剂设计如何能够控制近选择性和立体选择性。讨论了密度泛函理论、分子动力学和实验反应设计的机理见解，以说明高阶环加成如何挑战和完善现代周环理论。总之，这些进展展示了现代化学中高阶环加成日益增长的合成和概念意义。</w:t>
      </w:r>
    </w:p>
    <w:p>
      <w:pPr>
        <w:spacing w:before="0" w:after="200" w:lineRule="auto" w:line="276"/>
      </w:pPr>
      <w:r>
        <w:rPr>
          <w:b/>
        </w:rPr>
        <w:t xml:space="preserve">Abstract (EN): </w:t>
      </w:r>
      <w:r>
        <w:t>Higher-order cycloadditions, defined as pericyclic reactions involving more than 6π-electrons, have emerged as powerful and mechanistically diverse reactions that allow for the construction of larger and more complex polycyclic ring systems beyond the classical Diels–Alder reaction. This review provides a comprehensive overview of the development, scope, and fundamental principles governing higher-order cycloadditions involving 8π–18π-electrons. Key advances in transition-metal-, Lewis-acid-, organo-, and enzyme-catalyzed higher-order cycloadditions are highlighted with emphasis on how modern catalyst design enables control over periselectivity and stereoselectivity. Mechanistic insights from density functional theory, molecular dynamics, and experimental reaction designs are discussed to illustrate how higher-order cycloadditions challenge and refine modern pericyclic theory. Together, these developments showcase the growing synthetic and conceptual significance of higher-order cycloadditions in modern chemistry.</w:t>
      </w:r>
    </w:p>
    <w:p>
      <w:pPr>
        <w:spacing w:before="120" w:after="120"/>
      </w:pPr>
      <w:r>
        <w:rPr>
          <w:sz w:val="18"/>
        </w:rPr>
        <w:t>——————————————————————————————————————————————————————————————————————</w:t>
      </w:r>
    </w:p>
    <w:p>
      <w:pPr>
        <w:spacing w:before="160" w:after="40" w:line="240" w:lineRule="auto"/>
      </w:pPr>
      <w:r>
        <w:rPr>
          <w:b/>
        </w:rPr>
        <w:t xml:space="preserve">[290] </w:t>
      </w:r>
      <w:hyperlink r:id="rId1091">
        <w:r>
          <w:rPr>
            <w:color w:val="1155CC"/>
            <w:u w:val="single"/>
          </w:rPr>
          <w:t>钴金属有机骨架纳米颗粒的电催化氢化</w:t>
        </w:r>
      </w:hyperlink>
    </w:p>
    <w:p>
      <w:pPr>
        <w:spacing w:before="0" w:after="80"/>
      </w:pPr>
      <w:r>
        <w:rPr>
          <w:i/>
          <w:sz w:val="20"/>
        </w:rPr>
        <w:t>EN: Electrocatalytic Hydrogenation with Nanoparticles Derived from a Cobalt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092">
        <w:r>
          <w:rPr>
            <w:color w:val="1155CC"/>
            <w:u w:val="single"/>
          </w:rPr>
          <w:t>10.1021/jacs.6c11639</w:t>
        </w:r>
      </w:hyperlink>
    </w:p>
    <w:p>
      <w:pPr>
        <w:spacing w:before="0" w:after="120"/>
      </w:pPr>
      <w:r>
        <w:rPr>
          <w:b/>
        </w:rPr>
        <w:t xml:space="preserve">Notes: </w:t>
      </w:r>
      <w:r>
        <w:t>abstract_source=crossref</w:t>
      </w:r>
    </w:p>
    <w:p>
      <w:pPr>
        <w:spacing w:before="0" w:after="80" w:lineRule="auto" w:line="276"/>
      </w:pPr>
      <w:r>
        <w:rPr>
          <w:b/>
        </w:rPr>
        <w:t xml:space="preserve">摘要（ZH）: </w:t>
      </w:r>
      <w:r>
        <w:t>摘要 电催化氢化（e -H）为在温和条件下使用可再生电力作为驱动力转化不饱和有机底物提供了一条可持续的途径。在这里，我们报道了一种用于丙酮和吡啶 e-H 的 MOF 衍生的钴催化剂。一种新的二维钴金属有机骨架 Co-L0-NS，由 Co(II) 节点和聚芳族羧酸酯连接体组成，被合成为纳米片，并用作在阴极偏压下生成活性催化剂的前驱体。电化学预处理诱导受控框架重建，形成 MD-Cat，一种高度分散、结构无序、富含 Co(OH)2 的纳米团簇材料。 MD-Cat 在优化电位下以近乎定量的法拉第效率催化丙酮的 e-H 生成异丙醇，并以高达 50% 的法拉第效率促进吡啶氢化为哌啶。与电沉积钴、商业钴纳米颗粒和块状 Co(OH)2 的比较研究表明，MOF 衍生的催化剂表现出优异的电流密度和产物选择性，我们将其归因于其纳米级形态和羟基化钴环境。原位 Co K-edge XAS、XPS、PXRD、ATR-SEIRAS 和 STEM 分析表明，Co 在催化过程中主要保持 +2 氧化态，同时进行结构重组。 Tafel 分析支持丙酮氢化的 PCET 型机制；而 DFT 计算表明，Co/Co(OH)2 界面通过削弱 H* 结合来抑制 HER，同时保持有机底物活化。这些结果凸显</w:t>
      </w:r>
    </w:p>
    <w:p>
      <w:pPr>
        <w:spacing w:before="0" w:after="200" w:lineRule="auto" w:line="276"/>
      </w:pPr>
      <w:r>
        <w:rPr>
          <w:b/>
        </w:rPr>
        <w:t xml:space="preserve">Abstract (EN): </w:t>
      </w:r>
      <w:r>
        <w:t>Electrocatalytic hydrogenation (e -H) provides a sustainable route for converting unsaturated organic substrates under mild conditions using renewable electricity as the driving force. Here, we report an MOF-derived cobalt catalyst for the e -H of acetone and pyridine. A new two-dimensional cobalt metal–organic framework, Co-L0-NS, composed of Co(II) nodes and polyaromatic carboxylate linkers, was synthesized as nanosheets and used as a precursor to generate the active catalyst under cathodic bias. Electrochemical pretreatment induces controlled framework reconstruction to form MD-Cat, a highly dispersed, structurally disordered, Co(OH)2-rich nanocluster material. MD-Cat catalyzes the e -H of acetone to isopropanol with nearly quantitative Faradaic efficiency at optimized potentials and promotes pyridine hydrogenation to piperidine with up to 50% Faradaic efficiency. Comparative studies with electrodeposited cobalt, commercial cobalt nanoparticles, and bulk Co(OH)2 show that the MOF-derived catalyst exhibits superior current densities and product selectivity, which we attribute to its nanoscale morphology and hydroxylated cobalt environment. In situ Co K-edge XAS, XPS, PXRD, ATR-SEIRAS, and STEM analyses indicate that Co remains predominantly in the +2 oxidation state during catalysis while undergoing structural reorganization. Tafel analysis supports a PCET-type mechanism for acetone hydrogenation; while DFT calculations suggest that the Co/Co(OH)2 interface suppresses HER by weakening H* binding while preserving organic-substrate activation. These results highlight MOF-templated electrochemical reconstruction as a promising approach for designing selective e -H catalysts, not only by increasing catalyst accessibility through nanostructuring but also by enabling the formation of unique catalytic motifs that would otherwise be difficult to access using traditional methods.</w:t>
      </w:r>
    </w:p>
    <w:p>
      <w:pPr>
        <w:spacing w:before="120" w:after="120"/>
      </w:pPr>
      <w:r>
        <w:rPr>
          <w:sz w:val="18"/>
        </w:rPr>
        <w:t>——————————————————————————————————————————————————————————————————————</w:t>
      </w:r>
    </w:p>
    <w:p>
      <w:pPr>
        <w:spacing w:before="160" w:after="40" w:line="240" w:lineRule="auto"/>
      </w:pPr>
      <w:r>
        <w:rPr>
          <w:b/>
        </w:rPr>
        <w:t xml:space="preserve">[291] </w:t>
      </w:r>
      <w:hyperlink r:id="rId1093">
        <w:r>
          <w:rPr>
            <w:color w:val="1155CC"/>
            <w:u w:val="single"/>
          </w:rPr>
          <w:t>前庭核刺激可改善帕金森小鼠模型的运动动力学</w:t>
        </w:r>
      </w:hyperlink>
    </w:p>
    <w:p>
      <w:pPr>
        <w:spacing w:before="0" w:after="80"/>
      </w:pPr>
      <w:r>
        <w:rPr>
          <w:i/>
          <w:sz w:val="20"/>
        </w:rPr>
        <w:t>EN: Vestibular nucleus stimulation for ameliorating locomotor dynamics in a Parkinsonian mouse model</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姿势和运动功能障碍是帕金森病 (PD) 的中轴症状，但药物和深部脑刺激治疗效果不佳。虽然通过前庭核复合体（VNC）对前庭系统进行非侵入性神经调节提供了一种新的治疗途径，但其潜在的回路仍然知之甚少。在这里，我们展示了小鼠 VNC 将广泛的 Vglut2 定义的投射馈送到纹状体-丘脑-底丘脑和尾髓运动中枢，并接收来自感觉运动皮层的大量输入。在亚症状强度下兴奋性 VNC 神经元的光遗传学激活增加了基底神经节相关和脑干运动靶标中基于 cFos 的活动。无偏姿态动力学和运动分析分别显示了阈值刺激下行为模块化和运动的增强。在 PD 小鼠模型中，后者通过改善运动协调性进一步支持自然步态模式。我们的数据将兴奋性 VNC 过程确定为 PD 背景下轴向运动功能障碍治疗目标的候选者。</w:t>
      </w:r>
    </w:p>
    <w:p>
      <w:pPr>
        <w:spacing w:before="0" w:after="200" w:lineRule="auto" w:line="276"/>
      </w:pPr>
      <w:r>
        <w:rPr>
          <w:b/>
        </w:rPr>
        <w:t xml:space="preserve">Abstract (EN): </w:t>
      </w:r>
      <w:r>
        <w:t>Postural and locomotor dysfunction represent axial symptoms of Parkinson’s disease (PD), which remain poorly treated by medication and deep brain stimulation. Whilst non-invasive neuromodulation of the vestibular system via the vestibular nucleus complex (VNC) offers a novel therapeutic avenue, the underlying circuits are still poorly characterized. Here we show that the mouse VNC feeds extensive Vglut2-defined projections into striato-thalamo-subthalamic and caudal medulla motor hubs and receives substantial input from the sensorimotor cortex. Optogenetic activation of excitatory VNC neurons at sub-symptomatic intensities increased cFos-based activity in basal ganglia-associated and brainstem motor targets. Unbiased pose dynamics and motion analysis respectively showed enhancement of behavioural modularity and locomotion with threshold-level stimulation. In a mouse model of PD, the latter further favored naturalistic gait patterns through improved motor coordination. Our data identify excitatory VNC processes as candidates for therapeutic targeting of axial motor dysfunction in the context of PD.</w:t>
      </w:r>
    </w:p>
    <w:p>
      <w:pPr>
        <w:spacing w:before="120" w:after="120"/>
      </w:pPr>
      <w:r>
        <w:rPr>
          <w:sz w:val="18"/>
        </w:rPr>
        <w:t>——————————————————————————————————————————————————————————————————————</w:t>
      </w:r>
    </w:p>
    <w:p>
      <w:pPr>
        <w:spacing w:before="160" w:after="40" w:line="240" w:lineRule="auto"/>
      </w:pPr>
      <w:r>
        <w:rPr>
          <w:b/>
        </w:rPr>
        <w:t xml:space="preserve">[292] </w:t>
      </w:r>
      <w:hyperlink r:id="rId1094">
        <w:r>
          <w:rPr>
            <w:color w:val="1155CC"/>
            <w:u w:val="single"/>
          </w:rPr>
          <w:t>霍乱弧菌合成的色氨酸通过核受体超气门的磷酸化激活肠内分泌细胞中的先天免疫信号</w:t>
        </w:r>
      </w:hyperlink>
    </w:p>
    <w:p>
      <w:pPr>
        <w:spacing w:before="0" w:after="80"/>
      </w:pPr>
      <w:r>
        <w:rPr>
          <w:i/>
          <w:sz w:val="20"/>
        </w:rPr>
        <w:t>EN: Vibrio cholerae-synthesized tryptophan activates innate immune signaling in enteroendocrine cells via phosphorylation of the nuclear receptor ultraspiracle</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革兰氏阴性杆状霍乱弧菌会引起人类严重腹泻，并且被发现与环境中的陆生和水生节肢动物密切相关。在这里，我们发现霍乱弧菌在节肢动物肠道中产生的色氨酸激活宿主定植因子 Peritropin-15a (Peri-15a) 的表达。霍乱弧菌衍生的色氨酸被宿主肠细胞用来合成血清素，该血清素向肠内分泌细胞（EEC）发出信号以激活 TNF 样免疫缺陷途径 IMD。我们定义了 EEC 血清素信号通路，该通路涉及血清素 G 蛋白偶联受体的子集、Gαq、磷脂酶 C 和蛋白激酶 C。该通路最终导致核受体 ultraspiracle 的磷酸化和增强，该受体结合性激素蜕皮激素以激活 IMD 信号传导。 EEC 中的 IMD 信号传导独特地激活肠内分泌肽速激肽的表达，从而增加 Peri-15a 的表达。我们认为，由于霍乱弧菌合成的色氨酸增加了宿主 Peri-15a 的表达，因此它已经进化到利用节肢动物肠道先天免疫反应来最大化肠道粘附。</w:t>
      </w:r>
    </w:p>
    <w:p>
      <w:pPr>
        <w:spacing w:before="0" w:after="200" w:lineRule="auto" w:line="276"/>
      </w:pPr>
      <w:r>
        <w:rPr>
          <w:b/>
        </w:rPr>
        <w:t xml:space="preserve">Abstract (EN): </w:t>
      </w:r>
      <w:r>
        <w:t>The Gram-negative rod Vibrio cholerae causes profuse diarrhea in humans and is found in close association with both terrestrial and aquatic arthropods in the environment. Here we show that tryptophan produced by V. cholerae in the arthropod intestine activates expression of the host colonization factor Peritrophin-15a (Peri-15a). V. cholerae-derived tryptophan is used by host enterocytes to synthesize serotonin, which signals to enteroendocrine cells (EECs) to activate the TNF-like immune deficiency pathway IMD. We define the EEC serotonin signaling pathway, which involves a subset of serotonin G protein-coupled receptors, Gαq, phospholipase C, and protein kinase C. This pathway culminates in phosphorylation and potentiation of the nuclear receptor ultraspiracle, which binds the sex hormone ecdysone to activate IMD signaling. IMD signaling in EECs uniquely activates expression of the enteroendocrine peptide Tachykinin, which increases expression of Peri-15a. We propose that, because V. cholerae-synthesized tryptophan increases host Peri-15a expression, it has evolved to exploit the arthropod intestinal innate immune response to maximize intestinal adhesion.</w:t>
      </w:r>
    </w:p>
    <w:p>
      <w:pPr>
        <w:spacing w:before="120" w:after="120"/>
      </w:pPr>
      <w:r>
        <w:rPr>
          <w:sz w:val="18"/>
        </w:rPr>
        <w:t>——————————————————————————————————————————————————————————————————————</w:t>
      </w:r>
    </w:p>
    <w:p>
      <w:pPr>
        <w:spacing w:before="160" w:after="40" w:line="240" w:lineRule="auto"/>
      </w:pPr>
      <w:r>
        <w:rPr>
          <w:b/>
        </w:rPr>
        <w:t xml:space="preserve">[293] </w:t>
      </w:r>
      <w:hyperlink r:id="rId1095">
        <w:r>
          <w:rPr>
            <w:color w:val="1155CC"/>
            <w:u w:val="single"/>
          </w:rPr>
          <w:t>多组学整合揭示了具有不同临床病理特征的促肾上腺皮质激素垂体神经内分泌肿瘤的四个分子亚组</w:t>
        </w:r>
      </w:hyperlink>
    </w:p>
    <w:p>
      <w:pPr>
        <w:spacing w:before="0" w:after="80"/>
      </w:pPr>
      <w:r>
        <w:rPr>
          <w:i/>
          <w:sz w:val="20"/>
        </w:rPr>
        <w:t>EN: Multi-omics integration unravels four molecular subgroups of corticotroph pituitary neuroendocrine tumours with distinct clinicopathological features</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促肾上腺皮质激素垂体神经内分泌肿瘤（PitNET）/腺瘤是异质性鞍区肿瘤。目前建立的组织病理学分类方法通常被认为在充分捕捉这些肿瘤的临床和生物学复杂性方面有限。迄今为止，促肾上腺皮质激素细胞 PitNET 尚未建立基于分子的分类。我们编译了 270 个促肾上腺皮质激素 PitNET（111 个内部，159 个外部）的分子数据，包括表观基因组、转录组和蛋白质组谱。进行全面的综合分析来识别、验证和表征明确的分子亚组。促皮质激素 PitNET 分为四个强大且临床病理学不同的分子亚组，使用 SSTR1、GATA3 和 SSTR5 免疫组织化学通过显微镜可大致区分这些亚组。包含这些分子亚组的综合分层模型显示出显着的预后效用。我们的研究结果支持建立基于分子的精细促肾上腺皮质激素 PitNET 分类，其完整的临床价值需要在前瞻性研究中进行验证。为了促进未来的研究，我们为促肾上腺皮质激素细胞 PitNET 提供了一个易于使用的表观基因组分类器。</w:t>
      </w:r>
    </w:p>
    <w:p>
      <w:pPr>
        <w:spacing w:before="0" w:after="200" w:lineRule="auto" w:line="276"/>
      </w:pPr>
      <w:r>
        <w:rPr>
          <w:b/>
        </w:rPr>
        <w:t xml:space="preserve">Abstract (EN): </w:t>
      </w:r>
      <w:r>
        <w:t>Corticotroph pituitary neuroendocrine tumours (PitNETs)/adenomas are heterogeneous sellar neoplasms. Currently established histopathological classification approaches are often considered limited in fully capturing the clinical and biological complexity of these tumours. Thus far, a molecular-based classification has not been established in corticotroph PitNETs. We compile molecular data of 270 corticotroph PitNETs (111 internal, 159 external), encompassing epigenome, transcriptome, and proteome profiles. Comprehensive integrative analyses are performed to identify, validate and characterise definitive molecular subgroups. Corticotroph PitNETs separate into four robust and clinicopathologically distinct molecular subgroups, which are broadly distinguishable by microscopy using SSTR1, GATA3 and SSTR5 immunohistochemistry. An integrated stratification model incorporating these molecular subgroups demonstrates significant prognostic utility. Our findings support the establishment of a refined molecular-based corticotroph PitNET classification, the full clinical value of which will require validation in prospective studies. To facilitate future research, we provide an easy-to-use epigenomic classifier for corticotroph PitNETs.</w:t>
      </w:r>
    </w:p>
    <w:p>
      <w:pPr>
        <w:spacing w:before="120" w:after="120"/>
      </w:pPr>
      <w:r>
        <w:rPr>
          <w:sz w:val="18"/>
        </w:rPr>
        <w:t>——————————————————————————————————————————————————————————————————————</w:t>
      </w:r>
    </w:p>
    <w:p>
      <w:pPr>
        <w:spacing w:before="160" w:after="40" w:line="240" w:lineRule="auto"/>
      </w:pPr>
      <w:r>
        <w:rPr>
          <w:b/>
        </w:rPr>
        <w:t xml:space="preserve">[294] </w:t>
      </w:r>
      <w:hyperlink r:id="rId1096">
        <w:r>
          <w:rPr>
            <w:color w:val="1155CC"/>
            <w:u w:val="single"/>
          </w:rPr>
          <w:t>围断奶期间，饮食诱导的 IFNγ 介导的调节回路激活促进 cDC1 成熟和 CD8+ T 细胞分化</w:t>
        </w:r>
      </w:hyperlink>
    </w:p>
    <w:p>
      <w:pPr>
        <w:spacing w:before="0" w:after="80"/>
      </w:pPr>
      <w:r>
        <w:rPr>
          <w:i/>
          <w:sz w:val="20"/>
        </w:rPr>
        <w:t>EN: Peri-weaning, diet-induced activation of an IFNγ-mediated regulatory circuit promotes cDC1 maturation and CD8+ T cell differentiation</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在新生儿的病原体防御和对环境抗原的耐受性之间保持平衡的免疫对于生存和建立终生免疫稳态至关重要。在环境信号的指导下，1 型传统树突状细胞 (cDC1) 对这两个过程都有贡献，但如何实现平衡尚不清楚。在这里，我们发现了生命早期的干扰素 (IFN)γ 驱动的调节回路，该回路将饮食线索传递给脾脏 cDC1。 IFNγ介导的 STAT1 信号传导在脾 cDC1 中诱导免疫原性成熟程序，使它们能够塑造经历过抗原的效应记忆 CD8+ T 细胞的效应分化。这个cDC1程序在断奶时从母乳喂养到固体食物的过渡过程中出现，发生在无菌小鼠中，并且对成年小鼠的饮食干预仍然有效。断奶时，这种 IFNγ 信号使脾 cDC1 以前馈方式塑造食物抗原特异性 CD8+ T 细胞的效应表型，从而重新校准正在发育的 T 细胞库。我们的研究结果表明，饮食是一种可调节的线索，可以调节 cDC1 介导的全身免疫，为生命早期及以后引导免疫反应提供新的机会。</w:t>
      </w:r>
    </w:p>
    <w:p>
      <w:pPr>
        <w:spacing w:before="0" w:after="200" w:lineRule="auto" w:line="276"/>
      </w:pPr>
      <w:r>
        <w:rPr>
          <w:b/>
        </w:rPr>
        <w:t xml:space="preserve">Abstract (EN): </w:t>
      </w:r>
      <w:r>
        <w:t>Maintaining a balanced immunity between pathogen defense and tolerance to environmental antigens in neonates is essential for survival and the establishment of life-long immune homeostasis. Instructed by environmental signals, type 1 conventional dendritic cells (cDC1) contribute to both processes but how the balance may be achieved is unclear. Here, we uncover an interferon (IFN)γ-driven regulatory circuit in early life that relays dietary cues to spleen cDC1. IFNγ-mediated STAT1-signaling induces an immunogenic maturation program in spleen cDC1 that enables them to shape the effector differentiation of antigen-experienced effector memory CD8⁺ T cells. This cDC1 program emerges during the transition from breastfeeding to solid food at weaning, occurs in germ-free mice, and remains operative to dietary intervention in adult mice. At weaning, this IFNγ signal enables spleen cDC1 to shape the effector phenotype of food-antigen-specific CD8+ T cells in a feedforward manner, thereby recalibrating the developing T cell pool. Our findings identify diet as a modifiable cue that can tune systemic cDC1-mediated immunity, opening new opportunities to steer immune responses during early life and beyond.</w:t>
      </w:r>
    </w:p>
    <w:p>
      <w:pPr>
        <w:spacing w:before="120" w:after="120"/>
      </w:pPr>
      <w:r>
        <w:rPr>
          <w:sz w:val="18"/>
        </w:rPr>
        <w:t>——————————————————————————————————————————————————————————————————————</w:t>
      </w:r>
    </w:p>
    <w:p>
      <w:pPr>
        <w:spacing w:before="160" w:after="40" w:line="240" w:lineRule="auto"/>
      </w:pPr>
      <w:r>
        <w:rPr>
          <w:b/>
        </w:rPr>
        <w:t xml:space="preserve">[295] </w:t>
      </w:r>
      <w:hyperlink r:id="rId1097">
        <w:r>
          <w:rPr>
            <w:color w:val="1155CC"/>
            <w:u w:val="single"/>
          </w:rPr>
          <w:t>RPL22L1 特异性核糖体的翻译控制增强 DNA 修复和化疗耐药性</w:t>
        </w:r>
      </w:hyperlink>
    </w:p>
    <w:p>
      <w:pPr>
        <w:spacing w:before="0" w:after="80"/>
      </w:pPr>
      <w:r>
        <w:rPr>
          <w:i/>
          <w:sz w:val="20"/>
        </w:rPr>
        <w:t>EN: Translational control by RPL22L1-specific ribosomes enhances DNA repair and chemoresistance</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核糖体异质性已成为基因表达的调节层，但其在癌症中的生物学作用仍知之甚少。在这里，我们确定 RPL22L1（核糖体蛋白 RPL22 的旁系同源物）是结直肠癌细胞中 DNA 损伤反应 (DDR) 的关键调节剂。 DNA 损伤诱导 RPL22L1 上调和核糖体掺入，形成 RPL22L1 特异性核糖体。核糖体分析表明，含有 RPL22L1 的核糖体优先翻译具有高度结构化 5' 非翻译区 (5'UTR) 的 mRNA。特别是，RPL22L1 通过帽独立机制增强 ATRX 的翻译。 ATRX 随后将 DNA-PKcs 招募到 DNA 损伤位点，从而增强 DNA 修复能力。 RPL22L1 缺失会产生可利用的 DDR 漏洞，使癌细胞在体外和体内对顺铂和 PARP 抑制剂敏感。总的来说，这些发现揭示了 DDR 中专门的核糖体介导的翻译程序，并强调 RPL22L1 作为基于 DDR 的癌症治疗的潜在治疗靶点。</w:t>
      </w:r>
    </w:p>
    <w:p>
      <w:pPr>
        <w:spacing w:before="0" w:after="200" w:lineRule="auto" w:line="276"/>
      </w:pPr>
      <w:r>
        <w:rPr>
          <w:b/>
        </w:rPr>
        <w:t xml:space="preserve">Abstract (EN): </w:t>
      </w:r>
      <w:r>
        <w:t>Ribosome heterogeneity has emerged as a regulatory layer in gene expression, yet its biological roles in cancers remain poorly characterized. Here, we identify RPL22L1, a paralog of the ribosomal protein RPL22, as a key modulator of DNA damage response (DDR) in colorectal cancer cells. DNA damage induces RPL22L1 upregulation and ribosomal incorporation, forming RPL22L1-specific ribosomes. Ribosome profiling reveals that RPL22L1-containing ribosomes preferentially translate mRNAs with highly structured 5’ untranslated region (5’UTR). In particular, RPL22L1 enhances the translation of ATRX through a cap-independent mechanism. ATRX subsequently recruits DNA-PKcs to DNA damage sites, thereby enhancing the DNA repair capacity. RPL22L1 loss creates exploitable DDR vulnerabilities, sensitizing cancer cells to cisplatin and PARP inhibitors in vitro and in vivo. Collectively, these findings uncover a specialized ribosome-mediated translational program in DDR and highlight RPL22L1 as a potential therapeutic target in DDR-based cancer therapy.</w:t>
      </w:r>
    </w:p>
    <w:p>
      <w:pPr>
        <w:spacing w:before="120" w:after="120"/>
      </w:pPr>
      <w:r>
        <w:rPr>
          <w:sz w:val="18"/>
        </w:rPr>
        <w:t>——————————————————————————————————————————————————————————————————————</w:t>
      </w:r>
    </w:p>
    <w:p>
      <w:pPr>
        <w:spacing w:before="160" w:after="40" w:line="240" w:lineRule="auto"/>
      </w:pPr>
      <w:r>
        <w:rPr>
          <w:b/>
        </w:rPr>
        <w:t xml:space="preserve">[296] </w:t>
      </w:r>
      <w:hyperlink r:id="rId1098">
        <w:r>
          <w:rPr>
            <w:color w:val="1155CC"/>
            <w:u w:val="single"/>
          </w:rPr>
          <w:t>纳米抗体对 Kv1.3 通道 C 型失活的调控</w:t>
        </w:r>
      </w:hyperlink>
    </w:p>
    <w:p>
      <w:pPr>
        <w:spacing w:before="0" w:after="80"/>
      </w:pPr>
      <w:r>
        <w:rPr>
          <w:i/>
          <w:sz w:val="20"/>
        </w:rPr>
        <w:t>EN: Nanobody regulation of C-type inactivation in Kv1.3 channels</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纳米抗体是调节离子通道以进行机械研究和开发新疗法的强大工具。 Kv1.3 通道在 T 淋巴细胞中高度表达，促进 T 细胞持续激活，其表达在自身免疫性疾病中升高，并且抑制性纳米抗体具有免疫抑制作用。 A019400G09 纳米抗体 (NB1.3) 与 Kv1.3 的外表面结合，并通过促进离子选择性过滤器的缓慢 C 型失活来抑制通道。在这里，我们通过确定Kv1.3的一系列冷冻电镜结构并突变NB1.3与通道之间的界面来探讨NB1.3促进失活的机制。我们的结果表明，NB1.3 与 S1-S4 电压传感域和孔域内的转塔相互作用是促进失活所必需的。我们还确定了一个相互作用的疏水残基网络，将转塔连接到离子选择性过滤器，稳定导电状态并介导 NB1.3 的作用。这些发现为开发针对 Kv1.3 通道的疗法以及探索纳米抗体如何与其他四聚体阳离子通道相互作用以调节其活性奠定了基础。</w:t>
      </w:r>
    </w:p>
    <w:p>
      <w:pPr>
        <w:spacing w:before="0" w:after="200" w:lineRule="auto" w:line="276"/>
      </w:pPr>
      <w:r>
        <w:rPr>
          <w:b/>
        </w:rPr>
        <w:t xml:space="preserve">Abstract (EN): </w:t>
      </w:r>
      <w:r>
        <w:t>Nanobodies are powerful tools for modulating ion channels for mechanistic investigations and developing new therapeutics. The Kv1.3 channel is highly expressed in T-lymphocytes where it promotes sustained T-cell activation, its expression is elevated in autoimmune disorders and inhibitory nanobodies are immunosuppressive. The A019400G09 nanobody (NB1.3) binds to the external surface of Kv1.3 and inhibits the channel by promoting slow C-type inactivation of the ion selectivity filter. Here we explore the mechanism by which NB1.3 promotes inactivation by determining a series of cryo-EM structures of Kv1.3 and mutating the interface between NB1.3 and the channel. Our results reveal that interaction of NB1.3 with both the S1-S4 voltage-sensing domain and the turret within the pore domain are required to promote inactivation. We also identify a network of interacting hydrophobic residues linking the turret to the ion selectivity filter that stabilizes the conducting state and mediate the actions of NB1.3. These findings provide a foundation for developing therapeutics targeting Kv1.3 channels and exploring how nanobodies can interact with other tetrameric cation channels to modulate their activity.</w:t>
      </w:r>
    </w:p>
    <w:p>
      <w:pPr>
        <w:spacing w:before="120" w:after="120"/>
      </w:pPr>
      <w:r>
        <w:rPr>
          <w:sz w:val="18"/>
        </w:rPr>
        <w:t>——————————————————————————————————————————————————————————————————————</w:t>
      </w:r>
    </w:p>
    <w:p>
      <w:pPr>
        <w:spacing w:before="160" w:after="40" w:line="240" w:lineRule="auto"/>
      </w:pPr>
      <w:r>
        <w:rPr>
          <w:b/>
        </w:rPr>
        <w:t xml:space="preserve">[297] </w:t>
      </w:r>
      <w:hyperlink r:id="rId1099">
        <w:r>
          <w:rPr>
            <w:color w:val="1155CC"/>
            <w:u w:val="single"/>
          </w:rPr>
          <w:t>ATP13A4 控制细胞外多胺水平以控制兴奋性突触发生</w:t>
        </w:r>
      </w:hyperlink>
    </w:p>
    <w:p>
      <w:pPr>
        <w:spacing w:before="0" w:after="80"/>
      </w:pPr>
      <w:r>
        <w:rPr>
          <w:i/>
          <w:sz w:val="20"/>
        </w:rPr>
        <w:t>EN: ATP13A4 gates extracellular polyamine levels to control excitatory synaptogenesis</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多胺，如亚精胺，是大脑发育的重要调节剂，但细胞如何控制其摄取和细胞外水平仍不清楚。在这里，我们发现 ATP13A4（一种富含于神经胶质细胞并在星形胶质细胞中显着表达的转运蛋白）控制着大脑多胺平衡。利用生化、细胞和动物模型，我们发现 ATP13A4 将多胺导入细胞，从而限制其在细胞外的可用性。 ATP13A4 的缺失会简化星形胶质细胞的形态并增加星形胶质细胞在神经元之间促进的兴奋性连接或突触；添加亚精胺会重现这些效应，将细胞外亚精胺识别为突触促进信号。在缺乏 Atp13a4 的小鼠中，大脑中的多胺会重新分布，皮质中的水平降低，并在脑脊液中积聚。伴随着过度的兴奋性突触、早期发育延迟以及成年后轻微的、女性偏向的行为变化。与神经发育障碍相关的罕见 ATP13A4 变异会破坏其功能。因此，星形胶质细胞通过 ATP13A4 清除多胺，调节细胞外亚精胺以塑造发育过程中的突触形成。</w:t>
      </w:r>
    </w:p>
    <w:p>
      <w:pPr>
        <w:spacing w:before="0" w:after="200" w:lineRule="auto" w:line="276"/>
      </w:pPr>
      <w:r>
        <w:rPr>
          <w:b/>
        </w:rPr>
        <w:t xml:space="preserve">Abstract (EN): </w:t>
      </w:r>
      <w:r>
        <w:t>Polyamines, such as spermidine, are essential regulators of brain development, yet how cells control their uptake and extracellular levels remains unclear. Here we show that ATP13A4, a transport protein enriched in glia and prominently expressed in astrocytes, governs brain polyamine balance. Using biochemical, cellular, and animal models, we find that ATP13A4 imports polyamines into cells and thereby limits their availability outside cells. Loss of ATP13A4 simplifies astrocyte morphology and increases the excitatory connections, or synapses, that astrocytes promote between neurons; adding spermidine reproduces these effects, identifying extracellular spermidine as a synapse-promoting signal. In mice lacking Atp13a4, brain polyamines are redistributed, with reduced levels in the cortex and accumulation in cerebrospinal fluid. This is accompanied by excess excitatory synapses, delayed early development, and mild, female-biased behavioral changes in adulthood. Rare ATP13A4 variants linked to neurodevelopmental disorders disrupt its function. Thus, astrocytic polyamine clearance via ATP13A4 tunes extracellular spermidine to shape synapse formation during development.</w:t>
      </w:r>
    </w:p>
    <w:p>
      <w:pPr>
        <w:spacing w:before="120" w:after="120"/>
      </w:pPr>
      <w:r>
        <w:rPr>
          <w:sz w:val="18"/>
        </w:rPr>
        <w:t>——————————————————————————————————————————————————————————————————————</w:t>
      </w:r>
    </w:p>
    <w:p>
      <w:pPr>
        <w:spacing w:before="160" w:after="40" w:line="240" w:lineRule="auto"/>
      </w:pPr>
      <w:r>
        <w:rPr>
          <w:b/>
        </w:rPr>
        <w:t xml:space="preserve">[298] </w:t>
      </w:r>
      <w:hyperlink r:id="rId1100">
        <w:r>
          <w:rPr>
            <w:color w:val="1155CC"/>
            <w:u w:val="single"/>
          </w:rPr>
          <w:t>转录因子结合的位置语法划分植物的发育和应激反应调节</w:t>
        </w:r>
      </w:hyperlink>
    </w:p>
    <w:p>
      <w:pPr>
        <w:spacing w:before="0" w:after="80"/>
      </w:pPr>
      <w:r>
        <w:rPr>
          <w:i/>
          <w:sz w:val="20"/>
        </w:rPr>
        <w:t>EN: Positional grammar of transcription factor binding partitions developmental and stress-response regulation in plants</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了解转录因子结合位点 (TFBS) 位置如何影响基因调控仍然是植物中的一个基本挑战。在这里，我们将 244 个转录因子 (TF) 的保守 multiDAP TFBS 图谱与十字花科物种的单核染色质可及性、细胞类型解析的基因表达和激素反应数据集进行整合，以确定 TFBS 位置与调节功能的关系。尽管保守的 TFBS 在转录起始位点 (TSS) 附近富集，但 TSS 近端可及性很难预测细胞类型特异性表达。相反，细胞类型特异性表达与嵌入细胞类型限制性染色质中的保守 TFBS 具有最佳相关性，并且具有跨远端启动子和内含子的 TF 家族特异性分布。相比之下，广泛可及染色质中的 TSS 近端 TFBS 与非生物和生物应激激素的快速转录反应相关。编码序列 TFBS 标志着一个独特的调控环境，其中相同的 DNA 序列编码氨基酸序列和 TF 基序，包括 CDS 定位的 ABR1 结合可能有助于激素反应期间抑制的证据。最后，远端上游区域包含保守的多家族 TF 簇，具有类似增强子的特征，与稀有细胞类型特异性可及染色质重叠，并富集控制胚胎、分生组织和激素依赖性发育模式的近基因。总之，这些结果支持了一种位置语法，其中 TFBS 位置和染色质背景共同划分发育、应激反应和抑制性</w:t>
      </w:r>
    </w:p>
    <w:p>
      <w:pPr>
        <w:spacing w:before="0" w:after="200" w:lineRule="auto" w:line="276"/>
      </w:pPr>
      <w:r>
        <w:rPr>
          <w:b/>
        </w:rPr>
        <w:t xml:space="preserve">Abstract (EN): </w:t>
      </w:r>
      <w:r>
        <w:t>Understanding how transcription factor binding site (TFBS) position influences gene regulation remains a fundamental challenge in plants. Here, we integrate conserved multiDAP TFBS maps for 244 transcription factors (TFs) with single-nucleus chromatin accessibility, cell type-resolved gene expression, and hormone-response datasets across Brassicaceae species to determine how TFBS position relates to regulatory function. Although conserved TFBSs are enriched near transcription start sites (TSSs), TSS-proximal accessibility poorly predicts cell type-specific expression. Instead, cell type-specific expression correlates best with conserved TFBSs embedded in cell type-restricted chromatin, with TF family-specific distributions across distal promoters and introns. In contrast, TSS-proximal TFBSs in broadly accessible chromatin are associated with rapid transcriptional responses to abiotic and biotic stress hormones. Coding sequence TFBSs mark a distinct regulatory context in which the same DNA sequence encodes both amino acid sequence and TF motifs, including evidence that CDS-localized ABR1 binding may contribute to repression during hormone response. Finally, distal upstream regions contain conserved multi-family TF clusters with enhancer-like features overlapping rare cell type-specific accessible chromatin and enriched near genes controlling embryonic, meristematic, and hormone-dependent developmental patterning. Together, these results support a positional grammar in which TFBS position and chromatin context jointly partition developmental, stress-responsive, and repressive regulatory output in plants.</w:t>
      </w:r>
    </w:p>
    <w:p>
      <w:pPr>
        <w:spacing w:before="120" w:after="120"/>
      </w:pPr>
      <w:r>
        <w:rPr>
          <w:sz w:val="18"/>
        </w:rPr>
        <w:t>——————————————————————————————————————————————————————————————————————</w:t>
      </w:r>
    </w:p>
    <w:p>
      <w:pPr>
        <w:spacing w:before="160" w:after="40" w:line="240" w:lineRule="auto"/>
      </w:pPr>
      <w:r>
        <w:rPr>
          <w:b/>
        </w:rPr>
        <w:t xml:space="preserve">[299] </w:t>
      </w:r>
      <w:hyperlink r:id="rId1101">
        <w:r>
          <w:rPr>
            <w:color w:val="1155CC"/>
            <w:u w:val="single"/>
          </w:rPr>
          <w:t>单细胞分析解码滑翔哺乳动物的翼状体发育</w:t>
        </w:r>
      </w:hyperlink>
    </w:p>
    <w:p>
      <w:pPr>
        <w:spacing w:before="0" w:after="80"/>
      </w:pPr>
      <w:r>
        <w:rPr>
          <w:i/>
          <w:sz w:val="20"/>
        </w:rPr>
        <w:t>EN: Single-cell profiling decodes patagium development in gliding mammal</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滑翔翼代表了哺乳动物飞行的关键适应能力，但其细胞发育仍未被探索。利用胚胎飞鼠翼状体和背部皮肤的单核RNA测序，我们构建了翼状体发育的单细胞图谱，并鉴定了翼状体中高度富集的两种不同的成纤维细胞亚群（Fp2和Fr）。这些成纤维细胞的特征是 Wnt5a、Fgf7 和 Fgf10 的翼膜上调，并且通过真皮成纤维细胞（Fp2 和 Fr）与上皮基底角质形成细胞之间的真皮-表皮假定通讯相互作用与翼膜形态发生相关。具体而言，Fp2 成纤维细胞可能与 Wnt5a 表达升高一起参与远端真皮凝结和上皮增厚，而 Fp2 和 Fr 成纤维细胞都可以通过 Fgf7 和 Fgf10 在上皮极化和增厚中发挥作用，如离体测定所示。我们的数据表明，滑动翼状体发育是由于在特定的成纤维细胞-上皮环境中保守的 WNT 和 FGF 信号通路共同选择的结果，这说明了保守发育程序的修改如何产生衍生的形态特征。</w:t>
      </w:r>
    </w:p>
    <w:p>
      <w:pPr>
        <w:spacing w:before="0" w:after="200" w:lineRule="auto" w:line="276"/>
      </w:pPr>
      <w:r>
        <w:rPr>
          <w:b/>
        </w:rPr>
        <w:t xml:space="preserve">Abstract (EN): </w:t>
      </w:r>
      <w:r>
        <w:t>The gliding patagium represents a key adaptation for mammalian flight, but its cellular development remains unexplored. Using single-nucleus RNA sequencing of embryonic flying squirrel patagium and dorsal skin, we construct a single-cell atlas of patagium development and identify two distinct fibroblast subpopulations (Fp2 and Fr) highly enriched in the patagium. These fibroblasts are characterized by the patagium upregulation of Wnt5a, Fgf7, and Fgf10, and are associated with patagium morphogenesis through dermal-epidermal putative communication interactions between dermal fibroblasts (Fp2 and Fr) and epithelial basal keratinocytes. Specifically, Fp2 fibroblasts are potentially involved in distal dermal condensation and epithelial thickening together with elevated Wnt5a expression, while both Fp2 and Fr fibroblasts could play a role in epithelial polarization and thickening through Fgf7 and Fgf10, as suggested by ex vivo assays. Our data suggest that gliding patagium development results from the co-option of conserved WNT and FGF signaling pathways within a specialized fibroblast-epithelial context, illustrating how modifications of conserved developmental programs give rise to derived morphological traits.</w:t>
      </w:r>
    </w:p>
    <w:p>
      <w:pPr>
        <w:spacing w:before="120" w:after="120"/>
      </w:pPr>
      <w:r>
        <w:rPr>
          <w:sz w:val="18"/>
        </w:rPr>
        <w:t>——————————————————————————————————————————————————————————————————————</w:t>
      </w:r>
    </w:p>
    <w:p>
      <w:pPr>
        <w:spacing w:before="160" w:after="40" w:line="240" w:lineRule="auto"/>
      </w:pPr>
      <w:r>
        <w:rPr>
          <w:b/>
        </w:rPr>
        <w:t xml:space="preserve">[300] </w:t>
      </w:r>
      <w:hyperlink r:id="rId1102">
        <w:r>
          <w:rPr>
            <w:color w:val="1155CC"/>
            <w:u w:val="single"/>
          </w:rPr>
          <w:t>乳酸-H4K12la-HDAC1表观遗传轴在雌性小鼠实验性自身免疫性脑脊髓炎期间控制小胶质细胞状态转变</w:t>
        </w:r>
      </w:hyperlink>
    </w:p>
    <w:p>
      <w:pPr>
        <w:spacing w:before="0" w:after="80"/>
      </w:pPr>
      <w:r>
        <w:rPr>
          <w:i/>
          <w:sz w:val="20"/>
        </w:rPr>
        <w:t>EN: A Lactate–H4K12la–HDAC1 epigenetic axis governs microglial state transitions during experimental autoimmune encephalomyelitis in female mice</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小胶质细胞的功能可塑性是由代谢和表观遗传重编程形成的，但这些过程如何调节中枢神经系统自身免疫仍不清楚。我们发现脑脊液乳酸水平与多发性硬化症的严重程度相关。使用实验性自身免疫性脑脊髓炎的雌性小鼠模型，脊髓乳酸积累驱动持续的小胶质细胞组蛋白乳酰化，与糖酵解激活耦合。小胶质细胞特异性删除乳酸脱氢酶 A 会减少这种乳酸化并加剧疾病的严重程度。外源性乳酸通过抑制炎症状态和促进修复程序来改善病理，而不改变外周免疫浸润。表观基因组分析表明神经营养基因启动子处的直接乳酰化富集，将代谢流与转录激活联系起来。组蛋白脱乙酰酶 1 通过消除这种修饰来充当表观遗传制动器；它的抑制可恢复神经营养信号并减轻病理。在这项工作中，我们表明乳酸驱动的表观遗传轴控制小胶质细胞状态转变，突出了神经炎症疾病代谢干预的易于处理的治疗靶点。</w:t>
      </w:r>
    </w:p>
    <w:p>
      <w:pPr>
        <w:spacing w:before="0" w:after="200" w:lineRule="auto" w:line="276"/>
      </w:pPr>
      <w:r>
        <w:rPr>
          <w:b/>
        </w:rPr>
        <w:t xml:space="preserve">Abstract (EN): </w:t>
      </w:r>
      <w:r>
        <w:t>Microglial functional plasticity is shaped by metabolic and epigenetic reprogramming, but how these processes regulate central nervous system autoimmunity remains unclear. We find that cerebrospinal fluid lactate levels correlate with multiple sclerosis severity. Using female mouse models of experimental autoimmune encephalomyelitis, spinal lactate accumulation drives persistent microglial histone lactylation, coupling to glycolytic activation. Microglia-specific deletion of lactate dehydrogenase A reduces this lactylation and exacerbates disease severity. Exogenous lactate ameliorates pathology without altering peripheral immune infiltration by suppressing inflammatory states and promoting reparative programs. Epigenomic profiling demonstrates direct lactylation enrichment at promoters of neurotrophic genes, linking metabolic flux to transcriptional activation. Histone deacetylase 1 acts as an epigenetic brake by erasing this modification; its inhibition restores neurotrophic signaling and mitigates pathology. In this work, we show that a lactate-driven epigenetic axis governs microglial state transitions, highlighting a tractable therapeutic target for metabolic intervention in neuroinflammatory diseases.</w:t>
      </w:r>
    </w:p>
    <w:p>
      <w:pPr>
        <w:spacing w:before="120" w:after="120"/>
      </w:pPr>
      <w:r>
        <w:rPr>
          <w:sz w:val="18"/>
        </w:rPr>
        <w:t>——————————————————————————————————————————————————————————————————————</w:t>
      </w:r>
    </w:p>
    <w:p>
      <w:pPr>
        <w:spacing w:before="160" w:after="40" w:line="240" w:lineRule="auto"/>
      </w:pPr>
      <w:r>
        <w:rPr>
          <w:b/>
        </w:rPr>
        <w:t xml:space="preserve">[301] </w:t>
      </w:r>
      <w:hyperlink r:id="rId1103">
        <w:r>
          <w:rPr>
            <w:color w:val="1155CC"/>
            <w:u w:val="single"/>
          </w:rPr>
          <w:t>三聚体自转运蛋白粘附素驱动链状粘附，使产志贺毒素大肠杆菌的表面定植策略多样化</w:t>
        </w:r>
      </w:hyperlink>
    </w:p>
    <w:p>
      <w:pPr>
        <w:spacing w:before="0" w:after="80"/>
      </w:pPr>
      <w:r>
        <w:rPr>
          <w:i/>
          <w:sz w:val="20"/>
        </w:rPr>
        <w:t>EN: Trimeric autotransporter adhesins driving chain-like adhesion diversify surface colonization strategies in Shiga toxin-producing Escherichia coli</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细菌经常在流体流动下定植于宿主和环境表面。链状粘附模式 (CLAP) 是某些产志贺毒素大肠杆菌 (STEC) 的 EibG 介导的表面定植表型，该大肠杆菌缺乏肠细胞消失位点 (LEE)。 EibG 是一种免疫球蛋白结合三聚体自转运蛋白粘附素，可驱动 CLAP，但链形成背后的时间动态和遗传多样性仍不清楚。在这里，我们使用活细胞延时成像来显示链是由单个细胞产生的，这些细胞在不分离的情况下伸长和分裂。在流动下，链抵抗分离并在细胞与细胞连接处经历剪切依赖性断裂，释放出分散在下游的可行克隆单元。比较基因组学揭示了 EibG 相关粘附素的多样性，并鉴定了不同的谱系，包括介导 CLAP 但缺乏 IgG 结合的链状粘附素 (Cla)。对英格兰 1,354 个基因组的筛查表明，95.6% 的主要 LEE 阴性 STEC 血清型菌株中存在 claB，这凸显了其流行病学患病率。靶向诱变表明链形成和 IgG 结合是由不同的结构域介导的，揭示了这些粘附素的模块化功能结构。此外，我们还发现 EibG、ClaA 和 ClaB 对补体介导的杀伤具有强大的抵抗力。总的来说，这些发现将 CLAP 确立为 LEE 阴性 STEC 的一种动态、表面相关策略，并揭示了驱动这种行为的粘附素的多样性。</w:t>
      </w:r>
    </w:p>
    <w:p>
      <w:pPr>
        <w:spacing w:before="0" w:after="200" w:lineRule="auto" w:line="276"/>
      </w:pPr>
      <w:r>
        <w:rPr>
          <w:b/>
        </w:rPr>
        <w:t xml:space="preserve">Abstract (EN): </w:t>
      </w:r>
      <w:r>
        <w:t>Bacteria frequently colonize host and environmental surfaces under fluid flow. Chain-like adherence pattern (CLAP) is an EibG-mediated surface colonization phenotype of certain Shiga toxin-producing Escherichia coli (STEC) that lack the locus of enterocyte effacement (LEE). EibG, an immunoglobulin-binding trimeric autotransporter adhesin, drives CLAP, but the temporal dynamics and genetic diversity underlying chain formation remain unclear. Here, we use live-cell time-lapse imaging to show that chains arise from single cells that elongate and divide without separation. Under flow, chains resist detachment and undergo shear-dependent fragmentation at cell-cell junctions, releasing viable clonal units that disperse downstream. Comparative genomics reveals diversity among EibG-related adhesins and identifies distinct lineages, including chain-like adhesins (Cla) that mediate CLAP while lacking IgG binding. Screening of 1,354 genomes from England shows that claB is present in 95.6% of strains from major LEE-negative STEC serotypes, highlighting its epidemiological prevalence. Targeted mutagenesis demonstrates that chain formation and IgG binding are mediated by distinct structural domains, revealing the modular functional architecture of these adhesins. Furthermore, we show that EibG, ClaA, and ClaB confer robust resistance to complement-mediated killing. Collectively, these findings establish CLAP as a dynamic, surface-associated strategy of LEE-negative STEC and reveal diversification among adhesins that drive this behavior.</w:t>
      </w:r>
    </w:p>
    <w:p>
      <w:pPr>
        <w:spacing w:before="120" w:after="120"/>
      </w:pPr>
      <w:r>
        <w:rPr>
          <w:sz w:val="18"/>
        </w:rPr>
        <w:t>——————————————————————————————————————————————————————————————————————</w:t>
      </w:r>
    </w:p>
    <w:p>
      <w:pPr>
        <w:spacing w:before="160" w:after="40" w:line="240" w:lineRule="auto"/>
      </w:pPr>
      <w:r>
        <w:rPr>
          <w:b/>
        </w:rPr>
        <w:t xml:space="preserve">[302] </w:t>
      </w:r>
      <w:hyperlink r:id="rId1104">
        <w:r>
          <w:rPr>
            <w:color w:val="1155CC"/>
            <w:u w:val="single"/>
          </w:rPr>
          <w:t>新生儿炎症破坏小鼠出生后暂时受限的麻木富集小胶质细胞状态</w:t>
        </w:r>
      </w:hyperlink>
    </w:p>
    <w:p>
      <w:pPr>
        <w:spacing w:before="0" w:after="80"/>
      </w:pPr>
      <w:r>
        <w:rPr>
          <w:i/>
          <w:sz w:val="20"/>
        </w:rPr>
        <w:t>EN: Neonatal inflammation disrupts a temporally restricted postnatal Numb-enriched microglial state in mice</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生命早期的小胶质细胞是多种多样的，并且支持免疫监视之外的大脑发育，但与出生后成熟相关的短暂状态仍然知之甚少。在这里，我们使用新生小鼠脑免疫细胞的时间分辨单细胞图谱表明，出生后早期发育期间出现了出生后 Numb 富集的小胶质细胞状态，在出生后第二周期间扩张，随后下降。这种状态的特点是神经发育相关的基因表达程序和独特的代谢特征。轨迹推断、跨图谱映射和 RNAscope 验证支持其时间模式。在这种状态扩展期间，小胶质细胞的消耗保留了总髓鞘形成，但改变了突触蛋白组成并破坏了树突和皮质层的成熟，特别是在初级体感皮层中。新生儿脂多糖挑战损害了 Numb 富集状态的建立，并诱导早期糖酵解反应，随后是恢复期炎症状态。这些发现确定了小鼠中与皮质成熟相关且易受新生炎症影响的发育定时小胶质细胞状态。</w:t>
      </w:r>
    </w:p>
    <w:p>
      <w:pPr>
        <w:spacing w:before="0" w:after="200" w:lineRule="auto" w:line="276"/>
      </w:pPr>
      <w:r>
        <w:rPr>
          <w:b/>
        </w:rPr>
        <w:t xml:space="preserve">Abstract (EN): </w:t>
      </w:r>
      <w:r>
        <w:t>Early-life microglia are diverse and support brain development beyond immune surveillance, but the transient states associated with postnatal maturation remain poorly understood. Here we show, using a time-resolved single-cell atlas of neonatal mouse brain immune cells, that a postnatal Numb-enriched microglial state emerges during early postnatal development, expands during the second postnatal week and subsequently declines. This state is characterized by neurodevelopment-related gene expression programs and distinct metabolic features. Trajectory inference, cross-atlas mapping and RNAscope validation support its temporal pattern. During the period when this state expands, microglial depletion preserves gross myelination but alters synaptic protein composition and disrupts dendritic and cortical layer maturation, particularly in the primary somatosensory cortex. Neonatal lipopolysaccharide challenge impairs the establishment of the Numb-enriched state and induces an early glycolytic response followed by recovery-phase inflammatory states. These findings identify a developmentally timed microglial state associated with cortical maturation and vulnerable to neonatal inflammation in mice.</w:t>
      </w:r>
    </w:p>
    <w:p>
      <w:pPr>
        <w:spacing w:before="120" w:after="120"/>
      </w:pPr>
      <w:r>
        <w:rPr>
          <w:sz w:val="18"/>
        </w:rPr>
        <w:t>——————————————————————————————————————————————————————————————————————</w:t>
      </w:r>
    </w:p>
    <w:p>
      <w:pPr>
        <w:spacing w:before="160" w:after="40" w:line="240" w:lineRule="auto"/>
      </w:pPr>
      <w:r>
        <w:rPr>
          <w:b/>
        </w:rPr>
        <w:t xml:space="preserve">[303] </w:t>
      </w:r>
      <w:hyperlink r:id="rId1105">
        <w:r>
          <w:rPr>
            <w:color w:val="1155CC"/>
            <w:u w:val="single"/>
          </w:rPr>
          <w:t>体内 CRISPR 筛选鉴定出三阴性乳腺癌的转移抑制因子</w:t>
        </w:r>
      </w:hyperlink>
    </w:p>
    <w:p>
      <w:pPr>
        <w:spacing w:before="0" w:after="80"/>
      </w:pPr>
      <w:r>
        <w:rPr>
          <w:i/>
          <w:sz w:val="20"/>
        </w:rPr>
        <w:t>EN: In vivo CRISPR screening identifies metastasis suppressors in triple-negative breast cancer</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转移性癌症仍然是癌症相关死亡的主要原因，但抑制转移性扩散的肿瘤细胞内在机制仍未完全确定。在这里，我们在乳腺癌异种移植模型中进行了无偏倚的体内全基因组 CRISPR/Cas9 功能丧失筛查，以确定转移进展的调节因子。这种方法揭示了临床相关的转移抑制基因 (MSG)，包括 VPS45、CMTR2、RBSN 和 NF2，这些基因的丢失会增强肺部定植。功能验证表明，这些基因的缺失促进上皮间质转化、迁移、侵袭、内渗和血管生成，而 CRISPR 介导的激活则抑制转移扩散。与患者数据集的整合揭示了肿瘤中表达的减少以及与晚期疾病的关联，较高的表达倾向于改善结果。值得注意的是，CMTR2 缺失会诱导血管重塑和瘤内异质性，支持肿瘤与血管相互作用中的作用。总的来说，这项研究确定了一个限制肿瘤扩散的 MSG 网络，并强调了体内 CRISPR 功能基因组学揭示转移性疾病调节因子的力量。</w:t>
      </w:r>
    </w:p>
    <w:p>
      <w:pPr>
        <w:spacing w:before="0" w:after="200" w:lineRule="auto" w:line="276"/>
      </w:pPr>
      <w:r>
        <w:rPr>
          <w:b/>
        </w:rPr>
        <w:t xml:space="preserve">Abstract (EN): </w:t>
      </w:r>
      <w:r>
        <w:t>Metastatic cancer remains the leading cause of cancer-related mortality, yet tumor cell–intrinsic mechanisms restraining metastatic dissemination remain incompletely defined. Here, we perform an unbiased in vivo genome-wide CRISPR/Cas9 loss-of-function screen in a breast cancer xenograft model to identify regulators of metastatic progression. This approach uncovers clinically relevant metastasis suppressor genes (MSGs), including VPS45, CMTR2, RBSN, and NF2, whose loss enhances lung colonization. Functional validation demonstrates that depletion of these genes promotes epithelial-to-mesenchymal transition, migration, invasion, intravasation, and angiogenesis, whereas CRISPR-mediated activation suppresses metastatic spread. Integration with patient datasets reveals reduced expression in tumors and associations with advanced disease, with higher expression trending toward improved outcomes. Notably, CMTR2 loss induces vascular remodeling and intratumoral heterogeneity, supporting a role in tumor–vascular interactions. Collectively, this study identifies a network of MSGs that constrain tumor dissemination and highlights the power of in vivo CRISPR functional genomics to uncover regulators of metastatic disease.</w:t>
      </w:r>
    </w:p>
    <w:p>
      <w:pPr>
        <w:spacing w:before="120" w:after="120"/>
      </w:pPr>
      <w:r>
        <w:rPr>
          <w:sz w:val="18"/>
        </w:rPr>
        <w:t>——————————————————————————————————————————————————————————————————————</w:t>
      </w:r>
    </w:p>
    <w:p>
      <w:pPr>
        <w:spacing w:before="160" w:after="40" w:line="240" w:lineRule="auto"/>
      </w:pPr>
      <w:r>
        <w:rPr>
          <w:b/>
        </w:rPr>
        <w:t xml:space="preserve">[304] </w:t>
      </w:r>
      <w:hyperlink r:id="rId1106">
        <w:r>
          <w:rPr>
            <w:color w:val="1155CC"/>
            <w:u w:val="single"/>
          </w:rPr>
          <w:t>受甲虫启发的冷凝接口，用于在外部集成的基于面罩的原型中有效收集呼出的呼吸冷凝水</w:t>
        </w:r>
      </w:hyperlink>
    </w:p>
    <w:p>
      <w:pPr>
        <w:spacing w:before="0" w:after="80"/>
      </w:pPr>
      <w:r>
        <w:rPr>
          <w:i/>
          <w:sz w:val="20"/>
        </w:rPr>
        <w:t>EN: A Beetle-Inspired Condensation Interface for Efficient Exhaled Breath Condensate Collection in an Externally Integrated Mask-Based Prototype</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107">
        <w:r>
          <w:rPr>
            <w:color w:val="1155CC"/>
            <w:u w:val="single"/>
          </w:rPr>
          <w:t>10.1021/acsami.6c08852</w:t>
        </w:r>
      </w:hyperlink>
    </w:p>
    <w:p>
      <w:pPr>
        <w:spacing w:before="0" w:after="120"/>
      </w:pPr>
      <w:r>
        <w:rPr>
          <w:b/>
        </w:rPr>
        <w:t xml:space="preserve">Notes: </w:t>
      </w:r>
      <w:r>
        <w:t>abstract_source=crossref</w:t>
      </w:r>
    </w:p>
    <w:p>
      <w:pPr>
        <w:spacing w:before="0" w:after="80" w:lineRule="auto" w:line="276"/>
      </w:pPr>
      <w:r>
        <w:rPr>
          <w:b/>
        </w:rPr>
        <w:t xml:space="preserve">摘要（ZH）: </w:t>
      </w:r>
      <w:r>
        <w:t>摘要 呼出气和呼出气冷凝物 (EBC) 含有生理相关的气体和离子生物标志物，为呼吸状态评估提供了一种无创途径。然而，实用的基于掩模的概念验证读数仍然受到效率低下的冷凝液收集和缺乏协调的多通道读数的限制。在这里，我们提出了一种外部集成的、受甲虫启发的基于面罩的原型，它将异质润湿性冷凝界面与时间对齐的多通道呼吸读数相结合。冷凝界面由微柱顶部的亲水成核位点和柱侧壁和基底上的超疏水背景组成，从而实现优先液滴成核和快速液滴去除。在匹配的测试条件下，这种仿生表面比光滑、纳米涂层和单一结构的控制表面实现了更高的每单位面积 EBC 收集率，同时在温度、湿度和倾斜角度的变化中保持稳定的优势。外部集成采集模块进一步用于在标准化工作流程下记录实时气相 CO2 和丙酮信号以及时间对齐的冷凝液衍生的 EBC pH 读数。三通道系统在实验室级评估中表现出良好的重复性、可接受的环境鲁棒性和长期稳定性。在一个小型试点队列中，人体监测进一步表明静息、餐后、运动后、发热和吸烟相关状况之间存在与状态相关的时间差异，尽管</w:t>
      </w:r>
    </w:p>
    <w:p>
      <w:pPr>
        <w:spacing w:before="0" w:after="200" w:lineRule="auto" w:line="276"/>
      </w:pPr>
      <w:r>
        <w:rPr>
          <w:b/>
        </w:rPr>
        <w:t xml:space="preserve">Abstract (EN): </w:t>
      </w:r>
      <w:r>
        <w:t>Exhaled breath and exhaled breath condensate (EBC) contain physiologically relevant gaseous and ionic biomarkers and provide a noninvasive route for respiratory-state assessment. However, practical mask-based proof-of-concept readout remains limited by inefficient condensate harvesting and the lack of coordinated multichannel readout. Here, we present an externally integrated, beetle-inspired mask-based prototype that couples a heterogeneous-wettability condensation interface with time-aligned multichannel respiratory readout. The condensation interface consists of hydrophilic nucleation sites on micropillar tops and a superhydrophobic background on the pillar sidewalls and substrate, enabling preferential droplet nucleation and rapid droplet removal. Under matched test conditions, this biomimetic surface achieves a substantially higher EBC collection rate per unit area than smooth, nanocoated, and single-structure control surfaces while maintaining a stable advantage across variations in temperature, humidity, and inclination angle. An externally integrated acquisition module is further used to record real-time gas-phase CO2 and acetone signals together with a time-aligned condensate-derived EBC pH readout under a standardized workflow. The three-channel system shows good repeatability, acceptable environmental robustness, and long-term stability in bench-level evaluation. In a small pilot cohort, human monitoring further suggested state-associated temporal differences among resting, postprandial, post-exercise, febrile, and smoking-related conditions, although these observations should be interpreted as proof-of-concept evidence rather than subject-independent or clinically validated classification. This work establishes a proof-of-concept route that combines biomimetic EBC collection, multichannel respiratory readout, and temporal data fusion in a mask-based prototype.</w:t>
      </w:r>
    </w:p>
    <w:p>
      <w:pPr>
        <w:spacing w:before="120" w:after="120"/>
      </w:pPr>
      <w:r>
        <w:rPr>
          <w:sz w:val="18"/>
        </w:rPr>
        <w:t>——————————————————————————————————————————————————————————————————————</w:t>
      </w:r>
    </w:p>
    <w:p>
      <w:pPr>
        <w:spacing w:before="160" w:after="40" w:line="240" w:lineRule="auto"/>
      </w:pPr>
      <w:r>
        <w:rPr>
          <w:b/>
        </w:rPr>
        <w:t xml:space="preserve">[305] </w:t>
      </w:r>
      <w:hyperlink r:id="rId1108">
        <w:r>
          <w:rPr>
            <w:color w:val="1155CC"/>
            <w:u w:val="single"/>
          </w:rPr>
          <w:t>地理而非地质：测试欧盟关键原材料法案的经验基础</w:t>
        </w:r>
      </w:hyperlink>
    </w:p>
    <w:p>
      <w:pPr>
        <w:spacing w:before="0" w:after="80"/>
      </w:pPr>
      <w:r>
        <w:rPr>
          <w:i/>
          <w:sz w:val="20"/>
        </w:rPr>
        <w:t>EN: Geography, not geology: Testing the empirical foundations of the EU critical raw materials act</w:t>
      </w:r>
    </w:p>
    <w:p>
      <w:pPr>
        <w:spacing w:before="0" w:after="120"/>
      </w:pPr>
      <w:r>
        <w:rPr>
          <w:b/>
        </w:rPr>
        <w:t xml:space="preserve">Source: </w:t>
      </w:r>
      <w:r>
        <w:t>ScienceDirect Publication: Energy Policy</w:t>
      </w:r>
      <w:r>
        <w:t xml:space="preserve">    </w:t>
      </w:r>
      <w:r>
        <w:rPr>
          <w:b/>
        </w:rPr>
        <w:t xml:space="preserve">Pub date: </w:t>
      </w:r>
      <w:r>
        <w:t>2026-08-04 00:00:00+00:00</w:t>
      </w:r>
      <w:r>
        <w:t xml:space="preserve">    </w:t>
      </w:r>
      <w:r>
        <w:rPr>
          <w:b/>
        </w:rPr>
        <w:t xml:space="preserve">DOI: </w:t>
      </w:r>
      <w:hyperlink r:id="rId1109">
        <w:r>
          <w:rPr>
            <w:color w:val="1155CC"/>
            <w:u w:val="single"/>
          </w:rPr>
          <w:t>10.1016/j.enpol.2026.115533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[306] </w:t>
      </w:r>
      <w:hyperlink r:id="rId1110">
        <w:r>
          <w:rPr>
            <w:color w:val="1155CC"/>
            <w:u w:val="single"/>
          </w:rPr>
          <w:t>用于甲苯捕获的 MOF/疏水聚合物复合材料</w:t>
        </w:r>
      </w:hyperlink>
    </w:p>
    <w:p>
      <w:pPr>
        <w:spacing w:before="0" w:after="80"/>
      </w:pPr>
      <w:r>
        <w:rPr>
          <w:i/>
          <w:sz w:val="20"/>
        </w:rPr>
        <w:t>EN: MOF/Hydrophobic Polymer Composites for Toluene Capture</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111">
        <w:r>
          <w:rPr>
            <w:color w:val="1155CC"/>
            <w:u w:val="single"/>
          </w:rPr>
          <w:t>10.1021/acsami.6c09571</w:t>
        </w:r>
      </w:hyperlink>
    </w:p>
    <w:p>
      <w:pPr>
        <w:spacing w:before="0" w:after="120"/>
      </w:pPr>
      <w:r>
        <w:rPr>
          <w:b/>
        </w:rPr>
        <w:t xml:space="preserve">Notes: </w:t>
      </w:r>
      <w:r>
        <w:t>abstract_source=crossref</w:t>
      </w:r>
    </w:p>
    <w:p>
      <w:pPr>
        <w:spacing w:before="0" w:after="80" w:lineRule="auto" w:line="276"/>
      </w:pPr>
      <w:r>
        <w:rPr>
          <w:b/>
        </w:rPr>
        <w:t xml:space="preserve">摘要（ZH）: </w:t>
      </w:r>
      <w:r>
        <w:t>摘要：我们对包含疏水性聚合物、聚苯乙烯 (PS)、聚丙烯 (PP)、聚偏二氟乙烯 (PVDF) 和聚二甲基硅氧烷 (PDMS) 的 DUT-4(Al) 基复合材料进行了全面的计算研究，以评估它们在湿度下选择性捕获甲苯的潜力。使用结合密度泛函理论 (DFT)、大正则蒙特卡罗 (GCMC)、分子动力学 (MD) 模拟和图论工具的多尺度方法，我们建立了将聚合物渗透行为与 MOF 孔隙率、甲苯吸附能力和传输联系起来的结构-性能关系。我们的结果揭示了 DUT-4(Al) 内聚合物渗透的清晰层次，从 PP 中的强烈通道破坏到很大程度上表面限制的 PS，PVDF 和 PDMS 表现出中间渗透，同时保留 MOF 通道中的连续孔道。这些结构差异直接决定吸附性能，DUT-4(Al)/PS 保持最高的相对甲苯吸收量，DUT-4(Al)/PP 最低。在所研究的复合材料中，DUT-4(Al)/PVDF 成为最平衡的系统，将大量的甲苯可及性与良好的动力学相结合。重要的是，MD 模拟表明，PVDF 促进甲苯快速扩散到 MOF 通道中，同时有效阻碍水渗透，从而增强潮湿条件下的选择性吸收。总的来说，这项工作表明，合理的聚合物选择是调整 MOF/聚合物复合材料吸附和传输性能的有效策略。这里提供的见解建立了一个基因</w:t>
      </w:r>
    </w:p>
    <w:p>
      <w:pPr>
        <w:spacing w:before="0" w:after="200" w:lineRule="auto" w:line="276"/>
      </w:pPr>
      <w:r>
        <w:rPr>
          <w:b/>
        </w:rPr>
        <w:t xml:space="preserve">Abstract (EN): </w:t>
      </w:r>
      <w:r>
        <w:t>We present a comprehensive computational study of DUT-4(Al)-based composites incorporating hydrophobic polymers, polystyrene (PS), polypropylene (PP), poly(vinylidene fluoride) (PVDF), and polydimethylsiloxane (PDMS), to evaluate their potential for selective toluene capture under humidity. Using a multiscale approach combining density functional theory (DFT), grand canonical Monte Carlo (GCMC), molecular dynamics (MD) simulations, and graph theory tools, we establish structure−property relationships linking polymer infiltration behavior to MOF porosity, toluene sorption capacity, and transport. Our results reveal a clear hierarchy of polymer penetration within DUT-4(Al), ranging from strong channel disruption in PP to largely surface-confined PS, with PVDF and PDMS exhibiting intermediate infiltration while preserving continuous pore pathways in the MOF channels. These structural differences directly govern adsorption performance, with DUT-4(Al)/PS retaining the highest relative toluene uptake and DUT-4(Al)/PP the lowest. Among the composites studied, DUT-4(Al)/PVDF emerges as the most balanced system, combining substantial toluene accessibility with favorable dynamics. Importantly, MD simulations show that PVDF promotes rapid toluene diffusion into MOF channels while effectively hindering water penetration, thereby enhancing selective uptake under humid conditions. Overall, this work demonstrates that rational polymer selection is a powerful strategy to tune adsorption and transport properties in MOF/polymer composites. The insights provided here establish a general computational framework for the design of robust, humidity-resistant composites for VOC capture applications.</w:t>
      </w:r>
    </w:p>
    <w:p>
      <w:pPr>
        <w:spacing w:before="120" w:after="120"/>
      </w:pPr>
      <w:r>
        <w:rPr>
          <w:sz w:val="18"/>
        </w:rPr>
        <w:t>——————————————————————————————————————————————————————————————————————</w:t>
      </w:r>
    </w:p>
    <w:p>
      <w:pPr>
        <w:spacing w:before="160" w:after="40" w:line="240" w:lineRule="auto"/>
      </w:pPr>
      <w:r>
        <w:rPr>
          <w:b/>
        </w:rPr>
        <w:t xml:space="preserve">[307] </w:t>
      </w:r>
      <w:hyperlink r:id="rId1112">
        <w:r>
          <w:rPr>
            <w:color w:val="1155CC"/>
            <w:u w:val="single"/>
          </w:rPr>
          <w:t>通过非绝热动力学的数据高效机器学习框架实现光驱动分子电机的合理设计</w:t>
        </w:r>
      </w:hyperlink>
    </w:p>
    <w:p>
      <w:pPr>
        <w:spacing w:before="0" w:after="80"/>
      </w:pPr>
      <w:r>
        <w:rPr>
          <w:i/>
          <w:sz w:val="20"/>
        </w:rPr>
        <w:t>EN: Rational Design of Light-Driven Molecular Motors Enabled by a Data-Efficient Machine Learning Framework for Nonadiabatic Dynamics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13">
        <w:r>
          <w:rPr>
            <w:color w:val="1155CC"/>
            <w:u w:val="single"/>
          </w:rPr>
          <w:t>10.1021/jacs.6c10141</w:t>
        </w:r>
      </w:hyperlink>
    </w:p>
    <w:p>
      <w:pPr>
        <w:spacing w:before="0" w:after="120"/>
      </w:pPr>
      <w:r>
        <w:rPr>
          <w:b/>
        </w:rPr>
        <w:t xml:space="preserve">Notes: </w:t>
      </w:r>
      <w:r>
        <w:t>abstract_source=crossref</w:t>
      </w:r>
    </w:p>
    <w:p>
      <w:pPr>
        <w:spacing w:before="0" w:after="80" w:lineRule="auto" w:line="276"/>
      </w:pPr>
      <w:r>
        <w:rPr>
          <w:b/>
        </w:rPr>
        <w:t xml:space="preserve">摘要（ZH）: </w:t>
      </w:r>
      <w:r>
        <w:t>摘要：光驱动分子旋转电机将光子能量转化为机械运动，但设计将高旋转速度与强大的单向性相结合的系统仍然是一个基本挑战。传统的四冲程电机依赖于热激活步骤，通常将整个旋转周期减慢到微秒到秒甚至更长的时间尺度，而新兴的仿生设计可以实现更快的光诱导旋转。然而，这两类的计算研究都受到解决有效旋转运动所需的长时间尺度内量子化学非绝热动力学成本过高的限制。在这里，我们介绍 N2ZND，这是一种神经网络 Zhu-Nakamura 动力学框架，它将分层采样与 E(3) 等变深度学习相结合，以实现激发态分子运动动力学的数据高效模拟。 N2ZND 经过稀疏的、化学靶向的高级从头计算数据的训练，实现了化学准确性，并能够在相关时间尺度上对光驱动电机进行广泛的非绝热模拟。 N2ZND 在复杂仿生电机中的应用揭示了一种二冲程操作机制，该机制绕过了传统四冲程电机的热激活屏障特性，从而能够在皮秒时间尺度上实现完整的旋转运动。我们进一步确定了内在的速度与方向性权衡：去除热门控可以加速旋转，但可以通过激发态波包分叉降低方向保真度。在这种机制洞察的指导下，我们合理地设计了一个结构</w:t>
      </w:r>
    </w:p>
    <w:p>
      <w:pPr>
        <w:spacing w:before="0" w:after="200" w:lineRule="auto" w:line="276"/>
      </w:pPr>
      <w:r>
        <w:rPr>
          <w:b/>
        </w:rPr>
        <w:t xml:space="preserve">Abstract (EN): </w:t>
      </w:r>
      <w:r>
        <w:t>Light-driven molecular rotary motors convert photon energy into mechanical motion, but designing systems that combine high rotational speed with robust unidirectionality remains a fundamental challenge. Conventional four-stroke motors rely on thermally activated steps that often slow complete rotary cycles to microsecond-to-second or even longer time scales, whereas emerging bioinspired designs may achieve much faster photoinduced rotation. However, the computational study of both classes is limited by the prohibitive cost of quantum-chemical nonadiabatic dynamics over the extended time scales required to resolve productive rotary motion. Here, we introduce N2ZND, a Neural Network Zhu–Nakamura Dynamics framework that combines hierarchical sampling with E(3)-equivariant deep learning to enable data-efficient simulations of excited-state molecular motor dynamics. Trained on sparse, chemically targeted high-level ab initio data, N2ZND achieves chemical accuracy and enables extensive nonadiabatic simulations of light-driven motors across relevant time scales. Application of N2ZND to a complex bioinspired motor reveals a two-stroke operating mechanism that bypasses the thermally activated barriers characteristic of conventional four-stroke motors, enabling complete rotary motion on a picosecond time scale. We further identify an intrinsic speed-directionality trade-off: removal of thermal gating accelerates rotation but can reduce directional fidelity through excited-state wavepacket bifurcation. Guided by this mechanistic insight, we rationally designed a structurally modified motor in which steric tuning reshapes the excited-state topology, restoring robust room-temperature unidirectionality while preserving picosecond rotary operation. These results establish N2ZND as a scalable platform for mechanistic discovery and rational design of light-driven molecular machines, providing a foundation for future high-throughput screening across traditional and bioinspired motor architectures.</w:t>
      </w:r>
    </w:p>
    <w:p>
      <w:pPr>
        <w:spacing w:before="120" w:after="120"/>
      </w:pPr>
      <w:r>
        <w:rPr>
          <w:sz w:val="18"/>
        </w:rPr>
        <w:t>——————————————————————————————————————————————————————————————————————</w:t>
      </w:r>
    </w:p>
    <w:p>
      <w:pPr>
        <w:spacing w:before="160" w:after="40" w:line="240" w:lineRule="auto"/>
      </w:pPr>
      <w:r>
        <w:rPr>
          <w:b/>
        </w:rPr>
        <w:t xml:space="preserve">[308] </w:t>
      </w:r>
      <w:hyperlink r:id="rId1114">
        <w:r>
          <w:rPr>
            <w:color w:val="1155CC"/>
            <w:u w:val="single"/>
          </w:rPr>
          <w:t>一种适应性强的多孔金属有机框架，用于微克级超规则 5 分子的结构可视化</w:t>
        </w:r>
      </w:hyperlink>
    </w:p>
    <w:p>
      <w:pPr>
        <w:spacing w:before="0" w:after="80"/>
      </w:pPr>
      <w:r>
        <w:rPr>
          <w:i/>
          <w:sz w:val="20"/>
        </w:rPr>
        <w:t>EN: An Adaptable Porous Metal–Organic Framework for Structural Visualization of Beyond Rule of 5 Molecules on the Microgram Scale</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15">
        <w:r>
          <w:rPr>
            <w:color w:val="1155CC"/>
            <w:u w:val="single"/>
          </w:rPr>
          <w:t>10.1021/jacs.6c08312</w:t>
        </w:r>
      </w:hyperlink>
    </w:p>
    <w:p>
      <w:pPr>
        <w:spacing w:before="0" w:after="120"/>
      </w:pPr>
      <w:r>
        <w:rPr>
          <w:b/>
        </w:rPr>
        <w:t xml:space="preserve">Notes: </w:t>
      </w:r>
      <w:r>
        <w:t>abstract_source=crossref</w:t>
      </w:r>
    </w:p>
    <w:p>
      <w:pPr>
        <w:spacing w:before="0" w:after="80" w:lineRule="auto" w:line="276"/>
      </w:pPr>
      <w:r>
        <w:rPr>
          <w:b/>
        </w:rPr>
        <w:t xml:space="preserve">摘要（ZH）: </w:t>
      </w:r>
      <w:r>
        <w:t>摘要 超 5 规则 (bRo5) 药物化合物由于其尺寸大且复杂，因此面临着重大的结构挑战。在这里，我们展示了金属有机框架 APF-40 能够实现 bRo5 分子的封装和结构可视化。它包含一个新的苯甲酸酯取代的六氮杂苯配体和形成双互穿框架的 Zn8 簇。两个网络的动态运动促进了适应性行为，有效地固定分子及其溶剂化球。精确阐明了 12 种客体的结构，其中包括 8 种 bRo5 化合物，其取代基修饰略有不同（甲基到乙基、甲氧基到羟基和烷烃到烯烃）。值得注意的是，从市售样品中分离出的一种化合物被鉴定为一种新型伊维菌素衍生物。这项工作展示了大于 500 Da 分子的 μg 级结构测定，为表征以前用现有分析技术难以处理的化合物提供了新的可能性。</w:t>
      </w:r>
    </w:p>
    <w:p>
      <w:pPr>
        <w:spacing w:before="0" w:after="200" w:lineRule="auto" w:line="276"/>
      </w:pPr>
      <w:r>
        <w:rPr>
          <w:b/>
        </w:rPr>
        <w:t xml:space="preserve">Abstract (EN): </w:t>
      </w:r>
      <w:r>
        <w:t>Beyond rule of 5 (bRo5) pharmaceutical compounds represent major structural challenges due to their large size and complexity. Here, we show that a metal–organic framework, APF-40, enables encapsulation and structural visualization of bRo5 molecules. It comprises a new benzoate-substituted hexaazaphenalene ligand and Zn8 clusters forming a doubly interpenetrated framework. The dynamic movement of the two nets facilitates adaptive behavior, efficiently immobilizing molecules along with their solvation spheres. Structures of 12 guests, including eight bRo5 compounds with subtly differing substituent modifications─ methyl-to-ethyl, methoxy-to-hydroxy, and alkane-to-alkene─were precisely elucidated. Significantly, one compound, isolated from a commercially available sample, was identified as a novel ivermectin derivative. This work demonstrates μg-order structure determination of molecules larger than 500 Da, offering new possibilities for characterizing compounds previously intractable for established analytical techniques.</w:t>
      </w:r>
    </w:p>
    <w:p>
      <w:pPr>
        <w:spacing w:before="120" w:after="120"/>
      </w:pPr>
      <w:r>
        <w:rPr>
          <w:sz w:val="18"/>
        </w:rPr>
        <w:t>——————————————————————————————————————————————————————————————————————</w:t>
      </w:r>
    </w:p>
    <w:p>
      <w:pPr>
        <w:spacing w:before="160" w:after="40" w:line="240" w:lineRule="auto"/>
      </w:pPr>
      <w:r>
        <w:rPr>
          <w:b/>
        </w:rPr>
        <w:t xml:space="preserve">[309] </w:t>
      </w:r>
      <w:hyperlink r:id="rId1116">
        <w:r>
          <w:rPr>
            <w:color w:val="1155CC"/>
            <w:u w:val="single"/>
          </w:rPr>
          <w:t>利用蓝色荧光氨基酸 4-氰基色氨酸调节和表征肽核壳多相缩合物的结构</w:t>
        </w:r>
      </w:hyperlink>
    </w:p>
    <w:p>
      <w:pPr>
        <w:spacing w:before="0" w:after="80"/>
      </w:pPr>
      <w:r>
        <w:rPr>
          <w:i/>
          <w:sz w:val="20"/>
        </w:rPr>
        <w:t>EN: Tuning and Characterizing the Structure of Peptide Core-Shell Multiphasic Condensates by the Blue Fluorescent Amino Acid 4-Cyanotryptophan</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17">
        <w:r>
          <w:rPr>
            <w:color w:val="1155CC"/>
            <w:u w:val="single"/>
          </w:rPr>
          <w:t>10.1021/jacs.6c12051</w:t>
        </w:r>
      </w:hyperlink>
    </w:p>
    <w:p>
      <w:pPr>
        <w:spacing w:before="0" w:after="120"/>
      </w:pPr>
      <w:r>
        <w:rPr>
          <w:b/>
        </w:rPr>
        <w:t xml:space="preserve">Notes: </w:t>
      </w:r>
      <w:r>
        <w:t>abstract_source=crossref</w:t>
      </w:r>
    </w:p>
    <w:p>
      <w:pPr>
        <w:spacing w:before="0" w:after="80" w:lineRule="auto" w:line="276"/>
      </w:pPr>
      <w:r>
        <w:rPr>
          <w:b/>
        </w:rPr>
        <w:t xml:space="preserve">摘要（ZH）: </w:t>
      </w:r>
      <w:r>
        <w:t>摘要：通过液-液相分离（LLPS）形成的生物分子缩合物在细胞组织中发挥着至关重要的作用，并为设计合成细胞器提供了一个多功能平台。最近，极短的肽已被证明可以组装成高度组织的核-壳多相缩合物，其中色氨酸 (Trp) 残基起着不可或缺的作用 (Zhou, L.; et al.J. Am. Chem. Soc.2025, 147, 31290–31299.)。在这里，我们通过用非天然氨基酸 4-氰基色氨酸 (4CN-Trp) 取代天然色氨酸，合理地重新编程了这些短肽缩合物的结构。利用 4CN-Trp 的固有荧光和红外报告功能，我们监测 4CN-Trp 取代肽的目标库的 LLPS 行为。我们揭示了从 Trp 到 4CN-Trp 的单原子级替代从根本上颠倒了凝聚态结构。与天然含色氨酸肽形成的固核/液壳液滴相比，含4CN-Trp的肽组装成核壳缩合物，其特征是动态的、高度水合的、液体状的内核被致密的、固体状的外壳包裹。我们的研究结果强调了对芳香残基的细微修饰如何能够显着调节多相冷凝物的宏观物理性质，为基于肽的合成细胞器和智能生物材料的精确工程提供了新策略。</w:t>
      </w:r>
    </w:p>
    <w:p>
      <w:pPr>
        <w:spacing w:before="0" w:after="200" w:lineRule="auto" w:line="276"/>
      </w:pPr>
      <w:r>
        <w:rPr>
          <w:b/>
        </w:rPr>
        <w:t xml:space="preserve">Abstract (EN): </w:t>
      </w:r>
      <w:r>
        <w:t>Biomolecular condensates formed via liquid–liquid phase separation (LLPS) play crucial roles in cellular organization and offer a versatile platform for designing synthetic organelles. Recently, extremely short peptides have been shown to assemble into highly organized core-shell multiphasic condensates, where tryptophan (Trp) residues play an indispensable role (Zhou, L.; et al.J. Am. Chem. Soc.2025, 147, 31290–31299.). Here, we rationally reprogram the architecture of these short-peptide condensates by substituting native Trp with the unnatural amino acid 4-cyanotryptophan (4CN-Trp). Using the intrinsic fluorescence and infrared reporting capabilities of 4CN-Trp, we monitor the LLPS behavior of a targeted library of 4CN-Trp-substituted peptides. We reveal that a single atomic-level substitution from Trp to 4CN-Trp fundamentally inverts the condensate architecture. In contrast to the solid-core/liquid-shell droplets formed by native Trp-containing peptides, the 4CN-Trp-containing peptides assemble into core-shell condensates featuring a dynamic, highly hydrated, liquid-like inner core enveloped by a dense, solid-like outer shell. Our findings highlight how subtle modifications to aromatic residues can dramatically modulate the macroscopic physical properties of multiphasic condensates, offering a new strategy for the precise engineering of peptide-based synthetic organelles and smart biomaterials.</w:t>
      </w:r>
    </w:p>
    <w:p>
      <w:pPr>
        <w:spacing w:before="120" w:after="120"/>
      </w:pPr>
      <w:r>
        <w:rPr>
          <w:sz w:val="18"/>
        </w:rPr>
        <w:t>——————————————————————————————————————————————————————————————————————</w:t>
      </w:r>
    </w:p>
    <w:p>
      <w:pPr>
        <w:spacing w:before="160" w:after="40" w:line="240" w:lineRule="auto"/>
      </w:pPr>
      <w:r>
        <w:rPr>
          <w:b/>
        </w:rPr>
        <w:t xml:space="preserve">[310] </w:t>
      </w:r>
      <w:hyperlink r:id="rId1118">
        <w:r>
          <w:rPr>
            <w:color w:val="1155CC"/>
            <w:u w:val="single"/>
          </w:rPr>
          <w:t>光声拉曼成像栓塞微球用于肝细胞癌光热治疗的深度依赖性激光剂量指导</w:t>
        </w:r>
      </w:hyperlink>
    </w:p>
    <w:p>
      <w:pPr>
        <w:spacing w:before="0" w:after="80"/>
      </w:pPr>
      <w:r>
        <w:rPr>
          <w:i/>
          <w:sz w:val="20"/>
        </w:rPr>
        <w:t>EN: Photoacoustic-Raman Imageable Embolic Microspheres for Depth-Dependent Laser-Dosage Guidance of Photothermal Therapy of Hepatocellular Carcinoma</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119">
        <w:r>
          <w:rPr>
            <w:color w:val="1155CC"/>
            <w:u w:val="single"/>
          </w:rPr>
          <w:t>10.1021/acsami.6c09358</w:t>
        </w:r>
      </w:hyperlink>
    </w:p>
    <w:p>
      <w:pPr>
        <w:spacing w:before="0" w:after="120"/>
      </w:pPr>
      <w:r>
        <w:rPr>
          <w:b/>
        </w:rPr>
        <w:t xml:space="preserve">Notes: </w:t>
      </w:r>
      <w:r>
        <w:t>abstract_source=crossref</w:t>
      </w:r>
    </w:p>
    <w:p>
      <w:pPr>
        <w:spacing w:before="0" w:after="80" w:lineRule="auto" w:line="276"/>
      </w:pPr>
      <w:r>
        <w:rPr>
          <w:b/>
        </w:rPr>
        <w:t xml:space="preserve">摘要（ZH）: </w:t>
      </w:r>
      <w:r>
        <w:t>摘要 经动脉栓塞联合光热疗法（PTT）是治疗不可切除的肝细胞癌（HCC）的一种有前景的策略。然而，由于缺乏准确的激光剂量指导方案，其临床应用受到阻碍，导致肿瘤因照射不足而复发或因过度消融而出现并发症。在这里，我们使用装载 BBTPPRO 的聚（乳酸-乙醇酸）微球（BBTPPRO MP）作为治疗诊断栓塞平台，通过双光声（PA）-拉曼成像开发了一种深度依赖的激光剂量指导策略，用于光热治疗。 BBTPPRO MPs 具有均匀的球形形态（平均直径 53.21 μm），载药量为 4.73%，包封率为 99.23%。 BBTPPRO通过微球封装的聚集态通过堆叠引起的分子间电荷转移增强拉曼散射效应提供无基质拉曼信号，并通过聚集引起的猝灭效应增强PA信号和光热转换效率（29.7%）。通过校准所需的照射时间以达到在不同组织深度的固定激光功率密度下完全热消融所需的温度阈值，我们建立了一种与深度相关的激光剂量指导策略。在 BBTPPRO MP 肝动脉栓塞后的原位 N1S1 大鼠肝脏肿瘤模型中，PA 成像无创评估肿瘤深度以指导激光剂量，而术中拉曼成像为激光照射提供肿瘤定位和勾画。</w:t>
      </w:r>
    </w:p>
    <w:p>
      <w:pPr>
        <w:spacing w:before="0" w:after="200" w:lineRule="auto" w:line="276"/>
      </w:pPr>
      <w:r>
        <w:rPr>
          <w:b/>
        </w:rPr>
        <w:t xml:space="preserve">Abstract (EN): </w:t>
      </w:r>
      <w:r>
        <w:t>Transarterial embolization in combination with photothermal therapy (PTT) represents a promising strategy for unresectable hepatocellular carcinoma (HCC). However, its clinical application is hindered by the lack of accurate laser-dosage guidance regimens, which results in tumor recurrence from insufficient irradiation or complications from excessive ablation. Here, we develop a depth-dependent laser-dosage guidance strategy for photothermal therapy via dual photoacoustic (PA)-Raman imaging using BBTPPRO-loaded poly(lactic-co-glycolic acid) microspheres (BBTPPRO MPs) as a theranostic embolic platform. The BBTPPRO MPs have a uniform spherical morphology (53.21 μm average diameter) with a drug loading of 4.73% and an encapsulation efficiency of 99.23%. The aggregated state of BBTPPRO through microsphere encapsulation offers substrate-free Raman signals via the stacking-induced intermolecular charge transfer-enhanced Raman scattering effect and enhances PA signals and photothermal conversion efficiency (29.7%) through the aggregation-caused quenching effect. By calibrating the required irradiation time to reach the temperature threshold required for complete thermal ablation under a fixed laser power density at various tissue depths, we establish a depth-dependent laser-dosage guidance strategy. In the orthotopic N1S1 rat liver tumor model after hepatic arterial embolization of BBTPPRO MPs, the PA imaging noninvasively assesses tumor depth to guide laser dosage, while the intraoperative Raman imaging provides tumor localization and delineation for the laser irradiation field. This dual-modal strategy has exhibited superior antitumor efficacy evidenced by a significantly lower maximum standardized uptake value via 18F-fluorodeoxyglucose positron emission tomography-computed tomography (1.68 ± 0.30) at 14 days post-treatment compared to conventional PTT group (6.92 ± 3.63). Overall, this PA-Raman image-guided strategy integrates pretreatment laser-dosage guidance with intraoperative spatial targeting, highlighting its potential to improve the safety and efficacy of HCC ablation.</w:t>
      </w:r>
    </w:p>
    <w:p>
      <w:pPr>
        <w:spacing w:before="120" w:after="120"/>
      </w:pPr>
      <w:r>
        <w:rPr>
          <w:sz w:val="18"/>
        </w:rPr>
        <w:t>——————————————————————————————————————————————————————————————————————</w:t>
      </w:r>
    </w:p>
    <w:p>
      <w:pPr>
        <w:spacing w:before="160" w:after="40" w:line="240" w:lineRule="auto"/>
      </w:pPr>
      <w:r>
        <w:rPr>
          <w:b/>
        </w:rPr>
        <w:t xml:space="preserve">[311] </w:t>
      </w:r>
      <w:hyperlink r:id="rId1120">
        <w:r>
          <w:rPr>
            <w:color w:val="1155CC"/>
            <w:u w:val="single"/>
          </w:rPr>
          <w:t>操作诱导的 BiVO4 表面重建调节光电化学甘油光氧化稳定性和活性</w:t>
        </w:r>
      </w:hyperlink>
    </w:p>
    <w:p>
      <w:pPr>
        <w:spacing w:before="0" w:after="80"/>
      </w:pPr>
      <w:r>
        <w:rPr>
          <w:i/>
          <w:sz w:val="20"/>
        </w:rPr>
        <w:t>EN: Operation-Induced BiVO4 Surface Reconstruction Modulates Photoelectrochemical Glycerol Photooxidation Stability and Activity</w:t>
      </w:r>
    </w:p>
    <w:p>
      <w:pPr>
        <w:spacing w:before="0" w:after="120"/>
      </w:pPr>
      <w:r>
        <w:rPr>
          <w:b/>
        </w:rPr>
        <w:t xml:space="preserve">Source: </w:t>
      </w:r>
      <w:r>
        <w:t>ACS Energy Letters: Latest Articles (ACS Publications)</w:t>
      </w:r>
      <w:r>
        <w:t xml:space="preserve">    </w:t>
      </w:r>
      <w:r>
        <w:rPr>
          <w:b/>
        </w:rPr>
        <w:t xml:space="preserve">Pub date: </w:t>
      </w:r>
      <w:r>
        <w:t>2026-08-04 00:00:00+00:00</w:t>
      </w:r>
      <w:r>
        <w:t xml:space="preserve">    </w:t>
      </w:r>
      <w:r>
        <w:rPr>
          <w:b/>
        </w:rPr>
        <w:t xml:space="preserve">DOI: </w:t>
      </w:r>
      <w:hyperlink r:id="rId1121">
        <w:r>
          <w:rPr>
            <w:color w:val="1155CC"/>
            <w:u w:val="single"/>
          </w:rPr>
          <w:t>10.1021/acsenergylett.6c01409</w:t>
        </w:r>
      </w:hyperlink>
    </w:p>
    <w:p>
      <w:pPr>
        <w:spacing w:before="0" w:after="120"/>
      </w:pPr>
      <w:r>
        <w:rPr>
          <w:b/>
        </w:rPr>
        <w:t xml:space="preserve">Notes: </w:t>
      </w:r>
      <w:r>
        <w:t>abstract_source=crossref</w:t>
      </w:r>
    </w:p>
    <w:p>
      <w:pPr>
        <w:spacing w:before="0" w:after="80" w:lineRule="auto" w:line="276"/>
      </w:pPr>
      <w:r>
        <w:rPr>
          <w:b/>
        </w:rPr>
        <w:t xml:space="preserve">摘要（ZH）: </w:t>
      </w:r>
      <w:r>
        <w:t>摘要：操作引起的光电极表面重构作为控制稳定性和性能的途径尚未得到充分探索。我们展示了甘油光氧化过程中如何通过 BiVO4 的表面重建形成自适应连接，以及这些表面如何影响电解质依赖性动力学和耐久性。 V 在酸性和碱性介质中优先溶解，形成富 Bi 层。通过双工作电极平台进行原位测量，量化自适应结形成产生的光电压和电荷转移电阻的变化，同时实现电荷分离和界面催化驱动力的定量分离。酸性介质中的重构表面改善了空穴转移动力学，充当甘油氧化催化剂，并赋予光稳定性。碱性介质中的表面重构表现出相反的行为，阻碍空穴注入。这种不稳定性可以通过微量 Ni2+ 离子来缓解，这些离子可在无需助催化剂预沉积的情况下驱动原位表面活化。这项研究表明了表面重构在针对有机电氧化应用的耐用光电极设计中的重要性。</w:t>
      </w:r>
    </w:p>
    <w:p>
      <w:pPr>
        <w:spacing w:before="0" w:after="200" w:lineRule="auto" w:line="276"/>
      </w:pPr>
      <w:r>
        <w:rPr>
          <w:b/>
        </w:rPr>
        <w:t xml:space="preserve">Abstract (EN): </w:t>
      </w:r>
      <w:r>
        <w:t>Operation-induced surface reconstruction of photoelectrodes is underexplored as a path to control stability and performance. We show how adaptive junctions form via surface reconstruction of BiVO4 during glycerol photooxidation and how these surfaces affect electrolyte-dependent kinetics and durability. Preferential V dissolution in both acidic and alkaline media forms a Bi-rich layer. In situ measurements through a dual-working-electrode platform quantify the changes in photovoltage and charge-transfer resistance derived from adaptive junction formation, while enabling quantitative separation of the driving forces for charge separation and interfacial catalysis. The reconstructed surface in acidic media improves hole-transfer kinetics, functions as a glycerol-oxidation catalyst, and imparts photostability. Surface reconstruction in alkaline media exhibits the opposite behavior, impeding hole injection. This instability is mitigated by trace Ni2+ ions, which drive in situ surface activation without cocatalyst pre-deposition. This study shows the significance of surface reconstruction in the design of durable photoelectrodes for applications targeting organic electro-oxidation.</w:t>
      </w:r>
    </w:p>
    <w:p>
      <w:pPr>
        <w:spacing w:before="120" w:after="120"/>
      </w:pPr>
      <w:r>
        <w:rPr>
          <w:sz w:val="18"/>
        </w:rPr>
        <w:t>——————————————————————————————————————————————————————————————————————</w:t>
      </w:r>
    </w:p>
    <w:p>
      <w:pPr>
        <w:spacing w:before="160" w:after="40" w:line="240" w:lineRule="auto"/>
      </w:pPr>
      <w:r>
        <w:rPr>
          <w:b/>
        </w:rPr>
        <w:t xml:space="preserve">[312] </w:t>
      </w:r>
      <w:hyperlink r:id="rId1122">
        <w:r>
          <w:rPr>
            <w:color w:val="1155CC"/>
            <w:u w:val="single"/>
          </w:rPr>
          <w:t>出版商更正：CFTR 介导骨细胞中的 Cl- 转运以维持细胞活力和骨骼稳态</w:t>
        </w:r>
      </w:hyperlink>
    </w:p>
    <w:p>
      <w:pPr>
        <w:spacing w:before="0" w:after="80"/>
      </w:pPr>
      <w:r>
        <w:rPr>
          <w:i/>
          <w:sz w:val="20"/>
        </w:rPr>
        <w:t>EN: Publisher Correction: CFTR mediates Cl- transport in osteocytes to sustain cell viability and skeletal homeostasis</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[313] </w:t>
      </w:r>
      <w:hyperlink r:id="rId1123">
        <w:r>
          <w:rPr>
            <w:color w:val="1155CC"/>
            <w:u w:val="single"/>
          </w:rPr>
          <w:t>酸/碱和位阻诱导的笼转化和规则纳米聚集体的分层自组装</w:t>
        </w:r>
      </w:hyperlink>
    </w:p>
    <w:p>
      <w:pPr>
        <w:spacing w:before="0" w:after="80"/>
      </w:pPr>
      <w:r>
        <w:rPr>
          <w:i/>
          <w:sz w:val="20"/>
        </w:rPr>
        <w:t>EN: Acid-/Base- and Site-Hindrance-Induced Cage Transformation and Hierarchical Self-Assembly of Regular Nanoaggregates</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124">
        <w:r>
          <w:rPr>
            <w:color w:val="1155CC"/>
            <w:u w:val="single"/>
          </w:rPr>
          <w:t>10.1021/acsami.6c09202</w:t>
        </w:r>
      </w:hyperlink>
    </w:p>
    <w:p>
      <w:pPr>
        <w:spacing w:before="0" w:after="120"/>
      </w:pPr>
      <w:r>
        <w:rPr>
          <w:b/>
        </w:rPr>
        <w:t xml:space="preserve">Notes: </w:t>
      </w:r>
      <w:r>
        <w:t>abstract_source=crossref</w:t>
      </w:r>
    </w:p>
    <w:p>
      <w:pPr>
        <w:spacing w:before="0" w:after="80" w:lineRule="auto" w:line="276"/>
      </w:pPr>
      <w:r>
        <w:rPr>
          <w:b/>
        </w:rPr>
        <w:t xml:space="preserve">摘要（ZH）: </w:t>
      </w:r>
      <w:r>
        <w:t>摘要：通过酸/碱响应性配体转换来调节配位笼的拓扑重新分布仍然具有挑战性，特别是当笼拓扑进一步受到取代基空间效应和空间取向的指导时。在此，我们报道了一种超分子笼系统，显示出酸/碱调节下取代基导向的拓扑重新分布和荧光调制。酸和碱诱导的闭环和开环反应在双咪唑配体中提供了共价结构转换，所得配体与 Zn2+ 离子自组装成笼组件，指定为立方八面体、八面体、方棱柱和三棱柱笼结构。取代基的空间位阻和空间取向调节表观笼拓扑分布，而配位引起的笼刚性和取代基依赖的局部空间限制共同引起荧光调制，量子产率变化超过两个数量级。此外，通过 TEM 观察到立方八面体笼分层自组装成六方纳米聚集体或溶致纳米结构，这取决于静电和几何诱导的堆积力。这项研究展示了取代基导向的配体设计如何将酸/碱响应笼拓扑重新分布与光学和聚集行为结合起来。</w:t>
      </w:r>
    </w:p>
    <w:p>
      <w:pPr>
        <w:spacing w:before="0" w:after="200" w:lineRule="auto" w:line="276"/>
      </w:pPr>
      <w:r>
        <w:rPr>
          <w:b/>
        </w:rPr>
        <w:t xml:space="preserve">Abstract (EN): </w:t>
      </w:r>
      <w:r>
        <w:t>Regulating the topology redistribution of coordination cages through acid-/base-responsive ligand conversion remains challenging, especially when cage topology is further directed by substituent steric effects and spatial orientation. Herein, we report a supramolecular cage system showing substituent-directed topology redistribution and fluorescence modulation under acid/base regulation. Acid- and base-induced ring-closing and ring-opening reactions provide a covalent structural switch in bisimidazolium ligands, and the resulting ligands self-assemble with Zn2+ ions into cage assemblies assigned to cuboctahedral, octahedral, square-prismatic, and triangular-prismatic cage architectures. The steric hindrance and spatial orientation of the substituents modulate the apparent cage topology distribution, while coordination-induced cage rigidity and substituent-dependent local steric restriction jointly give rise to fluorescence modulation with quantum yields varying by more than two orders of magnitude. Furthermore, the hierarchical self-assembly of cuboctahedral cages into hexagonal nanoaggregates or lyotropic nanostructures was observed by TEM, depending on the electrostatics and geometry-induced packing forces. This study demonstrates how substituent-directed ligand design couples acid-/base-responsive cage topology redistribution with optical and aggregation behaviors.</w:t>
      </w:r>
    </w:p>
    <w:p>
      <w:pPr>
        <w:spacing w:before="120" w:after="120"/>
      </w:pPr>
      <w:r>
        <w:rPr>
          <w:sz w:val="18"/>
        </w:rPr>
        <w:t>——————————————————————————————————————————————————————————————————————</w:t>
      </w:r>
    </w:p>
    <w:p>
      <w:pPr>
        <w:spacing w:before="160" w:after="40" w:line="240" w:lineRule="auto"/>
      </w:pPr>
      <w:r>
        <w:rPr>
          <w:b/>
        </w:rPr>
        <w:t xml:space="preserve">[314] </w:t>
      </w:r>
      <w:hyperlink r:id="rId1125">
        <w:r>
          <w:rPr>
            <w:color w:val="1155CC"/>
            <w:u w:val="single"/>
          </w:rPr>
          <w:t>利用 LLM 结构化事件和表示学习进行反事实负载预测</w:t>
        </w:r>
      </w:hyperlink>
    </w:p>
    <w:p>
      <w:pPr>
        <w:spacing w:before="0" w:after="80"/>
      </w:pPr>
      <w:r>
        <w:rPr>
          <w:i/>
          <w:sz w:val="20"/>
        </w:rPr>
        <w:t>EN: Counterfactual load forecasting with LLM-structured events and representation learning</w:t>
      </w:r>
    </w:p>
    <w:p>
      <w:pPr>
        <w:spacing w:before="0" w:after="120"/>
      </w:pPr>
      <w:r>
        <w:rPr>
          <w:b/>
        </w:rPr>
        <w:t xml:space="preserve">Source: </w:t>
      </w:r>
      <w:r>
        <w:t>ScienceDirect Publication: Applied Energy</w:t>
      </w:r>
      <w:r>
        <w:t xml:space="preserve">    </w:t>
      </w:r>
      <w:r>
        <w:rPr>
          <w:b/>
        </w:rPr>
        <w:t xml:space="preserve">Pub date: </w:t>
      </w:r>
      <w:r>
        <w:t>2026-08-04 00:00:00+00:00</w:t>
      </w:r>
      <w:r>
        <w:t xml:space="preserve">    </w:t>
      </w:r>
      <w:r>
        <w:rPr>
          <w:b/>
        </w:rPr>
        <w:t xml:space="preserve">DOI: </w:t>
      </w:r>
      <w:hyperlink r:id="rId1126">
        <w:r>
          <w:rPr>
            <w:color w:val="1155CC"/>
            <w:u w:val="single"/>
          </w:rPr>
          <w:t>10.1016/j.apenergy.2026.128554</w:t>
        </w:r>
      </w:hyperlink>
    </w:p>
    <w:p>
      <w:pPr>
        <w:spacing w:before="0" w:after="120"/>
      </w:pPr>
      <w:r>
        <w:rPr>
          <w:b/>
        </w:rPr>
        <w:t xml:space="preserve">Notes: </w:t>
      </w:r>
      <w:r>
        <w:t>abstract_source=openalex</w:t>
      </w:r>
    </w:p>
    <w:p>
      <w:pPr>
        <w:spacing w:before="0" w:after="80" w:lineRule="auto" w:line="276"/>
      </w:pPr>
      <w:r>
        <w:rPr>
          <w:b/>
        </w:rPr>
        <w:t xml:space="preserve">摘要（ZH）: </w:t>
      </w:r>
      <w:r>
        <w:t>新闻报道的社会、环境和电网事件可以极大地重塑电力需求，但量化此类事件如何扰乱预测的负荷轨迹在很大程度上仍未得到解决。现有的新闻增强预测研究使用新闻作为辅助特征来减少预测误差，但无法回答替代事件条件下的需求反事实问题。反事实预测通过将观察到的新闻下的事实轨迹与替代处理（例如删除事件或注入假设场景）下的反事实轨迹进行比较，自然地提出了这个问题。然而，反事实结果本质上是不可观察的，因此不能直接从数据中最小化预测误差。这一挑战因混杂因素而变得更加复杂：新闻的发生与独立影响需求的天气、日历和历史负载条件纠缠在一起。在连续处理的泛化界限的指导下，将不可观察的反事实误差分解为加权事实损失和表示平衡，本文提出了新闻感知反事实负载分析框架（NACF），通过可观察的训练目标来控制该误差上限。 NACF 通过离线大语言模型将非结构化新闻转换为结构化事件流，将其编码为具有无新闻基线的连续语义处理，并通过具有学习样本重新加权和基于积分概率度量 (IPM) 的表示的变系数响应网络来估计依赖于处理的负载轨迹</w:t>
      </w:r>
    </w:p>
    <w:p>
      <w:pPr>
        <w:spacing w:before="0" w:after="200" w:lineRule="auto" w:line="276"/>
      </w:pPr>
      <w:r>
        <w:rPr>
          <w:b/>
        </w:rPr>
        <w:t xml:space="preserve">Abstract (EN): </w:t>
      </w:r>
      <w:r>
        <w:t>News-reported social, environmental, and grid events can substantially reshape electricity demand, yet quantifying how such events perturb forecasted load trajectories remains largely unaddressed. Existing news-augmented forecasting studies use news as auxiliary features to reduce prediction error but cannot answer counterfactual questions about demand under alternative event conditions. Counterfactual forecasting naturally formulates this problem by comparing the factual trajectory under observed news with counterfactual trajectories under alternative treatments, such as removing events or injecting hypothetical scenarios. However, counterfactual outcomes are inherently unobservable, so the prediction error cannot be directly minimized from data. This challenge is compounded by confounding: news occurrence is entangled with weather, calendar, and historical load conditions that independently affect demand. Guided by a generalization bound for continuous treatments that decomposes the unobservable counterfactual error into weighted factual loss and representation balance, this paper proposes the News-Aware Counterfactual Load Analysis Framework (NACF) to control this error upper bound through observable training objectives. NACF converts unstructured news into structured event streams via an offline large language model, encodes these as continuous semantic treatments with a no-news baseline, and estimates treatment-dependent load trajectories through a varying-coefficient response network with learned sample reweighting and Integral Probability Metric (IPM)-based representation balance regularization. Experiments on an Australian electricity-demand dataset show that NACF remains competitive in factual forecasting while providing evidence of treatment-intensity structure, improved representation balance, and interpretable demand perturbations in synthetic interventions and real event case studies.</w:t>
      </w:r>
    </w:p>
    <w:p>
      <w:pPr>
        <w:spacing w:before="120" w:after="120"/>
      </w:pPr>
      <w:r>
        <w:rPr>
          <w:sz w:val="18"/>
        </w:rPr>
        <w:t>——————————————————————————————————————————————————————————————————————</w:t>
      </w:r>
    </w:p>
    <w:p>
      <w:pPr>
        <w:spacing w:before="160" w:after="40" w:line="240" w:lineRule="auto"/>
      </w:pPr>
      <w:r>
        <w:rPr>
          <w:b/>
        </w:rPr>
        <w:t xml:space="preserve">[315] </w:t>
      </w:r>
      <w:hyperlink r:id="rId1127">
        <w:r>
          <w:rPr>
            <w:color w:val="1155CC"/>
            <w:u w:val="single"/>
          </w:rPr>
          <w:t>使用双层优化方法优化多个电厂灵活性改造的配置和容量</w:t>
        </w:r>
      </w:hyperlink>
    </w:p>
    <w:p>
      <w:pPr>
        <w:spacing w:before="0" w:after="80"/>
      </w:pPr>
      <w:r>
        <w:rPr>
          <w:i/>
          <w:sz w:val="20"/>
        </w:rPr>
        <w:t>EN: Optimizing the configuration and capacity of flexibility retrofits in multiple power plants using a bi-level optimization approach</w:t>
      </w:r>
    </w:p>
    <w:p>
      <w:pPr>
        <w:spacing w:before="0" w:after="120"/>
      </w:pPr>
      <w:r>
        <w:rPr>
          <w:b/>
        </w:rPr>
        <w:t xml:space="preserve">Source: </w:t>
      </w:r>
      <w:r>
        <w:t>ScienceDirect Publication: Applied Energy</w:t>
      </w:r>
      <w:r>
        <w:t xml:space="preserve">    </w:t>
      </w:r>
      <w:r>
        <w:rPr>
          <w:b/>
        </w:rPr>
        <w:t xml:space="preserve">Pub date: </w:t>
      </w:r>
      <w:r>
        <w:t>2026-08-04 00:00:00+00:00</w:t>
      </w:r>
      <w:r>
        <w:t xml:space="preserve">    </w:t>
      </w:r>
      <w:r>
        <w:rPr>
          <w:b/>
        </w:rPr>
        <w:t xml:space="preserve">DOI: </w:t>
      </w:r>
      <w:hyperlink r:id="rId1128">
        <w:r>
          <w:rPr>
            <w:color w:val="1155CC"/>
            <w:u w:val="single"/>
          </w:rPr>
          <w:t>10.1016/j.apenergy.2026.128533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[316] </w:t>
      </w:r>
      <w:hyperlink r:id="rId1129">
        <w:r>
          <w:rPr>
            <w:color w:val="1155CC"/>
            <w:u w:val="single"/>
          </w:rPr>
          <w:t>具有 PBT 增强型多智能体深度强化学习的 V2G 系统双模式弹性调度</w:t>
        </w:r>
      </w:hyperlink>
    </w:p>
    <w:p>
      <w:pPr>
        <w:spacing w:before="0" w:after="80"/>
      </w:pPr>
      <w:r>
        <w:rPr>
          <w:i/>
          <w:sz w:val="20"/>
        </w:rPr>
        <w:t>EN: Dual-mode resilient dispatch for V2G systems with PBT-enhanced multi-agent deep reinforcement learning</w:t>
      </w:r>
    </w:p>
    <w:p>
      <w:pPr>
        <w:spacing w:before="0" w:after="120"/>
      </w:pPr>
      <w:r>
        <w:rPr>
          <w:b/>
        </w:rPr>
        <w:t xml:space="preserve">Source: </w:t>
      </w:r>
      <w:r>
        <w:t>ScienceDirect Publication: Applied Energy</w:t>
      </w:r>
      <w:r>
        <w:t xml:space="preserve">    </w:t>
      </w:r>
      <w:r>
        <w:rPr>
          <w:b/>
        </w:rPr>
        <w:t xml:space="preserve">Pub date: </w:t>
      </w:r>
      <w:r>
        <w:t>2026-08-04 00:00:00+00:00</w:t>
      </w:r>
      <w:r>
        <w:t xml:space="preserve">    </w:t>
      </w:r>
      <w:r>
        <w:rPr>
          <w:b/>
        </w:rPr>
        <w:t xml:space="preserve">DOI: </w:t>
      </w:r>
      <w:hyperlink r:id="rId1130">
        <w:r>
          <w:rPr>
            <w:color w:val="1155CC"/>
            <w:u w:val="single"/>
          </w:rPr>
          <w:t>10.1016/j.apenergy.2026.128459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[317] </w:t>
      </w:r>
      <w:hyperlink r:id="rId1131">
        <w:r>
          <w:rPr>
            <w:color w:val="1155CC"/>
            <w:u w:val="single"/>
          </w:rPr>
          <w:t>具有神经突生长引导结构、优越的细胞微环境和长期结构稳定性的受木材启发的生物适应性材料</w:t>
        </w:r>
      </w:hyperlink>
    </w:p>
    <w:p>
      <w:pPr>
        <w:spacing w:before="0" w:after="80"/>
      </w:pPr>
      <w:r>
        <w:rPr>
          <w:i/>
          <w:sz w:val="20"/>
        </w:rPr>
        <w:t>EN: Wood-Inspired Bioadaptable Material with Neurite Outgrowth Guidance Structures, Superior Cell Microenvironment, and Long-Term Structural Stability</w:t>
      </w:r>
    </w:p>
    <w:p>
      <w:pPr>
        <w:spacing w:before="0" w:after="120"/>
      </w:pPr>
      <w:r>
        <w:rPr>
          <w:b/>
        </w:rPr>
        <w:t xml:space="preserve">Source: </w:t>
      </w:r>
      <w:r>
        <w:t>ACS Applied Materials &amp; Interfaces: Latest Articles (ACS Publications)</w:t>
      </w:r>
      <w:r>
        <w:t xml:space="preserve">    </w:t>
      </w:r>
      <w:r>
        <w:rPr>
          <w:b/>
        </w:rPr>
        <w:t xml:space="preserve">Pub date: </w:t>
      </w:r>
      <w:r>
        <w:t>2026-08-04 00:00:00+00:00</w:t>
      </w:r>
      <w:r>
        <w:t xml:space="preserve">    </w:t>
      </w:r>
      <w:r>
        <w:rPr>
          <w:b/>
        </w:rPr>
        <w:t xml:space="preserve">DOI: </w:t>
      </w:r>
      <w:hyperlink r:id="rId1132">
        <w:r>
          <w:rPr>
            <w:color w:val="1155CC"/>
            <w:u w:val="single"/>
          </w:rPr>
          <w:t>10.1021/acsami.6c10517</w:t>
        </w:r>
      </w:hyperlink>
    </w:p>
    <w:p>
      <w:pPr>
        <w:spacing w:before="0" w:after="120"/>
      </w:pPr>
      <w:r>
        <w:rPr>
          <w:b/>
        </w:rPr>
        <w:t xml:space="preserve">Notes: </w:t>
      </w:r>
      <w:r>
        <w:t>abstract_source=crossref</w:t>
      </w:r>
    </w:p>
    <w:p>
      <w:pPr>
        <w:spacing w:before="0" w:after="80" w:lineRule="auto" w:line="276"/>
      </w:pPr>
      <w:r>
        <w:rPr>
          <w:b/>
        </w:rPr>
        <w:t xml:space="preserve">摘要（ZH）: </w:t>
      </w:r>
      <w:r>
        <w:t>摘要 神经损伤在全世界范围内提出了严峻的临床挑战。自体神经移植被公认为治疗长间隙周围神经缺损的金标准，但其应用存在固有的局限性。这种情况凸显了创新修复策略的必要性。促进和引导神经突生长是神经再生的关键步骤，因为定向神经突延伸有利于神经网络的重建。受天然木材的定向微观结构和生物特性的启发，我们通过将机械坚固的木材衍生纤维素框架与软明胶甲基丙烯酸酯（GelMA）水凝胶基质相结合，开发了一种结构稳定的木材水凝胶。这种仿生复合材料表现出增强的体外诱导定向神经突生长的能力、长期结构稳定性以及显着改变与细胞骨架重组和细胞运动相关的基因表达谱。机理研究表明，地形引导信号和机械特性的协同效应与 RhoA/ROCK1 通路的抑制有关。所开发的木质水凝胶结合了定向结构、机械相容性、高吸水性和长期结构稳定性，而不牺牲水凝胶系统的固有优势。这些发现表明，这种软硬混合仿生策略为引导对齐的神经突生长提供了一个有效的平台，并为未来的神经组织工程应用提供了一个有前景的设计概念。</w:t>
      </w:r>
    </w:p>
    <w:p>
      <w:pPr>
        <w:spacing w:before="0" w:after="200" w:lineRule="auto" w:line="276"/>
      </w:pPr>
      <w:r>
        <w:rPr>
          <w:b/>
        </w:rPr>
        <w:t xml:space="preserve">Abstract (EN): </w:t>
      </w:r>
      <w:r>
        <w:t>Nerve injuries present serious clinical challenges worldwide. Autologous nerve transplantation is recognized as the gold standard to treat long-gap peripheral nerve defects, but its application has inherent limitations. This situation highlights the need for innovative repair strategies. Promoting and guiding neurite outgrowth is a key step in nerve regeneration, as directional neurite extension facilitates the reconstruction of neural networks. Inspired by the oriented microstructure and biological properties of natural wood, we developed a structurally stable wood hydrogel by integrating a mechanically robust wood-derived cellulose framework with a soft gelatin methacrylate (GelMA) hydrogel matrix. This biomimetic composite demonstrated enhanced capacity to induce directional neurite outgrowth in vitro, long-term structural stability, and significantly altered gene expression profiles associated with cytoskeletal reorganization and cellular motility. Mechanistic investigations revealed that the synergistic effects of topographical guidance cues and mechanical properties were associated with suppression of the RhoA/ROCK1 pathway. The developed wood hydrogel combines oriented architecture, mechanical compatibility, high water absorbency, and long-term structural stability without sacrificing the intrinsic advantages of hydrogel systems. These findings suggest that this hard–soft hybrid biomimetic strategy provides an effective platform for guiding aligned neurite outgrowth and offers a promising design concept for future nerve tissue engineering applications.</w:t>
      </w:r>
    </w:p>
    <w:p>
      <w:pPr>
        <w:spacing w:before="120" w:after="120"/>
      </w:pPr>
      <w:r>
        <w:rPr>
          <w:sz w:val="18"/>
        </w:rPr>
        <w:t>——————————————————————————————————————————————————————————————————————</w:t>
      </w:r>
    </w:p>
    <w:p>
      <w:pPr>
        <w:spacing w:before="160" w:after="40" w:line="240" w:lineRule="auto"/>
      </w:pPr>
      <w:r>
        <w:rPr>
          <w:b/>
        </w:rPr>
        <w:t xml:space="preserve">[318] </w:t>
      </w:r>
      <w:hyperlink r:id="rId1133">
        <w:r>
          <w:rPr>
            <w:color w:val="1155CC"/>
            <w:u w:val="single"/>
          </w:rPr>
          <w:t>非厄米克莱因-戈登场中反平方异常的量子化耗散</w:t>
        </w:r>
      </w:hyperlink>
    </w:p>
    <w:p>
      <w:pPr>
        <w:spacing w:before="0" w:after="80"/>
      </w:pPr>
      <w:r>
        <w:rPr>
          <w:i/>
          <w:sz w:val="20"/>
        </w:rPr>
        <w:t>EN: Quantized Dissipation from the Inverse-Square Anomaly in a Non-Hermitian Klein–Gordon Field</w:t>
      </w:r>
    </w:p>
    <w:p>
      <w:pPr>
        <w:spacing w:before="0" w:after="120"/>
      </w:pPr>
      <w:r>
        <w:rPr>
          <w:b/>
        </w:rPr>
        <w:t xml:space="preserve">Source: </w:t>
      </w:r>
      <w:r>
        <w:t>ScienceDirect Publication: Physics Letters B</w:t>
      </w:r>
      <w:r>
        <w:t xml:space="preserve">    </w:t>
      </w:r>
      <w:r>
        <w:rPr>
          <w:b/>
        </w:rPr>
        <w:t xml:space="preserve">Pub date: </w:t>
      </w:r>
      <w:r>
        <w:t>2026-08-04 00:00:00+00:00</w:t>
      </w:r>
      <w:r>
        <w:t xml:space="preserve">    </w:t>
      </w:r>
      <w:r>
        <w:rPr>
          <w:b/>
        </w:rPr>
        <w:t xml:space="preserve">DOI: </w:t>
      </w:r>
      <w:hyperlink r:id="rId1134">
        <w:r>
          <w:rPr>
            <w:color w:val="1155CC"/>
            <w:u w:val="single"/>
          </w:rPr>
          <w:t>10.1016/j.physletb.2026.140828</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 年 8 月 4 日在线发布来源：Physics Letters B 作者：M. Haghighat、A. Nouri</w:t>
      </w:r>
    </w:p>
    <w:p>
      <w:pPr>
        <w:spacing w:before="0" w:after="200" w:lineRule="auto" w:line="276"/>
      </w:pPr>
      <w:r>
        <w:rPr>
          <w:b/>
        </w:rPr>
        <w:t xml:space="preserve">Abstract (EN): </w:t>
      </w:r>
      <w:r>
        <w:t>Publication date: Available online 4 August 2026Source: Physics Letters BAuthor(s): M. Haghighat, A. Nouri</w:t>
      </w:r>
    </w:p>
    <w:p>
      <w:pPr>
        <w:spacing w:before="120" w:after="120"/>
      </w:pPr>
      <w:r>
        <w:rPr>
          <w:sz w:val="18"/>
        </w:rPr>
        <w:t>——————————————————————————————————————————————————————————————————————</w:t>
      </w:r>
    </w:p>
    <w:p>
      <w:pPr>
        <w:spacing w:before="160" w:after="40" w:line="240" w:lineRule="auto"/>
      </w:pPr>
      <w:r>
        <w:rPr>
          <w:b/>
        </w:rPr>
        <w:t xml:space="preserve">[319] </w:t>
      </w:r>
      <w:hyperlink r:id="rId1135">
        <w:r>
          <w:rPr>
            <w:color w:val="1155CC"/>
            <w:u w:val="single"/>
          </w:rPr>
          <w:t>启动子身份塑造剪接结果和保真度</w:t>
        </w:r>
      </w:hyperlink>
    </w:p>
    <w:p>
      <w:pPr>
        <w:spacing w:before="0" w:after="80"/>
      </w:pPr>
      <w:r>
        <w:rPr>
          <w:i/>
          <w:sz w:val="20"/>
        </w:rPr>
        <w:t>EN: Promoter identity shapes splicing outcomes and fidelity</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基因表达是一个复杂的过程，受到多个功能上相互关联的水平的调节。一个突出的例子是转录和剪接调控之间的串扰。过去的工作表明转录可以通过多种方式影响剪接，但缺乏对这种复杂相互作用的系统研究。在这里，我们采用大型组合启动子剪接位点文库的大规模并行报告分析来剖析启动子身份和转录动态如何影响人类细胞中的选择性剪接。我们发现启动子身份，而不是表达水平，对盒式外显子包含产生强烈且高度特定的影响，超过了转录起始或延伸的药理学抑制剂的作用。外显子组表现出协调的启动子依赖性剪接行为，我们确定了这种敏感性背后的预测序列和结构特征。启动子和基因结构还通过调节隐性剪接位点的使用来塑造同种型多样性。这些发现表明启动子是剪接结果和保真度的中央调节器。</w:t>
      </w:r>
    </w:p>
    <w:p>
      <w:pPr>
        <w:spacing w:before="0" w:after="200" w:lineRule="auto" w:line="276"/>
      </w:pPr>
      <w:r>
        <w:rPr>
          <w:b/>
        </w:rPr>
        <w:t xml:space="preserve">Abstract (EN): </w:t>
      </w:r>
      <w:r>
        <w:t>Gene expression is a complex process subject to regulation at multiple functionally interconnected levels. One prominent example is the crosstalk between transcription and splicing regulation. Past work has shown that transcription can influence splicing in multiple ways, but a systematic investigation of this complex interplay is lacking. Here we employ massively parallel reporter assays of large combinatorial promoter-splice site libraries to dissect how promoter identity and transcription dynamics affect alternative splicing in human cells. We find that promoter identity, rather than expression level, exerts strong and highly context-specific effects on cassette exon inclusion, exceeding the effect of pharmacological inhibitors of transcription initiation or elongation. Groups of exons display coordinated promoter-dependent splicing behavior, and we identified predictive sequence and structural features underlying this sensitivity. Promoter and gene architecture also shape isoform diversity by modulating cryptic splice site usage. These findings present promoters as central regulators of splicing outcomes and fidelity.</w:t>
      </w:r>
    </w:p>
    <w:p>
      <w:pPr>
        <w:spacing w:before="120" w:after="120"/>
      </w:pPr>
      <w:r>
        <w:rPr>
          <w:sz w:val="18"/>
        </w:rPr>
        <w:t>——————————————————————————————————————————————————————————————————————</w:t>
      </w:r>
    </w:p>
    <w:p>
      <w:pPr>
        <w:spacing w:before="160" w:after="40" w:line="240" w:lineRule="auto"/>
      </w:pPr>
      <w:r>
        <w:rPr>
          <w:b/>
        </w:rPr>
        <w:t xml:space="preserve">[320] </w:t>
      </w:r>
      <w:hyperlink r:id="rId1136">
        <w:r>
          <w:rPr>
            <w:color w:val="1155CC"/>
            <w:u w:val="single"/>
          </w:rPr>
          <w:t>通过多学科证据鉴定开花植物虎耳草中的食肉性</w:t>
        </w:r>
      </w:hyperlink>
    </w:p>
    <w:p>
      <w:pPr>
        <w:spacing w:before="0" w:after="80"/>
      </w:pPr>
      <w:r>
        <w:rPr>
          <w:i/>
          <w:sz w:val="20"/>
        </w:rPr>
        <w:t>EN: Identification of carnivory in the flowering plant Saxifraga via multidisciplinary evidence</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从猎物到捕食者的转变是所有食肉植物共有的惊人的适应性创新，它们捕获并消化不同的动物猎物以获取营养（氮，N）。在这里，我们报道了高山开花植物虎耳草（虎耳草科；虎耳草目）的食肉性。田间实验和植物标本室调查表明，这种植物通过腺毛主动吸引和捕获昆虫猎物。酶分析进一步证实了植物消化猎物的能力，并且使用 15N 标记昆虫进行的同位素标记实验证明了氮从猎物到植物组织的转移，从而验证了肉食动物的存在。基因组比较揭示了不同开花植物谱系中六个独立肉食起源的与肉食相关的基因（例如，叶子形态发生、消化和营养）在全基因组范围内的显着趋同。我们的研究结果为虎耳草属的肉食性提供了明确的证据，解决了查尔斯·达尔文长期以来的假设，即某些虎耳草物种可能具有肉食性，并进一步表明肉食性在被子植物中可能比之前认识的更为普遍。</w:t>
      </w:r>
    </w:p>
    <w:p>
      <w:pPr>
        <w:spacing w:before="0" w:after="200" w:lineRule="auto" w:line="276"/>
      </w:pPr>
      <w:r>
        <w:rPr>
          <w:b/>
        </w:rPr>
        <w:t xml:space="preserve">Abstract (EN): </w:t>
      </w:r>
      <w:r>
        <w:t>The transformation from prey to predator is a striking adaptive innovation shared by all carnivorous plants, which capture and digest diverse animal prey for nutrients (nitrogen, N). Here, we report carnivory in the alpine flowering plant Saxifraga candelabrum (Saxifragaceae; Saxifragales). Field experiments and herbarium surveys reveal that this plant actively attracts and captures insect prey via glandular hairs. Enzymatic analyses further confirm the ability of plants to digest prey, and isotope labelling experiments using ¹⁵N-labelled insects demonstrate the transfer of nitrogen from prey to plant tissues, thus verifying the presence of carnivory. Genomic comparisons reveal a significant genome-wide convergence in genes related to carnivory (e.g., leaf morphogenesis, digestion and nutrition) across six independent origins of carnivory in diverse flowering plant lineages. Our findings provide definitive evidence of carnivory in Saxifraga, addressing Charles Darwin’s long-standing hypothesis that some Saxifraga species may be capable of carnivory, and further suggest that carnivory may be more widespread among angiosperms than previously recognized.</w:t>
      </w:r>
    </w:p>
    <w:p>
      <w:pPr>
        <w:spacing w:before="120" w:after="120"/>
      </w:pPr>
      <w:r>
        <w:rPr>
          <w:sz w:val="18"/>
        </w:rPr>
        <w:t>——————————————————————————————————————————————————————————————————————</w:t>
      </w:r>
    </w:p>
    <w:p>
      <w:pPr>
        <w:spacing w:before="160" w:after="40" w:line="240" w:lineRule="auto"/>
      </w:pPr>
      <w:r>
        <w:rPr>
          <w:b/>
        </w:rPr>
        <w:t xml:space="preserve">[321] </w:t>
      </w:r>
      <w:hyperlink r:id="rId1137">
        <w:r>
          <w:rPr>
            <w:color w:val="1155CC"/>
            <w:u w:val="single"/>
          </w:rPr>
          <w:t>全光纤随机克尔光频率梳</w:t>
        </w:r>
      </w:hyperlink>
    </w:p>
    <w:p>
      <w:pPr>
        <w:spacing w:before="0" w:after="80"/>
      </w:pPr>
      <w:r>
        <w:rPr>
          <w:i/>
          <w:sz w:val="20"/>
        </w:rPr>
        <w:t>EN: All-fiber random Kerr optical frequency combs</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光频率梳（OFC）将电磁频谱相干地结合在一起，并且可以通过多种不同的技术来实现，例如基于锁模激光器的OFC、连续波（CW）激光器的电光调制、CW泵浦环形腔（例如微谐振器）、通过双激光泵浦引起的调制不稳定性来形成孤子和压缩等。在这里，我们介绍一种不同的方法，实现了第一个随机Kerr OFC，即随机激光的光谱合成模拟。基于半开腔内瑞利散射的分布式随机反馈辅助的同步参量放大和时间幅度压缩的调制不稳定性，形成孤子串并进一步压缩，从而产生光谱带宽超过约 100 nm、宽梳间距约 1 nm 和最小孤子持续时间约 390 fs 的 OFC。随机 Kerr OFC 可以作为坚固且灵活的设备连续运行，提供可调节的梳间距、可调节的孤子重复率和可调节的门速率。</w:t>
      </w:r>
    </w:p>
    <w:p>
      <w:pPr>
        <w:spacing w:before="0" w:after="200" w:lineRule="auto" w:line="276"/>
      </w:pPr>
      <w:r>
        <w:rPr>
          <w:b/>
        </w:rPr>
        <w:t xml:space="preserve">Abstract (EN): </w:t>
      </w:r>
      <w:r>
        <w:t>Optical frequency combs (OFCs) unite the electromagnetic spectrum coherently, and they can be realized in a number of different techniques, e.g., OFCs based on mode-locked lasers, electro-optic modulation of continuous-wave (CW) lasers, CW-pumped ring cavities such as micro-resonators, soliton formation and compression through modulation instability induced by dual-laser pumping, etc. Here, we introduce a different approach, achieving the first random Kerr OFC, the spectral-synthesized analog of a random laser. Based on modulation instability for simultaneous parametric amplification and temporal amplitude compression assisted by the distributed random feedback through Rayleigh scattering within a half-open cavity, trains of solitons are formed and further compressed leading to OFCs with spectral bandwidth over ~ 100 nm, wide comb spacing of ~ 1 nm, and minimum soliton duration of ~ 390 fs. The random Kerr OFC can operate continuously as a robust and flexible device, offering adjustable comb spacing, tunable soliton repetition rate, and tunable gate rate.</w:t>
      </w:r>
    </w:p>
    <w:p>
      <w:pPr>
        <w:spacing w:before="120" w:after="120"/>
      </w:pPr>
      <w:r>
        <w:rPr>
          <w:sz w:val="18"/>
        </w:rPr>
        <w:t>——————————————————————————————————————————————————————————————————————</w:t>
      </w:r>
    </w:p>
    <w:p>
      <w:pPr>
        <w:spacing w:before="160" w:after="40" w:line="240" w:lineRule="auto"/>
      </w:pPr>
      <w:r>
        <w:rPr>
          <w:b/>
        </w:rPr>
        <w:t xml:space="preserve">[322] </w:t>
      </w:r>
      <w:hyperlink r:id="rId1138">
        <w:r>
          <w:rPr>
            <w:color w:val="1155CC"/>
            <w:u w:val="single"/>
          </w:rPr>
          <w:t>将长程表面诱导的迁移率增强与聚合物玻璃的固有脆性联系起来</w:t>
        </w:r>
      </w:hyperlink>
    </w:p>
    <w:p>
      <w:pPr>
        <w:spacing w:before="0" w:after="80"/>
      </w:pPr>
      <w:r>
        <w:rPr>
          <w:i/>
          <w:sz w:val="20"/>
        </w:rPr>
        <w:t>EN: Linking long-range surface-induced mobility enhancement and intrinsic fragility of polymer glasses</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表面诱导的迁移率增强在纳米到微米的距离内传播到聚合物玻璃中。移动表面“双层”结构（包括纳米级外层和微米级子层）的发现提供了对传播长度的显着变化的深入了解。然而，广泛的微米级子层 (ht" role="presentation"&gt;ht{h}_{{\rm{t}}}) 的起源仍然难以捉摸。利用动态力学分析 (DMA)，我们在纳米层迁移率增强和 ht" role="presentation"&gt;ht{h}_{{\rm{t}}} 之间建立了很强的对应关系，两者都随着聚合物玻璃固有的脆性而增加。粗粒度模拟证实了我们的实验结果，表明表面分子速度的增强会引发长程剪切式激发模式，随着聚合物脆性的增加，这种模式会更深地渗透到本体中。实验和模拟的结合提供了一个统一的框架，可以协调有关自由表面效应的历史差异，将脆性确立为预测表面增强迁移率的相对大小及其在不同聚合物中的传播长度的关键参数。</w:t>
      </w:r>
    </w:p>
    <w:p>
      <w:pPr>
        <w:spacing w:before="0" w:after="200" w:lineRule="auto" w:line="276"/>
      </w:pPr>
      <w:r>
        <w:rPr>
          <w:b/>
        </w:rPr>
        <w:t xml:space="preserve">Abstract (EN): </w:t>
      </w:r>
      <w:r>
        <w:t>Surface-induced mobility enhancement propagates into polymer glasses over distances from nanometers to micrometers. The discovery of a mobile surface “bilayer” structure—comprising a nanoscale outer layer and a microscale sublayer—provides insight into this significant variability in propagation length. However, the origin of the extensive microscale sublayer (ht" role="presentation"&gt;ht{h}_{{\rm{t}}}) remains elusive. Using dynamic mechanical analysis (DMA), we establish a strong correspondence between nanolayer mobility enhancement and ht" role="presentation"&gt;ht{h}_{{\rm{t}}}, both of which increase with the intrinsic fragility of polymer glass. Coarse-grained simulations confirm our experimental findings, revealing that enhanced molecular velocity at the surface initiates long-range shear-like excitation modes that penetrate deeper into the bulk as polymer fragility increases. This combination of experiment and simulation provides a unified framework that reconciles historical discrepancies regarding the free surface effect, establishing fragility as a critical parameter for predicting the relative sizes of surface-enhanced mobility and its propagation length across different polymers.</w:t>
      </w:r>
    </w:p>
    <w:p>
      <w:pPr>
        <w:spacing w:before="120" w:after="120"/>
      </w:pPr>
      <w:r>
        <w:rPr>
          <w:sz w:val="18"/>
        </w:rPr>
        <w:t>——————————————————————————————————————————————————————————————————————</w:t>
      </w:r>
    </w:p>
    <w:p>
      <w:pPr>
        <w:spacing w:before="160" w:after="40" w:line="240" w:lineRule="auto"/>
      </w:pPr>
      <w:r>
        <w:rPr>
          <w:b/>
        </w:rPr>
        <w:t xml:space="preserve">[323] </w:t>
      </w:r>
      <w:hyperlink r:id="rId1139">
        <w:r>
          <w:rPr>
            <w:color w:val="1155CC"/>
            <w:u w:val="single"/>
          </w:rPr>
          <w:t>光催化活化氟仿进行自由基三氟甲基化</w:t>
        </w:r>
      </w:hyperlink>
    </w:p>
    <w:p>
      <w:pPr>
        <w:spacing w:before="0" w:after="80"/>
      </w:pPr>
      <w:r>
        <w:rPr>
          <w:i/>
          <w:sz w:val="20"/>
        </w:rPr>
        <w:t>EN: Photocatalytic Activation of Fluoroform for Radical Trifluoromethylation</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40">
        <w:r>
          <w:rPr>
            <w:color w:val="1155CC"/>
            <w:u w:val="single"/>
          </w:rPr>
          <w:t>10.1021/jacs.6c10939</w:t>
        </w:r>
      </w:hyperlink>
    </w:p>
    <w:p>
      <w:pPr>
        <w:spacing w:before="0" w:after="120"/>
      </w:pPr>
      <w:r>
        <w:rPr>
          <w:b/>
        </w:rPr>
        <w:t xml:space="preserve">Notes: </w:t>
      </w:r>
      <w:r>
        <w:t>abstract_source=crossref</w:t>
      </w:r>
    </w:p>
    <w:p>
      <w:pPr>
        <w:spacing w:before="0" w:after="80" w:lineRule="auto" w:line="276"/>
      </w:pPr>
      <w:r>
        <w:rPr>
          <w:b/>
        </w:rPr>
        <w:t xml:space="preserve">摘要（ZH）: </w:t>
      </w:r>
      <w:r>
        <w:t>摘要 氟仿因其低成本、低毒和温室气体增值潜力大而成为合成化学中理想的三氟甲基来源。然而，氟仿的使用很大程度上仅限于产生三氟甲基阴离子或金属结合物质；尽管自由基三氟甲基化在制备医学上重要的化合物方面具有广泛的适用性，但直接获得三氟甲基自由基仍然难以捉摸。在这里，我们报告了一种利用氟仿在光照射下利用酮与布朗斯台德碱结合的反应性进行自由基三氟甲基化的方法。酮介导的光化学活化提供了通过光激发的醇盐中间体从氟仿中获得三氟甲基自由基的途径，无需外源氧化还原试剂，从而能够在温和条件下实现烯烃和芳烃的自由基三氟甲基化。开发的系统适用于光催化方案、复杂分子的后期三氟甲基化以及将大宗化学品升级为高价值的三氟甲基化化合物。</w:t>
      </w:r>
    </w:p>
    <w:p>
      <w:pPr>
        <w:spacing w:before="0" w:after="200" w:lineRule="auto" w:line="276"/>
      </w:pPr>
      <w:r>
        <w:rPr>
          <w:b/>
        </w:rPr>
        <w:t xml:space="preserve">Abstract (EN): </w:t>
      </w:r>
      <w:r>
        <w:t>Fluoroform is an ideal trifluoromethyl source in synthetic chemistry due to its low cost, low toxicity, and high potential for greenhouse-gas valorization. However, the use of fluoroform has been largely limited to the generation of trifluoromethyl anions or metal-bound species; direct access to the trifluoromethyl radical remains elusive, despite the broad applicability of radical trifluoromethylation for preparing medicinally important compounds. Here, we report a method for radical trifluoromethylation using fluoroform by leveraging the reactivity of ketones in combination with a Brønsted base under photoirradiation. The ketone-mediated photochemical activation provides access to the trifluoromethyl radical from fluoroform via a photoexcited alkoxide intermediate without exogenous redox reagents, enabling radical trifluoromethylation of alkenes and arenes under mild conditions. The developed system is amenable to a photocatalytic protocol, late-stage trifluoromethylation of complex molecules, and upgrading bulk chemicals into high-value trifluoromethylated compounds.</w:t>
      </w:r>
    </w:p>
    <w:p>
      <w:pPr>
        <w:spacing w:before="120" w:after="120"/>
      </w:pPr>
      <w:r>
        <w:rPr>
          <w:sz w:val="18"/>
        </w:rPr>
        <w:t>——————————————————————————————————————————————————————————————————————</w:t>
      </w:r>
    </w:p>
    <w:p>
      <w:pPr>
        <w:spacing w:before="160" w:after="40" w:line="240" w:lineRule="auto"/>
      </w:pPr>
      <w:r>
        <w:rPr>
          <w:b/>
        </w:rPr>
        <w:t xml:space="preserve">[324] </w:t>
      </w:r>
      <w:hyperlink r:id="rId1141">
        <w:r>
          <w:rPr>
            <w:color w:val="1155CC"/>
            <w:u w:val="single"/>
          </w:rPr>
          <w:t>电磁波域的可编程射频计算</w:t>
        </w:r>
      </w:hyperlink>
    </w:p>
    <w:p>
      <w:pPr>
        <w:spacing w:before="0" w:after="80"/>
      </w:pPr>
      <w:r>
        <w:rPr>
          <w:i/>
          <w:sz w:val="20"/>
        </w:rPr>
        <w:t>EN: Programmable radio-frequency calculations in electromagnetic-wave domain</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信息超表面已成为下一代电子系统的关键组件。然而，目前的研究主要集中在物理结构和系统功能上，而射频信号处理和计算仍然局限于数字域操作。对数字转换的依赖本质上增加了硬件复杂性和功耗。为了应对这一挑战，我们提出了一种基于时空编码超表面的可编程射频计算系统，该系统控制波与物质的相互作用，以可重新编程的方式实现电磁空间中的射频计算。特别是，基本信号运算——傅里叶变换和卷积——在电磁波域中成功实现。我们验证了雷达场景中的计算能力，有助于准确检测目标速度和距离。在这项工作中，理论分析、数值模拟和实验结果共同证明了射频计算系统具有卓越的精度和显着的成本效益，凸显了其在下一代电子系统部署中的巨大潜力。</w:t>
      </w:r>
    </w:p>
    <w:p>
      <w:pPr>
        <w:spacing w:before="0" w:after="200" w:lineRule="auto" w:line="276"/>
      </w:pPr>
      <w:r>
        <w:rPr>
          <w:b/>
        </w:rPr>
        <w:t xml:space="preserve">Abstract (EN): </w:t>
      </w:r>
      <w:r>
        <w:t>Information metasurfaces have emerged as pivotal components in next-generation electronic systems. However, current research is mainly focused on the physical structures and system functions, while radio-frequency signal processing and calculation remain constrained to digital-domain operations. The reliance on digital conversion inherently increases the hardware complexity and power consumption. To address this challenge, we propose a programmable radio-frequency calculation system based on a space-time-coding metasurface, which controls the wave-matter interactions to achieve radio-frequency calculations in the electromagnetic space in a reprogrammable way. Particularly, the fundamental signal operations - Fourier transform and convolution - are implemented in the electromagnetic-wave domain successfully. We validate the calculation capabilities in radar scenarios, facilitating the accurate detection of target velocity and range. In this work, theoretical analysis, numerical simulations, and experimental results collectively demonstrate that the radio-frequency calculation system exhibits superior precision and notable cost-effectiveness, highlighting its significant potential for next-generation electronic system deployments.</w:t>
      </w:r>
    </w:p>
    <w:p>
      <w:pPr>
        <w:spacing w:before="120" w:after="120"/>
      </w:pPr>
      <w:r>
        <w:rPr>
          <w:sz w:val="18"/>
        </w:rPr>
        <w:t>——————————————————————————————————————————————————————————————————————</w:t>
      </w:r>
    </w:p>
    <w:p>
      <w:pPr>
        <w:spacing w:before="160" w:after="40" w:line="240" w:lineRule="auto"/>
      </w:pPr>
      <w:r>
        <w:rPr>
          <w:b/>
        </w:rPr>
        <w:t xml:space="preserve">[325] </w:t>
      </w:r>
      <w:hyperlink r:id="rId1142">
        <w:r>
          <w:rPr>
            <w:color w:val="1155CC"/>
            <w:u w:val="single"/>
          </w:rPr>
          <w:t>脂质双层限制的 J 聚集将细胞膜力学转化为光声信号</w:t>
        </w:r>
      </w:hyperlink>
    </w:p>
    <w:p>
      <w:pPr>
        <w:spacing w:before="0" w:after="80"/>
      </w:pPr>
      <w:r>
        <w:rPr>
          <w:i/>
          <w:sz w:val="20"/>
        </w:rPr>
        <w:t>EN: Lipid Bilayer-Confined J-Aggregation Transduces Cell Membrane Mechanics into Photoacoustic Signals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43">
        <w:r>
          <w:rPr>
            <w:color w:val="1155CC"/>
            <w:u w:val="single"/>
          </w:rPr>
          <w:t>10.1021/jacs.6c07895</w:t>
        </w:r>
      </w:hyperlink>
    </w:p>
    <w:p>
      <w:pPr>
        <w:spacing w:before="0" w:after="120"/>
      </w:pPr>
      <w:r>
        <w:rPr>
          <w:b/>
        </w:rPr>
        <w:t xml:space="preserve">Notes: </w:t>
      </w:r>
      <w:r>
        <w:t>abstract_source=crossref</w:t>
      </w:r>
    </w:p>
    <w:p>
      <w:pPr>
        <w:spacing w:before="0" w:after="80" w:lineRule="auto" w:line="276"/>
      </w:pPr>
      <w:r>
        <w:rPr>
          <w:b/>
        </w:rPr>
        <w:t xml:space="preserve">摘要（ZH）: </w:t>
      </w:r>
      <w:r>
        <w:t>摘要 膜张力定义为脂质双层的面内机械应力，编码膜拉伸和脂质堆积密度。尽管其在调节细胞行为中发挥着核心作用，但以直接和非侵入性的方式测量深层组织中的膜张力（超越显微镜）仍然是一个重大挑战。在这里，我们报告了一种超分子策略，通过脂质双层限制的 J 聚集将膜力学转换为光谱解析的光声信号。我们采用两种互补的探针：一种荧光活性系统，用于报告 LUV 脂质双层中的聚集行为；另一种是优化的类似物，用于实现细胞光声读出。我们发现，基于 BODIPY 的两亲性探针插入脂质膜中，并以单体或滑堆积 J 聚集体的形式存在，其聚集体数量由脂质堆积密度决定，而脂质堆积密度又受膜张力或脂质组成的影响。只有在膜限制条件下形成的有序 J 聚集体才能将吸收的光有效转换为 PA805 信号。通过在富含蛋白质的环境中的吸收实验可观察到的动力学驱动的大聚集体在光声模式下是不活跃的。光吸收和光声输出之间的这种解耦揭示了聚集体几何形状是光热效率的关键决定因素。此外，双层限制的 PA805 开/关行为最大限度地减少了未插入探针的背景信号，从而实现免清洗光声成像。在模型膜和活细胞中，PA805 呈反相关</w:t>
      </w:r>
    </w:p>
    <w:p>
      <w:pPr>
        <w:spacing w:before="0" w:after="200" w:lineRule="auto" w:line="276"/>
      </w:pPr>
      <w:r>
        <w:rPr>
          <w:b/>
        </w:rPr>
        <w:t xml:space="preserve">Abstract (EN): </w:t>
      </w:r>
      <w:r>
        <w:t>Membrane tension, defined as the in-plane mechanical stress of the lipid bilayer, encodes membrane stretch and lipid packing density. Despite its central role in regulating cellular behavior, measuring membrane tension in a direct and noninvasive way in deeper tissue (beyond microscopy) remains a major challenge. Here, we report a supramolecular strategy that transduces membrane mechanics into a spectrally resolved photoacoustic signal through lipid bilayer-confined J-aggregation. We employ two complementary probes: a fluorescence-active system to report aggregation behavior in the lipid bilayer of LUVs and an optimized analogue to enable cellular photoacoustic readout. We found that amphipathic BODIPY-based probes are inserted into lipid membranes and exist as either monomers or slip-stacked J-aggregates with aggregate populations dictated by lipid packing density, which is in turn influenced by membrane tension or lipid composition. Only ordered J-aggregates formed under membrane-confined conditions enable efficient conversion of absorbed light into PA805 signals. Kinetically driven large aggregates spectrally observable via absorption experiments in protein-rich environments are inactive in photoacoustic mode. This decoupling between optical absorption and photoacoustic output reveals aggregate geometry as a critical determinant of photothermal efficiency. Furthermore, the bilayer-confined PA805 on/off behavior minimizes background signals from uninserted probes, enabling wash-free photoacoustic imaging. In model membranes and live cells, PA805 inversely correlates with lipid packing density, enabling noninvasive readout of membrane tension-associated changes.</w:t>
      </w:r>
    </w:p>
    <w:p>
      <w:pPr>
        <w:spacing w:before="120" w:after="120"/>
      </w:pPr>
      <w:r>
        <w:rPr>
          <w:sz w:val="18"/>
        </w:rPr>
        <w:t>——————————————————————————————————————————————————————————————————————</w:t>
      </w:r>
    </w:p>
    <w:p>
      <w:pPr>
        <w:spacing w:before="160" w:after="40" w:line="240" w:lineRule="auto"/>
      </w:pPr>
      <w:r>
        <w:rPr>
          <w:b/>
        </w:rPr>
        <w:t xml:space="preserve">[326] </w:t>
      </w:r>
      <w:hyperlink r:id="rId1144">
        <w:r>
          <w:rPr>
            <w:color w:val="1155CC"/>
            <w:u w:val="single"/>
          </w:rPr>
          <w:t>海气耦合相互作用驱动并维持了 2013-2016 年北太平洋海洋热浪</w:t>
        </w:r>
      </w:hyperlink>
    </w:p>
    <w:p>
      <w:pPr>
        <w:spacing w:before="0" w:after="80"/>
      </w:pPr>
      <w:r>
        <w:rPr>
          <w:i/>
          <w:sz w:val="20"/>
        </w:rPr>
        <w:t>EN: Coupled air–sea interactions drove and sustained the 2013–2016 North Pacific marine heatwave</w:t>
      </w:r>
    </w:p>
    <w:p>
      <w:pPr>
        <w:spacing w:before="0" w:after="120"/>
      </w:pPr>
      <w:r>
        <w:rPr>
          <w:b/>
        </w:rPr>
        <w:t xml:space="preserve">Source: </w:t>
      </w:r>
      <w:r>
        <w:t>Earth and environmental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2013年至2016年东北太平洋的海洋热浪（MHW）是有记录以来最强烈的温带海洋变暖事件之一。其复杂的演变使得理解对于预测未来 MHW 至关重要的潜在动态的努力变得复杂。在这里，我们使用封闭的三维拉格朗日热收支来跟踪 MHW，该热收支量化了驱动其演化的过程。三维粒子轨迹将 MHW 分为北部和南部部分，并揭示它们具有不同的运动学起源。我们通过封闭预算定量证明，平流而不是表面强迫在维持 MHW 的热含量方面发挥着主导作用。北半球的维持是由于北太平洋洋流埃克曼热传输减弱，加上冬季地表热损失减少。南部部分是由加州洋流沿岸风减弱导致的埃克曼上升流减弱驱动的。我们进一步确定了太平洋中部上空持续存在的低海平面气压异常，该异常改变了风型，将热量和湿气重新分配到极地，最终迫使MHW的两个部分。地表温度升高反过来放大了这种压力异常，完成了一个正反馈循环，使该事件持续了多年。</w:t>
      </w:r>
    </w:p>
    <w:p>
      <w:pPr>
        <w:spacing w:before="0" w:after="200" w:lineRule="auto" w:line="276"/>
      </w:pPr>
      <w:r>
        <w:rPr>
          <w:b/>
        </w:rPr>
        <w:t xml:space="preserve">Abstract (EN): </w:t>
      </w:r>
      <w:r>
        <w:t>The 2013–2016 marine heatwave (MHW) in the Northeastern Pacific ranks among the most intense extratropical ocean warming events on record. Its intricate evolution has complicated efforts to understand the underlying dynamics crucial for predicting future MHWs. Here, we track the MHW using a closed, three-dimensional Lagrangian heat budget that quantifies the processes driving its evolution. Three-dimensional particle trajectories separate the MHW into northern and southern components and reveal that they are of distinct kinematic origin. We quantitatively demonstrate through a closed budget that advection, rather than surface forcing, plays the dominant role in sustaining the MHW’s heat content. The northern component was maintained by a weakening of Ekman heat transport across the North Pacific Current, combined with reduced wintertime surface heat loss. The southern component was driven by weakened Ekman upwelling caused by reduced alongshore winds over the California Current. We further identify a persistent low sea-level pressure anomaly over the central Pacific that altered wind patterns, redistributing heat and moisture poleward to ultimately force both parts of the MHW. Elevated surface temperatures, in turn, amplified this pressure anomaly, completing a positive feedback loop that sustained the event across multiple years.</w:t>
      </w:r>
    </w:p>
    <w:p>
      <w:pPr>
        <w:spacing w:before="120" w:after="120"/>
      </w:pPr>
      <w:r>
        <w:rPr>
          <w:sz w:val="18"/>
        </w:rPr>
        <w:t>——————————————————————————————————————————————————————————————————————</w:t>
      </w:r>
    </w:p>
    <w:p>
      <w:pPr>
        <w:spacing w:before="160" w:after="40" w:line="240" w:lineRule="auto"/>
      </w:pPr>
      <w:r>
        <w:rPr>
          <w:b/>
        </w:rPr>
        <w:t xml:space="preserve">[327] </w:t>
      </w:r>
      <w:hyperlink r:id="rId1145">
        <w:r>
          <w:rPr>
            <w:color w:val="1155CC"/>
            <w:u w:val="single"/>
          </w:rPr>
          <w:t>量子记忆辅助按需微波光转换</w:t>
        </w:r>
      </w:hyperlink>
    </w:p>
    <w:p>
      <w:pPr>
        <w:spacing w:before="0" w:after="80"/>
      </w:pPr>
      <w:r>
        <w:rPr>
          <w:i/>
          <w:sz w:val="20"/>
        </w:rPr>
        <w:t>EN: Quantum-memory-assisted on-demand microwave-optical transduction</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微波光学传感器和量子存储器对于实现量子互联网的量子中继器至关重要。尽管这两种技术都取得了进步，但集成这些功能仍然具有挑战性。在这里，我们从理论上提出并通过实验证明了一种基于里德伯系综的按需微波光量子换能器。利用级联电磁感应透明，我们将微波光子存储在高度激发的集体状态下，并在检索过程中将它们转换为光学光子。利用微波光子数百万的光学深度和最小的单光子级相移，我们的传感器在无腔条件下实现了约 90% 的面积归一化存储效率、2.3 MHz 带宽和 26 K 的噪声等效温度。此外，我们的系统具有低温兼容性和可扩展性，可实现高单光子转换效率，无需光腔耦合。这些发现推进了实用的按需量子接口在原子和固态平台上的广泛应用。</w:t>
      </w:r>
    </w:p>
    <w:p>
      <w:pPr>
        <w:spacing w:before="0" w:after="200" w:lineRule="auto" w:line="276"/>
      </w:pPr>
      <w:r>
        <w:rPr>
          <w:b/>
        </w:rPr>
        <w:t xml:space="preserve">Abstract (EN): </w:t>
      </w:r>
      <w:r>
        <w:t>Microwave-optical transducers and quantum memories are essential for quantum repeaters enabling a quantum internet. Despite advances in both technologies, integrating these functionalities remains challenging. Here, we theoretically propose and experimentally demonstrate an on-demand microwave-optical quantum transducer based on a Rydberg ensemble. Using cascaded electromagnetically induced transparency, we store microwave photons in a highly excited collective state and convert them into optical photons during retrieval. Leveraging an optical depth of millions for microwave photons and minimal single-photon-level dephasing, our transducer achieves around 90% area-normalized storage efficiency, 2.3 MHz bandwidth, and noise-equivalent temperature of 26 K under cavity-free conditions. Furthermore, our system is cryogenically compatible and extendable for high single-photon conversion efficiency without requiring optical cavity coupling. These findings advance practical on-demand quantum interfaces with broad applications across atomic and solid-state platforms.</w:t>
      </w:r>
    </w:p>
    <w:p>
      <w:pPr>
        <w:spacing w:before="120" w:after="120"/>
      </w:pPr>
      <w:r>
        <w:rPr>
          <w:sz w:val="18"/>
        </w:rPr>
        <w:t>——————————————————————————————————————————————————————————————————————</w:t>
      </w:r>
    </w:p>
    <w:p>
      <w:pPr>
        <w:spacing w:before="160" w:after="40" w:line="240" w:lineRule="auto"/>
      </w:pPr>
      <w:r>
        <w:rPr>
          <w:b/>
        </w:rPr>
        <w:t xml:space="preserve">[328] </w:t>
      </w:r>
      <w:hyperlink r:id="rId1146">
        <w:r>
          <w:rPr>
            <w:color w:val="1155CC"/>
            <w:u w:val="single"/>
          </w:rPr>
          <w:t>持续气候-碳状态之间的转变与显生宙生物圈脆弱性的升高相一致</w:t>
        </w:r>
      </w:hyperlink>
    </w:p>
    <w:p>
      <w:pPr>
        <w:spacing w:before="0" w:after="80"/>
      </w:pPr>
      <w:r>
        <w:rPr>
          <w:i/>
          <w:sz w:val="20"/>
        </w:rPr>
        <w:t>EN: Transitions between persistent climate–carbon regimes coincide with elevated Phanerozoic biosphere vulnerability</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将显生宙时期的非生物强迫与连贯的生物反应联系起来仍然很难量化，因为环境驱动因素和生物动力学都是异质的、不规则采样的，并且受到代理和地质年代不确定性的影响。在这里，我们介绍了一种基于制度的气候-碳系统描述，其中显生宙演化被组织成少数反复出现的、长期存在的大气候状态，并由相对急剧的转变分隔开。利用对碳和氧稳定同位素配对记录的重复诊断，以及补充的预警指标，我们确定了五种持久状态及其边界。我们用概念性的气候-碳循环模型解释了所得的结构，该模型承认多种共存的平衡，为在不断变化的环境强迫和扰动下在稳定吸引子之间切换的状态变化提供了机械基础。我们将这些结果与生物圈脆弱性指标联系起来，该指标将生物周转率与样本标准化的全球多样性相结合，以表明脆弱性在主要政权转变附近系统性地升高。这些结果表明，持久性气候-碳吸引子之间的转变提供了一个动态背景，解释了为什么某些扰动间隔与生物圈压力加剧相一致，超出了仅从更渐进的背景环境变化中所预期的范围。</w:t>
      </w:r>
    </w:p>
    <w:p>
      <w:pPr>
        <w:spacing w:before="0" w:after="200" w:lineRule="auto" w:line="276"/>
      </w:pPr>
      <w:r>
        <w:rPr>
          <w:b/>
        </w:rPr>
        <w:t xml:space="preserve">Abstract (EN): </w:t>
      </w:r>
      <w:r>
        <w:t>Linking abiotic forcing to coherent biotic responses over Phanerozoic time remains difficult to quantify because both environmental drivers and biological dynamics are heterogeneous, irregularly sampled, and affected by proxy and geochronological uncertainty. Here we introduce a regime-based description of the climate–carbon system in which Phanerozoic evolution is organized into a small number of recurring, long-lived mega-climate states separated by relatively sharp transitions. Using recurrence diagnostics on paired carbon and oxygen stable isotope records, together with complementary early-warning indicators, we identify five persistent regimes and their boundaries. We interpret the resulting structure with a conceptual climate–carbon cycle model that admits multiple coexisting equilibria, providing a mechanistic basis for state changes that switch between stable attractors under changing environmental forcings and perturbations. We connect these results to a biosphere vulnerability metric that incorporates biotic turnover with sample-standardized global diversity to show that vulnerability is systematically elevated near major regime transitions. These results suggest that transitions between persistent climate–carbon attractors provide a dynamical context for why some perturbation intervals coincide with heightened biospheric stress, beyond what is expected from more gradual background environmental changes alone.</w:t>
      </w:r>
    </w:p>
    <w:p>
      <w:pPr>
        <w:spacing w:before="120" w:after="120"/>
      </w:pPr>
      <w:r>
        <w:rPr>
          <w:sz w:val="18"/>
        </w:rPr>
        <w:t>——————————————————————————————————————————————————————————————————————</w:t>
      </w:r>
    </w:p>
    <w:p>
      <w:pPr>
        <w:spacing w:before="160" w:after="40" w:line="240" w:lineRule="auto"/>
      </w:pPr>
      <w:r>
        <w:rPr>
          <w:b/>
        </w:rPr>
        <w:t xml:space="preserve">[329] </w:t>
      </w:r>
      <w:hyperlink r:id="rId1147">
        <w:r>
          <w:rPr>
            <w:color w:val="1155CC"/>
            <w:u w:val="single"/>
          </w:rPr>
          <w:t>钾基单原子催化剂通过抑制巨噬细胞焦亡实现小鼠急性肺损伤免疫治疗</w:t>
        </w:r>
      </w:hyperlink>
    </w:p>
    <w:p>
      <w:pPr>
        <w:spacing w:before="0" w:after="80"/>
      </w:pPr>
      <w:r>
        <w:rPr>
          <w:i/>
          <w:sz w:val="20"/>
        </w:rPr>
        <w:t>EN: A potassium-based single-atom catalyst enables acute lung injury immunotherapy in mice by inhibiting macrophage pyroptosis</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急性肺损伤 (ALI) 的死亡率接近 40%，且缺乏有效的治疗方法。巨噬细胞焦亡代表一种促炎事件和潜在的治疗靶点。在此，我们报道了一种单原子免疫调节剂，一种具有 K-N4 位点的钾基单原子催化剂 (K-SAC)，可通过抗氧化催化抑制巨噬细胞焦亡，用于 ALI 治疗。 K-SAC 由生物相容性钾（人体最丰富的细胞内金属）构成，具有强大的超氧化物歧化酶和过氧化氢酶样活性，其潜在机制通过密度泛函理论模拟揭示。在巨噬细胞优先摄取后，K-SAC清除活性氧，下调gasdermin D及其N端片段，激活转运介导的膜修复所需的内体分选复合物，并促进膜磷脂重塑，从而有效抑制巨噬细胞焦亡。值得注意的是，这种催化膜修复机制提供了一种恢复膜完整性的通用策略。这种对细胞焦亡的催化抑制可保持肺部免疫稳态，并改善脂多糖或盲肠结扎和穿刺诱导的 ALI，从而建立一种利用生理丰富元素进行治疗应用的催化免疫治疗方法。</w:t>
      </w:r>
    </w:p>
    <w:p>
      <w:pPr>
        <w:spacing w:before="0" w:after="200" w:lineRule="auto" w:line="276"/>
      </w:pPr>
      <w:r>
        <w:rPr>
          <w:b/>
        </w:rPr>
        <w:t xml:space="preserve">Abstract (EN): </w:t>
      </w:r>
      <w:r>
        <w:t>Acute lung injury (ALI), which can have a mortality rate approaching 40%, lacks effective therapies. Macrophage pyroptosis represents a pro-inflammatory event and a potential therapeutic target. Here, we report a single-atom immunomodulator, a potassium-based single-atom catalyst (K-SAC) with K–N4 sites, that suppresses macrophage pyroptosis for ALI therapy through antioxidant catalysis. Constructed from biocompatible potassium, the most abundant intracellular metal in humans, K-SAC displays potent superoxide dismutase- and catalase-like activities, with the underlying mechanisms revealed by density functional theory simulations. Following preferential macrophage uptake, K-SAC scavenges reactive oxygen species, downregulates gasdermin D and its N-terminal fragment, activates endosomal sorting complexes required for transport-mediated membrane repair, and promotes membrane phospholipid remodeling, thereby effectively inhibiting macrophage pyroptosis. Notably, this catalytic membrane repair mechanism offers a versatile strategy for restoring membrane integrity. Such catalytic inhibition of pyroptosis preserves pulmonary immune homeostasis and ameliorates lipopolysaccharide- or cecal ligation and puncture-induced ALI, establishing a catalytic immunotherapeutic approach using a physiologically abundant element for therapeutic applications.</w:t>
      </w:r>
    </w:p>
    <w:p>
      <w:pPr>
        <w:spacing w:before="120" w:after="120"/>
      </w:pPr>
      <w:r>
        <w:rPr>
          <w:sz w:val="18"/>
        </w:rPr>
        <w:t>——————————————————————————————————————————————————————————————————————</w:t>
      </w:r>
    </w:p>
    <w:p>
      <w:pPr>
        <w:spacing w:before="160" w:after="40" w:line="240" w:lineRule="auto"/>
      </w:pPr>
      <w:r>
        <w:rPr>
          <w:b/>
        </w:rPr>
        <w:t xml:space="preserve">[330] </w:t>
      </w:r>
      <w:hyperlink r:id="rId1148">
        <w:r>
          <w:rPr>
            <w:color w:val="1155CC"/>
            <w:u w:val="single"/>
          </w:rPr>
          <w:t>最近由热力学决定的南极半岛表面融化的增强</w:t>
        </w:r>
      </w:hyperlink>
    </w:p>
    <w:p>
      <w:pPr>
        <w:spacing w:before="0" w:after="80"/>
      </w:pPr>
      <w:r>
        <w:rPr>
          <w:i/>
          <w:sz w:val="20"/>
        </w:rPr>
        <w:t>EN: The recent enhancement of the surface melt over the Antarctic Peninsula dictated by thermodynamics</w:t>
      </w:r>
    </w:p>
    <w:p>
      <w:pPr>
        <w:spacing w:before="0" w:after="120"/>
      </w:pPr>
      <w:r>
        <w:rPr>
          <w:b/>
        </w:rPr>
        <w:t xml:space="preserve">Source: </w:t>
      </w:r>
      <w:r>
        <w:t>Earth and environmental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强烈的地表融化和随后的融水积水是南极半岛（AP）冰架崩解的关键触发因素。尽管自 20 世纪 90 年代初以来，AP 表面融化的长期下降已经很明显，但近年来频繁报道强烈的表面融化事件。在这里，使用区域气候模型中的 1979-2023 年地表融化速率，我们发现这种下降趋势已经逆转，11 月至 2 月地表融化速度显着增加 3%year−1 (p</w:t>
      </w:r>
    </w:p>
    <w:p>
      <w:pPr>
        <w:spacing w:before="0" w:after="200" w:lineRule="auto" w:line="276"/>
      </w:pPr>
      <w:r>
        <w:rPr>
          <w:b/>
        </w:rPr>
        <w:t xml:space="preserve">Abstract (EN): </w:t>
      </w:r>
      <w:r>
        <w:t>Intense surface melt and subsequent meltwater ponding are the key triggers for the disintegration of ice shelves in the Antarctic Peninsula (AP). Although a long-term decline in AP surface melt has been evident since the early 1990s, episodes of intense surface melt events have frequently been reported in recent years. Here, using 1979-2023 daily surface melt rates from regional climate models, we show that this declining trend has reversed, with November–February surface melt increasing significantly by 3% year−1 (p</w:t>
      </w:r>
    </w:p>
    <w:p>
      <w:pPr>
        <w:spacing w:before="120" w:after="120"/>
      </w:pPr>
      <w:r>
        <w:rPr>
          <w:sz w:val="18"/>
        </w:rPr>
        <w:t>——————————————————————————————————————————————————————————————————————</w:t>
      </w:r>
    </w:p>
    <w:p>
      <w:pPr>
        <w:spacing w:before="160" w:after="40" w:line="240" w:lineRule="auto"/>
      </w:pPr>
      <w:r>
        <w:rPr>
          <w:b/>
        </w:rPr>
        <w:t xml:space="preserve">[331] </w:t>
      </w:r>
      <w:hyperlink r:id="rId1149">
        <w:r>
          <w:rPr>
            <w:color w:val="1155CC"/>
            <w:u w:val="single"/>
          </w:rPr>
          <w:t>人类废水污染导致加拉帕戈斯海洋生态系统中出现多重耐药细菌</w:t>
        </w:r>
      </w:hyperlink>
    </w:p>
    <w:p>
      <w:pPr>
        <w:spacing w:before="0" w:after="80"/>
      </w:pPr>
      <w:r>
        <w:rPr>
          <w:i/>
          <w:sz w:val="20"/>
        </w:rPr>
        <w:t>EN: Human wastewater contamination drives the emergence of multidrug-resistant bacteria in the Galápagos marine ecosystem</w:t>
      </w:r>
    </w:p>
    <w:p>
      <w:pPr>
        <w:spacing w:before="0" w:after="120"/>
      </w:pPr>
      <w:r>
        <w:rPr>
          <w:b/>
        </w:rPr>
        <w:t xml:space="preserve">Source: </w:t>
      </w:r>
      <w:r>
        <w:t>Biological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抗生素耐药性对公共健康构成全球威胁。移动微生物实验室可以对抗菌素耐药性进行环境监测，特别是在地理偏远和资源有限的地区，例如加拉帕戈斯群岛。在这里，我们报告了一个移动实验室的开发情况，用于对圣克里斯托瓦尔周围的海洋地点进行抗菌药物耐药性监测。圣克里斯托瓦尔是群岛上人口第二多的岛屿，经历了快速的城市化和巨大的国际旅游压力。对受废水污染的海洋地点进行的现场宏基因组测序显示，与未受污染的海洋地点相比，微生物属发生了明显的变化，并且抗菌素耐药性基因的数量更高，这反映了当地未经处理的污水的宏基因组结果。直接从废水排放口附近的污水或海洋环境中收集的乳糖发酵肠杆菌科菌株中，超过 40% 的菌株表现出多重耐药性。对多重耐药大肠杆菌的细菌基因组和质粒进行长读长测序和从头组装，揭示了质粒上抗菌素耐药基因频繁、快速的重排，从而在岛上产生了多样化的功能性耐药组。这项研究不仅为在资源匮乏的环境中进行抗菌素耐药性研究提供了一个框架，而且强调了废水污染对环境抗菌素耐药性景观的影响，并强调了对人类和动物健康的潜在威胁。</w:t>
      </w:r>
    </w:p>
    <w:p>
      <w:pPr>
        <w:spacing w:before="0" w:after="200" w:lineRule="auto" w:line="276"/>
      </w:pPr>
      <w:r>
        <w:rPr>
          <w:b/>
        </w:rPr>
        <w:t xml:space="preserve">Abstract (EN): </w:t>
      </w:r>
      <w:r>
        <w:t>Antimicrobial resistance poses a global threat to public health. Mobile microbiological laboratories can enable environmental monitoring of antimicrobial resistance, particularly in geographically remote and resource-limited locations, such as the Galápagos archipelago. Here, we report the development of a mobile laboratory for antimicrobial resistance surveillance of marine sites surrounding San Cristóbal, the archipelago’s second most populated island, which has experienced rapid urbanization and intense international tourism pressure. On-site metagenomic sequencing of wastewater-contaminated marine sites reveals a stark shift in microbial genera and a higher count of antimicrobial resistance genes compared to uncontaminated marine sites, mirroring metagenomic results of local untreated sewage. Over 40% of lactose-fermenting Enterobacteriaceae isolates collected directly from sewage or marine environments near sites of wastewater outfall exhibit multidrug resistance. Long-read sequencing and de novo assembly of bacterial genomes and plasmids from multidrug-resistant Escherichia coli reveal frequent and rapid reassortment of antimicrobial resistance genes on plasmids, generating a diverse and functional resistome on the island. This study not only provides a framework for conducting antimicrobial resistance research in low-resource settings but also underscores the impact of wastewater contamination on the environmental antimicrobial resistance landscape and highlights potential threats to human and animal health.</w:t>
      </w:r>
    </w:p>
    <w:p>
      <w:pPr>
        <w:spacing w:before="120" w:after="120"/>
      </w:pPr>
      <w:r>
        <w:rPr>
          <w:sz w:val="18"/>
        </w:rPr>
        <w:t>——————————————————————————————————————————————————————————————————————</w:t>
      </w:r>
    </w:p>
    <w:p>
      <w:pPr>
        <w:spacing w:before="160" w:after="40" w:line="240" w:lineRule="auto"/>
      </w:pPr>
      <w:r>
        <w:rPr>
          <w:b/>
        </w:rPr>
        <w:t xml:space="preserve">[332] </w:t>
      </w:r>
      <w:hyperlink r:id="rId1150">
        <w:r>
          <w:rPr>
            <w:color w:val="1155CC"/>
            <w:u w:val="single"/>
          </w:rPr>
          <w:t>质膜的空间解构</w:t>
        </w:r>
      </w:hyperlink>
    </w:p>
    <w:p>
      <w:pPr>
        <w:spacing w:before="0" w:after="80"/>
      </w:pPr>
      <w:r>
        <w:rPr>
          <w:i/>
          <w:sz w:val="20"/>
        </w:rPr>
        <w:t>EN: Spatial Deconstruction of the Plasma Membrane</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51">
        <w:r>
          <w:rPr>
            <w:color w:val="1155CC"/>
            <w:u w:val="single"/>
          </w:rPr>
          <w:t>10.1021/jacs.6c10688</w:t>
        </w:r>
      </w:hyperlink>
    </w:p>
    <w:p>
      <w:pPr>
        <w:spacing w:before="0" w:after="120"/>
      </w:pPr>
      <w:r>
        <w:rPr>
          <w:b/>
        </w:rPr>
        <w:t xml:space="preserve">Notes: </w:t>
      </w:r>
      <w:r>
        <w:t>abstract_source=crossref</w:t>
      </w:r>
    </w:p>
    <w:p>
      <w:pPr>
        <w:spacing w:before="0" w:after="80" w:lineRule="auto" w:line="276"/>
      </w:pPr>
      <w:r>
        <w:rPr>
          <w:b/>
        </w:rPr>
        <w:t xml:space="preserve">摘要（ZH）: </w:t>
      </w:r>
      <w:r>
        <w:t>摘要 已知细胞质膜在蛋白质和脂质的空间分布方面是异质的，但这种异质性的性质和起源尚不清楚。在这项研究中，我们对质膜片进行荧光显微镜检查，发现大多数蛋白质出现在富含蛋白质的区域中，中间被蛋白质贫乏的区域隔开。我们表明，富含蛋白质的结构域和缺乏蛋白质的区域至少部分保留在缺乏细胞骨架元件的质膜来源的囊泡中，从而允许通过密度离心分离和分离它们。通过核磁共振和质谱进行的成分分析表明，不同的蛋白质和脂质表现出不同的倾向，以划分为富含蛋白质的结构域。这种差异分配与不同蛋白质的功能相关，表明基于细胞过程的分离。同样，有序脂质，包括胆固醇和鞘磷脂，也存在差异分离，在富含蛋白质的区域更为丰富。我们认为某些蛋白质和脂质的集体组装造成了膜成分的异质分布和富含蛋白质的结构域的出现。这些域可以为各种膜过程的功能和分离创造独特的环境。</w:t>
      </w:r>
    </w:p>
    <w:p>
      <w:pPr>
        <w:spacing w:before="0" w:after="200" w:lineRule="auto" w:line="276"/>
      </w:pPr>
      <w:r>
        <w:rPr>
          <w:b/>
        </w:rPr>
        <w:t xml:space="preserve">Abstract (EN): </w:t>
      </w:r>
      <w:r>
        <w:t>The plasma membrane of cells is known to be heterogeneous with regard to the spatial distribution of proteins and lipids, but the nature and origins of this heterogeneity are unclear. In this study, we perform fluorescence microscopy on plasma membrane sheets and find that most proteins occur in protein-rich domains separated by intervening protein-poor regions. We show that the protein-rich domains and protein-poor regions are at least partially preserved in plasma membrane-derived vesicles that lack cytoskeletal elements, permitting their separation and isolation by density centrifugation. Compositional analysis by nuclear magnetic resonance and mass spectrometry shows that different proteins and lipids exhibit distinct tendencies to partition into the protein-rich domains. This differential partitioning is correlated with the function of the different proteins, suggesting segregation based on cellular processes. Likewise, ordered lipids, including cholesterol and sphingomyelin, differentially segregate, being more abundant in the protein-rich domains. We propose that the collective assembly of certain proteins and lipids creates the heterogeneous distribution of membrane components and the emergence of protein-rich domains. These domains could create distinct environments for the function and segregation of various membrane processes.</w:t>
      </w:r>
    </w:p>
    <w:p>
      <w:pPr>
        <w:spacing w:before="120" w:after="120"/>
      </w:pPr>
      <w:r>
        <w:rPr>
          <w:sz w:val="18"/>
        </w:rPr>
        <w:t>——————————————————————————————————————————————————————————————————————</w:t>
      </w:r>
    </w:p>
    <w:p>
      <w:pPr>
        <w:spacing w:before="160" w:after="40" w:line="240" w:lineRule="auto"/>
      </w:pPr>
      <w:r>
        <w:rPr>
          <w:b/>
        </w:rPr>
        <w:t xml:space="preserve">[333] </w:t>
      </w:r>
      <w:hyperlink r:id="rId1152">
        <w:r>
          <w:rPr>
            <w:color w:val="1155CC"/>
            <w:u w:val="single"/>
          </w:rPr>
          <w:t>手性N-杂环卡宾表面诱导电子自旋过滤</w:t>
        </w:r>
      </w:hyperlink>
    </w:p>
    <w:p>
      <w:pPr>
        <w:spacing w:before="0" w:after="80"/>
      </w:pPr>
      <w:r>
        <w:rPr>
          <w:i/>
          <w:sz w:val="20"/>
        </w:rPr>
        <w:t>EN: Chiral N-Heterocyclic Carbene On-Surface Induced Electronic Spin Filtration</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53">
        <w:r>
          <w:rPr>
            <w:color w:val="1155CC"/>
            <w:u w:val="single"/>
          </w:rPr>
          <w:t>10.1021/jacs.6c04854</w:t>
        </w:r>
      </w:hyperlink>
    </w:p>
    <w:p>
      <w:pPr>
        <w:spacing w:before="0" w:after="120"/>
      </w:pPr>
      <w:r>
        <w:rPr>
          <w:b/>
        </w:rPr>
        <w:t xml:space="preserve">Notes: </w:t>
      </w:r>
      <w:r>
        <w:t>abstract_source=crossref</w:t>
      </w:r>
    </w:p>
    <w:p>
      <w:pPr>
        <w:spacing w:before="0" w:after="80" w:lineRule="auto" w:line="276"/>
      </w:pPr>
      <w:r>
        <w:rPr>
          <w:b/>
        </w:rPr>
        <w:t xml:space="preserve">摘要（ZH）: </w:t>
      </w:r>
      <w:r>
        <w:t>摘要 众所周知，电子通过手性分子的传输取决于其自旋。然而，如何将分子结构和尺寸与自旋选择性联系起来尚不清楚。 N-杂环卡宾 (NHC) 是一类独特的小有机分子，具有电子可调性，可产生巨大的结构和应用多样性，并与金属表面共价结合，形成坚固的自组装单层 (SAM)。在这里，我们证明该分子家族尽管尺寸较小，但表现出高自旋选择性，同时在金属表面上极其稳定。我们在金属表面制备了手性 NHC 薄膜，并首次将其用作电子自旋过滤器。 Au-Ni 表面上的 (S,S)-SINpEt 和 (R,R)-SINpEt 薄膜表现出高达 60% 的高电子自旋极化 (SP)。手性 NHC 薄膜在水溶液 (pH = 13) 中连续伏安询问 50 个周期（在 -0.3 至 0.3 V vs Ag/AgCl 电压窗口内）时表现出电化学稳定性，这使得能够利用自旋极化电子来增强氧还原反应 (ORR)。不同厚度的手性 SINpEt 薄膜的 ORR 表明了电子相干性在 ORR 反应中的重要性。还使用量子化学计算研究了手性 SINpEt 分子的结合、取向及其在 Au 表面上的分子覆盖范围，这确保了与实验观察结果的良好一致性。这一发现引入了一类新的小型c</w:t>
      </w:r>
    </w:p>
    <w:p>
      <w:pPr>
        <w:spacing w:before="0" w:after="200" w:lineRule="auto" w:line="276"/>
      </w:pPr>
      <w:r>
        <w:rPr>
          <w:b/>
        </w:rPr>
        <w:t xml:space="preserve">Abstract (EN): </w:t>
      </w:r>
      <w:r>
        <w:t>It is well established that transport of electrons through chiral molecules can depend on their spins. However, it is not yet comprehensible how to relate molecular structure and size to spin selectivity. N-heterocyclic carbenes (NHCs) are a unique class of small organic molecules with electronic tunability generating huge structural and applicative diversity and covalently bind to metal surfaces to form a robust self-assembled monolayer (SAM). Here, we demonstrate that this family of molecules exhibits high spin selectivity, despite their small size, while being extremely stable on metal surfaces. We have fabricated chiral NHC thin films on the metal surfaces and utilized them as electron spin filters for the first time. The (S,S)-SINpEt and (R,R)-SINpEt thin films on Au–Ni surfaces showcase a high electronic spin polarization (SP) of up to 60%. The chiral NHC thin films exhibit electrochemical stability under continuous voltametric interrogation for 50 cycles (within a −0.3 to 0.3 V vs Ag/AgCl voltage window) in an aqueous solution (pH = 13), which enables the utilization of spin-polarized electrons to enhance the oxygen reduction reaction (ORR). The ORR with chiral SINpEt thin films of different thicknesses indicates the importance of the coherency of the electrons in the ORR reaction. The binding, orientation of the chiral SINpEt molecules, and their molecular coverage on the Au surface have also been investigated using quantum chemical calculations, which ensure a good agreement with the experimental observations. This finding introduces a new class of small chiral molecules as a useful source of electronic spin-polarization for various applications.</w:t>
      </w:r>
    </w:p>
    <w:p>
      <w:pPr>
        <w:spacing w:before="120" w:after="120"/>
      </w:pPr>
      <w:r>
        <w:rPr>
          <w:sz w:val="18"/>
        </w:rPr>
        <w:t>——————————————————————————————————————————————————————————————————————</w:t>
      </w:r>
    </w:p>
    <w:p>
      <w:pPr>
        <w:spacing w:before="160" w:after="40" w:line="240" w:lineRule="auto"/>
      </w:pPr>
      <w:r>
        <w:rPr>
          <w:b/>
        </w:rPr>
        <w:t xml:space="preserve">[334] </w:t>
      </w:r>
      <w:hyperlink r:id="rId1154">
        <w:r>
          <w:rPr>
            <w:color w:val="1155CC"/>
            <w:u w:val="single"/>
          </w:rPr>
          <w:t>对“用于放射治疗的纳米级金属有机层-放射动力治疗”的更正</w:t>
        </w:r>
      </w:hyperlink>
    </w:p>
    <w:p>
      <w:pPr>
        <w:spacing w:before="0" w:after="80"/>
      </w:pPr>
      <w:r>
        <w:rPr>
          <w:i/>
          <w:sz w:val="20"/>
        </w:rPr>
        <w:t>EN: Correction to “Nanoscale Metal–Organic Layers for Radiotherapy–Radiodynamic Therapy”</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55">
        <w:r>
          <w:rPr>
            <w:color w:val="1155CC"/>
            <w:u w:val="single"/>
          </w:rPr>
          <w:t>10.1021/jacs.6c11452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[335] </w:t>
      </w:r>
      <w:hyperlink r:id="rId1156">
        <w:r>
          <w:rPr>
            <w:color w:val="1155CC"/>
            <w:u w:val="single"/>
          </w:rPr>
          <w:t>节点辅助光氧化还原反应使 MOF 催化芳香醛中的氢/氘交换成为可能</w:t>
        </w:r>
      </w:hyperlink>
    </w:p>
    <w:p>
      <w:pPr>
        <w:spacing w:before="0" w:after="80"/>
      </w:pPr>
      <w:r>
        <w:rPr>
          <w:i/>
          <w:sz w:val="20"/>
        </w:rPr>
        <w:t>EN: Node-Assisted Photoredox Reactivity Enables MOF-Catalyzed Hydrogen/Deuterium Exchange in Aromatic Aldehydes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57">
        <w:r>
          <w:rPr>
            <w:color w:val="1155CC"/>
            <w:u w:val="single"/>
          </w:rPr>
          <w:t>10.1021/jacs.6c08975</w:t>
        </w:r>
      </w:hyperlink>
    </w:p>
    <w:p>
      <w:pPr>
        <w:spacing w:before="0" w:after="120"/>
      </w:pPr>
      <w:r>
        <w:rPr>
          <w:b/>
        </w:rPr>
        <w:t xml:space="preserve">Notes: </w:t>
      </w:r>
      <w:r>
        <w:t>abstract_source=crossref</w:t>
      </w:r>
    </w:p>
    <w:p>
      <w:pPr>
        <w:spacing w:before="0" w:after="80" w:lineRule="auto" w:line="276"/>
      </w:pPr>
      <w:r>
        <w:rPr>
          <w:b/>
        </w:rPr>
        <w:t xml:space="preserve">摘要（ZH）: </w:t>
      </w:r>
      <w:r>
        <w:t>摘要 光驱动同位素标记目前以均相催化为主，很大程度上依赖于单独的硫醇基氢原子转移催化剂。金属有机框架（MOF）以其模块化结构、受限的孔隙环境和可调的光电特性，为化学品中的受控同位素掺入提供了一个有吸引力但很大程度上未经探索的异质平台。在此，我们报告了 MOF 光催化氢/氘 (H/D) 交换的系统研究，证明 UiO-66 型材料独特地能够使用 D2O 作为唯一氘源对芳香醛进行无硫醇、甲酰基选择性氘化。在紫外线照射下，UiO-66材料在3小时内实现高达97%的H/D结合，产物选择性达到99%，控制水平远远超过无催化剂光化学。对接头功能化影响的评估表明，效率取决于多个相互依赖的参数，包括自由基生成、孔隙率、底物结合和扩散以及 D2O 可及性，从而将其确立为控制 H/D 交换反应性的关键设计手柄。使用电子顺磁共振波谱进行的机理研究、使用同位素富集的 UiO-66 和锆氧簇的控制以及密度泛函理论分析表明，Zr6O4(OH)4 节点积极参与催化，通过涉及原位生成的 μ3-OD 基团的质子耦合电子转移机制实现氘转移。 Zr6 簇表面的醛限制</w:t>
      </w:r>
    </w:p>
    <w:p>
      <w:pPr>
        <w:spacing w:before="0" w:after="200" w:lineRule="auto" w:line="276"/>
      </w:pPr>
      <w:r>
        <w:rPr>
          <w:b/>
        </w:rPr>
        <w:t xml:space="preserve">Abstract (EN): </w:t>
      </w:r>
      <w:r>
        <w:t>Light-driven isotopic labeling is currently dominated by homogeneous catalysis and largely relies on separate thiol-based hydrogen-atom-transfer catalysts. Metal–organic frameworks (MOFs), with their modular structures, confined pore environments, and tunable optoelectronic properties, offer an attractive but largely unexplored heterogeneous platform for controlled isotopic incorporation in chemicals. Herein, we report a systematic investigation of MOF-photocatalyzed hydrogen/deuterium (H/D) exchange, demonstrating that UiO-66-type materials uniquely enable thiol-free, formyl-selective deuteration of aromatic aldehydes using D2O as the sole deuterium source. Under UV irradiation, UiO-66 materials achieve up to 97% H/D incorporation over 3 h with 99% product selectivity, a level of control far surpassing that of catalyst-free photochemistry. Evaluation of the influence of linker functionalization shows that efficiency depends on multiple interdependent parameters, including radical generation, porosity, substrate binding and diffusion, and D2O accessibility, thereby establishing it as a key design handle for controlling reactivity in H/D exchange. Mechanistic investigations using electron paramagnetic resonance spectroscopy, controls using isotopically enriched UiO-66 and zirconium oxo clusters, and density functional theory analysis demonstrate that the Zr6O4(OH)4 nodes actively participate in catalysis, enabling deuterium transfer via proton-coupled electron-transfer mechanisms involving in situ-generated μ3-OD groups. Aldehyde confinement at the Zr6-cluster surface suppresses competing oxidation pathways and promotes a surface-confined radical mechanism that is inaccessible to homogeneous photocatalysts. Our findings establish UiO-66 as a single-component heterogeneous photocatalyst for selective isotopic labeling and mechanistically probe a previously unexplored mode of node-centered photoreactivity in MOFs. This work provides mechanistic insights into the use of MOFs for isotopic labeling and late-stage functionalization under mild conditions, highlighting the role of node-centered photochemistry.</w:t>
      </w:r>
    </w:p>
    <w:p>
      <w:pPr>
        <w:spacing w:before="120" w:after="120"/>
      </w:pPr>
      <w:r>
        <w:rPr>
          <w:sz w:val="18"/>
        </w:rPr>
        <w:t>——————————————————————————————————————————————————————————————————————</w:t>
      </w:r>
    </w:p>
    <w:p>
      <w:pPr>
        <w:spacing w:before="160" w:after="40" w:line="240" w:lineRule="auto"/>
      </w:pPr>
      <w:r>
        <w:rPr>
          <w:b/>
        </w:rPr>
        <w:t xml:space="preserve">[336] </w:t>
      </w:r>
      <w:hyperlink r:id="rId1158">
        <w:r>
          <w:rPr>
            <w:color w:val="1155CC"/>
            <w:u w:val="single"/>
          </w:rPr>
          <w:t>杂官能遥爪聚亚甲基：从精确合成到各种聚烯烃类聚合物</w:t>
        </w:r>
      </w:hyperlink>
    </w:p>
    <w:p>
      <w:pPr>
        <w:spacing w:before="0" w:after="80"/>
      </w:pPr>
      <w:r>
        <w:rPr>
          <w:i/>
          <w:sz w:val="20"/>
        </w:rPr>
        <w:t>EN: Heterofunctional telechelic polymethylene: from precise synthesis to diverse polyolefin-like polymers</w:t>
      </w:r>
    </w:p>
    <w:p>
      <w:pPr>
        <w:spacing w:before="0" w:after="120"/>
      </w:pPr>
      <w:r>
        <w:rPr>
          <w:b/>
        </w:rPr>
        <w:t xml:space="preserve">Source: </w:t>
      </w:r>
      <w:r>
        <w:t>National Science Review Advance Access</w:t>
      </w:r>
      <w:r>
        <w:t xml:space="preserve">    </w:t>
      </w:r>
      <w:r>
        <w:rPr>
          <w:b/>
        </w:rPr>
        <w:t xml:space="preserve">Pub date: </w:t>
      </w:r>
      <w:r>
        <w:t>2026-08-04 00:00:00+00:00</w:t>
      </w:r>
      <w:r>
        <w:t xml:space="preserve">    </w:t>
      </w:r>
      <w:r>
        <w:rPr>
          <w:b/>
        </w:rPr>
        <w:t xml:space="preserve">DOI: </w:t>
      </w:r>
      <w:hyperlink r:id="rId1159">
        <w:r>
          <w:rPr>
            <w:color w:val="1155CC"/>
            <w:u w:val="single"/>
          </w:rPr>
          <w:t>10.1093/nsr/nwag471</w:t>
        </w:r>
      </w:hyperlink>
    </w:p>
    <w:p>
      <w:pPr>
        <w:spacing w:before="0" w:after="120"/>
      </w:pPr>
      <w:r>
        <w:rPr>
          <w:b/>
        </w:rPr>
        <w:t xml:space="preserve">Notes: </w:t>
      </w:r>
      <w:r>
        <w:t>abstract_source=rss_oup</w:t>
      </w:r>
    </w:p>
    <w:p>
      <w:pPr>
        <w:spacing w:before="0" w:after="80" w:lineRule="auto" w:line="276"/>
      </w:pPr>
      <w:r>
        <w:rPr>
          <w:b/>
        </w:rPr>
        <w:t xml:space="preserve">摘要（ZH）: </w:t>
      </w:r>
      <w:r>
        <w:t>遥爪聚烯烃是构建具有酯基等链内官能团的最先进聚烯烃的关键构建单元，近年来引起了人们的广泛关注。然而，这种α,ω-杂官能遥爪聚烯烃的精确合成仍然具有挑战性。在本研究中，通过叶立德单体的硼引发多同系化，使用多同系化来合成α-酯-ω-羟基遥爪聚亚甲基（带有己基侧链）。这些遥爪聚合物在结构上与遥爪聚烯烃相似。该方法可以精确控制端基保真度 ([OH, COOMe] &gt; 99%) 和分子量，且分子量分布特别窄 (Ð</w:t>
      </w:r>
    </w:p>
    <w:p>
      <w:pPr>
        <w:spacing w:before="0" w:after="200" w:lineRule="auto" w:line="276"/>
      </w:pPr>
      <w:r>
        <w:rPr>
          <w:b/>
        </w:rPr>
        <w:t xml:space="preserve">Abstract (EN): </w:t>
      </w:r>
      <w:r>
        <w:t>Telechelic polyolefins are key building blocks for constructing state-of-the-art polyolefins bearing in-chain functionalities such as ester groups, which have attracted significant attention over recent years. However, the precise synthesis of such α,ω-heterofunctional telechelic polyolefins remains challenging. In this study, polyhomologation is used for the synthesis of α-ester-ω-hydroxy telechelic polymethylenes (bearing hexyl side-chains) through the boron-initiated polyhomologation of ylide monomers. These telechelic polymers are structurally-similar to telechelic polyolefins. This method allows for precise control over the end-group fidelity ([OH, COOMe] &gt; 99%) and molecular weight, with particularly narrow molecular weight distributions (Ð</w:t>
      </w:r>
    </w:p>
    <w:p>
      <w:pPr>
        <w:spacing w:before="120" w:after="120"/>
      </w:pPr>
      <w:r>
        <w:rPr>
          <w:sz w:val="18"/>
        </w:rPr>
        <w:t>——————————————————————————————————————————————————————————————————————</w:t>
      </w:r>
    </w:p>
    <w:p>
      <w:pPr>
        <w:spacing w:before="160" w:after="40" w:line="240" w:lineRule="auto"/>
      </w:pPr>
      <w:r>
        <w:rPr>
          <w:b/>
        </w:rPr>
        <w:t xml:space="preserve">[337] </w:t>
      </w:r>
      <w:hyperlink r:id="rId1160">
        <w:r>
          <w:rPr>
            <w:color w:val="1155CC"/>
            <w:u w:val="single"/>
          </w:rPr>
          <w:t>生物材料的电特性</w:t>
        </w:r>
      </w:hyperlink>
    </w:p>
    <w:p>
      <w:pPr>
        <w:spacing w:before="0" w:after="80"/>
      </w:pPr>
      <w:r>
        <w:rPr>
          <w:i/>
          <w:sz w:val="20"/>
        </w:rPr>
        <w:t>EN: Electrical Properties in Biological Materials</w:t>
      </w:r>
    </w:p>
    <w:p>
      <w:pPr>
        <w:spacing w:before="0" w:after="120"/>
      </w:pPr>
      <w:r>
        <w:rPr>
          <w:b/>
        </w:rPr>
        <w:t xml:space="preserve">Source: </w:t>
      </w:r>
      <w:r>
        <w:t>Chemical Reviews: Latest Articles (ACS Publications)</w:t>
      </w:r>
      <w:r>
        <w:t xml:space="preserve">    </w:t>
      </w:r>
      <w:r>
        <w:rPr>
          <w:b/>
        </w:rPr>
        <w:t xml:space="preserve">Pub date: </w:t>
      </w:r>
      <w:r>
        <w:t>2026-08-04 00:00:00+00:00</w:t>
      </w:r>
      <w:r>
        <w:t xml:space="preserve">    </w:t>
      </w:r>
      <w:r>
        <w:rPr>
          <w:b/>
        </w:rPr>
        <w:t xml:space="preserve">DOI: </w:t>
      </w:r>
      <w:hyperlink r:id="rId1161">
        <w:r>
          <w:rPr>
            <w:color w:val="1155CC"/>
            <w:u w:val="single"/>
          </w:rPr>
          <w:t>10.1021/acs.chemrev.5c00925</w:t>
        </w:r>
      </w:hyperlink>
    </w:p>
    <w:p>
      <w:pPr>
        <w:spacing w:before="0" w:after="120"/>
      </w:pPr>
      <w:r>
        <w:rPr>
          <w:b/>
        </w:rPr>
        <w:t xml:space="preserve">Notes: </w:t>
      </w:r>
      <w:r>
        <w:t>abstract_source=crossref</w:t>
      </w:r>
    </w:p>
    <w:p>
      <w:pPr>
        <w:spacing w:before="0" w:after="80" w:lineRule="auto" w:line="276"/>
      </w:pPr>
      <w:r>
        <w:rPr>
          <w:b/>
        </w:rPr>
        <w:t xml:space="preserve">摘要（ZH）: </w:t>
      </w:r>
      <w:r>
        <w:t>摘要 生物材料中的生物电现象源于复杂的分子结构和层次组织，导致不同的电特性。了解每个层次的结构-功能关系对于阐明这些机制至关重要。结合先进实验工具和计算模拟的多学科方法有助于弥合观察与理论之间的差距。晶体学研究强调了晶格对称性在电特性分类中的重要性，在理解生物电方面发挥着重要作用。研究生物构件（包括氨基酸、肽、蛋白质、组织和病毒）的电特性揭示了重要的见解。这些生物成分由于其独特的结构排列而表现出不同的电学行为。从纳米尺度到宏观尺度理解这些现象对于理解生物电以及开发生物医学和可穿戴设备至关重要。这篇综述通过讨论生物构件的生物电特性、对其层次结构进行分类并分析其潜在机制，提供了对生物电的见解。我们的综述将阐明基本结构和生物电特性之间的关系，并为设计新型生物技术和未来应用提供见解。</w:t>
      </w:r>
    </w:p>
    <w:p>
      <w:pPr>
        <w:spacing w:before="0" w:after="200" w:lineRule="auto" w:line="276"/>
      </w:pPr>
      <w:r>
        <w:rPr>
          <w:b/>
        </w:rPr>
        <w:t xml:space="preserve">Abstract (EN): </w:t>
      </w:r>
      <w:r>
        <w:t>Bioelectric phenomena in biological materials arise from intricate molecular structures and hierarchical organizations, resulting in diverse electrical properties. Understanding the structure–function relationship at each hierarchical level is crucial for elucidating these mechanisms. A multidisciplinary approach combining advanced experimental tools and computational simulations helps bridge the gap between observation and theory. Crystallographic studies highlight the importance of lattice symmetry in classifying electrical characteristics, playing a significant role in understanding bioelectricity. Investigating the electrical properties of biological building blocks, including amino acids, peptides, proteins, tissues, and viruses, reveals significant insights. These biological components exhibit diverse electrical behaviors due to their unique structural arrangements. Understanding these phenomena from the nanoscale to the macroscale is essential for comprehending bioelectricity and developing biomedical and wearable devices. This review provides insights into bioelectricity by discussing the bioelectrical properties of biological building blocks, categorizing their hierarchical structures, and analyzing their underlying mechanisms. Our review will clarify the relationship between fundamental structures and bioelectrical properties, and provide insights for designing novel biotechnologies and future applications.</w:t>
      </w:r>
    </w:p>
    <w:p>
      <w:pPr>
        <w:spacing w:before="120" w:after="120"/>
      </w:pPr>
      <w:r>
        <w:rPr>
          <w:sz w:val="18"/>
        </w:rPr>
        <w:t>——————————————————————————————————————————————————————————————————————</w:t>
      </w:r>
    </w:p>
    <w:p>
      <w:pPr>
        <w:spacing w:before="160" w:after="40" w:line="240" w:lineRule="auto"/>
      </w:pPr>
      <w:r>
        <w:rPr>
          <w:b/>
        </w:rPr>
        <w:t xml:space="preserve">[338] </w:t>
      </w:r>
      <w:hyperlink r:id="rId1162">
        <w:r>
          <w:rPr>
            <w:color w:val="1155CC"/>
            <w:u w:val="single"/>
          </w:rPr>
          <w:t>跨膜肽：机制景观、测定和应用</w:t>
        </w:r>
      </w:hyperlink>
    </w:p>
    <w:p>
      <w:pPr>
        <w:spacing w:before="0" w:after="80"/>
      </w:pPr>
      <w:r>
        <w:rPr>
          <w:i/>
          <w:sz w:val="20"/>
        </w:rPr>
        <w:t>EN: Membrane-Traversing Peptides: Mechanistic Landscapes, Assays, and Applications</w:t>
      </w:r>
    </w:p>
    <w:p>
      <w:pPr>
        <w:spacing w:before="0" w:after="120"/>
      </w:pPr>
      <w:r>
        <w:rPr>
          <w:b/>
        </w:rPr>
        <w:t xml:space="preserve">Source: </w:t>
      </w:r>
      <w:r>
        <w:t>Chemical Reviews: Latest Articles (ACS Publications)</w:t>
      </w:r>
      <w:r>
        <w:t xml:space="preserve">    </w:t>
      </w:r>
      <w:r>
        <w:rPr>
          <w:b/>
        </w:rPr>
        <w:t xml:space="preserve">Pub date: </w:t>
      </w:r>
      <w:r>
        <w:t>2026-08-04 00:00:00+00:00</w:t>
      </w:r>
      <w:r>
        <w:t xml:space="preserve">    </w:t>
      </w:r>
      <w:r>
        <w:rPr>
          <w:b/>
        </w:rPr>
        <w:t xml:space="preserve">DOI: </w:t>
      </w:r>
      <w:hyperlink r:id="rId1163">
        <w:r>
          <w:rPr>
            <w:color w:val="1155CC"/>
            <w:u w:val="single"/>
          </w:rPr>
          <w:t>10.1021/acs.chemrev.6c00060</w:t>
        </w:r>
      </w:hyperlink>
    </w:p>
    <w:p>
      <w:pPr>
        <w:spacing w:before="0" w:after="120"/>
      </w:pPr>
      <w:r>
        <w:rPr>
          <w:b/>
        </w:rPr>
        <w:t xml:space="preserve">Notes: </w:t>
      </w:r>
      <w:r>
        <w:t>abstract_source=crossref</w:t>
      </w:r>
    </w:p>
    <w:p>
      <w:pPr>
        <w:spacing w:before="0" w:after="80" w:lineRule="auto" w:line="276"/>
      </w:pPr>
      <w:r>
        <w:rPr>
          <w:b/>
        </w:rPr>
        <w:t xml:space="preserve">摘要（ZH）: </w:t>
      </w:r>
      <w:r>
        <w:t>摘要：脂质双层膜是重要的细胞渗透性屏障，严格限制极性分子和大分子的通过，从而分隔细胞生物化学并限制治疗药物可及的化学空间。穿膜肽 (MTP) 是一组多样化的肽，其定义为能够穿过合成膜或细胞膜而不引起透化且无需特定转运蛋白的帮助。这些肽从根本上违背了膜渗透性的经典热力学模型，因为它们可以穿过脂质双层并将大的极性货物（包括肽和蛋白质）输送到细胞中，尽管它们具有高净电荷和低疏水性。在这篇综述中，我们挑战了单一、离散机制的概念，以描述肽如何穿过膜，并定义了由 MTP 的保守特性和脂质双层的独特物理化学和多态相行为形成的广泛机制景观。我们描述了可用于研究合成系统和活细胞中 MTP 易位和货物递送的实验测定和模型系统。我们使用从综合数据库获得的信息来考虑 MTP 的共享物理化学空间。我们还讨论了有关机制、特异性、内体逃逸和体内性能等尚未解答的关键问题。最后，我们讨论 MTP 在细胞内药物输送和分子治疗中的说明性例子和新兴转化应用。这些观点共同强调了d</w:t>
      </w:r>
    </w:p>
    <w:p>
      <w:pPr>
        <w:spacing w:before="0" w:after="200" w:lineRule="auto" w:line="276"/>
      </w:pPr>
      <w:r>
        <w:rPr>
          <w:b/>
        </w:rPr>
        <w:t xml:space="preserve">Abstract (EN): </w:t>
      </w:r>
      <w:r>
        <w:t>Lipid bilayer membranes are essential cellular permeability barriers that strictly limit the passage of polar molecules and macromolecules, thereby compartmentalizing cellular biochemistry and limiting the accessible chemical space for therapeutics. Membrane-traversing peptides (MTPs) are a diverse group of peptides defined by the ability to traverse synthetic or cellular membranes without causing permeabilization and without the assistance of specific transport proteins. These peptides fundamentally defy classical thermodynamic models of membrane permeability as they can cross lipid bilayers and deliver large polar cargoes, including peptides and proteins, into cells, despite having high net charge and low hydrophobicity. In this review, we challenge the idea of single, discrete mechanisms to describe how peptides traverse membranes and define a broad mechanistic landscape shaped by the conserved properties of MTPs and the unique physical chemistry and polymorphic phase behavior of lipid bilayers. We describe experimental assays and model systems that can be used to study MTP translocation and cargo delivery in synthetic systems and living cells. We use information obtained from comprehensive databases to consider the shared physical chemical space of MTPs. We also discuss key unanswered questions regarding mechanism, specificity, endosomal escape, and in vivo performance. Finally, we discuss illustrative examples and emerging translational applications of MTPs in intracellular drug delivery and molecular therapeutics. Together, these perspectives underscore the dual importance of MTPs as probes for fundamental biophysical studies of cell membranes and as promising tools to expand the universe of druggable intracellular targets.</w:t>
      </w:r>
    </w:p>
    <w:p>
      <w:pPr>
        <w:spacing w:before="120" w:after="120"/>
      </w:pPr>
      <w:r>
        <w:rPr>
          <w:sz w:val="18"/>
        </w:rPr>
        <w:t>——————————————————————————————————————————————————————————————————————</w:t>
      </w:r>
    </w:p>
    <w:p>
      <w:pPr>
        <w:spacing w:before="160" w:after="40" w:line="240" w:lineRule="auto"/>
      </w:pPr>
      <w:r>
        <w:rPr>
          <w:b/>
        </w:rPr>
        <w:t xml:space="preserve">[339] </w:t>
      </w:r>
      <w:hyperlink r:id="rId1164">
        <w:r>
          <w:rPr>
            <w:color w:val="1155CC"/>
            <w:u w:val="single"/>
          </w:rPr>
          <w:t>从糖码到精准肿瘤学：针对癌症中异常 O -GalNAc 糖基化的治疗策略</w:t>
        </w:r>
      </w:hyperlink>
    </w:p>
    <w:p>
      <w:pPr>
        <w:spacing w:before="0" w:after="80"/>
      </w:pPr>
      <w:r>
        <w:rPr>
          <w:i/>
          <w:sz w:val="20"/>
        </w:rPr>
        <w:t>EN: From Glycocode to Precision Oncology: Therapeutic Strategies Targeting Aberrant O -GalNAc Glycosylation in Cancer</w:t>
      </w:r>
    </w:p>
    <w:p>
      <w:pPr>
        <w:spacing w:before="0" w:after="120"/>
      </w:pPr>
      <w:r>
        <w:rPr>
          <w:b/>
        </w:rPr>
        <w:t xml:space="preserve">Source: </w:t>
      </w:r>
      <w:r>
        <w:t>Chemical Reviews: Latest Articles (ACS Publications)</w:t>
      </w:r>
      <w:r>
        <w:t xml:space="preserve">    </w:t>
      </w:r>
      <w:r>
        <w:rPr>
          <w:b/>
        </w:rPr>
        <w:t xml:space="preserve">Pub date: </w:t>
      </w:r>
      <w:r>
        <w:t>2026-08-04 00:00:00+00:00</w:t>
      </w:r>
      <w:r>
        <w:t xml:space="preserve">    </w:t>
      </w:r>
      <w:r>
        <w:rPr>
          <w:b/>
        </w:rPr>
        <w:t xml:space="preserve">DOI: </w:t>
      </w:r>
      <w:hyperlink r:id="rId1165">
        <w:r>
          <w:rPr>
            <w:color w:val="1155CC"/>
            <w:u w:val="single"/>
          </w:rPr>
          <w:t>10.1021/acs.chemrev.5c00901</w:t>
        </w:r>
      </w:hyperlink>
    </w:p>
    <w:p>
      <w:pPr>
        <w:spacing w:before="0" w:after="120"/>
      </w:pPr>
      <w:r>
        <w:rPr>
          <w:b/>
        </w:rPr>
        <w:t xml:space="preserve">Notes: </w:t>
      </w:r>
      <w:r>
        <w:t>abstract_source=crossref</w:t>
      </w:r>
    </w:p>
    <w:p>
      <w:pPr>
        <w:spacing w:before="0" w:after="80" w:lineRule="auto" w:line="276"/>
      </w:pPr>
      <w:r>
        <w:rPr>
          <w:b/>
        </w:rPr>
        <w:t xml:space="preserve">摘要（ZH）: </w:t>
      </w:r>
      <w:r>
        <w:t>摘要 异常的 O-糖基化是癌症的一个显着特征，并直接导致恶性转化的多种特征。癌症相关的 O-聚糖包括粘蛋白型 O-糖基化特有的截短结构和作为聚糖结合蛋白配体的更长末端基序。人们越来越多地认识到，这些聚糖不是代表从拉长结构到截短结构的简单二元变化，而是以截短、拉长、加帽和部分加工的糖型的异质模式装饰癌细胞表面，这些糖型甚至在单个蛋白质上和肿瘤糖萼内共存。从功能上讲，截短的异常 O-GalNAc 聚糖（例如 Tn、STn 和 T）通过与聚糖结合受体（例如 Siglecs 和 MGL）相互作用，扰乱上皮分化、屏障完整性、信号传导和免疫抑制。此外，更长的 O-聚糖（包括 Lewis 抗原）与选择素相互作用，促进转移和细胞运输。此外，控制位点特异性O-糖基化的单个GalNAc转移酶同工酶正在通过选定蛋白质的糖基化作为致癌过程的背景依赖性调节剂。这些观察结果表明，与癌症相关的 O-聚糖是肿瘤进展的背景依赖性分子驱动因素和有希望的治疗切入点。在这篇综述中，我们讨论了癌症相关 O-聚糖的表达、调节和功能，它们在聚糖结合蛋白生物学中的作用，以及新兴的治疗策略</w:t>
      </w:r>
    </w:p>
    <w:p>
      <w:pPr>
        <w:spacing w:before="0" w:after="200" w:lineRule="auto" w:line="276"/>
      </w:pPr>
      <w:r>
        <w:rPr>
          <w:b/>
        </w:rPr>
        <w:t xml:space="preserve">Abstract (EN): </w:t>
      </w:r>
      <w:r>
        <w:t>Aberrant O-glycosylation is a prominent feature of cancer and contributes directly to multiple hallmarks of malignant transformation. Cancer-associated O-glycans include both truncated structures that are unique to mucin-type O-glycosylation and more elongated terminal motifs that function as ligands for glycan-binding proteins. Instead of representing a simple binary change from elongated to truncated structures, it is increasingly understood that these glycans decorate the cancer cell surface with a heterogeneous pattern of truncated, elongated, capped, and partially processed glycoforms, which coexist even on individual proteins and within the tumor glycocalyx. Functionally, truncated aberrant O-GalNAc glycans, such as Tn, STn, and T perturb epithelial differentiation, barrier integrity, signaling, and immunosuppression through interactions with glycan binding receptors, such as Siglecs and MGL. In addition, more elongated O-glycans, including Lewis antigens, interact with selectins promoting metastasis and cellular trafficking. Moreover, individual GalNAc-transferase isoenzymes, governing site-specific O-glycosylation, are emerging as context-dependent regulators of oncogenic processes through glycosylation of selected proteins. These observations establish cancer-associated O-glycans as context-dependent molecular drivers of tumor progression and promising therapeutic entry points. In this review, we discuss the expression, regulation, and functions of cancer-associated O-glycans, their roles in glycan-binding protein biology, and emerging therapeutic strategies that may enable a new generation of glycan-directed precision treatments in oncology.</w:t>
      </w:r>
    </w:p>
    <w:p>
      <w:pPr>
        <w:spacing w:before="120" w:after="120"/>
      </w:pPr>
      <w:r>
        <w:rPr>
          <w:sz w:val="18"/>
        </w:rPr>
        <w:t>——————————————————————————————————————————————————————————————————————</w:t>
      </w:r>
    </w:p>
    <w:p>
      <w:pPr>
        <w:spacing w:before="160" w:after="40" w:line="240" w:lineRule="auto"/>
      </w:pPr>
      <w:r>
        <w:rPr>
          <w:b/>
        </w:rPr>
        <w:t xml:space="preserve">[340] </w:t>
      </w:r>
      <w:hyperlink r:id="rId1166">
        <w:r>
          <w:rPr>
            <w:color w:val="1155CC"/>
            <w:u w:val="single"/>
          </w:rPr>
          <w:t>扩大膜蛋白溶酶体降解的范围：使用多价抗体-聚合物嵌合体的通用策略</w:t>
        </w:r>
      </w:hyperlink>
    </w:p>
    <w:p>
      <w:pPr>
        <w:spacing w:before="0" w:after="80"/>
      </w:pPr>
      <w:r>
        <w:rPr>
          <w:i/>
          <w:sz w:val="20"/>
        </w:rPr>
        <w:t>EN: Expanding the Repertoire of Lysosomal Degradation of Membrane Proteins: A Generalizable Strategy Using Multivalent Antibody−Polymer Chimeras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67">
        <w:r>
          <w:rPr>
            <w:color w:val="1155CC"/>
            <w:u w:val="single"/>
          </w:rPr>
          <w:t>10.1021/jacs.6c12291</w:t>
        </w:r>
      </w:hyperlink>
    </w:p>
    <w:p>
      <w:pPr>
        <w:spacing w:before="0" w:after="120"/>
      </w:pPr>
      <w:r>
        <w:rPr>
          <w:b/>
        </w:rPr>
        <w:t xml:space="preserve">Notes: </w:t>
      </w:r>
      <w:r>
        <w:t>abstract_source=crossref</w:t>
      </w:r>
    </w:p>
    <w:p>
      <w:pPr>
        <w:spacing w:before="0" w:after="80" w:lineRule="auto" w:line="276"/>
      </w:pPr>
      <w:r>
        <w:rPr>
          <w:b/>
        </w:rPr>
        <w:t xml:space="preserve">摘要（ZH）: </w:t>
      </w:r>
      <w:r>
        <w:t>摘要 靶向蛋白质降解能够通过蛋白酶体或溶酶体途径去除不需要的蛋白质，而无需基因组改变。现有的溶酶体策略依赖于嵌合体，该嵌合体同时与目标蛋白 (POI) 和固有地将结合蛋白引导至溶酶体的受体结合。我们在此假设，多价非共价相互作用可以与辅助膜蛋白结合触发特定膜蛋白的内体摄取和溶酶体降解，其中辅助蛋白不需要具有内源性溶酶体导向特征。我们使用抗体-聚合物缀合物（即聚合溶酶体靶向嵌合体（PolyTAC））证明了辅助蛋白质特征的这种放松，其带有多价结合膜蛋白的配体。以膜碳酸酐酶和 PD-L1 为例，我们展示了扩大膜 POIs 溶酶体降解范围的可能性，这反过来又为新的治疗可能性开辟了机会。</w:t>
      </w:r>
    </w:p>
    <w:p>
      <w:pPr>
        <w:spacing w:before="0" w:after="200" w:lineRule="auto" w:line="276"/>
      </w:pPr>
      <w:r>
        <w:rPr>
          <w:b/>
        </w:rPr>
        <w:t xml:space="preserve">Abstract (EN): </w:t>
      </w:r>
      <w:r>
        <w:t>Targeted protein degradation enables the removal of undesired proteins via proteasomal or lysosomal pathways without genomic alteration. Existing lysosomal strategies rely on chimeras that concurrently engage the protein of interest (POI) and a receptor that inherently directs bound proteins to the lysosome. We posit here that multivalent noncovalent interactions can trigger endosomal uptake and lysosomal degradation of specific membrane proteins in combination with an ancillary membrane protein, where the ancillary protein does not need to possess endogenous lysosome-directing characteristics. We demonstrate this relaxation of the ancillary protein characteristics using antibody–polymer conjugates, namely Polymeric Lysosome-Targeting Chimeras (PolyTACs), bearing ligands that polyvalently bind to membrane proteins. Using membrane carbonic anhydrase and PD-L1 as examples, we show the possibility of expanding the repertoire of lysosomal degradation of membrane POIs, which in turn opens up opportunities for new therapeutic possibilities.</w:t>
      </w:r>
    </w:p>
    <w:p>
      <w:pPr>
        <w:spacing w:before="120" w:after="120"/>
      </w:pPr>
      <w:r>
        <w:rPr>
          <w:sz w:val="18"/>
        </w:rPr>
        <w:t>——————————————————————————————————————————————————————————————————————</w:t>
      </w:r>
    </w:p>
    <w:p>
      <w:pPr>
        <w:spacing w:before="160" w:after="40" w:line="240" w:lineRule="auto"/>
      </w:pPr>
      <w:r>
        <w:rPr>
          <w:b/>
        </w:rPr>
        <w:t xml:space="preserve">[341] </w:t>
      </w:r>
      <w:hyperlink r:id="rId1168">
        <w:r>
          <w:rPr>
            <w:color w:val="1155CC"/>
            <w:u w:val="single"/>
          </w:rPr>
          <w:t>Gem-二甲基硒缩酮：通过抗氧化和抗炎活性抑制硫硒交换</w:t>
        </w:r>
      </w:hyperlink>
    </w:p>
    <w:p>
      <w:pPr>
        <w:spacing w:before="0" w:after="80"/>
      </w:pPr>
      <w:r>
        <w:rPr>
          <w:i/>
          <w:sz w:val="20"/>
        </w:rPr>
        <w:t>EN: Gem-Dimethyl Selenoketal: Suppressing Sulfur–Selenium Exchange with Antioxidant and Anti-Inflammatory Activities</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69">
        <w:r>
          <w:rPr>
            <w:color w:val="1155CC"/>
            <w:u w:val="single"/>
          </w:rPr>
          <w:t>10.1021/jacs.6c10111</w:t>
        </w:r>
      </w:hyperlink>
    </w:p>
    <w:p>
      <w:pPr>
        <w:spacing w:before="0" w:after="120"/>
      </w:pPr>
      <w:r>
        <w:rPr>
          <w:b/>
        </w:rPr>
        <w:t xml:space="preserve">Notes: </w:t>
      </w:r>
      <w:r>
        <w:t>abstract_source=crossref</w:t>
      </w:r>
    </w:p>
    <w:p>
      <w:pPr>
        <w:spacing w:before="0" w:after="80" w:lineRule="auto" w:line="276"/>
      </w:pPr>
      <w:r>
        <w:rPr>
          <w:b/>
        </w:rPr>
        <w:t xml:space="preserve">摘要（ZH）: </w:t>
      </w:r>
      <w:r>
        <w:t>摘要 虽然有机硒化合物在抗氧化防御和免疫调节方面具有独特的优势，但其固有的对生物硫醇的高反应性导致体内非特异性硒硫交换反应，导致脱靶生物毒性，严重阻碍了其应用。在此，我们报告了一种新型二硒缩酮二胺（SEK），通过将生物相容性、抗氧化活性和免疫调节功能集成到单个分子中来应对这些挑战。通过丙酮缩合引入偕二甲基基团，SEK 通过空间稳定抑制 Se-S 交换，将其半数抑制浓度 (IC50) 提高至 75.5 μM，比其二硒化物前体 (7.6 μM) 高 10 倍。 SEK 对氧化剂和自由基表现出快速且可逆的氧化还原反应活性。它与H2O2快速反应形成O2SEK，一种稳定的二硒氧化物中间体，通过分子内Se=O…H-N氢键稳定，并被谷胱甘肽可逆还原，最终将炎症微环境中细胞内H2O2水平降低40%。 SEK 通过上调硒蛋白表达，促进氧化应激下免疫细胞向抗炎表型极化，导致促炎 M1 细胞群减少 40%，同时促炎细胞因子分泌减少 30% 以上。这种新型二硒缩酮通过抑制非特异性 Se-S 交换并发挥协同抗氧化作用，克服了传统有机硒化合物的局限性。</w:t>
      </w:r>
    </w:p>
    <w:p>
      <w:pPr>
        <w:spacing w:before="0" w:after="200" w:lineRule="auto" w:line="276"/>
      </w:pPr>
      <w:r>
        <w:rPr>
          <w:b/>
        </w:rPr>
        <w:t xml:space="preserve">Abstract (EN): </w:t>
      </w:r>
      <w:r>
        <w:t>Although organoselenium compounds offer unique advantages in antioxidant defense and immune regulation, their inherent high reactivity toward biological thiols leads to nonspecific selenium–sulfur exchange reactions in vivo, resulting in off-target biotoxicity and significantly hindering their applications. Herein, we report a novel diselenium ketal diamine (SEK) to address these challenges by integrating biocompatibility, antioxidant activity, and immunomodulatory function into a single molecule. By incorporating a gem-dimethyl group via acetone condensation, SEK suppressed Se–S exchange through steric stabilization, increasing its half maximal inhibitory concentration (IC50) to 75.5 μM, which was 10-fold higher than that of its diselenide precursor (7.6 μM). SEK exhibited rapid and reversible redox reactivity toward oxidants and free radicals. It reacted rapidly with H2O2 to form O2SEK, a stable diselenoxide intermediate stabilized by intramolecular Se═O···H–N hydrogen bonding, and was reversibly reduced by glutathione, ultimately reducing intracellular H2O2 levels by 40% in inflammatory microenvironments. SEK promoted polarization of immune cells toward an anti-inflammatory phenotype under oxidative stress by upregulating selenoprotein expression, resulting in a 40% decrease in pro-inflammatory M1 cell populations and a concomitant &amp;gt;30% reduction in pro-inflammatory cytokine secretion. This novel diselenium ketal overcomes the limitations of traditional organoselenium compounds by suppressing nonspecific Se–S exchange and exerting synergistic antioxidant-anti-inflammatory regulatory effects, paving the way for advances in bioactive organoselenium chemistry.</w:t>
      </w:r>
    </w:p>
    <w:p>
      <w:pPr>
        <w:spacing w:before="120" w:after="120"/>
      </w:pPr>
      <w:r>
        <w:rPr>
          <w:sz w:val="18"/>
        </w:rPr>
        <w:t>——————————————————————————————————————————————————————————————————————</w:t>
      </w:r>
    </w:p>
    <w:p>
      <w:pPr>
        <w:spacing w:before="160" w:after="40" w:line="240" w:lineRule="auto"/>
      </w:pPr>
      <w:r>
        <w:rPr>
          <w:b/>
        </w:rPr>
        <w:t xml:space="preserve">[342] </w:t>
      </w:r>
      <w:hyperlink r:id="rId1170">
        <w:r>
          <w:rPr>
            <w:color w:val="1155CC"/>
            <w:u w:val="single"/>
          </w:rPr>
          <w:t>地方机制破坏跨国反毁林政策</w:t>
        </w:r>
      </w:hyperlink>
    </w:p>
    <w:p>
      <w:pPr>
        <w:spacing w:before="0" w:after="80"/>
      </w:pPr>
      <w:r>
        <w:rPr>
          <w:i/>
          <w:sz w:val="20"/>
        </w:rPr>
        <w:t>EN: Subnational mechanisms undermine transnational anti-deforestation policies</w:t>
      </w:r>
    </w:p>
    <w:p>
      <w:pPr>
        <w:spacing w:before="0" w:after="120"/>
      </w:pPr>
      <w:r>
        <w:rPr>
          <w:b/>
        </w:rPr>
        <w:t xml:space="preserve">Source: </w:t>
      </w:r>
      <w:r>
        <w:t>Nature Sustainability</w:t>
      </w:r>
      <w:r>
        <w:t xml:space="preserve">    </w:t>
      </w:r>
      <w:r>
        <w:rPr>
          <w:b/>
        </w:rPr>
        <w:t xml:space="preserve">Pub date: </w:t>
      </w:r>
      <w:r>
        <w:t>2026-08-04 00:00:00+00:00</w:t>
      </w:r>
      <w:r>
        <w:t xml:space="preserve">    </w:t>
      </w:r>
      <w:r>
        <w:rPr>
          <w:b/>
        </w:rPr>
        <w:t xml:space="preserve">DOI: </w:t>
      </w:r>
      <w:hyperlink r:id="rId1171">
        <w:r>
          <w:rPr>
            <w:color w:val="1155CC"/>
            <w:u w:val="single"/>
          </w:rPr>
          <w:t>10.1038/s41893-026-01917-5</w:t>
        </w:r>
      </w:hyperlink>
    </w:p>
    <w:p>
      <w:pPr>
        <w:spacing w:before="0" w:after="120"/>
      </w:pPr>
      <w:r>
        <w:rPr>
          <w:b/>
        </w:rPr>
        <w:t xml:space="preserve">Notes: </w:t>
      </w:r>
      <w:r>
        <w:t>abstract_source=rss_nature</w:t>
      </w:r>
    </w:p>
    <w:p>
      <w:pPr>
        <w:spacing w:before="0" w:after="80" w:lineRule="auto" w:line="276"/>
      </w:pPr>
      <w:r>
        <w:rPr>
          <w:b/>
        </w:rPr>
        <w:t xml:space="preserve">摘要（ZH）: </w:t>
      </w:r>
      <w:r>
        <w:t>阿根廷查科等干旱森林受到当地和外国政策的保护。然而，放宽当地森林分区法律的策略规避了干旱森林保护，增加了外交政策向零总毁林迈进的压力。</w:t>
      </w:r>
    </w:p>
    <w:p>
      <w:pPr>
        <w:spacing w:before="0" w:after="200" w:lineRule="auto" w:line="276"/>
      </w:pPr>
      <w:r>
        <w:rPr>
          <w:b/>
        </w:rPr>
        <w:t xml:space="preserve">Abstract (EN): </w:t>
      </w:r>
      <w:r>
        <w:t>Dry forests, such as the Argentine Chaco, are protected by a mix of local and foreign policies. However, strategies to relax local forest zoning laws circumvent dry forest protection, increasing pressure on foreign policies to move towards zero gross deforestation.</w:t>
      </w:r>
    </w:p>
    <w:p>
      <w:pPr>
        <w:spacing w:before="120" w:after="120"/>
      </w:pPr>
      <w:r>
        <w:rPr>
          <w:sz w:val="18"/>
        </w:rPr>
        <w:t>——————————————————————————————————————————————————————————————————————</w:t>
      </w:r>
    </w:p>
    <w:p>
      <w:pPr>
        <w:spacing w:before="160" w:after="40" w:line="240" w:lineRule="auto"/>
      </w:pPr>
      <w:r>
        <w:rPr>
          <w:b/>
        </w:rPr>
        <w:t xml:space="preserve">[343] </w:t>
      </w:r>
      <w:hyperlink r:id="rId1172">
        <w:r>
          <w:rPr>
            <w:color w:val="1155CC"/>
            <w:u w:val="single"/>
          </w:rPr>
          <w:t>促进有效和包容的沟通</w:t>
        </w:r>
      </w:hyperlink>
    </w:p>
    <w:p>
      <w:pPr>
        <w:spacing w:before="0" w:after="80"/>
      </w:pPr>
      <w:r>
        <w:rPr>
          <w:i/>
          <w:sz w:val="20"/>
        </w:rPr>
        <w:t>EN: Promoting effective and inclusive communication</w:t>
      </w:r>
    </w:p>
    <w:p>
      <w:pPr>
        <w:spacing w:before="0" w:after="120"/>
      </w:pPr>
      <w:r>
        <w:rPr>
          <w:b/>
        </w:rPr>
        <w:t xml:space="preserve">Source: </w:t>
      </w:r>
      <w:r>
        <w:t>Nature Climate Change</w:t>
      </w:r>
      <w:r>
        <w:t xml:space="preserve">    </w:t>
      </w:r>
      <w:r>
        <w:rPr>
          <w:b/>
        </w:rPr>
        <w:t xml:space="preserve">Pub date: </w:t>
      </w:r>
      <w:r>
        <w:t>2026-08-04 00:00:00+00:00</w:t>
      </w:r>
      <w:r>
        <w:t xml:space="preserve">    </w:t>
      </w:r>
      <w:r>
        <w:rPr>
          <w:b/>
        </w:rPr>
        <w:t xml:space="preserve">DOI: </w:t>
      </w:r>
      <w:hyperlink r:id="rId1173">
        <w:r>
          <w:rPr>
            <w:color w:val="1155CC"/>
            <w:u w:val="single"/>
          </w:rPr>
          <w:t>10.1038/s41558-026-02729-3</w:t>
        </w:r>
      </w:hyperlink>
    </w:p>
    <w:p>
      <w:pPr>
        <w:spacing w:before="0" w:after="120"/>
      </w:pPr>
      <w:r>
        <w:rPr>
          <w:b/>
        </w:rPr>
        <w:t xml:space="preserve">Notes: </w:t>
      </w:r>
      <w:r>
        <w:t>abstract_source=rss_nature</w:t>
      </w:r>
    </w:p>
    <w:p>
      <w:pPr>
        <w:spacing w:before="0" w:after="80" w:lineRule="auto" w:line="276"/>
      </w:pPr>
      <w:r>
        <w:rPr>
          <w:b/>
        </w:rPr>
        <w:t xml:space="preserve">摘要（ZH）: </w:t>
      </w:r>
      <w:r>
        <w:t>气候变化沟通塑造了社会如何看待风险并应对风险。在本期《自然·气候变化》中，我们探讨了气候传播内容和方法的演变、紧迫性和不公正的挑战，以及建立有效和包容性传播渠道的策略。</w:t>
      </w:r>
    </w:p>
    <w:p>
      <w:pPr>
        <w:spacing w:before="0" w:after="200" w:lineRule="auto" w:line="276"/>
      </w:pPr>
      <w:r>
        <w:rPr>
          <w:b/>
        </w:rPr>
        <w:t xml:space="preserve">Abstract (EN): </w:t>
      </w:r>
      <w:r>
        <w:t>Climate change communication shapes how societies perceive risks and respond to them. In this issue of Nature Climate Change we examine the evolving content and methods of climate communication, the challenges of urgency and injustice, and the strategies for building effective and inclusive communication channels.</w:t>
      </w:r>
    </w:p>
    <w:p>
      <w:pPr>
        <w:spacing w:before="120" w:after="120"/>
      </w:pPr>
      <w:r>
        <w:rPr>
          <w:sz w:val="18"/>
        </w:rPr>
        <w:t>——————————————————————————————————————————————————————————————————————</w:t>
      </w:r>
    </w:p>
    <w:p>
      <w:pPr>
        <w:spacing w:before="160" w:after="40" w:line="240" w:lineRule="auto"/>
      </w:pPr>
      <w:r>
        <w:rPr>
          <w:b/>
        </w:rPr>
        <w:t xml:space="preserve">[344] </w:t>
      </w:r>
      <w:hyperlink r:id="rId1174">
        <w:r>
          <w:rPr>
            <w:color w:val="1155CC"/>
            <w:u w:val="single"/>
          </w:rPr>
          <w:t>气候灾害传播的挑战和下一步</w:t>
        </w:r>
      </w:hyperlink>
    </w:p>
    <w:p>
      <w:pPr>
        <w:spacing w:before="0" w:after="80"/>
      </w:pPr>
      <w:r>
        <w:rPr>
          <w:i/>
          <w:sz w:val="20"/>
        </w:rPr>
        <w:t>EN: Challenges and next steps in climate disaster communication</w:t>
      </w:r>
    </w:p>
    <w:p>
      <w:pPr>
        <w:spacing w:before="0" w:after="120"/>
      </w:pPr>
      <w:r>
        <w:rPr>
          <w:b/>
        </w:rPr>
        <w:t xml:space="preserve">Source: </w:t>
      </w:r>
      <w:r>
        <w:t>Nature Climate Change</w:t>
      </w:r>
      <w:r>
        <w:t xml:space="preserve">    </w:t>
      </w:r>
      <w:r>
        <w:rPr>
          <w:b/>
        </w:rPr>
        <w:t xml:space="preserve">Pub date: </w:t>
      </w:r>
      <w:r>
        <w:t>2026-08-04 00:00:00+00:00</w:t>
      </w:r>
      <w:r>
        <w:t xml:space="preserve">    </w:t>
      </w:r>
      <w:r>
        <w:rPr>
          <w:b/>
        </w:rPr>
        <w:t xml:space="preserve">DOI: </w:t>
      </w:r>
      <w:hyperlink r:id="rId1175">
        <w:r>
          <w:rPr>
            <w:color w:val="1155CC"/>
            <w:u w:val="single"/>
          </w:rPr>
          <w:t>10.1038/s41558-026-02714-w</w:t>
        </w:r>
      </w:hyperlink>
    </w:p>
    <w:p>
      <w:pPr>
        <w:spacing w:before="0" w:after="120"/>
      </w:pPr>
      <w:r>
        <w:rPr>
          <w:b/>
        </w:rPr>
        <w:t xml:space="preserve">Notes: </w:t>
      </w:r>
      <w:r>
        <w:t>abstract_source=rss_nature</w:t>
      </w:r>
    </w:p>
    <w:p>
      <w:pPr>
        <w:spacing w:before="0" w:after="80" w:lineRule="auto" w:line="276"/>
      </w:pPr>
      <w:r>
        <w:rPr>
          <w:b/>
        </w:rPr>
        <w:t xml:space="preserve">摘要（ZH）: </w:t>
      </w:r>
      <w:r>
        <w:t>当气候灾难发生时，沟通对于保证社区安全至关重要。在这里，我们探讨灾害沟通如何为保护行动提供信息，并研究五个挑战：虚假信息、重复灾害带来的疲惫、信息获取不平等、两极分化的气候态度和心理健康。</w:t>
      </w:r>
    </w:p>
    <w:p>
      <w:pPr>
        <w:spacing w:before="0" w:after="200" w:lineRule="auto" w:line="276"/>
      </w:pPr>
      <w:r>
        <w:rPr>
          <w:b/>
        </w:rPr>
        <w:t xml:space="preserve">Abstract (EN): </w:t>
      </w:r>
      <w:r>
        <w:t>Communication is essential for keeping communities safe when climate disasters occur. Here, we explore how disaster communication informs protective actions and examine five challenges: false information, exhaustion from repeated disasters, unequal access to information, polarized climate attitudes and mental health.</w:t>
      </w:r>
    </w:p>
    <w:p>
      <w:pPr>
        <w:spacing w:before="120" w:after="120"/>
      </w:pPr>
      <w:r>
        <w:rPr>
          <w:sz w:val="18"/>
        </w:rPr>
        <w:t>——————————————————————————————————————————————————————————————————————</w:t>
      </w:r>
    </w:p>
    <w:p>
      <w:pPr>
        <w:spacing w:before="160" w:after="40" w:line="240" w:lineRule="auto"/>
      </w:pPr>
      <w:r>
        <w:rPr>
          <w:b/>
        </w:rPr>
        <w:t xml:space="preserve">[345] </w:t>
      </w:r>
      <w:hyperlink r:id="rId1176">
        <w:r>
          <w:rPr>
            <w:color w:val="1155CC"/>
            <w:u w:val="single"/>
          </w:rPr>
          <w:t>社交媒体和气候变化传播格局的变化</w:t>
        </w:r>
      </w:hyperlink>
    </w:p>
    <w:p>
      <w:pPr>
        <w:spacing w:before="0" w:after="80"/>
      </w:pPr>
      <w:r>
        <w:rPr>
          <w:i/>
          <w:sz w:val="20"/>
        </w:rPr>
        <w:t>EN: Social media and the changing landscape of climate change communication</w:t>
      </w:r>
    </w:p>
    <w:p>
      <w:pPr>
        <w:spacing w:before="0" w:after="120"/>
      </w:pPr>
      <w:r>
        <w:rPr>
          <w:b/>
        </w:rPr>
        <w:t xml:space="preserve">Source: </w:t>
      </w:r>
      <w:r>
        <w:t>Nature Climate Change</w:t>
      </w:r>
      <w:r>
        <w:t xml:space="preserve">    </w:t>
      </w:r>
      <w:r>
        <w:rPr>
          <w:b/>
        </w:rPr>
        <w:t xml:space="preserve">Pub date: </w:t>
      </w:r>
      <w:r>
        <w:t>2026-08-04 00:00:00+00:00</w:t>
      </w:r>
      <w:r>
        <w:t xml:space="preserve">    </w:t>
      </w:r>
      <w:r>
        <w:rPr>
          <w:b/>
        </w:rPr>
        <w:t xml:space="preserve">DOI: </w:t>
      </w:r>
      <w:hyperlink r:id="rId1177">
        <w:r>
          <w:rPr>
            <w:color w:val="1155CC"/>
            <w:u w:val="single"/>
          </w:rPr>
          <w:t>10.1038/s41558-026-02680-3</w:t>
        </w:r>
      </w:hyperlink>
    </w:p>
    <w:p>
      <w:pPr>
        <w:spacing w:before="0" w:after="120"/>
      </w:pPr>
      <w:r>
        <w:rPr>
          <w:b/>
        </w:rPr>
        <w:t xml:space="preserve">Notes: </w:t>
      </w:r>
      <w:r>
        <w:t>abstract_source=rss_nature</w:t>
      </w:r>
    </w:p>
    <w:p>
      <w:pPr>
        <w:spacing w:before="0" w:after="80" w:lineRule="auto" w:line="276"/>
      </w:pPr>
      <w:r>
        <w:rPr>
          <w:b/>
        </w:rPr>
        <w:t xml:space="preserve">摘要（ZH）: </w:t>
      </w:r>
      <w:r>
        <w:t>社交媒体已成为气候变化沟通的重要场所。本综述综合了社交媒体上与气候相关的内容、其对气候态度、知识和行为的影响，以及其在重塑更广泛的传播格局中的作用。</w:t>
      </w:r>
    </w:p>
    <w:p>
      <w:pPr>
        <w:spacing w:before="0" w:after="200" w:lineRule="auto" w:line="276"/>
      </w:pPr>
      <w:r>
        <w:rPr>
          <w:b/>
        </w:rPr>
        <w:t xml:space="preserve">Abstract (EN): </w:t>
      </w:r>
      <w:r>
        <w:t>Social media have become an important arena for climate change communication. This Review synthesizes climate-related content on social media, its effects on climate attitudes, knowledge and behaviour, and its role in reshaping the broader communication landscape.</w:t>
      </w:r>
    </w:p>
    <w:p>
      <w:pPr>
        <w:spacing w:before="120" w:after="120"/>
      </w:pPr>
      <w:r>
        <w:rPr>
          <w:sz w:val="18"/>
        </w:rPr>
        <w:t>——————————————————————————————————————————————————————————————————————</w:t>
      </w:r>
    </w:p>
    <w:p>
      <w:pPr>
        <w:spacing w:before="160" w:after="40" w:line="240" w:lineRule="auto"/>
      </w:pPr>
      <w:r>
        <w:rPr>
          <w:b/>
        </w:rPr>
        <w:t xml:space="preserve">[346] </w:t>
      </w:r>
      <w:hyperlink r:id="rId1178">
        <w:r>
          <w:rPr>
            <w:color w:val="1155CC"/>
            <w:u w:val="single"/>
          </w:rPr>
          <w:t>社会影响塑造气候态度和行动</w:t>
        </w:r>
      </w:hyperlink>
    </w:p>
    <w:p>
      <w:pPr>
        <w:spacing w:before="0" w:after="80"/>
      </w:pPr>
      <w:r>
        <w:rPr>
          <w:i/>
          <w:sz w:val="20"/>
        </w:rPr>
        <w:t>EN: Social influence shapes climate attitudes and action</w:t>
      </w:r>
    </w:p>
    <w:p>
      <w:pPr>
        <w:spacing w:before="0" w:after="120"/>
      </w:pPr>
      <w:r>
        <w:rPr>
          <w:b/>
        </w:rPr>
        <w:t xml:space="preserve">Source: </w:t>
      </w:r>
      <w:r>
        <w:t>Nature Climate Change</w:t>
      </w:r>
      <w:r>
        <w:t xml:space="preserve">    </w:t>
      </w:r>
      <w:r>
        <w:rPr>
          <w:b/>
        </w:rPr>
        <w:t xml:space="preserve">Pub date: </w:t>
      </w:r>
      <w:r>
        <w:t>2026-08-04 00:00:00+00:00</w:t>
      </w:r>
      <w:r>
        <w:t xml:space="preserve">    </w:t>
      </w:r>
      <w:r>
        <w:rPr>
          <w:b/>
        </w:rPr>
        <w:t xml:space="preserve">DOI: </w:t>
      </w:r>
      <w:hyperlink r:id="rId1179">
        <w:r>
          <w:rPr>
            <w:color w:val="1155CC"/>
            <w:u w:val="single"/>
          </w:rPr>
          <w:t>10.1038/s41558-026-02711-z</w:t>
        </w:r>
      </w:hyperlink>
    </w:p>
    <w:p>
      <w:pPr>
        <w:spacing w:before="0" w:after="120"/>
      </w:pPr>
      <w:r>
        <w:rPr>
          <w:b/>
        </w:rPr>
        <w:t xml:space="preserve">Notes: </w:t>
      </w:r>
      <w:r>
        <w:t>abstract_source=rss_nature</w:t>
      </w:r>
    </w:p>
    <w:p>
      <w:pPr>
        <w:spacing w:before="0" w:after="80" w:lineRule="auto" w:line="276"/>
      </w:pPr>
      <w:r>
        <w:rPr>
          <w:b/>
        </w:rPr>
        <w:t xml:space="preserve">摘要（ZH）: </w:t>
      </w:r>
      <w:r>
        <w:t>个人和群体通过社会影响塑造他人的态度和行为。本视角阐明了气候行动社会影响的研究议程，综合了现有证据，并强调了其与设计有效行为干预措施的实际相关性。</w:t>
      </w:r>
    </w:p>
    <w:p>
      <w:pPr>
        <w:spacing w:before="0" w:after="200" w:lineRule="auto" w:line="276"/>
      </w:pPr>
      <w:r>
        <w:rPr>
          <w:b/>
        </w:rPr>
        <w:t xml:space="preserve">Abstract (EN): </w:t>
      </w:r>
      <w:r>
        <w:t>Individuals and groups shape others’ attitudes and actions through social influence. This Perspective articulates a research agenda of social influence for climate action, synthesizes existing evidence and highlights its practical relevance for designing effective behavioural interventions.</w:t>
      </w:r>
    </w:p>
    <w:p>
      <w:pPr>
        <w:spacing w:before="120" w:after="120"/>
      </w:pPr>
      <w:r>
        <w:rPr>
          <w:sz w:val="18"/>
        </w:rPr>
        <w:t>——————————————————————————————————————————————————————————————————————</w:t>
      </w:r>
    </w:p>
    <w:p>
      <w:pPr>
        <w:spacing w:before="160" w:after="40" w:line="240" w:lineRule="auto"/>
      </w:pPr>
      <w:r>
        <w:rPr>
          <w:b/>
        </w:rPr>
        <w:t xml:space="preserve">[347] </w:t>
      </w:r>
      <w:hyperlink r:id="rId1180">
        <w:r>
          <w:rPr>
            <w:color w:val="1155CC"/>
            <w:u w:val="single"/>
          </w:rPr>
          <w:t>揭示原子级精确的 Pd4S 催化剂中用于选择性炔烃加氢的温度依赖性配体门控</w:t>
        </w:r>
      </w:hyperlink>
    </w:p>
    <w:p>
      <w:pPr>
        <w:spacing w:before="0" w:after="80"/>
      </w:pPr>
      <w:r>
        <w:rPr>
          <w:i/>
          <w:sz w:val="20"/>
        </w:rPr>
        <w:t>EN: Unveiling Temperature-Dependent Ligand Gating in Atomically Precise Pd4S Catalysts for Selective Alkyne 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81">
        <w:r>
          <w:rPr>
            <w:color w:val="1155CC"/>
            <w:u w:val="single"/>
          </w:rPr>
          <w:t>10.1021/jacs.6c07185</w:t>
        </w:r>
      </w:hyperlink>
    </w:p>
    <w:p>
      <w:pPr>
        <w:spacing w:before="0" w:after="120"/>
      </w:pPr>
      <w:r>
        <w:rPr>
          <w:b/>
        </w:rPr>
        <w:t xml:space="preserve">Notes: </w:t>
      </w:r>
      <w:r>
        <w:t>abstract_source=crossref</w:t>
      </w:r>
    </w:p>
    <w:p>
      <w:pPr>
        <w:spacing w:before="0" w:after="80" w:lineRule="auto" w:line="276"/>
      </w:pPr>
      <w:r>
        <w:rPr>
          <w:b/>
        </w:rPr>
        <w:t xml:space="preserve">摘要（ZH）: </w:t>
      </w:r>
      <w:r>
        <w:t>摘要 金属纳米团簇表面配体的动态行为显着影响催化活性和反应性能。然而，均相催化剂固有的不稳定性和可用表征技术的限制阻碍了进一步的进展。在这里，我们开发了一种基于硫源缓慢释放的合成策略，成功制备了硫稳定的、原子级精确的[Pd4S(dtbbpy)4(μ-CO)2]2+ ([Pd4S]2+)纳米团簇(dtbbpy = 4,4′-二叔丁基-2,2′-联吡啶)。该簇作为炔烃均相选择性加氢的稳定模型催化剂。实验结果表明，由于各种炔烃之间的空间位阻和吸附能的差异，[Pd4S]2+对苯乙炔、2-辛炔和2,5-二甲基-3-己炔-2,5-二醇等底物表现出差异化的选择性。实验和密度泛函理论 (DFT) 相结合的研究表明，炔底物通过竞争性置换 CO 配体来进入活性位点，并通过侧向吸附模式在 [Pd4S]2+ 中心上进行活化。变温核磁共振和分子动力学 (MD) 模拟揭示了 [Pd4S]2+ 表面配体的温度依赖性动态行为，其中配体运动的幅度随温度变化，从而控制底物进入活性中心。基于这些发现，我们通过温度调节实现了对不同空间分布的炔烃的反应性和选择性催化的精确控制。</w:t>
      </w:r>
    </w:p>
    <w:p>
      <w:pPr>
        <w:spacing w:before="0" w:after="200" w:lineRule="auto" w:line="276"/>
      </w:pPr>
      <w:r>
        <w:rPr>
          <w:b/>
        </w:rPr>
        <w:t xml:space="preserve">Abstract (EN): </w:t>
      </w:r>
      <w:r>
        <w:t>The dynamic behavior of ligands on the surface of metal nanoclusters significantly influences catalytic activity and reaction performance. However, further progress has been impeded by the inherent instability of homogeneous catalysts and the limitations of available characterization techniques. Here, we developed a synthetic strategy based on the slow release of a sulfur source, successfully preparing a sulfur-stabilized, atomically precise [Pd4S(dtbbpy)4(μ-CO)2]2+ ([Pd4S]2+) nanocluster (dtbbpy = 4,4′-di-tert-butyl-2,2′-bipyridine). This cluster serves as a stable model catalyst for the homogeneous selective hydrogenation of alkynes. Experimental results revealed that, owing to differences in steric hindrance and adsorption energy among various alkynes, the [Pd4S]2+ exhibits differentiated selectivity toward substrates such as phenylacetylene, 2-octyne, and 2,5-dimethyl-3-hexyne-2,5-diol. Combined experimental and density functional theory (DFT) studies indicate that the alkyne substrate accesses the active site by competitively displacing the CO ligand and undergoes activation on the [Pd4S]2+ center via a side-on adsorption mode. Variable-temperature NMR and molecular dynamics (MD) simulations uncovered a temperature-dependent dynamic behavior of the [Pd4S]2+ surface ligands, wherein the amplitude of ligand motion varies with temperature, thereby gating substrate access to the active center. Based on these findings, we achieved precise control over the reactivity and selective catalysis of alkynes with different steric profiles through temperature regulation.</w:t>
      </w:r>
    </w:p>
    <w:p>
      <w:pPr>
        <w:spacing w:before="120" w:after="120"/>
      </w:pPr>
      <w:r>
        <w:rPr>
          <w:sz w:val="18"/>
        </w:rPr>
        <w:t>——————————————————————————————————————————————————————————————————————</w:t>
      </w:r>
    </w:p>
    <w:p>
      <w:pPr>
        <w:spacing w:before="160" w:after="40" w:line="240" w:lineRule="auto"/>
      </w:pPr>
      <w:r>
        <w:rPr>
          <w:b/>
        </w:rPr>
        <w:t xml:space="preserve">[348] </w:t>
      </w:r>
      <w:hyperlink r:id="rId1182">
        <w:r>
          <w:rPr>
            <w:color w:val="1155CC"/>
            <w:u w:val="single"/>
          </w:rPr>
          <w:t>界面化学控制仿生结晶过程中纳米颗粒的自排序</w:t>
        </w:r>
      </w:hyperlink>
    </w:p>
    <w:p>
      <w:pPr>
        <w:spacing w:before="0" w:after="80"/>
      </w:pPr>
      <w:r>
        <w:rPr>
          <w:i/>
          <w:sz w:val="20"/>
        </w:rPr>
        <w:t>EN: Interfacial chemistry governs nanoparticle self-sorting during biomimetic crystallization</w:t>
      </w:r>
    </w:p>
    <w:p>
      <w:pPr>
        <w:spacing w:before="0" w:after="120"/>
      </w:pPr>
      <w:r>
        <w:rPr>
          <w:b/>
        </w:rPr>
        <w:t xml:space="preserve">Source: </w:t>
      </w:r>
      <w:r>
        <w:t>Physical sciences : Nature Communications subject feeds</w:t>
      </w:r>
      <w:r>
        <w:t xml:space="preserve">    </w:t>
      </w:r>
      <w:r>
        <w:rPr>
          <w:b/>
        </w:rPr>
        <w:t xml:space="preserve">Pub date: </w:t>
      </w:r>
      <w:r>
        <w:t>2026-08-04 00:00:00+00:00</w:t>
      </w:r>
    </w:p>
    <w:p>
      <w:pPr>
        <w:spacing w:before="0" w:after="120"/>
      </w:pPr>
      <w:r>
        <w:rPr>
          <w:b/>
        </w:rPr>
        <w:t xml:space="preserve">Notes: </w:t>
      </w:r>
      <w:r>
        <w:t>abstract_source=nature_html</w:t>
      </w:r>
    </w:p>
    <w:p>
      <w:pPr>
        <w:spacing w:before="0" w:after="80" w:lineRule="auto" w:line="276"/>
      </w:pPr>
      <w:r>
        <w:rPr>
          <w:b/>
        </w:rPr>
        <w:t xml:space="preserve">摘要（ZH）: </w:t>
      </w:r>
      <w:r>
        <w:t>生物矿物由复合晶体组成，其中有机成分在矿物基质中以极其精确的空间组织，从而形成层次有序的结构。尽管付出了巨大的努力，实现对有机-无机相互作用的精确控制以构建具有可编程组成和空间组织的仿生复合材料仍然是一个重大挑战。在这里，我们展示了具有不同组成和尺寸的二嵌段共聚物纳米颗粒（类似于伪蛋白质）在生长的方解石晶体中的吸留过程中经历自发自排序，产生人工生物矿物，其中两个纳米颗粒群体选择性地定位在不同的晶域中。使用原位监测技术和原子力显微镜，我们证明这种自排序过程源于纳米颗粒表面化学，导致不同的聚合物-矿物界面相互作用。此外，所得的复合晶体表现出封闭物质的时空释放，凸显了先进输送系统的潜力。更广泛地说，自排序遮挡建立了一个概念框架，用于理解生物矿物中有机成分的空间组织，并为下一代仿生材料的合理设计提供了通用策略。</w:t>
      </w:r>
    </w:p>
    <w:p>
      <w:pPr>
        <w:spacing w:before="0" w:after="200" w:lineRule="auto" w:line="276"/>
      </w:pPr>
      <w:r>
        <w:rPr>
          <w:b/>
        </w:rPr>
        <w:t xml:space="preserve">Abstract (EN): </w:t>
      </w:r>
      <w:r>
        <w:t>Biominerals comprise composite crystals in which organic constituents are spatially organized within mineral matrices with exquisite precision, giving rise to hierarchically ordered architectures. Despite extensive efforts, achieving precise control over organic–inorganic interactions to construct biomimetic composite materials with programmable composition and spatial organization remains a major challenge. Here we show that diblock copolymer nanoparticles with distinct compositions and dimensions—resembling pseudo-proteins—undergo spontaneous self-sorting during occlusion within growing calcite crystals, yielding artificial biominerals in which two nanoparticle populations are selectively localized in distinct crystalline domains. Using in situ monitoring techniques and atomic force microscopy, we demonstrate that this self-sorting process arises from nanoparticle surface chemistry, which leads to differing polymer–mineral interfacial interactions. Moreover, the resulting composite crystals exhibit spatiotemporal release of the occluded species, highlighting the potential for advanced delivery systems. More broadly, self-sorting occlusion establishes a conceptual framework for understanding the spatial organization of organic components in biominerals and provides a versatile strategy for the rational design of next-generation biomimetic materials.</w:t>
      </w:r>
    </w:p>
    <w:p>
      <w:pPr>
        <w:spacing w:before="120" w:after="120"/>
      </w:pPr>
      <w:r>
        <w:rPr>
          <w:sz w:val="18"/>
        </w:rPr>
        <w:t>——————————————————————————————————————————————————————————————————————</w:t>
      </w:r>
    </w:p>
    <w:p>
      <w:pPr>
        <w:spacing w:before="160" w:after="40" w:line="240" w:lineRule="auto"/>
      </w:pPr>
      <w:r>
        <w:rPr>
          <w:b/>
        </w:rPr>
        <w:t xml:space="preserve">[349] </w:t>
      </w:r>
      <w:hyperlink r:id="rId1183">
        <w:r>
          <w:rPr>
            <w:color w:val="1155CC"/>
            <w:u w:val="single"/>
          </w:rPr>
          <w:t>遍历分子间周环芳炔反应的区域选择性：Laetevirenol A 和 Isoampelopsin D 的全合成</w:t>
        </w:r>
      </w:hyperlink>
    </w:p>
    <w:p>
      <w:pPr>
        <w:spacing w:before="0" w:after="80"/>
      </w:pPr>
      <w:r>
        <w:rPr>
          <w:i/>
          <w:sz w:val="20"/>
        </w:rPr>
        <w:t>EN: Traversing the Regioselectivity of Intermolecular Pericyclic Aryne Reactions: Total Syntheses of Laetevirenol A and Isoampelopsin D</w:t>
      </w:r>
    </w:p>
    <w:p>
      <w:pPr>
        <w:spacing w:before="0" w:after="120"/>
      </w:pPr>
      <w:r>
        <w:rPr>
          <w:b/>
        </w:rPr>
        <w:t xml:space="preserve">Source: </w:t>
      </w:r>
      <w:r>
        <w:t>Journal of the American Chemical Society: Latest Articles (ACS Publications)</w:t>
      </w:r>
      <w:r>
        <w:t xml:space="preserve">    </w:t>
      </w:r>
      <w:r>
        <w:rPr>
          <w:b/>
        </w:rPr>
        <w:t xml:space="preserve">Pub date: </w:t>
      </w:r>
      <w:r>
        <w:t>2026-08-04 00:00:00+00:00</w:t>
      </w:r>
      <w:r>
        <w:t xml:space="preserve">    </w:t>
      </w:r>
      <w:r>
        <w:rPr>
          <w:b/>
        </w:rPr>
        <w:t xml:space="preserve">DOI: </w:t>
      </w:r>
      <w:hyperlink r:id="rId1184">
        <w:r>
          <w:rPr>
            <w:color w:val="1155CC"/>
            <w:u w:val="single"/>
          </w:rPr>
          <w:t>10.1021/jacs.6c07493</w:t>
        </w:r>
      </w:hyperlink>
    </w:p>
    <w:p>
      <w:pPr>
        <w:spacing w:before="0" w:after="120"/>
      </w:pPr>
      <w:r>
        <w:rPr>
          <w:b/>
        </w:rPr>
        <w:t xml:space="preserve">Notes: </w:t>
      </w:r>
      <w:r>
        <w:t>abstract_source=crossref</w:t>
      </w:r>
    </w:p>
    <w:p>
      <w:pPr>
        <w:spacing w:before="0" w:after="80" w:lineRule="auto" w:line="276"/>
      </w:pPr>
      <w:r>
        <w:rPr>
          <w:b/>
        </w:rPr>
        <w:t xml:space="preserve">摘要（ZH）: </w:t>
      </w:r>
      <w:r>
        <w:t>摘要 白藜芦醇衍生的天然产物具有多种二苯乙烯类化合物，其特点是广泛的结构变异和药理学潜力。在此，我们记录了我们在合成 laetevirenol A（一种具有生物活性的白藜芦醇二聚体）和异葡萄素 D 方面的创新，这是通过运行基于芳炔的合成程序实现的。合成策略涉及通过利用其固有的反应性将芳炔结构单元掺入亚甲基茚满/茚核中。开发了脱氢狄尔斯-阿尔德环加成反应和芳烯-烯反应来构建 laetevirenol A 和 isoampelopsin D 的碳骨架。我们尝试从经验和计算的角度合理化关键苯炔反应的意外区域选择性行为。最终，还对 laetevirenol A 及其类似物进行了生物学研究，以揭示其潜在的抗氧化活性。这项工作为分子间周环芳基反应的区域选择性提供了有价值的见解，并作为在分子靶标合成中控制芳基区域选择性的示例。</w:t>
      </w:r>
    </w:p>
    <w:p>
      <w:pPr>
        <w:spacing w:before="0" w:after="200" w:lineRule="auto" w:line="276"/>
      </w:pPr>
      <w:r>
        <w:rPr>
          <w:b/>
        </w:rPr>
        <w:t xml:space="preserve">Abstract (EN): </w:t>
      </w:r>
      <w:r>
        <w:t>Resveratrol-derived natural products feature a diverse group of stilbenoids, characterized by extensive structural variation and pharmacological potential. Herein, we document our innovation in the synthesis of laetevirenol A, a biologically captivating resveratrol dimer, and isoampelopsin D enabled by operating an aryne-based synthetic program. The synthetic strategy involves the incorporation of aryne building blocks into methylene indane/indene nuclei by harnessing their innate reactivity. A dehydro Diels–Alder cycloaddition and an aryne-ene reaction were developed to construct the carbon framework of laetevirenol A and isoampelopsin D. Attempts were made to rationalize the unexpected regioselectivity behavior of crucial benzyne reactions from both empirical and computational perspectives. Ultimately, laetevirenol A and its analogs were also biologically investigated to uncover their potential antioxidant activities. This work offers valuable insights into the regioselectivity of intermolecular pericyclic aryne reactions and serves as an example of controlling aryne regioselectivities in the synthesis of molecular targets.</w:t>
      </w:r>
    </w:p>
    <w:p>
      <w:pPr>
        <w:spacing w:before="120" w:after="120"/>
      </w:pPr>
      <w:r>
        <w:rPr>
          <w:sz w:val="18"/>
        </w:rPr>
        <w:t>——————————————————————————————————————————————————————————————————————</w:t>
      </w:r>
    </w:p>
    <w:p>
      <w:pPr>
        <w:spacing w:before="160" w:after="40" w:line="240" w:lineRule="auto"/>
      </w:pPr>
      <w:r>
        <w:rPr>
          <w:b/>
        </w:rPr>
        <w:t xml:space="preserve">[350] </w:t>
      </w:r>
      <w:hyperlink r:id="rId1185">
        <w:r>
          <w:rPr>
            <w:color w:val="1155CC"/>
            <w:u w:val="single"/>
          </w:rPr>
          <w:t>非肽激动剂激活血管紧张素 II I 型受体</w:t>
        </w:r>
      </w:hyperlink>
    </w:p>
    <w:p>
      <w:pPr>
        <w:spacing w:before="0" w:after="80"/>
      </w:pPr>
      <w:r>
        <w:rPr>
          <w:i/>
          <w:sz w:val="20"/>
        </w:rPr>
        <w:t>EN: Activation of the angiotensin II type I receptor by a nonpeptide agonist</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186">
        <w:r>
          <w:rPr>
            <w:color w:val="1155CC"/>
            <w:u w:val="single"/>
          </w:rPr>
          <w:t>10.1073/pnas.2602538123</w:t>
        </w:r>
      </w:hyperlink>
    </w:p>
    <w:p>
      <w:pPr>
        <w:spacing w:before="0" w:after="120"/>
      </w:pPr>
      <w:r>
        <w:rPr>
          <w:b/>
        </w:rPr>
        <w:t xml:space="preserve">Notes: </w:t>
      </w:r>
      <w:r>
        <w:t>abstract_source=crossref</w:t>
      </w:r>
    </w:p>
    <w:p>
      <w:pPr>
        <w:spacing w:before="0" w:after="80" w:lineRule="auto" w:line="276"/>
      </w:pPr>
      <w:r>
        <w:rPr>
          <w:b/>
        </w:rPr>
        <w:t xml:space="preserve">摘要（ZH）: </w:t>
      </w:r>
      <w:r>
        <w:t>血管紧张素 II I 型受体 (AT1R) 是一种 G 蛋白偶联受体，可调节心血管系统，因此是治疗高血压最成功的药理学靶点之一。在血管紧张素受体药理学领域，激动剂是肽配体，而有效的拮抗剂主要是小分子。三十年前，少数非肽 AT1R 激动剂被鉴定出来。这些分子在很大程度上与 AT1R 拮抗剂共享化学支架，但似乎以不同于拮抗剂和肽激动剂的方式与受体相互作用。在这里，我们重新审视原型非肽 AT1R 激动剂 L-162,313，并确定拮抗剂样化学支架如何充当激动剂。 L-162,313 与 AT1R 拮抗剂的结合类似，但与拮抗剂不同的是，它与肽激动剂具有相同的激活开关。我们绘制了非肽激动剂激活 AT1R 所需的空间关系，并利用该信息设计了一个小型 L-162,313 衍生物文库。这些合理设计的衍生物根据激活的结构基础具有预期的降低或增强的效力。我们的数据解决了一个长期存在的药理学谜团，并为产生更有效的小分子 AT1R 激动剂提供了基础。</w:t>
      </w:r>
    </w:p>
    <w:p>
      <w:pPr>
        <w:spacing w:before="0" w:after="200" w:lineRule="auto" w:line="276"/>
      </w:pPr>
      <w:r>
        <w:rPr>
          <w:b/>
        </w:rPr>
        <w:t xml:space="preserve">Abstract (EN): </w:t>
      </w:r>
      <w:r>
        <w:t>The angiotensin II type I receptor (AT1R) is a G protein–coupled receptor that regulates the cardiovascular system and as a result is one of the most successful pharmacological targets for the treatment of hypertension. Within the angiotensin receptor pharmacological landscape, agonists are peptide ligands, whereas potent antagonists are predominantly small molecules. Three decades ago, a small number of nonpeptide AT1R agonists were identified. These molecules largely share a chemical scaffold with AT1R antagonists, but appeared to interact with the receptor in a manner that diverges from both antagonists and peptide agonists. Here, we revisit L-162,313, the prototype nonpeptide AT1R agonist and determine how the antagonist-like chemical scaffold acts as an agonist. L-162,313 binds similarly to AT1R antagonists, but unlike antagonists, it engages the same activation switches as peptide agonists. We map the spatial relationship required for activation of AT1R by nonpeptide agonists and used this information to design a small library of L-162,313 derivatives. These rationally designed derivatives had the expected reduced or enhanced potency based on the structural basis for activation. Our data resolve a long-standing pharmacological mystery and provide a foundation for generating more efficacious small molecule AT1R agonists.</w:t>
      </w:r>
    </w:p>
    <w:p>
      <w:pPr>
        <w:spacing w:before="120" w:after="120"/>
      </w:pPr>
      <w:r>
        <w:rPr>
          <w:sz w:val="18"/>
        </w:rPr>
        <w:t>——————————————————————————————————————————————————————————————————————</w:t>
      </w:r>
    </w:p>
    <w:p>
      <w:pPr>
        <w:spacing w:before="160" w:after="40" w:line="240" w:lineRule="auto"/>
      </w:pPr>
      <w:r>
        <w:rPr>
          <w:b/>
        </w:rPr>
        <w:t xml:space="preserve">[351] </w:t>
      </w:r>
      <w:hyperlink r:id="rId1187">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188">
        <w:r>
          <w:rPr>
            <w:color w:val="1155CC"/>
            <w:u w:val="single"/>
          </w:rPr>
          <w:t>10.1073/iti3126123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[352] </w:t>
      </w:r>
      <w:hyperlink r:id="rId1189">
        <w:r>
          <w:rPr>
            <w:color w:val="1155CC"/>
            <w:u w:val="single"/>
          </w:rPr>
          <w:t>DENV-4感染抑制DNA修复基因的转录</w:t>
        </w:r>
      </w:hyperlink>
    </w:p>
    <w:p>
      <w:pPr>
        <w:spacing w:before="0" w:after="80"/>
      </w:pPr>
      <w:r>
        <w:rPr>
          <w:i/>
          <w:sz w:val="20"/>
        </w:rPr>
        <w:t>EN: DENV-4 infection suppresses transcription of DNA repair genes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190">
        <w:r>
          <w:rPr>
            <w:color w:val="1155CC"/>
            <w:u w:val="single"/>
          </w:rPr>
          <w:t>10.1073/pnas.2536909123</w:t>
        </w:r>
      </w:hyperlink>
    </w:p>
    <w:p>
      <w:pPr>
        <w:spacing w:before="0" w:after="120"/>
      </w:pPr>
      <w:r>
        <w:rPr>
          <w:b/>
        </w:rPr>
        <w:t xml:space="preserve">Notes: </w:t>
      </w:r>
      <w:r>
        <w:t>abstract_source=crossref</w:t>
      </w:r>
    </w:p>
    <w:p>
      <w:pPr>
        <w:spacing w:before="0" w:after="80" w:lineRule="auto" w:line="276"/>
      </w:pPr>
      <w:r>
        <w:rPr>
          <w:b/>
        </w:rPr>
        <w:t xml:space="preserve">摘要（ZH）: </w:t>
      </w:r>
      <w:r>
        <w:t>登革热病毒依赖性宿主发病机制背后的分子机制，特别是基因组不稳定性，目前仍不清楚。这种 RNA 病毒在活动性感染期间会导致一种使人衰弱的疾病，并在未来带来登革热综合症、白血病和感染患者血细胞 DNA 损伤的风险，其潜在机制尚不清楚。在这项研究中，我们表明DENV-4感染会诱导显着的DNA损伤，并抑制参与DNA修复和选择诱变跨损伤合成（TLS）聚合酶的基因转录，表明DENV-4依赖性病理学会留下持久的生物“疤痕”，从而逐渐增加慢性疾病风险，包括致癌和登革热后综合征。</w:t>
      </w:r>
    </w:p>
    <w:p>
      <w:pPr>
        <w:spacing w:before="0" w:after="200" w:lineRule="auto" w:line="276"/>
      </w:pPr>
      <w:r>
        <w:rPr>
          <w:b/>
        </w:rPr>
        <w:t xml:space="preserve">Abstract (EN): </w:t>
      </w:r>
      <w:r>
        <w:t>The molecular mechanisms behind Dengue virus-dependent host pathogenesis, especially genome instability, remain largely unclear. This RNA virus causes a debilitating disease during active infection and presents future risks of postdengue syndromes, leukemia, and DNA damage in the blood cells of infected patients, with the underlying mechanisms unknown. In this study, we show that DENV-4 infection induces significant DNA damage and suppresses the transcription of genes involved in DNA repair and select mutagenic translesion synthesis (TLS) polymerases, indicating that DENV-4-dependent pathobiology leaves durable biological “scars” that incrementally increase chronic disease risk, including carcinogenesis and postdengue syndromes.</w:t>
      </w:r>
    </w:p>
    <w:p>
      <w:pPr>
        <w:spacing w:before="120" w:after="120"/>
      </w:pPr>
      <w:r>
        <w:rPr>
          <w:sz w:val="18"/>
        </w:rPr>
        <w:t>——————————————————————————————————————————————————————————————————————</w:t>
      </w:r>
    </w:p>
    <w:p>
      <w:pPr>
        <w:spacing w:before="160" w:after="40" w:line="240" w:lineRule="auto"/>
      </w:pPr>
      <w:r>
        <w:rPr>
          <w:b/>
        </w:rPr>
        <w:t xml:space="preserve">[353] </w:t>
      </w:r>
      <w:hyperlink r:id="rId1191">
        <w:r>
          <w:rPr>
            <w:color w:val="1155CC"/>
            <w:u w:val="single"/>
          </w:rPr>
          <w:t>细胞质流动性与体内营养可用性和肠上皮细胞命运相关</w:t>
        </w:r>
      </w:hyperlink>
    </w:p>
    <w:p>
      <w:pPr>
        <w:spacing w:before="0" w:after="80"/>
      </w:pPr>
      <w:r>
        <w:rPr>
          <w:i/>
          <w:sz w:val="20"/>
        </w:rPr>
        <w:t>EN: Cytoplasmic fluidity couples nutrient availability and enterocyte fate in vivo</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192">
        <w:r>
          <w:rPr>
            <w:color w:val="1155CC"/>
            <w:u w:val="single"/>
          </w:rPr>
          <w:t>10.1073/pnas.2602724123</w:t>
        </w:r>
      </w:hyperlink>
    </w:p>
    <w:p>
      <w:pPr>
        <w:spacing w:before="0" w:after="120"/>
      </w:pPr>
      <w:r>
        <w:rPr>
          <w:b/>
        </w:rPr>
        <w:t xml:space="preserve">Notes: </w:t>
      </w:r>
      <w:r>
        <w:t>abstract_source=crossref</w:t>
      </w:r>
    </w:p>
    <w:p>
      <w:pPr>
        <w:spacing w:before="0" w:after="80" w:lineRule="auto" w:line="276"/>
      </w:pPr>
      <w:r>
        <w:rPr>
          <w:b/>
        </w:rPr>
        <w:t xml:space="preserve">摘要（ZH）: </w:t>
      </w:r>
      <w:r>
        <w:t>细胞必须不断调整其内部状态以适应波动的营养环境。为了适应，细胞通过特定的分子信号（例如胰岛素和 mTOR 通路）感知不同的营养物质。在这里，除了传统的营养感应机制之外，我们还揭示了肠道肠细胞对饮食内容做出反应的机制层，证明食物中的营养成分调节细胞质流动性（一种基本的生物物理特性）并决定细胞状态。我们发现氨基酸的数量而不是质量改变了纳米级细胞质的流动性</w:t>
      </w:r>
      <w:r>
        <w:t xml:space="preserve"> </w:t>
      </w:r>
      <w:r>
        <w:t>果蝇</w:t>
      </w:r>
      <w:r>
        <w:t xml:space="preserve"> </w:t>
      </w:r>
      <w:r>
        <w:t>肠上皮细胞和erebosis的频率，erebosis是介导肠细胞更新的非凋亡细胞死亡。通过几个独立的惰性小粘原分子操纵细胞质流动性会影响细胞分裂，这表明细胞内流动性可以直接控制细胞命运的决定。我们认为细胞内纳米级流动性代表了肠细胞检测和适应饮食成分的基本原理，为体内细胞稳态提供了生物物理基础。</w:t>
      </w:r>
    </w:p>
    <w:p>
      <w:pPr>
        <w:spacing w:before="0" w:after="200" w:lineRule="auto" w:line="276"/>
      </w:pPr>
      <w:r>
        <w:rPr>
          <w:b/>
        </w:rPr>
        <w:t xml:space="preserve">Abstract (EN): </w:t>
      </w:r>
      <w:r>
        <w:t>Cells must continuously adapt their internal state to fluctuating nutritional environments. For the adaptation, cells sense distinct nutrients through specific molecular signals, such as the insulin and mTOR pathways. Here, in addition to the conventional nutrient-sensing mechanisms, we reveal a mechanistic layer by which gut enterocytes respond to dietary contents, demonstrating that nutritional components in food regulate cytoplasmic fluidity, a fundamental biophysical property and determine cellular status. We found that the quantity, rather than the quality, of amino acids alters the nanoscale cytoplasmic fluidity in</w:t>
      </w:r>
      <w:r>
        <w:t xml:space="preserve"> </w:t>
      </w:r>
      <w:r>
        <w:t>Drosophila</w:t>
      </w:r>
      <w:r>
        <w:t xml:space="preserve"> </w:t>
      </w:r>
      <w:r>
        <w:t>enterocytes and the frequency of erebosis, a nonapoptotic cell death mediating intestinal cell turnover. Manipulating cytoplasmic fluidity through several independent inert small viscogen molecules affects erebosis, indicating that intracellular fluidity can directly control cell fate decisions. We propose that intracellular nanoscale fluidity represents a fundamental principle for enterocytes to detect and adapt to dietary components, providing a biophysical basis for cellular homeostasis in vivo.</w:t>
      </w:r>
    </w:p>
    <w:p>
      <w:pPr>
        <w:spacing w:before="120" w:after="120"/>
      </w:pPr>
      <w:r>
        <w:rPr>
          <w:sz w:val="18"/>
        </w:rPr>
        <w:t>——————————————————————————————————————————————————————————————————————</w:t>
      </w:r>
    </w:p>
    <w:p>
      <w:pPr>
        <w:spacing w:before="160" w:after="40" w:line="240" w:lineRule="auto"/>
      </w:pPr>
      <w:r>
        <w:rPr>
          <w:b/>
        </w:rPr>
        <w:t xml:space="preserve">[354] </w:t>
      </w:r>
      <w:hyperlink r:id="rId1193">
        <w:r>
          <w:rPr>
            <w:color w:val="1155CC"/>
            <w:u w:val="single"/>
          </w:rPr>
          <w:t>在同源多倍体草本植物中，全基因组复制 (WGD) 后的进化比 WGD 更能驱动表型和转录组差异</w:t>
        </w:r>
      </w:hyperlink>
    </w:p>
    <w:p>
      <w:pPr>
        <w:spacing w:before="0" w:after="80"/>
      </w:pPr>
      <w:r>
        <w:rPr>
          <w:i/>
          <w:sz w:val="20"/>
        </w:rPr>
        <w:t>EN: Evolution after whole-genome duplication (WGD) drives phenotypic and transcriptomic divergence more than WGD in an autopolyploid herb</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194">
        <w:r>
          <w:rPr>
            <w:color w:val="1155CC"/>
            <w:u w:val="single"/>
          </w:rPr>
          <w:t>10.1073/pnas.2533430123</w:t>
        </w:r>
      </w:hyperlink>
    </w:p>
    <w:p>
      <w:pPr>
        <w:spacing w:before="0" w:after="120"/>
      </w:pPr>
      <w:r>
        <w:rPr>
          <w:b/>
        </w:rPr>
        <w:t xml:space="preserve">Notes: </w:t>
      </w:r>
      <w:r>
        <w:t>abstract_source=crossref</w:t>
      </w:r>
    </w:p>
    <w:p>
      <w:pPr>
        <w:spacing w:before="0" w:after="80" w:lineRule="auto" w:line="276"/>
      </w:pPr>
      <w:r>
        <w:rPr>
          <w:b/>
        </w:rPr>
        <w:t xml:space="preserve">摘要（ZH）: </w:t>
      </w:r>
      <w:r>
        <w:t>全基因组复制（WGD）是植物物种形成的主要驱动因素，通常被假设可以促进对新的或不断变化的环境条件的快速适应。然而，WGD 本身在多大程度上促进了表型和转录新颖性，以及 WGD 诱导的变化与 WGD 后进化对细胞型之间性状分化的相对贡献仍然知之甚少。在这里，我们研究了 WGD 的表型和转录组后果以及随后的进化</w:t>
      </w:r>
      <w:r>
        <w:t xml:space="preserve"> </w:t>
      </w:r>
      <w:r>
        <w:t>金叶小饼干</w:t>
      </w:r>
      <w:r>
        <w:t xml:space="preserve"> </w:t>
      </w:r>
      <w:r>
        <w:t>通过比较复制的二倍体、合成同源四倍体和天然同源四倍体（起源于约 24,000 至 7,000 代以前）在适度的每日温度波动（稳定）与每日热应激（变化）条件下的二倍体-同源四倍体复合体。 WGD 导致比叶面积减少和莲座丛生长减慢，但对生物量没有显着影响。 WGD 后的进化对 WGD 引起的变化采取相反的方向，要么将性状恢复为二倍体样值，要么将它们维持在天然同源四倍体中。总体而言，WGD 导致了适应性的下降，而 WGD 后的进化缓解了这种情况，从而导致自然同源四倍体在变化的条件下具有与二倍体相似或更高的适应性。虽然遗传背景调节 WGD 的影响，但细胞型水平转录组分析显示，尽管热应激会引起不同细胞型的不同反应，但稳定条件下 WGD 的直接影响有限。总而言之，我们的结果凸显了两者之间复杂的相互作用</w:t>
      </w:r>
    </w:p>
    <w:p>
      <w:pPr>
        <w:spacing w:before="0" w:after="200" w:lineRule="auto" w:line="276"/>
      </w:pPr>
      <w:r>
        <w:rPr>
          <w:b/>
        </w:rPr>
        <w:t xml:space="preserve">Abstract (EN): </w:t>
      </w:r>
      <w:r>
        <w:t>Whole-genome duplication (WGD) is a major driver of plant speciation and often hypothesized to promote rapid adaptation to new or changing environmental conditions. However, the extent to which WGD per se fosters phenotypic and transcriptional novelties, and the relative contribution of WGD-induced changes vs post-WGD evolution to trait differentiation between cytotypes remains poorly understood. Here, we investigated the phenotypic and transcriptomic consequences of WGD and subsequent evolution in the</w:t>
      </w:r>
      <w:r>
        <w:t xml:space="preserve"> </w:t>
      </w:r>
      <w:r>
        <w:t>Biscutella laevigata</w:t>
      </w:r>
      <w:r>
        <w:t xml:space="preserve"> </w:t>
      </w:r>
      <w:r>
        <w:t>diploid–autotetraploid complex by comparing replicated diploid, synthetic autotetraploids, and natural autotetraploids (originated some 24,000 to 7,000 generations ago) under moderate daily temperature fluctuations (stable) vs. daily heat stress (changing) conditions. WGD led to reduced specific leaf area and slower rosette growth but had no significant effect on biomass. Post-WGD evolution acted in contrasting directions on WGD-induced changes, either reverting traits to diploid-like values or maintaining them in natural autotetraploids. Overall, WGD induced a decrease in fitness that was mitigated by post-WGD evolution, resulting in natural autotetraploids with similar or higher fitness under changing conditions than diploids. While the genetic background modulates the effects of WGD, cytotype-level transcriptomic analyses revealed limited immediate effects of WGD under stable conditions, although heat stress induced different responses across cytotypes. Altogether, our results highlight a complex interplay between immediate WGD-induced and subsequent evolution at the phenotypic and transcriptomic levels, supporting a predominant role of post-WGD evolution in the differentiation of current cytotypes and the adaptive evolution of autotetraploids of</w:t>
      </w:r>
      <w:r>
        <w:t xml:space="preserve"> </w:t>
      </w:r>
      <w:r>
        <w:t>B. laevigata</w:t>
      </w:r>
      <w:r>
        <w:t xml:space="preserve"> </w:t>
      </w:r>
      <w:r>
        <w:t>.</w:t>
      </w:r>
    </w:p>
    <w:p>
      <w:pPr>
        <w:spacing w:before="120" w:after="120"/>
      </w:pPr>
      <w:r>
        <w:rPr>
          <w:sz w:val="18"/>
        </w:rPr>
        <w:t>——————————————————————————————————————————————————————————————————————</w:t>
      </w:r>
    </w:p>
    <w:p>
      <w:pPr>
        <w:spacing w:before="160" w:after="40" w:line="240" w:lineRule="auto"/>
      </w:pPr>
      <w:r>
        <w:rPr>
          <w:b/>
        </w:rPr>
        <w:t xml:space="preserve">[355] </w:t>
      </w:r>
      <w:hyperlink r:id="rId1195">
        <w:r>
          <w:rPr>
            <w:color w:val="1155CC"/>
            <w:u w:val="single"/>
          </w:rPr>
          <w:t>GLP-1 受体激动剂对雌性小鼠的减肥作用需要 AgRP 神经元</w:t>
        </w:r>
      </w:hyperlink>
    </w:p>
    <w:p>
      <w:pPr>
        <w:spacing w:before="0" w:after="80"/>
      </w:pPr>
      <w:r>
        <w:rPr>
          <w:i/>
          <w:sz w:val="20"/>
        </w:rPr>
        <w:t>EN: AgRP neurons are required for the weight-lowering effects of GLP-1 receptor agonists in female mice</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196">
        <w:r>
          <w:rPr>
            <w:color w:val="1155CC"/>
            <w:u w:val="single"/>
          </w:rPr>
          <w:t>10.1073/pnas.2614476123</w:t>
        </w:r>
      </w:hyperlink>
    </w:p>
    <w:p>
      <w:pPr>
        <w:spacing w:before="0" w:after="120"/>
      </w:pPr>
      <w:r>
        <w:rPr>
          <w:b/>
        </w:rPr>
        <w:t xml:space="preserve">Notes: </w:t>
      </w:r>
      <w:r>
        <w:t>abstract_source=crossref</w:t>
      </w:r>
    </w:p>
    <w:p>
      <w:pPr>
        <w:spacing w:before="0" w:after="80" w:lineRule="auto" w:line="276"/>
      </w:pPr>
      <w:r>
        <w:rPr>
          <w:b/>
        </w:rPr>
        <w:t xml:space="preserve">摘要（ZH）: </w:t>
      </w:r>
      <w:r>
        <w:t>胰高血糖素样肽 1 受体激动剂 (GLP-1RA)，包括索马鲁肽，可产生强劲且持续的减肥效果，但支持其长期功效的核心机制仍不完全清楚。弓状核的刺豚鼠相关肽（AgRP）神经元通常被负能量平衡激活，促进进食和能量保存。基于这一框架，GLP-1RA 通常有望抑制或绕过 AgRP 神经元活性。在这里，我们报告说，GLP-1RA 在雌性小鼠中的完全减肥作用需要 AgRP 神经元激活。在互补的 AgRP 功能丧失模型中，AgRP 电路完整性的破坏降低了 GLP-1RA 的全面减重效果。这一要求因性别、饮食和 AgRP 破坏模式而异。我们发现 GLP-1RA 治疗与 AgRP 神经元中神经元激活、线粒体参与和突触重塑标志物的增加有关。我们进一步确定糖皮质激素至 AgRP 信号传导轴是介导 AgRP 神经元功能募集的重要途径。总之，这些发现表明，与普遍的假设相反，GLP-1RA 参与 AgRP 神经元来维持体重减轻，突显这些神经元在协调适应性代谢反应以应对药理诱导的负能量平衡方面发挥着意想不到的作用。</w:t>
      </w:r>
    </w:p>
    <w:p>
      <w:pPr>
        <w:spacing w:before="0" w:after="200" w:lineRule="auto" w:line="276"/>
      </w:pPr>
      <w:r>
        <w:rPr>
          <w:b/>
        </w:rPr>
        <w:t xml:space="preserve">Abstract (EN): </w:t>
      </w:r>
      <w:r>
        <w:t>Glucagon-like peptide-1 receptor agonists (GLP-1RAs), including semaglutide, produce robust and sustained weight loss, yet the central mechanisms supporting their long-term efficacy remain incompletely understood. Agouti-related peptide (AgRP) neurons of the arcuate nucleus are classically activated by negative energy balance and promote feeding and energy conservation. Based on this framework, GLP-1RAs have generally been expected to suppress or bypass AgRP neuron activity. Here, we report that AgRP neuron activation is required for the full weight-lowering effects of GLP-1RAs in female mice. Across complementary AgRP loss-of-function models, disruption of AgRP circuit integrity reduced the full weight-lowering effects of GLP-1RAs. This requirement varies with sex, diet, and mode of AgRP disruption. We found that GLP-1RA treatment is associated with increased markers of neuronal activation, mitochondrial engagement, and synaptic remodeling in AgRP neurons. We further identify a glucocorticoid-to-AgRP signaling axis as an important pathway mediating this functional recruitment of AgRP neurons. Together, these findings reveal that contrary to prevailing assumptions, GLP-1RA engages AgRP neurons to sustain weight loss, highlighting an unexpected role for these neurons in coordinating adaptive metabolic responses to pharmacologically induced negative energy balance.</w:t>
      </w:r>
    </w:p>
    <w:p>
      <w:pPr>
        <w:spacing w:before="120" w:after="120"/>
      </w:pPr>
      <w:r>
        <w:rPr>
          <w:sz w:val="18"/>
        </w:rPr>
        <w:t>——————————————————————————————————————————————————————————————————————</w:t>
      </w:r>
    </w:p>
    <w:p>
      <w:pPr>
        <w:spacing w:before="160" w:after="40" w:line="240" w:lineRule="auto"/>
      </w:pPr>
      <w:r>
        <w:rPr>
          <w:b/>
        </w:rPr>
        <w:t xml:space="preserve">[356] </w:t>
      </w:r>
      <w:hyperlink r:id="rId1197">
        <w:r>
          <w:rPr>
            <w:color w:val="1155CC"/>
            <w:u w:val="single"/>
          </w:rPr>
          <w:t>引导共价催化使钼辅因子生物合成中的碳插入重排成为可能</w:t>
        </w:r>
      </w:hyperlink>
    </w:p>
    <w:p>
      <w:pPr>
        <w:spacing w:before="0" w:after="80"/>
      </w:pPr>
      <w:r>
        <w:rPr>
          <w:i/>
          <w:sz w:val="20"/>
        </w:rPr>
        <w:t>EN: Guiding covalent catalysis enables a carbon-inserting rearrangement in molybdenum cofactor biosynthesis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198">
        <w:r>
          <w:rPr>
            <w:color w:val="1155CC"/>
            <w:u w:val="single"/>
          </w:rPr>
          <w:t>10.1073/pnas.2618523123</w:t>
        </w:r>
      </w:hyperlink>
    </w:p>
    <w:p>
      <w:pPr>
        <w:spacing w:before="0" w:after="120"/>
      </w:pPr>
      <w:r>
        <w:rPr>
          <w:b/>
        </w:rPr>
        <w:t xml:space="preserve">Notes: </w:t>
      </w:r>
      <w:r>
        <w:t>abstract_source=crossref</w:t>
      </w:r>
    </w:p>
    <w:p>
      <w:pPr>
        <w:spacing w:before="0" w:after="80" w:lineRule="auto" w:line="276"/>
      </w:pPr>
      <w:r>
        <w:rPr>
          <w:b/>
        </w:rPr>
        <w:t xml:space="preserve">摘要（ZH）: </w:t>
      </w:r>
      <w:r>
        <w:t>许多酶催化复杂的化学重排反应，但实现精确原子控制的分子策略通常仍然是个谜。自然界最复杂的例子之一发生在钼辅因​​子 (Moco) 的生物合成中，这是一种基于蝶呤的辅因子，对生命的所有领域都至关重要。 Moco 特征性吡喃蝶呤的形成需要 GTP 的显着重排，其中鸟嘌呤碱基的 C8 原子插入核糖的 C-2' 和 C-3' 原子之间。值得注意的是，这种转变是由单一酶 MoaC 催化的，但 MoaC 如何协调这种重排仍不清楚。在这里，我们证明 MoaC 采用了意想不到的共价催化机制。利用化学捕获、酶动力学、质谱和 X 射线晶体学，我们鉴定了四种动力学相关的共价中间体。 Lys131 和底物衍生的 C-8 原子之间形成瞬时共价键，并在大多数催化步骤中持续存在。虽然共价催化传统上被视为底物活化的一种手段，但 MoaC 中瞬时共价键的主要功能是控制反应碳中心的空间轨迹。我们将这种催化策略称为共价催化。该机制解释了 MoaC 催化过程中长期缺乏可扩散中间体的原因，并修正了 Moco 和蝶呤生物合成的流行非共价模型。总之，我们的研究结果确立了引导共价催化作为一种​​独特的功能模式，能够在复杂的生化转化中实现精确的空间控制。</w:t>
      </w:r>
    </w:p>
    <w:p>
      <w:pPr>
        <w:spacing w:before="0" w:after="200" w:lineRule="auto" w:line="276"/>
      </w:pPr>
      <w:r>
        <w:rPr>
          <w:b/>
        </w:rPr>
        <w:t xml:space="preserve">Abstract (EN): </w:t>
      </w:r>
      <w:r>
        <w:t>Many enzymes catalyze chemically complex rearrangement reactions, yet the molecular strategies that enable precise atomic control often remain enigmatic. One of Nature’s most intricate examples occurs in the biosynthesis of the molybdenum cofactor (Moco), a pterin-based cofactor essential to all domains of life. Formation of Moco’s characteristic pyranopterin requires a remarkable rearrangement of GTP, in which the C8 atom of the guanine base is inserted between the C-2′ and C-3′ atoms of ribose. Remarkably, this transformation is catalyzed by a single enzyme, MoaC, yet how MoaC orchestrates this rearrangement remains unclear. Here, we show that MoaC employs an unexpected covalent catalytic mechanism. Using chemical trapping, enzyme kinetics, mass spectrometry, and X-ray crystallography, we identified four kinetically relevant covalent intermediates. The transient covalent linkage forms between Lys131 and the substrate-derived C-8 atom and persists across most catalytic steps. While covalent catalysis is classically viewed as a means of substrate activation, the primary function of the transient covalent linkage in MoaC is to govern the spatial trajectory of the reacting carbon center. We term this catalytic strategy guiding covalent catalysis. This mechanism explains the long-standing absence of diffusible intermediates during MoaC catalysis and revises prevailing noncovalent models of Moco and pterin biosynthesis. Together, our findings establish guiding covalent catalysis as a distinct functional mode that enables precise spatial control in complex biochemical transformations and suggest that analogous guiding roles may operate in the biosynthesis of other cofactors.</w:t>
      </w:r>
    </w:p>
    <w:p>
      <w:pPr>
        <w:spacing w:before="120" w:after="120"/>
      </w:pPr>
      <w:r>
        <w:rPr>
          <w:sz w:val="18"/>
        </w:rPr>
        <w:t>——————————————————————————————————————————————————————————————————————</w:t>
      </w:r>
    </w:p>
    <w:p>
      <w:pPr>
        <w:spacing w:before="160" w:after="40" w:line="240" w:lineRule="auto"/>
      </w:pPr>
      <w:r>
        <w:rPr>
          <w:b/>
        </w:rPr>
        <w:t xml:space="preserve">[357] </w:t>
      </w:r>
      <w:hyperlink r:id="rId1199">
        <w:r>
          <w:rPr>
            <w:color w:val="1155CC"/>
            <w:u w:val="single"/>
          </w:rPr>
          <w:t>基于高通量可变形性的微流体分选揭示转移性癌症亚群</w:t>
        </w:r>
      </w:hyperlink>
    </w:p>
    <w:p>
      <w:pPr>
        <w:spacing w:before="0" w:after="80"/>
      </w:pPr>
      <w:r>
        <w:rPr>
          <w:i/>
          <w:sz w:val="20"/>
        </w:rPr>
        <w:t>EN: High-throughput deformability-based microfluidic sorting reveals metastatic cancer subpopulations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00">
        <w:r>
          <w:rPr>
            <w:color w:val="1155CC"/>
            <w:u w:val="single"/>
          </w:rPr>
          <w:t>10.1073/pnas.2604094123</w:t>
        </w:r>
      </w:hyperlink>
    </w:p>
    <w:p>
      <w:pPr>
        <w:spacing w:before="0" w:after="120"/>
      </w:pPr>
      <w:r>
        <w:rPr>
          <w:b/>
        </w:rPr>
        <w:t xml:space="preserve">Notes: </w:t>
      </w:r>
      <w:r>
        <w:t>abstract_source=crossref</w:t>
      </w:r>
    </w:p>
    <w:p>
      <w:pPr>
        <w:spacing w:before="0" w:after="80" w:lineRule="auto" w:line="276"/>
      </w:pPr>
      <w:r>
        <w:rPr>
          <w:b/>
        </w:rPr>
        <w:t xml:space="preserve">摘要（ZH）: </w:t>
      </w:r>
      <w:r>
        <w:t>癌细胞的变形能力是其恶性程度的关键指标，因为癌细胞的这种机械特性可以反映细胞骨架和蛋白质表达等各种生物结构和生化变化。然而，选择性分离和分析具有不同变形能力及其相关生物学特性的细胞亚群仍然具有挑战性，特别是在高通量情况下。在这里，我们介绍了一种微结构辅助的螺旋微流控平台，该平台可以根据癌细胞的变形能力以超高通量（每分钟&gt;2,000,000个细胞）对癌细胞进行分类。</w:t>
      </w:r>
      <w:r>
        <w:t xml:space="preserve"> </w:t>
      </w:r>
      <w:r>
        <w:t>−1</w:t>
      </w:r>
      <w:r>
        <w:t xml:space="preserve"> </w:t>
      </w:r>
      <w:r>
        <w:t>）并将工作流程与实时、基于图像的细胞参数表型分析相结合。我们对分选的部分进行了分析，并研究了癌细胞的变形能力、不同亚群中蛋白质的表达以及癌细胞的转移能力之间的三重相关性。这种三重相关性已在具有转移潜力的人类乳腺癌细胞系（包括 MDA-MB-231 细胞和 BT-549 细胞）中得到证实，其中这些细胞根据其变形能力分为亚群。变形性更强的亚群表现出更强的侵袭性和独特的细胞骨架重塑以及上皮间质转化（EMT）相关的蛋白质特征。利用这些变形性差异，我们的无标记平台能够高通量富集侵袭性癌症亚群，并为液体活检工作流程提供可扩展的前端。更广泛地说，基于变形的排序</w:t>
      </w:r>
    </w:p>
    <w:p>
      <w:pPr>
        <w:spacing w:before="0" w:after="200" w:lineRule="auto" w:line="276"/>
      </w:pPr>
      <w:r>
        <w:rPr>
          <w:b/>
        </w:rPr>
        <w:t xml:space="preserve">Abstract (EN): </w:t>
      </w:r>
      <w:r>
        <w:t>The deformability of cancer cells is a critical indicator of their malignancy, as this mechanical property of cancer cells can reflect various biostructural and biochemical changes such as the cytoskeletons and protein expressions. However, selectively isolating and analyzing cell subpopulations with differing deformability and their associated biological properties remains challenging, especially at high throughput. Here, we introduce a microstructure-assisted spiral microfluidic platform that sorts cancer cells based on their deformability at ultrahigh throughput (&amp;gt;2,000,000 cells min</w:t>
      </w:r>
      <w:r>
        <w:t xml:space="preserve"> </w:t>
      </w:r>
      <w:r>
        <w:t>−1</w:t>
      </w:r>
      <w:r>
        <w:t xml:space="preserve"> </w:t>
      </w:r>
      <w:r>
        <w:t>) and couples the workflow to real-time, image-based phenotyping of cell parameters. We profile the sorted fractions and investigate a tripartite correlation between the deformability of cancer cells, the expression of proteins in different subpopulations, and the metastatic ability of cancer cells. This tripartite correlation has been confirmed in human breast cancer cell lines with metastatic potential (including MDA-MB-231 cells and BT-549 cells), where these cells are classified into subpopulations based on their deformability. The more deformable subpopulation exhibits increased invasiveness and distinct cytoskeletal remodeling and epithelial-to-mesenchymal transition (EMT)-associated protein signatures. Leveraging these deformability differences, our label-free platform enables high-throughput enrichment of aggressive cancer subpopulations and provides a scalable front end for liquid biopsy workflows. More broadly, deformability-based sorting may support improved analysis of rare metastasis-prone cells and accelerate high-throughput screening for mechano-targeted therapeutic strategies, offering a practical route to integrate cell deformability into precision oncology and therapy.</w:t>
      </w:r>
    </w:p>
    <w:p>
      <w:pPr>
        <w:spacing w:before="120" w:after="120"/>
      </w:pPr>
      <w:r>
        <w:rPr>
          <w:sz w:val="18"/>
        </w:rPr>
        <w:t>——————————————————————————————————————————————————————————————————————</w:t>
      </w:r>
    </w:p>
    <w:p>
      <w:pPr>
        <w:spacing w:before="160" w:after="40" w:line="240" w:lineRule="auto"/>
      </w:pPr>
      <w:r>
        <w:rPr>
          <w:b/>
        </w:rPr>
        <w:t xml:space="preserve">[358] </w:t>
      </w:r>
      <w:hyperlink r:id="rId1201">
        <w:r>
          <w:rPr>
            <w:color w:val="1155CC"/>
            <w:u w:val="single"/>
          </w:rPr>
          <w:t>通过输卵管成功运输卵母细胞并不依赖于输卵管上皮皱襞的纵向排列</w:t>
        </w:r>
      </w:hyperlink>
    </w:p>
    <w:p>
      <w:pPr>
        <w:spacing w:before="0" w:after="80"/>
      </w:pPr>
      <w:r>
        <w:rPr>
          <w:i/>
          <w:sz w:val="20"/>
        </w:rPr>
        <w:t>EN: Successful oocyte transport through the oviduct does not depend on the longitudinal alignment of oviduct epithelial folds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02">
        <w:r>
          <w:rPr>
            <w:color w:val="1155CC"/>
            <w:u w:val="single"/>
          </w:rPr>
          <w:t>10.1073/pnas.2605383123</w:t>
        </w:r>
      </w:hyperlink>
    </w:p>
    <w:p>
      <w:pPr>
        <w:spacing w:before="0" w:after="120"/>
      </w:pPr>
      <w:r>
        <w:rPr>
          <w:b/>
        </w:rPr>
        <w:t xml:space="preserve">Notes: </w:t>
      </w:r>
      <w:r>
        <w:t>abstract_source=crossref</w:t>
      </w:r>
    </w:p>
    <w:p>
      <w:pPr>
        <w:spacing w:before="0" w:after="80" w:lineRule="auto" w:line="276"/>
      </w:pPr>
      <w:r>
        <w:rPr>
          <w:b/>
        </w:rPr>
        <w:t xml:space="preserve">摘要（ZH）: </w:t>
      </w:r>
      <w:r>
        <w:t>输卵管的管腔上皮表现出沿着卵巢-子宫（O-U）轴定向的纤毛跳动，驱动卵母细胞向子宫运输。纵向上皮折叠也被提出来促进这种运输，但它们的功能贡献尚未得到测试，因为定向这些折叠的机制仍不清楚。在这项研究中，我们发现在</w:t>
      </w:r>
      <w:r>
        <w:t xml:space="preserve"> </w:t>
      </w:r>
      <w:r>
        <w:t>范格尔1</w:t>
      </w:r>
      <w:r>
        <w:t xml:space="preserve"> </w:t>
      </w:r>
      <w:r>
        <w:t>总吨/总吨</w:t>
      </w:r>
      <w:r>
        <w:t xml:space="preserve"> </w:t>
      </w:r>
      <w:r>
        <w:t>输卵管缺乏核心平面细胞极性（PCP）蛋白VANGL1，纤毛跳动方向大部分保留，而纵向折叠被破坏。尽管皱襞畸形，</w:t>
      </w:r>
      <w:r>
        <w:t xml:space="preserve"> </w:t>
      </w:r>
      <w:r>
        <w:t>范格尔1</w:t>
      </w:r>
      <w:r>
        <w:t xml:space="preserve"> </w:t>
      </w:r>
      <w:r>
        <w:t>总吨/总吨</w:t>
      </w:r>
      <w:r>
        <w:t xml:space="preserve"> </w:t>
      </w:r>
      <w:r>
        <w:t>雌性能够产生后代，这表明即使纵向折叠排列被破坏，卵母细胞也会运输到子宫。核心 PCP 蛋白在细胞边界的极化分布已被提出来建立 O-U 方向的纤毛跳动和细胞伸长，理论工作预测 O-U 对齐的细胞伸长驱动纵向折叠形成。与此一致的是，我们的三维细胞形状分析揭示了细胞伸长的损失</w:t>
      </w:r>
      <w:r>
        <w:t xml:space="preserve"> </w:t>
      </w:r>
      <w:r>
        <w:t>范格尔1</w:t>
      </w:r>
      <w:r>
        <w:t xml:space="preserve"> </w:t>
      </w:r>
      <w:r>
        <w:t>总吨/总吨</w:t>
      </w:r>
      <w:r>
        <w:t xml:space="preserve"> </w:t>
      </w:r>
      <w:r>
        <w:t>输卵管。此外，尽管其他核心 PCP 蛋白保持极化，但它们的极性轴与纤毛方向不对齐。</w:t>
      </w:r>
    </w:p>
    <w:p>
      <w:pPr>
        <w:spacing w:before="0" w:after="200" w:lineRule="auto" w:line="276"/>
      </w:pPr>
      <w:r>
        <w:rPr>
          <w:b/>
        </w:rPr>
        <w:t xml:space="preserve">Abstract (EN): </w:t>
      </w:r>
      <w:r>
        <w:t>The luminal epithelium of the oviduct exhibits ciliary beating oriented along the ovary–uterus (O–U) axis, driving oocyte transport toward the uterus. Longitudinal epithelial folds have also been proposed to facilitate this transport, but their functional contribution has not been tested because the mechanisms that orient these folds remain unclear. In this study, we found that in</w:t>
      </w:r>
      <w:r>
        <w:t xml:space="preserve"> </w:t>
      </w:r>
      <w:r>
        <w:t>Vangl1</w:t>
      </w:r>
      <w:r>
        <w:t xml:space="preserve"> </w:t>
      </w:r>
      <w:r>
        <w:t>gt/gt</w:t>
      </w:r>
      <w:r>
        <w:t xml:space="preserve"> </w:t>
      </w:r>
      <w:r>
        <w:t>oviducts, which lack the core planar cell polarity (PCP) protein VANGL1, ciliary beating orientation is largely preserved, whereas longitudinal folds are disrupted. Despite fold malformation,</w:t>
      </w:r>
      <w:r>
        <w:t xml:space="preserve"> </w:t>
      </w:r>
      <w:r>
        <w:t>Vangl1</w:t>
      </w:r>
      <w:r>
        <w:t xml:space="preserve"> </w:t>
      </w:r>
      <w:r>
        <w:t>gt/gt</w:t>
      </w:r>
      <w:r>
        <w:t xml:space="preserve"> </w:t>
      </w:r>
      <w:r>
        <w:t>females were able to produce offspring, suggesting that oocyte transport to the uterus can occur even when longitudinal fold alignment is disrupted. Polarized distributions of core PCP proteins at cell boundaries have been proposed to establish O–U–oriented ciliary beating and cell elongation, and theoretical work predicts that O–U–aligned cell elongation drives longitudinal fold formation. Consistent with this, our three-dimensional cell-shape analysis revealed a loss of cell elongation in</w:t>
      </w:r>
      <w:r>
        <w:t xml:space="preserve"> </w:t>
      </w:r>
      <w:r>
        <w:t>Vangl1</w:t>
      </w:r>
      <w:r>
        <w:t xml:space="preserve"> </w:t>
      </w:r>
      <w:r>
        <w:t>gt/gt</w:t>
      </w:r>
      <w:r>
        <w:t xml:space="preserve"> </w:t>
      </w:r>
      <w:r>
        <w:t>oviducts. Moreover, although other core PCP proteins remained polarized, their polarity axes were misaligned with ciliary orientation in</w:t>
      </w:r>
      <w:r>
        <w:t xml:space="preserve"> </w:t>
      </w:r>
      <w:r>
        <w:t>Vangl1</w:t>
      </w:r>
      <w:r>
        <w:t xml:space="preserve"> </w:t>
      </w:r>
      <w:r>
        <w:t>gt/gt</w:t>
      </w:r>
      <w:r>
        <w:t xml:space="preserve"> </w:t>
      </w:r>
      <w:r>
        <w:t>oviducts, suggesting that ciliary orientation can be guided by mechanisms that are at least partly independent of canonical core-protein polarity. Together, our findings help define the physiological contribution of longitudinal folds and illuminate how distinct polarity systems—fold orientation, cell elongation, and ciliary beating—are established and coordinated in the oviduct.</w:t>
      </w:r>
    </w:p>
    <w:p>
      <w:pPr>
        <w:spacing w:before="120" w:after="120"/>
      </w:pPr>
      <w:r>
        <w:rPr>
          <w:sz w:val="18"/>
        </w:rPr>
        <w:t>——————————————————————————————————————————————————————————————————————</w:t>
      </w:r>
    </w:p>
    <w:p>
      <w:pPr>
        <w:spacing w:before="160" w:after="40" w:line="240" w:lineRule="auto"/>
      </w:pPr>
      <w:r>
        <w:rPr>
          <w:b/>
        </w:rPr>
        <w:t xml:space="preserve">[359] </w:t>
      </w:r>
      <w:hyperlink r:id="rId1203">
        <w:r>
          <w:rPr>
            <w:color w:val="1155CC"/>
            <w:u w:val="single"/>
          </w:rPr>
          <w:t>Ca2+对Tmc1耳聋突变体毛细胞PMCA2钙泵表达的调节</w:t>
        </w:r>
      </w:hyperlink>
    </w:p>
    <w:p>
      <w:pPr>
        <w:spacing w:before="0" w:after="80"/>
      </w:pPr>
      <w:r>
        <w:rPr>
          <w:i/>
          <w:sz w:val="20"/>
        </w:rPr>
        <w:t>EN: Ca2+ regulation of PMCA2 calcium pump expression in hair cells of Tmc1 deafness mutants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04">
        <w:r>
          <w:rPr>
            <w:color w:val="1155CC"/>
            <w:u w:val="single"/>
          </w:rPr>
          <w:t>10.1073/pnas.2607733123</w:t>
        </w:r>
      </w:hyperlink>
    </w:p>
    <w:p>
      <w:pPr>
        <w:spacing w:before="0" w:after="120"/>
      </w:pPr>
      <w:r>
        <w:rPr>
          <w:b/>
        </w:rPr>
        <w:t xml:space="preserve">Notes: </w:t>
      </w:r>
      <w:r>
        <w:t>abstract_source=crossref</w:t>
      </w:r>
    </w:p>
    <w:p>
      <w:pPr>
        <w:spacing w:before="0" w:after="80" w:lineRule="auto" w:line="276"/>
      </w:pPr>
      <w:r>
        <w:rPr>
          <w:b/>
        </w:rPr>
        <w:t xml:space="preserve">摘要（ZH）: </w:t>
      </w:r>
      <w:r>
        <w:t>跨膜通道样蛋白 1 (TMC1) 是听毛细胞中机电转换器 (MET) 通道的成孔成分，其突变会导致 3 周龄小鼠的细胞死亡和耳聋。我们研究了带有突变的小鼠</w:t>
      </w:r>
      <w:r>
        <w:t xml:space="preserve"> </w:t>
      </w:r>
      <w:r>
        <w:t>TMC1</w:t>
      </w:r>
      <w:r>
        <w:t xml:space="preserve"> </w:t>
      </w:r>
      <w:r>
        <w:t>p.T416K、p.M412K、p.D528N 和 p.D569N，在出生后第 (P)6 天拥有功能性 MET 通道，但在 P21 之前变得聋。这些</w:t>
      </w:r>
      <w:r>
        <w:t xml:space="preserve"> </w:t>
      </w:r>
      <w:r>
        <w:t>TMC1</w:t>
      </w:r>
      <w:r>
        <w:t xml:space="preserve"> </w:t>
      </w:r>
      <w:r>
        <w:t>突变体具有减少 Ca 的通道</w:t>
      </w:r>
      <w:r>
        <w:t xml:space="preserve"> </w:t>
      </w:r>
      <w:r>
        <w:t>2+</w:t>
      </w:r>
      <w:r>
        <w:t xml:space="preserve"> </w:t>
      </w:r>
      <w:r>
        <w:t>外毛细胞 (OHC) 静纤毛中 PMCA2 钙泵的通透性和较低表达。 PMCA2 密度的降低与 Ca 的降低直接相关</w:t>
      </w:r>
      <w:r>
        <w:t xml:space="preserve"> </w:t>
      </w:r>
      <w:r>
        <w:t>2+</w:t>
      </w:r>
      <w:r>
        <w:t xml:space="preserve"> </w:t>
      </w:r>
      <w:r>
        <w:t>通过 MET 通道进入。出生后第一周，细胞外 Ca 含量降低的耳蜗培养物中 PMCA2 表达下降</w:t>
      </w:r>
      <w:r>
        <w:t xml:space="preserve"> </w:t>
      </w:r>
      <w:r>
        <w:t>2+</w:t>
      </w:r>
      <w:r>
        <w:t xml:space="preserve"> </w:t>
      </w:r>
      <w:r>
        <w:t>，但P11后，PMCA2密度对Ca不敏感</w:t>
      </w:r>
      <w:r>
        <w:t xml:space="preserve"> </w:t>
      </w:r>
      <w:r>
        <w:t>2+</w:t>
      </w:r>
      <w:r>
        <w:t xml:space="preserve"> </w:t>
      </w:r>
      <w:r>
        <w:t>变化。突变体中较低的 PMCA2 密度一直维持到成年，并可能导致毛细胞死亡。在听力出现之前，PMCA2 不断翻转，并且它从已识别的囊泡区室插入静纤毛，并受到细胞质 [Ca] 的调节。</w:t>
      </w:r>
      <w:r>
        <w:t xml:space="preserve"> </w:t>
      </w:r>
      <w:r>
        <w:t>2+</w:t>
      </w:r>
      <w:r>
        <w:t xml:space="preserve"> </w:t>
      </w:r>
      <w:r>
        <w:t>]。 PMCA2 更新受到内吞作用阻断剂 Pitstop2 和 PtdIns(4,5)P 的强烈抑制</w:t>
      </w:r>
      <w:r>
        <w:rPr>
          <w:vertAlign w:val="subscript"/>
        </w:rPr>
        <w:t>2</w:t>
      </w:r>
      <w:r>
        <w:t>苯胂氧化物 (PAO) 等阻滞剂，已被证明可以提高立体纤毛 [Ca</w:t>
      </w:r>
    </w:p>
    <w:p>
      <w:pPr>
        <w:spacing w:before="0" w:after="200" w:lineRule="auto" w:line="276"/>
      </w:pPr>
      <w:r>
        <w:rPr>
          <w:b/>
        </w:rPr>
        <w:t xml:space="preserve">Abstract (EN): </w:t>
      </w:r>
      <w:r>
        <w:t>Mutations in transmembrane channel-like protein 1 (TMC1), the pore-forming component of the mechano-electrical transducer (MET) channel in auditory hair cells, cause cell death and deafness in 3-wk old mice. We studied mice with mutations</w:t>
      </w:r>
      <w:r>
        <w:t xml:space="preserve"> </w:t>
      </w:r>
      <w:r>
        <w:t>Tmc1</w:t>
      </w:r>
      <w:r>
        <w:t xml:space="preserve"> </w:t>
      </w:r>
      <w:r>
        <w:t>p.T416K, p.M412K, p.D528N, and p.D569N, which possessed functional MET channels at postnatal day (P)6 but became deaf before P21. These</w:t>
      </w:r>
      <w:r>
        <w:t xml:space="preserve"> </w:t>
      </w:r>
      <w:r>
        <w:t>Tmc1</w:t>
      </w:r>
      <w:r>
        <w:t xml:space="preserve"> </w:t>
      </w:r>
      <w:r>
        <w:t>mutants had channels with reduced Ca</w:t>
      </w:r>
      <w:r>
        <w:t xml:space="preserve"> </w:t>
      </w:r>
      <w:r>
        <w:t>2+</w:t>
      </w:r>
      <w:r>
        <w:t xml:space="preserve"> </w:t>
      </w:r>
      <w:r>
        <w:t>permeability and lower expression of the PMCA2 calcium pump in outer hair cell (OHC) stereocilia. The reduction in PMCA2 density was directly correlated with reduced Ca</w:t>
      </w:r>
      <w:r>
        <w:t xml:space="preserve"> </w:t>
      </w:r>
      <w:r>
        <w:t>2+</w:t>
      </w:r>
      <w:r>
        <w:t xml:space="preserve"> </w:t>
      </w:r>
      <w:r>
        <w:t>entry via the MET channel. Over the first postnatal week, PMCA2 expression decreased in cochlear cultures containing lowered extracellular Ca</w:t>
      </w:r>
      <w:r>
        <w:t xml:space="preserve"> </w:t>
      </w:r>
      <w:r>
        <w:t>2+</w:t>
      </w:r>
      <w:r>
        <w:t xml:space="preserve"> </w:t>
      </w:r>
      <w:r>
        <w:t>, but after P11, PMCA2 density was insensitive to Ca</w:t>
      </w:r>
      <w:r>
        <w:t xml:space="preserve"> </w:t>
      </w:r>
      <w:r>
        <w:t>2+</w:t>
      </w:r>
      <w:r>
        <w:t xml:space="preserve"> </w:t>
      </w:r>
      <w:r>
        <w:t>changes. The lower PMCA2 density in mutants was maintained into adulthood and may contribute to hair cell death. Before the onset of hearing, PMCA2 continuously turns over, and its insertion into stereocilia from an identified vesicular compartment is regulated by cytoplasmic [Ca</w:t>
      </w:r>
      <w:r>
        <w:t xml:space="preserve"> </w:t>
      </w:r>
      <w:r>
        <w:t>2+</w:t>
      </w:r>
      <w:r>
        <w:t xml:space="preserve"> </w:t>
      </w:r>
      <w:r>
        <w:t>]. PMCA2 turnover was strongly inhibited by the endocytosis blocker, Pitstop2, and by PtdIns(4,5)P</w:t>
      </w:r>
      <w:r>
        <w:rPr>
          <w:vertAlign w:val="subscript"/>
        </w:rPr>
        <w:t>2</w:t>
      </w:r>
      <w:r>
        <w:t>blockers like phenylarsine oxide (PAO), which was shown to elevate stereociliary [Ca</w:t>
      </w:r>
      <w:r>
        <w:t xml:space="preserve"> </w:t>
      </w:r>
      <w:r>
        <w:t>2+</w:t>
      </w:r>
      <w:r>
        <w:t xml:space="preserve"> </w:t>
      </w:r>
      <w:r>
        <w:t>]. We argue the effects of PAO on mechanotransduction may be partly due to this Ca</w:t>
      </w:r>
      <w:r>
        <w:t xml:space="preserve"> </w:t>
      </w:r>
      <w:r>
        <w:t>2+</w:t>
      </w:r>
      <w:r>
        <w:t xml:space="preserve"> </w:t>
      </w:r>
      <w:r>
        <w:t>increase. OHC bundles also expressed Neuroplastin (NPTN), a PMCA2 accessory protein, whose development paralleled PMCA2, and we propose it stabilizes the pump complex in stereocilia. NPTN expression was delayed about 2 d relative to PMCA2 and was less Ca</w:t>
      </w:r>
      <w:r>
        <w:t xml:space="preserve"> </w:t>
      </w:r>
      <w:r>
        <w:t>2+</w:t>
      </w:r>
      <w:r>
        <w:t xml:space="preserve"> </w:t>
      </w:r>
      <w:r>
        <w:t>sensitive, implying it originates from a different internal pool of vesicles.</w:t>
      </w:r>
    </w:p>
    <w:p>
      <w:pPr>
        <w:spacing w:before="120" w:after="120"/>
      </w:pPr>
      <w:r>
        <w:rPr>
          <w:sz w:val="18"/>
        </w:rPr>
        <w:t>——————————————————————————————————————————————————————————————————————</w:t>
      </w:r>
    </w:p>
    <w:p>
      <w:pPr>
        <w:spacing w:before="160" w:after="40" w:line="240" w:lineRule="auto"/>
      </w:pPr>
      <w:r>
        <w:rPr>
          <w:b/>
        </w:rPr>
        <w:t xml:space="preserve">[360] </w:t>
      </w:r>
      <w:hyperlink r:id="rId1205">
        <w:r>
          <w:rPr>
            <w:color w:val="1155CC"/>
            <w:u w:val="single"/>
          </w:rPr>
          <w:t>浅层积云中高度局域化的液滴聚集</w:t>
        </w:r>
      </w:hyperlink>
    </w:p>
    <w:p>
      <w:pPr>
        <w:spacing w:before="0" w:after="80"/>
      </w:pPr>
      <w:r>
        <w:rPr>
          <w:i/>
          <w:sz w:val="20"/>
        </w:rPr>
        <w:t>EN: Highly localized droplet clustering in shallow cumulus clouds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06">
        <w:r>
          <w:rPr>
            <w:color w:val="1155CC"/>
            <w:u w:val="single"/>
          </w:rPr>
          <w:t>10.1073/pnas.2602976123</w:t>
        </w:r>
      </w:hyperlink>
    </w:p>
    <w:p>
      <w:pPr>
        <w:spacing w:before="0" w:after="120"/>
      </w:pPr>
      <w:r>
        <w:rPr>
          <w:b/>
        </w:rPr>
        <w:t xml:space="preserve">Notes: </w:t>
      </w:r>
      <w:r>
        <w:t>abstract_source=crossref</w:t>
      </w:r>
    </w:p>
    <w:p>
      <w:pPr>
        <w:spacing w:before="0" w:after="80" w:lineRule="auto" w:line="276"/>
      </w:pPr>
      <w:r>
        <w:rPr>
          <w:b/>
        </w:rPr>
        <w:t xml:space="preserve">摘要（ZH）: </w:t>
      </w:r>
      <w:r>
        <w:t>暖云中水滴的大小和空间聚集影响云的演化和辐射特性，因此对于地球的能量平衡和水循环至关重要。一些提出的暖云中液滴生长和降水引发的机制需要强大的液滴聚集。在亚厘米尺度上解决这种聚类仍然是一个挑战。从飞机上收集的最详细的观测结果显示，层积云中平均有千米尺度的微弱毫米级液滴聚集。在这里，我们展示了系留浮空器的空间分辨原位全息测量，证明浅层积云中的聚集比之前想象的要强得多，而且更加局域化。这些发现挑战了当前的云微物理框架，对降水起始和云建模具有影响。</w:t>
      </w:r>
    </w:p>
    <w:p>
      <w:pPr>
        <w:spacing w:before="0" w:after="200" w:lineRule="auto" w:line="276"/>
      </w:pPr>
      <w:r>
        <w:rPr>
          <w:b/>
        </w:rPr>
        <w:t xml:space="preserve">Abstract (EN): </w:t>
      </w:r>
      <w:r>
        <w:t>The size and spatial clustering of water droplets in warm clouds influence cloud evolution and radiation properties and thus are of fundamental importance for the Earth’s energy balance and water cycle. Some proposed mechanisms for droplet growth and precipitation initiation in warm clouds require strong droplet clustering. Resolving such clustering on sub-cm scales remains a challenge. The most detailed observations, collected from aircraft, showed weak mm-scale droplet clustering averaged over kilometer scales in stratocumulus clouds. Here we present spatially resolved in-situ holographic measurements from a tethered aerostat, demonstrating that clustering in shallow cumulus clouds is significantly stronger and far more localized than previously thought. These findings challenge current cloud microphysics frameworks, with implications for precipitation initiation and cloud modeling.</w:t>
      </w:r>
    </w:p>
    <w:p>
      <w:pPr>
        <w:spacing w:before="120" w:after="120"/>
      </w:pPr>
      <w:r>
        <w:rPr>
          <w:sz w:val="18"/>
        </w:rPr>
        <w:t>——————————————————————————————————————————————————————————————————————</w:t>
      </w:r>
    </w:p>
    <w:p>
      <w:pPr>
        <w:spacing w:before="160" w:after="40" w:line="240" w:lineRule="auto"/>
      </w:pPr>
      <w:r>
        <w:rPr>
          <w:b/>
        </w:rPr>
        <w:t xml:space="preserve">[361] </w:t>
      </w:r>
      <w:hyperlink r:id="rId1207">
        <w:r>
          <w:rPr>
            <w:color w:val="1155CC"/>
            <w:u w:val="single"/>
          </w:rPr>
          <w:t>人类管理下的发育可塑性塑造了黎凡特南部早期全新世驯化之前的谷物进化</w:t>
        </w:r>
      </w:hyperlink>
    </w:p>
    <w:p>
      <w:pPr>
        <w:spacing w:before="0" w:after="80"/>
      </w:pPr>
      <w:r>
        <w:rPr>
          <w:i/>
          <w:sz w:val="20"/>
        </w:rPr>
        <w:t>EN: Developmental plasticity under human management shaped cereal evolution prior to domestication in the Early Holocene southern Levant</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08">
        <w:r>
          <w:rPr>
            <w:color w:val="1155CC"/>
            <w:u w:val="single"/>
          </w:rPr>
          <w:t>10.1073/pnas.2535274123</w:t>
        </w:r>
      </w:hyperlink>
    </w:p>
    <w:p>
      <w:pPr>
        <w:spacing w:before="0" w:after="120"/>
      </w:pPr>
      <w:r>
        <w:rPr>
          <w:b/>
        </w:rPr>
        <w:t xml:space="preserve">Notes: </w:t>
      </w:r>
      <w:r>
        <w:t>abstract_source=crossref</w:t>
      </w:r>
    </w:p>
    <w:p>
      <w:pPr>
        <w:spacing w:before="0" w:after="80" w:lineRule="auto" w:line="276"/>
      </w:pPr>
      <w:r>
        <w:rPr>
          <w:b/>
        </w:rPr>
        <w:t xml:space="preserve">摘要（ZH）: </w:t>
      </w:r>
      <w:r>
        <w:t>西南亚植物的驯化是一个在全新世早期发生了数千年的进化过程。在此期间，驯化物种形成了与野生物种不同的独特特征。当前的植物驯化模型强调遗传选择在这些性状进化中的作用，将这些性状视为可遗传的适应，是响应与人类种植相关的选择压力而产生的。在谷物中，驯化导致了不破碎的轴的进化和谷物尺寸的增加，这两个特征可以在考古植物记录中直接追踪。对新石器时代早期谷物遗骸的分析表明，谷物尺寸的增加发生在不破碎的轴进化之前，这一序列通常被解释为在耕作（特别是耕作）下选择较大谷物的证据。在这里，我们结合了谷物遗骸的形态学和计量分析、稳定碳同位素分析和杂草生态学来检验这一假设，使用了来自黎凡特南部的三个组合：前陶器新石器时代的 A Sharara（</w:t>
      </w:r>
      <w:r>
        <w:t xml:space="preserve"> </w:t>
      </w:r>
      <w:r>
        <w:t>c.</w:t>
      </w:r>
      <w:r>
        <w:t xml:space="preserve"> </w:t>
      </w:r>
      <w:r>
        <w:t>公元前 9250–9200 年），前陶器新石器时代 A el-Hemmeh（</w:t>
      </w:r>
      <w:r>
        <w:t xml:space="preserve"> </w:t>
      </w:r>
      <w:r>
        <w:t>c.</w:t>
      </w:r>
      <w:r>
        <w:t xml:space="preserve"> </w:t>
      </w:r>
      <w:r>
        <w:t>公元前 9400–8700 年），以及前陶器时代晚期新石器时代 B el-Hemmeh（</w:t>
      </w:r>
      <w:r>
        <w:t xml:space="preserve"> </w:t>
      </w:r>
      <w:r>
        <w:t>c.</w:t>
      </w:r>
      <w:r>
        <w:t xml:space="preserve"> </w:t>
      </w:r>
      <w:r>
        <w:t>公元前 7500–7000 年）。我们的研究结果表明，全新世早期颗粒尺寸的增加可以更好地理解为对生长条件变化的塑性反应，特别是湿度，而不是</w:t>
      </w:r>
    </w:p>
    <w:p>
      <w:pPr>
        <w:spacing w:before="0" w:after="200" w:lineRule="auto" w:line="276"/>
      </w:pPr>
      <w:r>
        <w:rPr>
          <w:b/>
        </w:rPr>
        <w:t xml:space="preserve">Abstract (EN): </w:t>
      </w:r>
      <w:r>
        <w:t>The domestication of plants in southwest Asia was an evolutionary process that took place over several millennia in the Early Holocene. During this time, domestic species developed distinct traits that distinguished them from their wild counterparts. Current models of plant domestication emphasize the role of genetic selection in the evolution of these traits, viewing these as heritable adaptations that arose in response to selective pressures associated with human cultivation. In cereals, domestication resulted in the evolution of nonshattering rachis and increased grain size, two traits that can be tracked directly in the archaeobotanical record. Analyses of Early Neolithic cereal remains demonstrate that grain size increase occurred prior to the evolution of nonshattering rachis, a sequence that is often interpreted as evidence of selection for larger grains under cultivation, specifically tillage. Here, we combine morphological and metrical analyses of cereal remains, stable carbon isotope analysis, and weed ecology to test this hypothesis, using three assemblages from the southern Levant: Pre-Pottery Neolithic A Sharara (</w:t>
      </w:r>
      <w:r>
        <w:t xml:space="preserve"> </w:t>
      </w:r>
      <w:r>
        <w:t>c.</w:t>
      </w:r>
      <w:r>
        <w:t xml:space="preserve"> </w:t>
      </w:r>
      <w:r>
        <w:t>9250–9200 cal BCE), Pre-Pottery Neolithic A el-Hemmeh (</w:t>
      </w:r>
      <w:r>
        <w:t xml:space="preserve"> </w:t>
      </w:r>
      <w:r>
        <w:t>c.</w:t>
      </w:r>
      <w:r>
        <w:t xml:space="preserve"> </w:t>
      </w:r>
      <w:r>
        <w:t>9400–8700 cal BCE), and Late Pre-Pottery Neolithic B el-Hemmeh (</w:t>
      </w:r>
      <w:r>
        <w:t xml:space="preserve"> </w:t>
      </w:r>
      <w:r>
        <w:t>c.</w:t>
      </w:r>
      <w:r>
        <w:t xml:space="preserve"> </w:t>
      </w:r>
      <w:r>
        <w:t>7500–7000 cal BCE). Our findings indicate that increased grain size in the Early Holocene can be better understood as a plastic response to variation in growing conditions, specifically moisture, rather than as a result of genetic selection for increased grain size under cultivation. We propose that cereal evolution in southwest Asia was initially driven by developmental plasticity, followed by genetic selection.</w:t>
      </w:r>
    </w:p>
    <w:p>
      <w:pPr>
        <w:spacing w:before="120" w:after="120"/>
      </w:pPr>
      <w:r>
        <w:rPr>
          <w:sz w:val="18"/>
        </w:rPr>
        <w:t>——————————————————————————————————————————————————————————————————————</w:t>
      </w:r>
    </w:p>
    <w:p>
      <w:pPr>
        <w:spacing w:before="160" w:after="40" w:line="240" w:lineRule="auto"/>
      </w:pPr>
      <w:r>
        <w:rPr>
          <w:b/>
        </w:rPr>
        <w:t xml:space="preserve">[362] </w:t>
      </w:r>
      <w:hyperlink r:id="rId1209">
        <w:r>
          <w:rPr>
            <w:color w:val="1155CC"/>
            <w:u w:val="single"/>
          </w:rPr>
          <w:t>用于高保真调整嗅觉混合距离的基于语义的社区模型</w:t>
        </w:r>
      </w:hyperlink>
    </w:p>
    <w:p>
      <w:pPr>
        <w:spacing w:before="0" w:after="80"/>
      </w:pPr>
      <w:r>
        <w:rPr>
          <w:i/>
          <w:sz w:val="20"/>
        </w:rPr>
        <w:t>EN: A semantic-based community model for high-fidelity tuning of olfactory mixture distances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10">
        <w:r>
          <w:rPr>
            <w:color w:val="1155CC"/>
            <w:u w:val="single"/>
          </w:rPr>
          <w:t>10.1073/pnas.2611057123</w:t>
        </w:r>
      </w:hyperlink>
    </w:p>
    <w:p>
      <w:pPr>
        <w:spacing w:before="0" w:after="120"/>
      </w:pPr>
      <w:r>
        <w:rPr>
          <w:b/>
        </w:rPr>
        <w:t xml:space="preserve">Notes: </w:t>
      </w:r>
      <w:r>
        <w:t>abstract_source=crossref</w:t>
      </w:r>
    </w:p>
    <w:p>
      <w:pPr>
        <w:spacing w:before="0" w:after="80" w:lineRule="auto" w:line="276"/>
      </w:pPr>
      <w:r>
        <w:rPr>
          <w:b/>
        </w:rPr>
        <w:t xml:space="preserve">摘要（ZH）: </w:t>
      </w:r>
      <w:r>
        <w:t>感官科学的一个中心目标是建立物理刺激和感知体验之间的定量映射。尽管这种映射在视觉和听觉上得到了很好的定义，但它们在嗅觉上仍然难以捉摸，特别是对于复杂的气味混合物。在这里，我们表明，气味混合物之间的感知距离可以高保真度地预测，并且出乎意料地被单分子表示派生的紧凑语义空间很好地捕获。在逆向工程评估和方法嗅觉混合物预测挑战的对话中，我们组装了气味混合物对的统一数据集，对 46 对隐藏测试集进行基准预测，并将表现最好的模型集成到挑战后集合中。该模型在隐藏测试集上的表现优于现有最先进的方法，将 RMSE 降低约 33% 至 0.08，将 Pearson 相关性提高 53% 至 0.57，并在由 50 个新设计的混合对组成的独立验证集上保持强劲的性能。一个仅保留每个模型的嗅觉语义特征的集合进一步改进了预测，将测试集上的皮尔逊相关性提高了 7% 至 0.61，将验证集上的皮尔逊相关性提高了 15% 至 0.54。鉴于语义特征是从纯分子中提取的，这表明混合感知可能不需要与单分子嗅觉根本不同的表征原理。总之，这些结果为嗅觉混合物感知建立了一个可重复的定量框架，并推进了测量、建模和工程的工作。</w:t>
      </w:r>
    </w:p>
    <w:p>
      <w:pPr>
        <w:spacing w:before="0" w:after="200" w:lineRule="auto" w:line="276"/>
      </w:pPr>
      <w:r>
        <w:rPr>
          <w:b/>
        </w:rPr>
        <w:t xml:space="preserve">Abstract (EN): </w:t>
      </w:r>
      <w:r>
        <w:t>A central goal in sensory science is to establish quantitative mappings between physical stimuli and perceptual experience. Although such mappings are well defined in vision and audition, they remain elusive in olfaction, particularly for complex odor mixtures. Here, we show that perceptual distances between odor mixtures can be predicted with high fidelity and are unexpectedly well captured by a compact semantic space derived from single-molecule representations. In the Dialogue for Reverse Engineering Assessment and Methods Olfactory Mixtures Prediction Challenge, we assembled a unified dataset of odor-mixture pairs, benchmarked predictions on a hidden test set of 46 pairs, and integrated the top-performing models into a postchallenge ensemble. This model outperformed existing state-of-the-art approaches on the hidden test set, reducing RMSE by about 33% to 0.08 and increasing Pearson correlation by 53% to 0.57, and maintained strong performance on an independent validation set of 50 newly designed mixture pairs. An ensemble, retaining only olfactory semantic features for each model included, further improved predictions, raising the Pearson correlation by 7% to 0.61 on the test set and by 15% to 0.54 on the validation set. Given that semantic features were extracted from pure molecules, it suggests that mixture perception may not require fundamentally different representational principles from single-molecule olfaction. Together, these results establish a reproducible quantitative framework for olfactory mixture perception and advance efforts to measure, model, and engineer smell.</w:t>
      </w:r>
    </w:p>
    <w:p>
      <w:pPr>
        <w:spacing w:before="120" w:after="120"/>
      </w:pPr>
      <w:r>
        <w:rPr>
          <w:sz w:val="18"/>
        </w:rPr>
        <w:t>——————————————————————————————————————————————————————————————————————</w:t>
      </w:r>
    </w:p>
    <w:p>
      <w:pPr>
        <w:spacing w:before="160" w:after="40" w:line="240" w:lineRule="auto"/>
      </w:pPr>
      <w:r>
        <w:rPr>
          <w:b/>
        </w:rPr>
        <w:t xml:space="preserve">[363] </w:t>
      </w:r>
      <w:hyperlink r:id="rId1211">
        <w:r>
          <w:rPr>
            <w:color w:val="1155CC"/>
            <w:u w:val="single"/>
          </w:rPr>
          <w:t>经济偏好预测高等教育选择</w:t>
        </w:r>
      </w:hyperlink>
    </w:p>
    <w:p>
      <w:pPr>
        <w:spacing w:before="0" w:after="80"/>
      </w:pPr>
      <w:r>
        <w:rPr>
          <w:i/>
          <w:sz w:val="20"/>
        </w:rPr>
        <w:t>EN: Economic preferences predict higher-education choices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12">
        <w:r>
          <w:rPr>
            <w:color w:val="1155CC"/>
            <w:u w:val="single"/>
          </w:rPr>
          <w:t>10.1073/pnas.2610891123</w:t>
        </w:r>
      </w:hyperlink>
    </w:p>
    <w:p>
      <w:pPr>
        <w:spacing w:before="0" w:after="120"/>
      </w:pPr>
      <w:r>
        <w:rPr>
          <w:b/>
        </w:rPr>
        <w:t xml:space="preserve">Notes: </w:t>
      </w:r>
      <w:r>
        <w:t>abstract_source=crossref</w:t>
      </w:r>
    </w:p>
    <w:p>
      <w:pPr>
        <w:spacing w:before="0" w:after="80" w:lineRule="auto" w:line="276"/>
      </w:pPr>
      <w:r>
        <w:rPr>
          <w:b/>
        </w:rPr>
        <w:t xml:space="preserve">摘要（ZH）: </w:t>
      </w:r>
      <w:r>
        <w:t>我们研究个人偏好是否可以预测高等教育的选择。根据标准人力资本理论，个人时间和风险偏好的差异导致教育投资的差异。检验这一假设具有挑战性，因为它需要在进行教育投资之前测量个人的偏好，并随后观察他们的教育选择。我们将大量具有代表性的 18 至 19 岁丹麦人样本的时间和风险偏好的激励性、实验性测量与随后的高等教育选择、特定项目的收入轨迹、之前的学校表现和家庭背景的行政数据结合起来。根据理论，我们发现更多有耐心的人选择时间更长的教育项目和早期职业收入状况更陡峭的项目，而更多规避风险的人选择收入分散度较低且下行风险较小的项目。在控制了认知能力、之前的学业成绩和家庭背景后，这些关系仍然很牢固。我们的研究结果表明，偏好对现实世界的教育投资有重大影响，并对教育排序产生影响。</w:t>
      </w:r>
    </w:p>
    <w:p>
      <w:pPr>
        <w:spacing w:before="0" w:after="200" w:lineRule="auto" w:line="276"/>
      </w:pPr>
      <w:r>
        <w:rPr>
          <w:b/>
        </w:rPr>
        <w:t xml:space="preserve">Abstract (EN): </w:t>
      </w:r>
      <w:r>
        <w:t>We examine whether individual preferences predict higher-education choices. According to standard human capital theory, differences in individuals’ time and risk preferences lead to differences in educational investments. Testing this hypothesis is challenging, as it requires measuring individuals’ preferences, doing so before they make educational investments, and subsequently observing their educational choices. We combine incentivized, experimentally elicited measures of time and risk preferences for a large, representative sample of 18- to 19-y-old Danes with administrative data on subsequent higher-education choices, program-specific earnings trajectories, prior school performance, and family background. In line with theory, we find that more patient individuals choose longer education programs and programs with steeper early-career earnings profiles, while more risk-averse individuals select programs with lower earnings dispersion and reduced downside risk. These relationships remain strong after controlling for cognitive ability, prior academic performance, and family background. Our findings suggest that preferences have a substantial impact on real-world educational investments and have implications for educational sorting.</w:t>
      </w:r>
    </w:p>
    <w:p>
      <w:pPr>
        <w:spacing w:before="120" w:after="120"/>
      </w:pPr>
      <w:r>
        <w:rPr>
          <w:sz w:val="18"/>
        </w:rPr>
        <w:t>——————————————————————————————————————————————————————————————————————</w:t>
      </w:r>
    </w:p>
    <w:p>
      <w:pPr>
        <w:spacing w:before="160" w:after="40" w:line="240" w:lineRule="auto"/>
      </w:pPr>
      <w:r>
        <w:rPr>
          <w:b/>
        </w:rPr>
        <w:t xml:space="preserve">[364] </w:t>
      </w:r>
      <w:hyperlink r:id="rId1213">
        <w:r>
          <w:rPr>
            <w:color w:val="1155CC"/>
            <w:u w:val="single"/>
          </w:rPr>
          <w:t>相互依赖的 Cbf1-CCAN 相互作用稳定了芽殖酵母着丝粒</w:t>
        </w:r>
      </w:hyperlink>
    </w:p>
    <w:p>
      <w:pPr>
        <w:spacing w:before="0" w:after="80"/>
      </w:pPr>
      <w:r>
        <w:rPr>
          <w:i/>
          <w:sz w:val="20"/>
        </w:rPr>
        <w:t>EN: An interdependent Cbf1–CCAN interaction stabilizes the budding yeast kinetochore</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14">
        <w:r>
          <w:rPr>
            <w:color w:val="1155CC"/>
            <w:u w:val="single"/>
          </w:rPr>
          <w:t>10.1073/pnas.2610808123</w:t>
        </w:r>
      </w:hyperlink>
    </w:p>
    <w:p>
      <w:pPr>
        <w:spacing w:before="0" w:after="120"/>
      </w:pPr>
      <w:r>
        <w:rPr>
          <w:b/>
        </w:rPr>
        <w:t xml:space="preserve">Notes: </w:t>
      </w:r>
      <w:r>
        <w:t>abstract_source=crossref</w:t>
      </w:r>
    </w:p>
    <w:p>
      <w:pPr>
        <w:spacing w:before="0" w:after="80" w:lineRule="auto" w:line="276"/>
      </w:pPr>
      <w:r>
        <w:rPr>
          <w:b/>
        </w:rPr>
        <w:t xml:space="preserve">摘要（ZH）: </w:t>
      </w:r>
      <w:r>
        <w:t>染色体分离需要着丝粒 DNA 上着丝粒的正确组装。动粒是一个复杂的多蛋白机器，包含 40 多种不同的蛋白质，但许多组件的功能作用仍不清楚。其中一种蛋白质是酵母转录因子 Cbf1，它直接与芽殖酵母着丝粒 DNA 结合。 Cbf1 的缺失会显着增加染色体错误分离的发生率；然而，其精确的分子作用机制尚不清楚。最近发现，Cbf1 通过路障机制阻止不合时宜的着丝粒周围转录通读，从而抑制着丝粒转录。有趣的是，在没有 Cbf1 结合的情况下恢复转录障碍只能部分挽救染色体错误分离，这表明 Cbf1 具有额外的着丝粒活性。在这里，我们证明 Cbf1 在体外和体内均可促进内着丝粒组装。该汇编功能依赖于Cbf1和Okp1之间的接口。此外，我们发现 Cbf1 与着丝粒的稳定关联需要它与内部着丝粒的相互作用，揭示了对于着丝粒的组装和稳定性至关重要的相互依赖的相互作用。因此，Cbf1 作为着丝粒锚定枢纽，将转录路障与组成性着丝粒相关网络组装和动粒稳定性结合起来。</w:t>
      </w:r>
    </w:p>
    <w:p>
      <w:pPr>
        <w:spacing w:before="0" w:after="200" w:lineRule="auto" w:line="276"/>
      </w:pPr>
      <w:r>
        <w:rPr>
          <w:b/>
        </w:rPr>
        <w:t xml:space="preserve">Abstract (EN): </w:t>
      </w:r>
      <w:r>
        <w:t>Chromosome segregation requires the proper assembly of kinetochores on centromeric DNA. The kinetochore is a complex multiprotein machine comprising more than 40 distinct proteins, but the functional roles of many components remain unclear. One such protein is the yeast transcription factor Cbf1, which directly binds to budding yeast centromeric DNA. Loss of Cbf1 significantly increases the rate of chromosome missegregation; however, its precise molecular mechanism of action is unknown. It was recently found that Cbf1 inhibits transcription through the centromere by preventing the untimely pericentromeric transcriptional readthrough via a roadblock mechanism. Intriguingly, restoring the transcriptional roadblock in the absence of Cbf1 binding only partially rescued chromosome missegregation, indicating that Cbf1 performs additional centromeric activities. Here, we show that Cbf1 promotes inner kinetochore assembly both in vitro and in vivo. This assembly function depends on the interface between Cbf1 and Okp1. Moreover, we found that Cbf1’s stable association with the centromere requires its interaction with the inner kinetochore, revealing an interdependent interaction essential for the assembly and stability of the kinetochore. Thus, Cbf1 functions as a centromere-anchored hub that couples transcriptional roadblocking to constitutive centromere-associated network assembly and kinetochore stability.</w:t>
      </w:r>
    </w:p>
    <w:p>
      <w:pPr>
        <w:spacing w:before="120" w:after="120"/>
      </w:pPr>
      <w:r>
        <w:rPr>
          <w:sz w:val="18"/>
        </w:rPr>
        <w:t>——————————————————————————————————————————————————————————————————————</w:t>
      </w:r>
    </w:p>
    <w:p>
      <w:pPr>
        <w:spacing w:before="160" w:after="40" w:line="240" w:lineRule="auto"/>
      </w:pPr>
      <w:r>
        <w:rPr>
          <w:b/>
        </w:rPr>
        <w:t xml:space="preserve">[365] </w:t>
      </w:r>
      <w:hyperlink r:id="rId1215">
        <w:r>
          <w:rPr>
            <w:color w:val="1155CC"/>
            <w:u w:val="single"/>
          </w:rPr>
          <w:t>行为和脑科学中性别依赖性影响的主张很少得到有效的统计比较的支持</w:t>
        </w:r>
      </w:hyperlink>
    </w:p>
    <w:p>
      <w:pPr>
        <w:spacing w:before="0" w:after="80"/>
      </w:pPr>
      <w:r>
        <w:rPr>
          <w:i/>
          <w:sz w:val="20"/>
        </w:rPr>
        <w:t>EN: Claims of sex-dependent effects in the behavioral and brain sciences are infrequently supported by valid statistical comparisons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16">
        <w:r>
          <w:rPr>
            <w:color w:val="1155CC"/>
            <w:u w:val="single"/>
          </w:rPr>
          <w:t>10.1073/pnas.2608703123</w:t>
        </w:r>
      </w:hyperlink>
    </w:p>
    <w:p>
      <w:pPr>
        <w:spacing w:before="0" w:after="120"/>
      </w:pPr>
      <w:r>
        <w:rPr>
          <w:b/>
        </w:rPr>
        <w:t xml:space="preserve">Notes: </w:t>
      </w:r>
      <w:r>
        <w:t>abstract_source=crossref</w:t>
      </w:r>
    </w:p>
    <w:p>
      <w:pPr>
        <w:spacing w:before="0" w:after="80" w:lineRule="auto" w:line="276"/>
      </w:pPr>
      <w:r>
        <w:rPr>
          <w:b/>
        </w:rPr>
        <w:t xml:space="preserve">摘要（ZH）: </w:t>
      </w:r>
      <w:r>
        <w:t>对精准医学的兴趣加速了确定治疗和干预措施的性别依赖性反应的努力。无论是历史上还是今天，这些努力都集中在与大脑和行为相关的领域。在这里，我们表明，尽管声称性别依赖性影响的文章在神经科学中比其他领域更为普遍，但这些主张很少得到适当的统计证据的支持。最近，在行为和脑科学领域发表的 200 篇文章中，标题中声称存在性别依赖性效应，但只有 24% 的文章用适当的证据支持这一说法，也就是说，他们对不同性别的效应进行了统计比较，并报告了与该说法一致的结果。 9% 的人描述了适当的测试，但结果不完整或缺失；另外 9% 的结果与声明直接矛盾。在大多数文章（58%）中，没有对不同性别的效果进行统计比较。在六个与大脑相关的研究领域（行为科学、临床神经病学、神经科学、精神病学、心理学和药物滥用）中，神经科学的适当证据率最低（18%），心理学最高（39%）。对非人类动物的研究支持这一说法的频率 (15%) 明显低于对人类参与者的研究 (34%；</w:t>
      </w:r>
      <w:r>
        <w:t xml:space="preserve"> </w:t>
      </w:r>
      <w:r>
        <w:t>磷</w:t>
      </w:r>
      <w:r>
        <w:t xml:space="preserve"> </w:t>
      </w:r>
      <w:r>
        <w:t>= 0.002）。适当分析方法的使用与期刊排名或文章的引用影响无关。我们的结论是，行为科学和脑科学中关于性或性别依赖性影响的说法是正确的。</w:t>
      </w:r>
    </w:p>
    <w:p>
      <w:pPr>
        <w:spacing w:before="0" w:after="200" w:lineRule="auto" w:line="276"/>
      </w:pPr>
      <w:r>
        <w:rPr>
          <w:b/>
        </w:rPr>
        <w:t xml:space="preserve">Abstract (EN): </w:t>
      </w:r>
      <w:r>
        <w:t>Interest in precision medicine has accelerated efforts to identify sex-dependent responses to treatments and interventions. Those efforts have, both historically and today, been concentrated in fields related to the brain and behavior. Here, we show that even though articles claiming sex-dependent effects are far more prevalent in the neurosciences than in other fields, those claims are infrequently supported by appropriate statistical evidence. Of 200 recent articles in the behavioral and brain sciences with a claim of a sex- or gender-dependent effect in the title, only 24% supported the claim with appropriate evidence—that is, they compared the effect statistically across sex and reported results consistent with the claim. In 9%, an appropriate test was described but the results were incomplete or missing; another 9% contained results that directly contradicted the claim. In most articles (58%), the effect was not compared statistically across sex. Across six brain-related research areas (behavioral sciences, clinical neurology, neurosciences, psychiatry, psychology, and substance abuse), neurosciences had the lowest rate of appropriate evidence (18%) and psychology the highest (39%). Studies on nonhuman animals supported the claim significantly less frequently (15%) than studies on human participants (34%;</w:t>
      </w:r>
      <w:r>
        <w:t xml:space="preserve"> </w:t>
      </w:r>
      <w:r>
        <w:t>P</w:t>
      </w:r>
      <w:r>
        <w:t xml:space="preserve"> </w:t>
      </w:r>
      <w:r>
        <w:t>= 0.002). The use of appropriate analytical approaches was unrelated to journal rank or the citation impact of the article. We conclude that claims of sex- or gender-dependent effects in the behavioral and brain sciences are often not supported by appropriate evidence, revealing a widespread inferential gap that may undermine translation of sex-dependent findings into evidence-based treatments.</w:t>
      </w:r>
    </w:p>
    <w:p>
      <w:pPr>
        <w:spacing w:before="120" w:after="120"/>
      </w:pPr>
      <w:r>
        <w:rPr>
          <w:sz w:val="18"/>
        </w:rPr>
        <w:t>——————————————————————————————————————————————————————————————————————</w:t>
      </w:r>
    </w:p>
    <w:p>
      <w:pPr>
        <w:spacing w:before="160" w:after="40" w:line="240" w:lineRule="auto"/>
      </w:pPr>
      <w:r>
        <w:rPr>
          <w:b/>
        </w:rPr>
        <w:t xml:space="preserve">[366] </w:t>
      </w:r>
      <w:hyperlink r:id="rId1217">
        <w:r>
          <w:rPr>
            <w:color w:val="1155CC"/>
            <w:u w:val="single"/>
          </w:rPr>
          <w:t>成年小鼠脑血管系统的参考蛋白质图谱</w:t>
        </w:r>
      </w:hyperlink>
    </w:p>
    <w:p>
      <w:pPr>
        <w:spacing w:before="0" w:after="80"/>
      </w:pPr>
      <w:r>
        <w:rPr>
          <w:i/>
          <w:sz w:val="20"/>
        </w:rPr>
        <w:t>EN: A reference protein atlas of the adult mouse brain vasculature</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18">
        <w:r>
          <w:rPr>
            <w:color w:val="1155CC"/>
            <w:u w:val="single"/>
          </w:rPr>
          <w:t>10.1073/pnas.2614173123</w:t>
        </w:r>
      </w:hyperlink>
    </w:p>
    <w:p>
      <w:pPr>
        <w:spacing w:before="0" w:after="120"/>
      </w:pPr>
      <w:r>
        <w:rPr>
          <w:b/>
        </w:rPr>
        <w:t xml:space="preserve">Notes: </w:t>
      </w:r>
      <w:r>
        <w:t>abstract_source=crossref</w:t>
      </w:r>
    </w:p>
    <w:p>
      <w:pPr>
        <w:spacing w:before="0" w:after="80" w:lineRule="auto" w:line="276"/>
      </w:pPr>
      <w:r>
        <w:rPr>
          <w:b/>
        </w:rPr>
        <w:t xml:space="preserve">摘要（ZH）: </w:t>
      </w:r>
      <w:r>
        <w:t>目前评估单个细胞中低丰度蛋白质的方法是有限的。因此，细胞功能通常是根据单细胞 RNA 测序 (scRNA-seq) 数据推断的，由于信使 RNA (mRNA) 和蛋白质水平之间的跨基因相关性（同一细胞中的不同基因）较差，这可能会产生误导。为了解决这个问题，我们使用分离的脑血管碎片来研究血脑屏障。我们应用了深度批量蛋白质组分析、蛋白质组标尺方法和 scRNA-seq 的组合，假设 mRNA 和蛋白质之间具有高度的基因内相关性（不同细胞中的相同基因）。这种方法使我们能够估计 8 种细胞类型（包括内皮细胞、平滑肌、周细胞、成纤维细胞和小胶质细胞）中 9,940 种蛋白质的每个细胞的蛋白质拷贝数。我们还评估了附着在血管碎片上的星形胶质细胞端脚的蛋白质丰度。我们的数据可通过在线数据库获得，为未来健康和疾病神经血管蛋白质组学的研究提供可搜索的资源和参考蛋白质图谱。</w:t>
      </w:r>
    </w:p>
    <w:p>
      <w:pPr>
        <w:spacing w:before="0" w:after="200" w:lineRule="auto" w:line="276"/>
      </w:pPr>
      <w:r>
        <w:rPr>
          <w:b/>
        </w:rPr>
        <w:t xml:space="preserve">Abstract (EN): </w:t>
      </w:r>
      <w:r>
        <w:t>Current methods for assessing low-abundance proteins in individual cells are limited. As a result, cell functions are often inferred from single-cell RNA sequencing (scRNA-seq) data, which can be misleading due to the poor cross-gene correlation (different genes in the same cells) between messenger RNA (mRNA) and protein levels. To address this issue, we used isolated brain vascular fragments to study the blood–brain barrier. We applied a combination of deep bulk proteomic analysis, a proteomic ruler approach, and scRNA-seq, assuming a high within-gene correlation (same gene in different cells) between mRNA and protein. This approach allowed us to estimate protein copy numbers per cell for 9,940 proteins across eight cell types, including endothelium, smooth muscle, pericytes, fibroblasts, and microglia. We also evaluated protein abundance in astrocyte end-feet attached to the vessel fragments. Our data are available through an Online Database, providing a searchable resource and reference protein atlas for future studies of neurovascular proteomics in health and disease.</w:t>
      </w:r>
    </w:p>
    <w:p>
      <w:pPr>
        <w:spacing w:before="120" w:after="120"/>
      </w:pPr>
      <w:r>
        <w:rPr>
          <w:sz w:val="18"/>
        </w:rPr>
        <w:t>——————————————————————————————————————————————————————————————————————</w:t>
      </w:r>
    </w:p>
    <w:p>
      <w:pPr>
        <w:spacing w:before="160" w:after="40" w:line="240" w:lineRule="auto"/>
      </w:pPr>
      <w:r>
        <w:rPr>
          <w:b/>
        </w:rPr>
        <w:t xml:space="preserve">[367] </w:t>
      </w:r>
      <w:hyperlink r:id="rId1219">
        <w:r>
          <w:rPr>
            <w:color w:val="1155CC"/>
            <w:u w:val="single"/>
          </w:rPr>
          <w:t>生菜受体样激酶识别微生物 Nep1 样蛋白中高度保守的七肽基序</w:t>
        </w:r>
      </w:hyperlink>
    </w:p>
    <w:p>
      <w:pPr>
        <w:spacing w:before="0" w:after="80"/>
      </w:pPr>
      <w:r>
        <w:rPr>
          <w:i/>
          <w:sz w:val="20"/>
        </w:rPr>
        <w:t>EN: A lettuce receptor-like kinase recognizes the highly conserved heptapeptide motif within microbial Nep1-like proteins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20">
        <w:r>
          <w:rPr>
            <w:color w:val="1155CC"/>
            <w:u w:val="single"/>
          </w:rPr>
          <w:t>10.1073/pnas.2532196123</w:t>
        </w:r>
      </w:hyperlink>
    </w:p>
    <w:p>
      <w:pPr>
        <w:spacing w:before="0" w:after="120"/>
      </w:pPr>
      <w:r>
        <w:rPr>
          <w:b/>
        </w:rPr>
        <w:t xml:space="preserve">Notes: </w:t>
      </w:r>
      <w:r>
        <w:t>abstract_source=crossref</w:t>
      </w:r>
    </w:p>
    <w:p>
      <w:pPr>
        <w:spacing w:before="0" w:after="80" w:lineRule="auto" w:line="276"/>
      </w:pPr>
      <w:r>
        <w:rPr>
          <w:b/>
        </w:rPr>
        <w:t xml:space="preserve">摘要（ZH）: </w:t>
      </w:r>
      <w:r>
        <w:t>植物依靠细胞表面免疫受体来检测微生物模式并启动有效的防御反应。尽管菊科是最大且经济上重要的植物类群之一，但有关其模式触发的免疫信号传导的信息却很少。栽培生菜（</w:t>
      </w:r>
      <w:r>
        <w:t xml:space="preserve"> </w:t>
      </w:r>
      <w:r>
        <w:t>生菜</w:t>
      </w:r>
      <w:r>
        <w:t xml:space="preserve"> </w:t>
      </w:r>
      <w:r>
        <w:t>L.) 可识别细菌、真菌和卵菌中发现的坏死和乙烯诱导肽 1 (Nep1) 样蛋白 (NLP) 中的 24 个氨基酸肽 (nlp24)。在这里，我们对生菜中 nlp24 诱导的免疫反应进行了广泛的表征，并将生菜 nlp24 受体 (LNR) 鉴定为介导其识别的富含亮氨酸重复受体样激酶。值得注意的是，生菜中 nlp24 的识别和随后的防御激活强烈依赖于保守的七肽基序 (GHRHDWE)。结构建模引导的诱变实验表明，nlp24 七肽中的残基与 LNR 螺线管结构中的疏水口袋相互作用。 LNR 和 LNR 之间存在不同的配体特异性且缺乏序列同源性</w:t>
      </w:r>
      <w:r>
        <w:t xml:space="preserve"> </w:t>
      </w:r>
      <w:r>
        <w:t>拟南芥</w:t>
      </w:r>
      <w:r>
        <w:t xml:space="preserve"> </w:t>
      </w:r>
      <w:r>
        <w:t>nlp24 识别受体 RLP23 表明生菜中的 NLP 识别</w:t>
      </w:r>
      <w:r>
        <w:t xml:space="preserve"> </w:t>
      </w:r>
      <w:r>
        <w:t>拟南芥</w:t>
      </w:r>
      <w:r>
        <w:t xml:space="preserve"> </w:t>
      </w:r>
      <w:r>
        <w:t>通过趋同进化独立出现。我们的系统发育分析表明，LNR 与</w:t>
      </w:r>
      <w:r>
        <w:t xml:space="preserve"> </w:t>
      </w:r>
      <w:r>
        <w:t>拟南芥</w:t>
      </w:r>
      <w:r>
        <w:t xml:space="preserve"> </w:t>
      </w:r>
      <w:r>
        <w:t>MALE DISCOVERER 1-相互作用受体样激酶 2 (MIK2)，但属于独特的菊科特异性单相</w:t>
      </w:r>
    </w:p>
    <w:p>
      <w:pPr>
        <w:spacing w:before="0" w:after="200" w:lineRule="auto" w:line="276"/>
      </w:pPr>
      <w:r>
        <w:rPr>
          <w:b/>
        </w:rPr>
        <w:t xml:space="preserve">Abstract (EN): </w:t>
      </w:r>
      <w:r>
        <w:t>Plants rely on cell surface immune receptors to detect microbial patterns and initiate effective defense responses. Although the Asteraceae family is one of the largest and economically important plant groups, little information is available about its pattern-triggered immunity signaling. Cultivated lettuce (</w:t>
      </w:r>
      <w:r>
        <w:t xml:space="preserve"> </w:t>
      </w:r>
      <w:r>
        <w:t>Lactuca sativa</w:t>
      </w:r>
      <w:r>
        <w:t xml:space="preserve"> </w:t>
      </w:r>
      <w:r>
        <w:t>L.) recognizes a 24-amino acid peptide (nlp24) from necrosis- and ethylene-inducing peptide 1 (Nep1)-like proteins (NLPs) found in bacteria, fungi, and oomycetes. Here, we perform an extensive characterization of nlp24-induced immune responses in lettuce and identify the LETTUCE nlp24 RECEPTOR (LNR) as the leucine-rich repeat receptor-like kinase mediating its recognition. Remarkably, nlp24 recognition in lettuce and subsequent activation of defenses strongly depend on the conserved heptapeptide motif (GHRHDWE). Structural modeling-guided mutagenesis experiments suggest that residues in the nlp24 heptapeptide interact with a hydrophobic pocket in the LNR solenoid structure. Divergent ligand specificities and the absence of sequence homology between LNR and the</w:t>
      </w:r>
      <w:r>
        <w:t xml:space="preserve"> </w:t>
      </w:r>
      <w:r>
        <w:t>Arabidopsis</w:t>
      </w:r>
      <w:r>
        <w:t xml:space="preserve"> </w:t>
      </w:r>
      <w:r>
        <w:t>nlp24-recognizing receptor RLP23 indicate that NLP recognition in lettuce and</w:t>
      </w:r>
      <w:r>
        <w:t xml:space="preserve"> </w:t>
      </w:r>
      <w:r>
        <w:t>Arabidopsis</w:t>
      </w:r>
      <w:r>
        <w:t xml:space="preserve"> </w:t>
      </w:r>
      <w:r>
        <w:t>emerged independently, through convergent evolution. Our phylogenetic analysis shows that LNR is closely related to</w:t>
      </w:r>
      <w:r>
        <w:t xml:space="preserve"> </w:t>
      </w:r>
      <w:r>
        <w:t>Arabidopsis</w:t>
      </w:r>
      <w:r>
        <w:t xml:space="preserve"> </w:t>
      </w:r>
      <w:r>
        <w:t>MALE DISCOVERER 1-INTERACTING RECEPTOR-LIKE KINASE 2 (MIK2) but belongs to a distinct, Asteraceae-specific monophyletic subgroup that has undergone a significant expansion in</w:t>
      </w:r>
      <w:r>
        <w:t xml:space="preserve"> </w:t>
      </w:r>
      <w:r>
        <w:t>Lactuca</w:t>
      </w:r>
      <w:r>
        <w:t xml:space="preserve"> </w:t>
      </w:r>
      <w:r>
        <w:t>. Our findings provide insights into the mechanisms of pattern-triggered immunity in lettuce and present an example of convergent evolution of plant pattern-recognition receptors.</w:t>
      </w:r>
    </w:p>
    <w:p>
      <w:pPr>
        <w:spacing w:before="120" w:after="120"/>
      </w:pPr>
      <w:r>
        <w:rPr>
          <w:sz w:val="18"/>
        </w:rPr>
        <w:t>——————————————————————————————————————————————————————————————————————</w:t>
      </w:r>
    </w:p>
    <w:p>
      <w:pPr>
        <w:spacing w:before="160" w:after="40" w:line="240" w:lineRule="auto"/>
      </w:pPr>
      <w:r>
        <w:rPr>
          <w:b/>
        </w:rPr>
        <w:t xml:space="preserve">[368] </w:t>
      </w:r>
      <w:hyperlink r:id="rId1221">
        <w:r>
          <w:rPr>
            <w:color w:val="1155CC"/>
            <w:u w:val="single"/>
          </w:rPr>
          <w:t>母亲营养决定了 STRA6 相关眼部畸形的可变表达性</w:t>
        </w:r>
      </w:hyperlink>
    </w:p>
    <w:p>
      <w:pPr>
        <w:spacing w:before="0" w:after="80"/>
      </w:pPr>
      <w:r>
        <w:rPr>
          <w:i/>
          <w:sz w:val="20"/>
        </w:rPr>
        <w:t>EN: Maternal nutrition determines the variable expressivity of STRA6-associated eye malformations</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22">
        <w:r>
          <w:rPr>
            <w:color w:val="1155CC"/>
            <w:u w:val="single"/>
          </w:rPr>
          <w:t>10.1073/pnas.2608068123</w:t>
        </w:r>
      </w:hyperlink>
    </w:p>
    <w:p>
      <w:pPr>
        <w:spacing w:before="0" w:after="120"/>
      </w:pPr>
      <w:r>
        <w:rPr>
          <w:b/>
        </w:rPr>
        <w:t xml:space="preserve">Notes: </w:t>
      </w:r>
      <w:r>
        <w:t>abstract_source=crossref</w:t>
      </w:r>
    </w:p>
    <w:p>
      <w:pPr>
        <w:spacing w:before="0" w:after="80" w:lineRule="auto" w:line="276"/>
      </w:pPr>
      <w:r>
        <w:rPr>
          <w:b/>
        </w:rPr>
        <w:t xml:space="preserve">摘要（ZH）: </w:t>
      </w:r>
      <w:r>
        <w:t>突变在</w:t>
      </w:r>
      <w:r>
        <w:t xml:space="preserve"> </w:t>
      </w:r>
      <w:r>
        <w:t>斯特拉6</w:t>
      </w:r>
      <w:r>
        <w:t xml:space="preserve"> </w:t>
      </w:r>
      <w:r>
        <w:t>视黄醇结合蛋白的高亲和力受体，会导致马修-伍德综合征，这是一种先天性疾病，其特征是显着的表型变异，从孤立的眼部异常到严重的多系统畸形。这种可变表达性和不完全外显率背后的机制仍然知之甚少。在这里，我们使用小鼠来确定母体维生素 A 状态和胚胎如何</w:t>
      </w:r>
      <w:r>
        <w:t xml:space="preserve"> </w:t>
      </w:r>
      <w:r>
        <w:t>斯特拉6</w:t>
      </w:r>
      <w:r>
        <w:t xml:space="preserve"> </w:t>
      </w:r>
      <w:r>
        <w:t>基因型相互作用塑造眼睛发育。使用</w:t>
      </w:r>
      <w:r>
        <w:t xml:space="preserve"> </w:t>
      </w:r>
      <w:r>
        <w:t>斯特拉6</w:t>
      </w:r>
      <w:r>
        <w:t xml:space="preserve"> </w:t>
      </w:r>
      <w:r>
        <w:t>-在特定饮食条件下饲养的缺陷小鼠，我们证明母体维生素 A 的可用性是表型结果的主要调节因素。母体维生素 A 限制会导致小眼症，并显着降低后代的出生后存活率。值得注意的是，后代</w:t>
      </w:r>
      <w:r>
        <w:t xml:space="preserve"> </w:t>
      </w:r>
      <w:r>
        <w:t>斯特拉6</w:t>
      </w:r>
      <w:r>
        <w:t xml:space="preserve"> </w:t>
      </w:r>
      <w:r>
        <w:t>−/−</w:t>
      </w:r>
      <w:r>
        <w:t>维持维生素A充足饮食（相当于小鼠推荐膳食摄入量）的母鼠也出现了明显的眼部异常，包括视网膜发育不良以及视杆细胞和视锥细胞视蛋白分化受损。相比之下，由标准饲料提供的超生理性母体维生素 A 摄入量部分挽救了眼睛发育，并在后代中产生了接近正常的眼睛形态。引人注目的是，杂合子</w:t>
      </w:r>
      <w:r>
        <w:t xml:space="preserve"> </w:t>
      </w:r>
      <w:r>
        <w:t>斯特拉6</w:t>
      </w:r>
      <w:r>
        <w:t xml:space="preserve"> </w:t>
      </w:r>
      <w:r>
        <w:t>+/-</w:t>
      </w:r>
      <w:r>
        <w:t>所生的后代</w:t>
      </w:r>
      <w:r>
        <w:t xml:space="preserve"> </w:t>
      </w:r>
      <w:r>
        <w:t>斯特拉6</w:t>
      </w:r>
      <w:r>
        <w:t xml:space="preserve"> </w:t>
      </w:r>
      <w:r>
        <w:t>−/−</w:t>
      </w:r>
      <w:r>
        <w:t>水坝受到保护</w:t>
      </w:r>
    </w:p>
    <w:p>
      <w:pPr>
        <w:spacing w:before="0" w:after="200" w:lineRule="auto" w:line="276"/>
      </w:pPr>
      <w:r>
        <w:rPr>
          <w:b/>
        </w:rPr>
        <w:t xml:space="preserve">Abstract (EN): </w:t>
      </w:r>
      <w:r>
        <w:t>Mutations in</w:t>
      </w:r>
      <w:r>
        <w:t xml:space="preserve"> </w:t>
      </w:r>
      <w:r>
        <w:t>STRA6</w:t>
      </w:r>
      <w:r>
        <w:t xml:space="preserve"> </w:t>
      </w:r>
      <w:r>
        <w:t>, the high-affinity receptor for retinol-binding protein, cause Matthew-Wood syndrome, a congenital disorder characterized by striking phenotypic variability ranging from isolated ocular anomalies to severe multisystem malformations. The mechanisms underlying this variable expressivity and incomplete penetrance remain poorly understood. Here, we used mice to determine how maternal vitamin A status and embryonic</w:t>
      </w:r>
      <w:r>
        <w:t xml:space="preserve"> </w:t>
      </w:r>
      <w:r>
        <w:t>Stra6</w:t>
      </w:r>
      <w:r>
        <w:t xml:space="preserve"> </w:t>
      </w:r>
      <w:r>
        <w:t>genotype interact to shape ocular development. Using</w:t>
      </w:r>
      <w:r>
        <w:t xml:space="preserve"> </w:t>
      </w:r>
      <w:r>
        <w:t>Stra6</w:t>
      </w:r>
      <w:r>
        <w:t xml:space="preserve"> </w:t>
      </w:r>
      <w:r>
        <w:t>-deficient mice bred under defined dietary conditions, we demonstrate that maternal vitamin A availability is a major modifier of phenotypic outcome. Maternal vitamin A restriction resulted in microphthalmia and markedly reduced postnatal survival of the offspring. Remarkably, offspring of</w:t>
      </w:r>
      <w:r>
        <w:t xml:space="preserve"> </w:t>
      </w:r>
      <w:r>
        <w:t>Stra6</w:t>
      </w:r>
      <w:r>
        <w:t xml:space="preserve"> </w:t>
      </w:r>
      <w:r>
        <w:t>−/−</w:t>
      </w:r>
      <w:r>
        <w:t>dams maintained on a vitamin A–sufficient diet, corresponding to the recommended dietary allowance for mice, also developed pronounced ocular abnormalities, including retinal dysplasia and impaired rod and cone opsin differentiation. In contrast, supraphysiological maternal vitamin A intake, as provided by a standard chow, partially rescued ocular development and produced near-normal eye morphology in the offspring. Strikingly, heterozygous</w:t>
      </w:r>
      <w:r>
        <w:t xml:space="preserve"> </w:t>
      </w:r>
      <w:r>
        <w:t>Stra6</w:t>
      </w:r>
      <w:r>
        <w:t xml:space="preserve"> </w:t>
      </w:r>
      <w:r>
        <w:t>+/−</w:t>
      </w:r>
      <w:r>
        <w:t>offspring born to</w:t>
      </w:r>
      <w:r>
        <w:t xml:space="preserve"> </w:t>
      </w:r>
      <w:r>
        <w:t>Stra6</w:t>
      </w:r>
      <w:r>
        <w:t xml:space="preserve"> </w:t>
      </w:r>
      <w:r>
        <w:t>−/−</w:t>
      </w:r>
      <w:r>
        <w:t>dams were protected from both lethality and ocular malformations despite maternal STRA6 deficiency and dietary vitamin A restriction. Biochemical analyses revealed that ocular retinoid availability strictly depended on the</w:t>
      </w:r>
      <w:r>
        <w:t xml:space="preserve"> </w:t>
      </w:r>
      <w:r>
        <w:t>Stra6</w:t>
      </w:r>
      <w:r>
        <w:t xml:space="preserve"> </w:t>
      </w:r>
      <w:r>
        <w:t>genotype of the offspring, whereas some circulating retinol remained detectable even under maternal vitamin A deficiency. Together, these findings identify a gene–nutrient interaction that explains the variable expressivity of</w:t>
      </w:r>
      <w:r>
        <w:t xml:space="preserve"> </w:t>
      </w:r>
      <w:r>
        <w:t>STRA6</w:t>
      </w:r>
      <w:r>
        <w:t xml:space="preserve"> </w:t>
      </w:r>
      <w:r>
        <w:t>-associated disease and establish maternal vitamin A status as a critical determinant of ocular development and postnatal survival.</w:t>
      </w:r>
    </w:p>
    <w:p>
      <w:pPr>
        <w:spacing w:before="120" w:after="120"/>
      </w:pPr>
      <w:r>
        <w:rPr>
          <w:sz w:val="18"/>
        </w:rPr>
        <w:t>——————————————————————————————————————————————————————————————————————</w:t>
      </w:r>
    </w:p>
    <w:p>
      <w:pPr>
        <w:spacing w:before="160" w:after="40" w:line="240" w:lineRule="auto"/>
      </w:pPr>
      <w:r>
        <w:rPr>
          <w:b/>
        </w:rPr>
        <w:t xml:space="preserve">[369] </w:t>
      </w:r>
      <w:hyperlink r:id="rId1223">
        <w:r>
          <w:rPr>
            <w:color w:val="1155CC"/>
            <w:u w:val="single"/>
          </w:rPr>
          <w:t>生命早期的糖限制会降低成人癌症发病率并延缓生物衰老</w:t>
        </w:r>
      </w:hyperlink>
    </w:p>
    <w:p>
      <w:pPr>
        <w:spacing w:before="0" w:after="80"/>
      </w:pPr>
      <w:r>
        <w:rPr>
          <w:i/>
          <w:sz w:val="20"/>
        </w:rPr>
        <w:t>EN: Early-life sugar restriction causally reduces adult cancer incidence and slows biological aging</w:t>
      </w:r>
    </w:p>
    <w:p>
      <w:pPr>
        <w:spacing w:before="0" w:after="120"/>
      </w:pPr>
      <w:r>
        <w:rPr>
          <w:b/>
        </w:rPr>
        <w:t xml:space="preserve">Source: </w:t>
      </w:r>
      <w:r>
        <w:t>Proceedings of the National Academy of Sciences: Keyword search for query</w:t>
      </w:r>
      <w:r>
        <w:t xml:space="preserve">    </w:t>
      </w:r>
      <w:r>
        <w:rPr>
          <w:b/>
        </w:rPr>
        <w:t xml:space="preserve">Pub date: </w:t>
      </w:r>
      <w:r>
        <w:t>2026-08-04 07:00:00+00:00</w:t>
      </w:r>
      <w:r>
        <w:t xml:space="preserve">    </w:t>
      </w:r>
      <w:r>
        <w:rPr>
          <w:b/>
        </w:rPr>
        <w:t xml:space="preserve">DOI: </w:t>
      </w:r>
      <w:hyperlink r:id="rId1224">
        <w:r>
          <w:rPr>
            <w:color w:val="1155CC"/>
            <w:u w:val="single"/>
          </w:rPr>
          <w:t>10.1073/pnas.2610287123</w:t>
        </w:r>
      </w:hyperlink>
    </w:p>
    <w:p>
      <w:pPr>
        <w:spacing w:before="0" w:after="120"/>
      </w:pPr>
      <w:r>
        <w:rPr>
          <w:b/>
        </w:rPr>
        <w:t xml:space="preserve">Notes: </w:t>
      </w:r>
      <w:r>
        <w:t>abstract_source=crossref</w:t>
      </w:r>
    </w:p>
    <w:p>
      <w:pPr>
        <w:spacing w:before="0" w:after="80" w:lineRule="auto" w:line="276"/>
      </w:pPr>
      <w:r>
        <w:rPr>
          <w:b/>
        </w:rPr>
        <w:t xml:space="preserve">摘要（ZH）: </w:t>
      </w:r>
      <w:r>
        <w:t>过量的糖摄入通过胰岛素抵抗、慢性炎症和代谢重编程与多种癌症有关，但生命早期的糖暴露是否会影响长期癌症风险仍然是一个悬而未决的问题。我们利用 1953 年 9 月英国糖配给的突然终止作为一项自然实验，分析了 1951 年至 1956 年出生的 64,761 名英国生物银行参与者。生命前 1,000 天接受配给的队列表现出成人癌症发病率的剂量依赖性降低：肝癌/肝内胆管 (IHBD)（风险比 0.31）、直肠（HR 0.60）、肺癌（HR 0.59）、前列腺（HR 0.48）和乳腺癌（HR 0.64）。我们发现了这种早期生命暴露在整个生命过程中传播的两条途径。首先，行为途径：配给群体在五年后消耗更少的糖，吃更少的量，并保持更健康、更多样化的饮食，这与关键发育窗口期间形成的持久口味偏好一致。其次，生物学途径：配给群体表现出更长的白细胞端粒长度（</w:t>
      </w:r>
      <w:r>
        <w:t xml:space="preserve"> </w:t>
      </w:r>
      <w:r>
        <w:t>+</w:t>
      </w:r>
      <w:r>
        <w:t xml:space="preserve"> </w:t>
      </w:r>
      <w:r>
        <w:t>0.05 SD，生物衰老大约减少 2.2 年）和较低的颗粒酶 B，表明慢性免疫激活减少。这些发现提供了将生命早期糖摄入与癌症联系起来的因果证据，并确定了与持续的口味偏好一致的行为途径，通过该途径，早期营养环境可能会影响终生疾病风险。结果约</w:t>
      </w:r>
    </w:p>
    <w:p>
      <w:pPr>
        <w:spacing w:before="0" w:after="200" w:lineRule="auto" w:line="276"/>
      </w:pPr>
      <w:r>
        <w:rPr>
          <w:b/>
        </w:rPr>
        <w:t xml:space="preserve">Abstract (EN): </w:t>
      </w:r>
      <w:r>
        <w:t>Excess sugar consumption is implicated in multiple cancers through insulin resistance, chronic inflammation, and metabolic reprogramming, yet whether early-life sugar exposure causally shapes long-term cancer risk remains an open question. We exploit the abrupt end of United Kingdom sugar rationing in September 1953 as a natural experiment, analyzing 64,761 UK Biobank participants born 1951–1956. Cohorts whose first 1,000 d of life fell under rationing exhibit dose-dependent reductions in adult cancer incidence: liver/intrahepatic bile duct (IHBD) (hazard ratio 0.31), rectum (HR 0.60), lung (HR 0.59), prostate (HR 0.48), and breast (HR 0.64). We uncover two pathways through which this early-life exposure propagates across the life course. First, a behavioral pathway: Rationed cohorts consume less sugar, eat smaller quantities, and maintain healthier, more diverse diets five decades later, consistent with persistent taste preferences shaped during a critical developmental window. Second, a biological pathway: Rationed cohorts exhibit longer leukocyte telomere length (</w:t>
      </w:r>
      <w:r>
        <w:t xml:space="preserve"> </w:t>
      </w:r>
      <w:r>
        <w:t>+</w:t>
      </w:r>
      <w:r>
        <w:t xml:space="preserve"> </w:t>
      </w:r>
      <w:r>
        <w:t>0.05 SD, approximately 2.2 fewer years of biological aging) and lower Granzyme B, indicating reduced chronic immune activation. These findings provide causal evidence linking early-life sugar intake to cancer and identify a behavioral pathway, consistent with persistent taste preferences, through which early nutritional environments may shape lifelong disease risk. The results carry direct implications for early-life nutrition and added-sugar policy.</w:t>
      </w:r>
    </w:p>
    <w:p>
      <w:pPr>
        <w:spacing w:before="120" w:after="120"/>
      </w:pPr>
      <w:r>
        <w:rPr>
          <w:sz w:val="18"/>
        </w:rPr>
        <w:t>——————————————————————————————————————————————————————————————————————</w:t>
      </w:r>
    </w:p>
    <w:p>
      <w:pPr>
        <w:spacing w:before="160" w:after="40" w:line="240" w:lineRule="auto"/>
      </w:pPr>
      <w:r>
        <w:rPr>
          <w:b/>
        </w:rPr>
        <w:t xml:space="preserve">[370] </w:t>
      </w:r>
      <w:hyperlink r:id="rId1225">
        <w:r>
          <w:rPr>
            <w:color w:val="1155CC"/>
            <w:u w:val="single"/>
          </w:rPr>
          <w:t>更新了亚 Mpc 尺度原始功率谱的约束</w:t>
        </w:r>
      </w:hyperlink>
    </w:p>
    <w:p>
      <w:pPr>
        <w:spacing w:before="0" w:after="80"/>
      </w:pPr>
      <w:r>
        <w:rPr>
          <w:i/>
          <w:sz w:val="20"/>
        </w:rPr>
        <w:t>EN: Updated Constraints on the Primordial Power Spectrum at sub-Mpc Scales</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26">
        <w:r>
          <w:rPr>
            <w:color w:val="1155CC"/>
            <w:u w:val="single"/>
          </w:rPr>
          <w:t>10.1103/2jhb-n2rk</w:t>
        </w:r>
      </w:hyperlink>
    </w:p>
    <w:p>
      <w:pPr>
        <w:spacing w:before="0" w:after="120"/>
      </w:pPr>
      <w:r>
        <w:rPr>
          <w:b/>
        </w:rPr>
        <w:t xml:space="preserve">Notes: </w:t>
      </w:r>
      <w:r>
        <w:t>abstract_source=rss_description</w:t>
      </w:r>
    </w:p>
    <w:p>
      <w:pPr>
        <w:spacing w:before="0" w:after="80" w:lineRule="auto" w:line="276"/>
      </w:pPr>
      <w:r>
        <w:rPr>
          <w:b/>
        </w:rPr>
        <w:t xml:space="preserve">摘要（ZH）: </w:t>
      </w:r>
      <w:r>
        <w:t>作者：Torsten Bringmann、Djuna Croon 和 Sergio Sevillano Muñoz物质密度扰动的原始功率谱包含有关新基础物理的非常有价值的信息，特别是宇宙膨胀，但对于小宇宙尺度 $k≳3\text{ }\text{ }{\mathrm{Mpc}}^{−1}$ 的观测约束非常弱。我们推导出……[物理。莱特牧师。 137, 061002] 2026 年 8 月 4 日星期二发布</w:t>
      </w:r>
    </w:p>
    <w:p>
      <w:pPr>
        <w:spacing w:before="0" w:after="200" w:lineRule="auto" w:line="276"/>
      </w:pPr>
      <w:r>
        <w:rPr>
          <w:b/>
        </w:rPr>
        <w:t xml:space="preserve">Abstract (EN): </w:t>
      </w:r>
      <w:r>
        <w:t>Author(s): Torsten Bringmann, Djuna Croon, and Sergio Sevillano MuñozThe primordial power spectrum of matter density perturbations contains highly valuable information about new fundamental physics, in particular cosmological inflation, but is only very weakly constrained observationally for small cosmological scales $k≳3\text{ }\text{ }{\mathrm{Mpc}}^{−1}$. We deriv…[Phys. Rev. Lett. 137, 061002] Published Tue Aug 04, 2026</w:t>
      </w:r>
    </w:p>
    <w:p>
      <w:pPr>
        <w:spacing w:before="120" w:after="120"/>
      </w:pPr>
      <w:r>
        <w:rPr>
          <w:sz w:val="18"/>
        </w:rPr>
        <w:t>——————————————————————————————————————————————————————————————————————</w:t>
      </w:r>
    </w:p>
    <w:p>
      <w:pPr>
        <w:spacing w:before="160" w:after="40" w:line="240" w:lineRule="auto"/>
      </w:pPr>
      <w:r>
        <w:rPr>
          <w:b/>
        </w:rPr>
        <w:t xml:space="preserve">[371] </w:t>
      </w:r>
      <w:hyperlink r:id="rId1227">
        <w:r>
          <w:rPr>
            <w:color w:val="1155CC"/>
            <w:u w:val="single"/>
          </w:rPr>
          <w:t>活细胞内货物运输的动态异质性和拉伸指数分布</w:t>
        </w:r>
      </w:hyperlink>
    </w:p>
    <w:p>
      <w:pPr>
        <w:spacing w:before="0" w:after="80"/>
      </w:pPr>
      <w:r>
        <w:rPr>
          <w:i/>
          <w:sz w:val="20"/>
        </w:rPr>
        <w:t>EN: Dynamic Heterogeneity and Stretched Exponential Distributions in Cargo Transport within Living Cells</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28">
        <w:r>
          <w:rPr>
            <w:color w:val="1155CC"/>
            <w:u w:val="single"/>
          </w:rPr>
          <w:t>10.1103/ngxy-z1d3</w:t>
        </w:r>
      </w:hyperlink>
    </w:p>
    <w:p>
      <w:pPr>
        <w:spacing w:before="0" w:after="120"/>
      </w:pPr>
      <w:r>
        <w:rPr>
          <w:b/>
        </w:rPr>
        <w:t xml:space="preserve">Notes: </w:t>
      </w:r>
      <w:r>
        <w:t>abstract_source=rss_description</w:t>
      </w:r>
    </w:p>
    <w:p>
      <w:pPr>
        <w:spacing w:before="0" w:after="80" w:lineRule="auto" w:line="276"/>
      </w:pPr>
      <w:r>
        <w:rPr>
          <w:b/>
        </w:rPr>
        <w:t xml:space="preserve">摘要（ZH）: </w:t>
      </w:r>
      <w:r>
        <w:t>作者：沉玉生、文彦、赵其瑞、黄平波、赖碧英和童鹏尔非平衡稳态涨落的拉伸指数分布在生命和非生命系统中普遍存在，但其微观起源仍然难以捉摸。在这封信中，我们跟踪了三种类型的囊泡在不同细胞类型中的运动，并发现它们的运动......[Phys。莱特牧师。 137, 068401] 2026 年 8 月 4 日星期二发布</w:t>
      </w:r>
    </w:p>
    <w:p>
      <w:pPr>
        <w:spacing w:before="0" w:after="200" w:lineRule="auto" w:line="276"/>
      </w:pPr>
      <w:r>
        <w:rPr>
          <w:b/>
        </w:rPr>
        <w:t xml:space="preserve">Abstract (EN): </w:t>
      </w:r>
      <w:r>
        <w:t>Author(s): Yusheng Shen, Yan Wen, Qirui Zhao, Pingbo Huang, Pik-Yin Lai, and Penger TongStretched exponential distributions of nonequilibrium steady-state fluctuations are ubiquitous in living and nonliving systems alike, yet their microscopic origins have remained elusive. In this Letter, we track the motion of three types of vesicles across different cell types and find that their tr…[Phys. Rev. Lett. 137, 068401] Published Tue Aug 04, 2026</w:t>
      </w:r>
    </w:p>
    <w:p>
      <w:pPr>
        <w:spacing w:before="120" w:after="120"/>
      </w:pPr>
      <w:r>
        <w:rPr>
          <w:sz w:val="18"/>
        </w:rPr>
        <w:t>——————————————————————————————————————————————————————————————————————</w:t>
      </w:r>
    </w:p>
    <w:p>
      <w:pPr>
        <w:spacing w:before="160" w:after="40" w:line="240" w:lineRule="auto"/>
      </w:pPr>
      <w:r>
        <w:rPr>
          <w:b/>
        </w:rPr>
        <w:t xml:space="preserve">[372] </w:t>
      </w:r>
      <w:hyperlink r:id="rId1229">
        <w:r>
          <w:rPr>
            <w:color w:val="1155CC"/>
            <w:u w:val="single"/>
          </w:rPr>
          <w:t>具有角动量相关八极振动核心的 $^{233}\mathrm{Th}$ 的结构</w:t>
        </w:r>
      </w:hyperlink>
    </w:p>
    <w:p>
      <w:pPr>
        <w:spacing w:before="0" w:after="80"/>
      </w:pPr>
      <w:r>
        <w:rPr>
          <w:i/>
          <w:sz w:val="20"/>
        </w:rPr>
        <w:t>EN: Structure of $^{233}\mathrm{Th}$ with an angular-momentum-dependent octupole-vibration core</w:t>
      </w:r>
    </w:p>
    <w:p>
      <w:pPr>
        <w:spacing w:before="0" w:after="120"/>
      </w:pPr>
      <w:r>
        <w:rPr>
          <w:b/>
        </w:rPr>
        <w:t xml:space="preserve">Source: </w:t>
      </w:r>
      <w:r>
        <w:t>Recent Articles in Phys. Rev. C</w:t>
      </w:r>
      <w:r>
        <w:t xml:space="preserve">    </w:t>
      </w:r>
      <w:r>
        <w:rPr>
          <w:b/>
        </w:rPr>
        <w:t xml:space="preserve">Pub date: </w:t>
      </w:r>
      <w:r>
        <w:t>2026-08-04 10:00:00+00:00</w:t>
      </w:r>
      <w:r>
        <w:t xml:space="preserve">    </w:t>
      </w:r>
      <w:r>
        <w:rPr>
          <w:b/>
        </w:rPr>
        <w:t xml:space="preserve">DOI: </w:t>
      </w:r>
      <w:hyperlink r:id="rId1230">
        <w:r>
          <w:rPr>
            <w:color w:val="1155CC"/>
            <w:u w:val="single"/>
          </w:rPr>
          <w:t>10.1103/qfdm-pf42</w:t>
        </w:r>
      </w:hyperlink>
    </w:p>
    <w:p>
      <w:pPr>
        <w:spacing w:before="0" w:after="120"/>
      </w:pPr>
      <w:r>
        <w:rPr>
          <w:b/>
        </w:rPr>
        <w:t xml:space="preserve">Notes: </w:t>
      </w:r>
      <w:r>
        <w:t>abstract_source=rss_description</w:t>
      </w:r>
    </w:p>
    <w:p>
      <w:pPr>
        <w:spacing w:before="0" w:after="80" w:lineRule="auto" w:line="276"/>
      </w:pPr>
      <w:r>
        <w:rPr>
          <w:b/>
        </w:rPr>
        <w:t xml:space="preserve">摘要（ZH）: </w:t>
      </w:r>
      <w:r>
        <w:t>作者：Yeruoxi Chen, Q. B. Chen, R. V. Jolos, Xian-Rong Zhou, and Yu-Gang 为了考虑奇质量原子核中的动态八极相关性，将角动量相关的八极振动核纳入八极核-准粒子耦合模型中，并以 $^{233}\mathrm{Th}$ 的结构为代表进行研究示例。计算出的正和n…[物理。 Rev. C 114, 024308] 于 2026 年 8 月 4 日星期二发布</w:t>
      </w:r>
    </w:p>
    <w:p>
      <w:pPr>
        <w:spacing w:before="0" w:after="200" w:lineRule="auto" w:line="276"/>
      </w:pPr>
      <w:r>
        <w:rPr>
          <w:b/>
        </w:rPr>
        <w:t xml:space="preserve">Abstract (EN): </w:t>
      </w:r>
      <w:r>
        <w:t>Author(s): Yeruoxi Chen, Q. B. Chen, R. V. Jolos, Xian-Rong Zhou, and Yu-Gang MaTo consider the dynamic octupole correlations in odd-mass nuclei, an angular-momentum-dependent octupole-vibration core is incorporated into the octupole core-quasiparticle coupling model, and the structure of $^{233}\mathrm{Th}$ is studied as a representative example. The calculated positive- and n…[Phys. Rev. C 114, 024308] Published Tue Aug 04, 2026</w:t>
      </w:r>
    </w:p>
    <w:p>
      <w:pPr>
        <w:spacing w:before="120" w:after="120"/>
      </w:pPr>
      <w:r>
        <w:rPr>
          <w:sz w:val="18"/>
        </w:rPr>
        <w:t>——————————————————————————————————————————————————————————————————————</w:t>
      </w:r>
    </w:p>
    <w:p>
      <w:pPr>
        <w:spacing w:before="160" w:after="40" w:line="240" w:lineRule="auto"/>
      </w:pPr>
      <w:r>
        <w:rPr>
          <w:b/>
        </w:rPr>
        <w:t xml:space="preserve">[373] </w:t>
      </w:r>
      <w:hyperlink r:id="rId1231">
        <w:r>
          <w:rPr>
            <w:color w:val="1155CC"/>
            <w:u w:val="single"/>
          </w:rPr>
          <w:t>通过亚晶格电流的奇偶校验交变磁性：从 Haldane-Hubbard 模型到一般二分晶格</w:t>
        </w:r>
      </w:hyperlink>
    </w:p>
    <w:p>
      <w:pPr>
        <w:spacing w:before="0" w:after="80"/>
      </w:pPr>
      <w:r>
        <w:rPr>
          <w:i/>
          <w:sz w:val="20"/>
        </w:rPr>
        <w:t>EN: Odd-Parity Altermagnetism through Sublattice Currents: From Haldane-Hubbard Model to General Bipartite Lattices</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32">
        <w:r>
          <w:rPr>
            <w:color w:val="1155CC"/>
            <w:u w:val="single"/>
          </w:rPr>
          <w:t>10.1103/c8pd-2fs4</w:t>
        </w:r>
      </w:hyperlink>
    </w:p>
    <w:p>
      <w:pPr>
        <w:spacing w:before="0" w:after="120"/>
      </w:pPr>
      <w:r>
        <w:rPr>
          <w:b/>
        </w:rPr>
        <w:t xml:space="preserve">Notes: </w:t>
      </w:r>
      <w:r>
        <w:t>abstract_source=rss_description</w:t>
      </w:r>
    </w:p>
    <w:p>
      <w:pPr>
        <w:spacing w:before="0" w:after="80" w:lineRule="auto" w:line="276"/>
      </w:pPr>
      <w:r>
        <w:rPr>
          <w:b/>
        </w:rPr>
        <w:t xml:space="preserve">摘要（ZH）: </w:t>
      </w:r>
      <w:r>
        <w:t>作者：Yu-Ping Lin 和 Marc Vila 亚晶格电流是实现奇宇称交变磁性的可行途径，其中非相对论共线自旋分裂作为动量的奇函数在能带中发生。莱特牧师。 137, 066702] 2026 年 8 月 4 日星期二发布</w:t>
      </w:r>
    </w:p>
    <w:p>
      <w:pPr>
        <w:spacing w:before="0" w:after="200" w:lineRule="auto" w:line="276"/>
      </w:pPr>
      <w:r>
        <w:rPr>
          <w:b/>
        </w:rPr>
        <w:t xml:space="preserve">Abstract (EN): </w:t>
      </w:r>
      <w:r>
        <w:t>Author(s): Yu-Ping Lin and Marc VilaSublattice currents are a feasible route to odd-parity altermagnetism, where nonrelativistic collinear spin splitting occurs in the bands as an odd function of momentum.[Phys. Rev. Lett. 137, 066702] Published Tue Aug 04, 2026</w:t>
      </w:r>
    </w:p>
    <w:p>
      <w:pPr>
        <w:spacing w:before="120" w:after="120"/>
      </w:pPr>
      <w:r>
        <w:rPr>
          <w:sz w:val="18"/>
        </w:rPr>
        <w:t>——————————————————————————————————————————————————————————————————————</w:t>
      </w:r>
    </w:p>
    <w:p>
      <w:pPr>
        <w:spacing w:before="160" w:after="40" w:line="240" w:lineRule="auto"/>
      </w:pPr>
      <w:r>
        <w:rPr>
          <w:b/>
        </w:rPr>
        <w:t xml:space="preserve">[374] </w:t>
      </w:r>
      <w:hyperlink r:id="rId1233">
        <w:r>
          <w:rPr>
            <w:color w:val="1155CC"/>
            <w:u w:val="single"/>
          </w:rPr>
          <w:t>$^{71}\mathrm{Fe}→^{71}\mathrm{Co} β$ 衰变的全吸收光谱研究</w:t>
        </w:r>
      </w:hyperlink>
    </w:p>
    <w:p>
      <w:pPr>
        <w:spacing w:before="0" w:after="80"/>
      </w:pPr>
      <w:r>
        <w:rPr>
          <w:i/>
          <w:sz w:val="20"/>
        </w:rPr>
        <w:t>EN: Total absorption spectroscopy study of the $^{71}\mathrm{Fe}→^{71}\mathrm{Co} β$ decay</w:t>
      </w:r>
    </w:p>
    <w:p>
      <w:pPr>
        <w:spacing w:before="0" w:after="120"/>
      </w:pPr>
      <w:r>
        <w:rPr>
          <w:b/>
        </w:rPr>
        <w:t xml:space="preserve">Source: </w:t>
      </w:r>
      <w:r>
        <w:t>Recent Articles in Phys. Rev. C</w:t>
      </w:r>
      <w:r>
        <w:t xml:space="preserve">    </w:t>
      </w:r>
      <w:r>
        <w:rPr>
          <w:b/>
        </w:rPr>
        <w:t xml:space="preserve">Pub date: </w:t>
      </w:r>
      <w:r>
        <w:t>2026-08-04 10:00:00+00:00</w:t>
      </w:r>
      <w:r>
        <w:t xml:space="preserve">    </w:t>
      </w:r>
      <w:r>
        <w:rPr>
          <w:b/>
        </w:rPr>
        <w:t xml:space="preserve">DOI: </w:t>
      </w:r>
      <w:hyperlink r:id="rId1234">
        <w:r>
          <w:rPr>
            <w:color w:val="1155CC"/>
            <w:u w:val="single"/>
          </w:rPr>
          <w:t>10.1103/ms66-lg13</w:t>
        </w:r>
      </w:hyperlink>
    </w:p>
    <w:p>
      <w:pPr>
        <w:spacing w:before="0" w:after="120"/>
      </w:pPr>
      <w:r>
        <w:rPr>
          <w:b/>
        </w:rPr>
        <w:t xml:space="preserve">Notes: </w:t>
      </w:r>
      <w:r>
        <w:t>abstract_source=rss_description</w:t>
      </w:r>
    </w:p>
    <w:p>
      <w:pPr>
        <w:spacing w:before="0" w:after="80" w:lineRule="auto" w:line="276"/>
      </w:pPr>
      <w:r>
        <w:rPr>
          <w:b/>
        </w:rPr>
        <w:t xml:space="preserve">摘要（ZH）: </w:t>
      </w:r>
      <w:r>
        <w:t>作者：Cade Dembski、Artemis Spyrou、B. Alex Brown、Sean N. Liddick、Hannah C. Berg、Darren L. Bleuel、Benjamin P. Crider、Alexander C. Dobos、Erin C. Good、Ann-Cecilie Larsen、Rebecca Lewis、Stephanie Lyons、Alicia Palmisano-Kyle、Jorge Pereira、Andrea L. Richard、Nicholas Scielzo、Anna Simon、Chris Sullivan、Adriana Sweet、Kyle Taft、Antonius Torode、William W. von Seeger 和 Remco Zegers $Z≈28$ 和 $N≈40$ 区域的富中子核通过壳层演化效应表现出与传统平均场核特性的明显背离，显示出变形和形状共存的变化，并可能沿着天体物理中子俘获核合成的方向发展途径……[物理。 Rev. C 114, 024309] 于 2026 年 8 月 4 日星期二发布</w:t>
      </w:r>
    </w:p>
    <w:p>
      <w:pPr>
        <w:spacing w:before="0" w:after="200" w:lineRule="auto" w:line="276"/>
      </w:pPr>
      <w:r>
        <w:rPr>
          <w:b/>
        </w:rPr>
        <w:t xml:space="preserve">Abstract (EN): </w:t>
      </w:r>
      <w:r>
        <w:t>Author(s): Cade Dembski, Artemis Spyrou, B. Alex Brown, Sean N. Liddick, Hannah C. Berg, Darren L. Bleuel, Benjamin P. Crider, Alexander C. Dombos, Erin C. Good, Ann-Cecilie Larsen, Rebecca Lewis, Stephanie Lyons, Alicia Palmisano-Kyle, Jorge Pereira, Andrea L. Richard, Nicholas Scielzo, Anna Simon, Chris Sullivan, Adriana Sweet, Kyle Taft, Antonius Torode, William W. von Seeger, and Remco ZegersNeutron-rich nuclei in the region of $Z≈28$ and $N≈40$ demonstrate a noticeable departure from traditional mean-field nuclear properties through shell evolution effects, display variations in deformation and shape coexistence, and may fall along astrophysical neutron-capture nucleosynthesis pathways…[Phys. Rev. C 114, 024309] Published Tue Aug 04, 2026</w:t>
      </w:r>
    </w:p>
    <w:p>
      <w:pPr>
        <w:spacing w:before="120" w:after="120"/>
      </w:pPr>
      <w:r>
        <w:rPr>
          <w:sz w:val="18"/>
        </w:rPr>
        <w:t>——————————————————————————————————————————————————————————————————————</w:t>
      </w:r>
    </w:p>
    <w:p>
      <w:pPr>
        <w:spacing w:before="160" w:after="40" w:line="240" w:lineRule="auto"/>
      </w:pPr>
      <w:r>
        <w:rPr>
          <w:b/>
        </w:rPr>
        <w:t xml:space="preserve">[375] </w:t>
      </w:r>
      <w:hyperlink r:id="rId1235">
        <w:r>
          <w:rPr>
            <w:color w:val="1155CC"/>
            <w:u w:val="single"/>
          </w:rPr>
          <w:t>通过 $^{127}\mathrm{Cs}$ 中的电子捕获来搜索核激发的证据</w:t>
        </w:r>
      </w:hyperlink>
    </w:p>
    <w:p>
      <w:pPr>
        <w:spacing w:before="0" w:after="80"/>
      </w:pPr>
      <w:r>
        <w:rPr>
          <w:i/>
          <w:sz w:val="20"/>
        </w:rPr>
        <w:t>EN: Search for evidence of nuclear excitation by electron capture in $^{127}\mathrm{Cs}$</w:t>
      </w:r>
    </w:p>
    <w:p>
      <w:pPr>
        <w:spacing w:before="0" w:after="120"/>
      </w:pPr>
      <w:r>
        <w:rPr>
          <w:b/>
        </w:rPr>
        <w:t xml:space="preserve">Source: </w:t>
      </w:r>
      <w:r>
        <w:t>Recent Articles in Phys. Rev. C</w:t>
      </w:r>
      <w:r>
        <w:t xml:space="preserve">    </w:t>
      </w:r>
      <w:r>
        <w:rPr>
          <w:b/>
        </w:rPr>
        <w:t xml:space="preserve">Pub date: </w:t>
      </w:r>
      <w:r>
        <w:t>2026-08-04 10:00:00+00:00</w:t>
      </w:r>
      <w:r>
        <w:t xml:space="preserve">    </w:t>
      </w:r>
      <w:r>
        <w:rPr>
          <w:b/>
        </w:rPr>
        <w:t xml:space="preserve">DOI: </w:t>
      </w:r>
      <w:hyperlink r:id="rId1236">
        <w:r>
          <w:rPr>
            <w:color w:val="1155CC"/>
            <w:u w:val="single"/>
          </w:rPr>
          <w:t>10.1103/18zr-mm2k</w:t>
        </w:r>
      </w:hyperlink>
    </w:p>
    <w:p>
      <w:pPr>
        <w:spacing w:before="0" w:after="120"/>
      </w:pPr>
      <w:r>
        <w:rPr>
          <w:b/>
        </w:rPr>
        <w:t xml:space="preserve">Notes: </w:t>
      </w:r>
      <w:r>
        <w:t>abstract_source=rss_description</w:t>
      </w:r>
    </w:p>
    <w:p>
      <w:pPr>
        <w:spacing w:before="0" w:after="80" w:lineRule="auto" w:line="276"/>
      </w:pPr>
      <w:r>
        <w:rPr>
          <w:b/>
        </w:rPr>
        <w:t xml:space="preserve">摘要（ZH）: </w:t>
      </w:r>
      <w:r>
        <w:t>作者：C. J. Chiara、J. J. Carroll、A. D. Ayangeakaa、M. P. Carpenter、P. A. Copp、C. Gautam、M. Gott、J. P. Greene、D. J. Hartley、A. B. Hayes、G. J. Lane、T. Lauritsen、D. A. Matters、A. J. Mitchell、C. Müller-Gatermann、M. Polasik、W. Reviol、J. Rzadkiewicz、D. Seweryniak、M. Siciliano、K. Słabkowska、Ł。 Syrocki、J. R. Vanhoy 和 S. Zhu 电子捕获核激发 (NEEC) 是一种核原子耦合过程，离子将电子捕获到原子空位中，从而将相应的原子核激发到更高的激发态。迄今为止，只有一项实验结果，对于核……[Phys. Rev. C 114, 024310] 于 2026 年 8 月 4 日星期二发布</w:t>
      </w:r>
    </w:p>
    <w:p>
      <w:pPr>
        <w:spacing w:before="0" w:after="200" w:lineRule="auto" w:line="276"/>
      </w:pPr>
      <w:r>
        <w:rPr>
          <w:b/>
        </w:rPr>
        <w:t xml:space="preserve">Abstract (EN): </w:t>
      </w:r>
      <w:r>
        <w:t>Author(s): C. J. Chiara, J. J. Carroll, A. D. Ayangeakaa, M. P. Carpenter, P. A. Copp, C. Gautam, M. Gott, J. P. Greene, D. J. Hartley, A. B. Hayes, G. J. Lane, T. Lauritsen, D. A. Matters, A. J. Mitchell, C. Müller-Gatermann, M. Polasik, W. Reviol, J. Rzadkiewicz, D. Seweryniak, M. Siciliano, K. Słabkowska, Ł. Syrocki, J. R. Vanhoy, and S. ZhuNuclear excitation by electron capture (NEEC) is a coupled nuclear-atomic process by which the capture of an electron by an ion into an atomic vacancy results in the excitation of the corresponding nucleus into a higher excited state. To date, there has been only one experimental result, for the nuc…[Phys. Rev. C 114, 024310] Published Tue Aug 04, 2026</w:t>
      </w:r>
    </w:p>
    <w:p>
      <w:pPr>
        <w:spacing w:before="120" w:after="120"/>
      </w:pPr>
      <w:r>
        <w:rPr>
          <w:sz w:val="18"/>
        </w:rPr>
        <w:t>——————————————————————————————————————————————————————————————————————</w:t>
      </w:r>
    </w:p>
    <w:p>
      <w:pPr>
        <w:spacing w:before="160" w:after="40" w:line="240" w:lineRule="auto"/>
      </w:pPr>
      <w:r>
        <w:rPr>
          <w:b/>
        </w:rPr>
        <w:t xml:space="preserve">[376] </w:t>
      </w:r>
      <w:hyperlink r:id="rId1237">
        <w:r>
          <w:rPr>
            <w:color w:val="1155CC"/>
            <w:u w:val="single"/>
          </w:rPr>
          <w:t>动量带隙工程中布洛赫振荡自平衡机制的演示</w:t>
        </w:r>
      </w:hyperlink>
    </w:p>
    <w:p>
      <w:pPr>
        <w:spacing w:before="0" w:after="80"/>
      </w:pPr>
      <w:r>
        <w:rPr>
          <w:i/>
          <w:sz w:val="20"/>
        </w:rPr>
        <w:t>EN: Demonstration of Self-Balance Mechanism with Bloch Oscillations in Momentum Bandgap Engineering</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38">
        <w:r>
          <w:rPr>
            <w:color w:val="1155CC"/>
            <w:u w:val="single"/>
          </w:rPr>
          <w:t>10.1103/snm3-mb3y</w:t>
        </w:r>
      </w:hyperlink>
    </w:p>
    <w:p>
      <w:pPr>
        <w:spacing w:before="0" w:after="120"/>
      </w:pPr>
      <w:r>
        <w:rPr>
          <w:b/>
        </w:rPr>
        <w:t xml:space="preserve">Notes: </w:t>
      </w:r>
      <w:r>
        <w:t>abstract_source=rss_description</w:t>
      </w:r>
    </w:p>
    <w:p>
      <w:pPr>
        <w:spacing w:before="0" w:after="80" w:lineRule="auto" w:line="276"/>
      </w:pPr>
      <w:r>
        <w:rPr>
          <w:b/>
        </w:rPr>
        <w:t xml:space="preserve">摘要（ZH）: </w:t>
      </w:r>
      <w:r>
        <w:t>作者：Danni Chen、Changying Li、Jinze He、Huaiqiang Wang 和 Yiming Pan 我们研究了具有动量间隙（$k$ 间隙）的晶格系统中的布洛赫振荡，其中间隙内模式表现出指数增长或衰减。我们证明，$k$ 间隙放大、衰减和带间干扰的相互作用产生了一个关键状态，其中波包......[Phys。莱特牧师。 137, 066303] 于 2026 年 8 月 4 日星期二发布</w:t>
      </w:r>
    </w:p>
    <w:p>
      <w:pPr>
        <w:spacing w:before="0" w:after="200" w:lineRule="auto" w:line="276"/>
      </w:pPr>
      <w:r>
        <w:rPr>
          <w:b/>
        </w:rPr>
        <w:t xml:space="preserve">Abstract (EN): </w:t>
      </w:r>
      <w:r>
        <w:t>Author(s): Danni Chen, Changying Li, Jinze He, Huaiqiang Wang, and Yiming PanWe investigate Bloch oscillations in a lattice system featuring a momentum gap ($k$ gap), where in-gap modes exhibit exponential growth or decay. We demonstrate that the interplay of $k$-gap amplification, attenuation, and interband interference gives rise to a critical regime, where the wave packet…[Phys. Rev. Lett. 137, 066303] Published Tue Aug 04, 2026</w:t>
      </w:r>
    </w:p>
    <w:p>
      <w:pPr>
        <w:spacing w:before="120" w:after="120"/>
      </w:pPr>
      <w:r>
        <w:rPr>
          <w:sz w:val="18"/>
        </w:rPr>
        <w:t>——————————————————————————————————————————————————————————————————————</w:t>
      </w:r>
    </w:p>
    <w:p>
      <w:pPr>
        <w:spacing w:before="160" w:after="40" w:line="240" w:lineRule="auto"/>
      </w:pPr>
      <w:r>
        <w:rPr>
          <w:b/>
        </w:rPr>
        <w:t xml:space="preserve">[377] </w:t>
      </w:r>
      <w:hyperlink r:id="rId1239">
        <w:r>
          <w:rPr>
            <w:color w:val="1155CC"/>
            <w:u w:val="single"/>
          </w:rPr>
          <w:t>搜索轻子味破坏衰变 ${B}^{+}→{π}^{+}{μ}^{±}{e}^{∓}$</w:t>
        </w:r>
      </w:hyperlink>
    </w:p>
    <w:p>
      <w:pPr>
        <w:spacing w:before="0" w:after="80"/>
      </w:pPr>
      <w:r>
        <w:rPr>
          <w:i/>
          <w:sz w:val="20"/>
        </w:rPr>
        <w:t>EN: Search for the Lepton-Flavor Violating Decays ${B}^{+}→{π}^{+}{μ}^{±}{e}^{∓}$</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40">
        <w:r>
          <w:rPr>
            <w:color w:val="1155CC"/>
            <w:u w:val="single"/>
          </w:rPr>
          <w:t>10.1103/ln8k-mlhr</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合作）使用 2011 年至 2018 年间 LHCb 实验收集的数据，首次搜索质子-质子碰撞中的轻子味破缺衰变 ${B}^{+}→{π}^{+}{μ}^{±}{e}^{∓}$，对应于 $9\text{ }\text{ 的积分光度}{\mathrm{fb}}^{−1}$。没有明显迹象......[物理。莱特牧师。 137, 061802] 2026 年 8 月 4 日星期二发布</w:t>
      </w:r>
    </w:p>
    <w:p>
      <w:pPr>
        <w:spacing w:before="0" w:after="200" w:lineRule="auto" w:line="276"/>
      </w:pPr>
      <w:r>
        <w:rPr>
          <w:b/>
        </w:rPr>
        <w:t xml:space="preserve">Abstract (EN): </w:t>
      </w:r>
      <w:r>
        <w:t>Author(s): R. Aaij et al. (LHCb Collaboration)The first search for the lepton-flavor violating decays ${B}^{+}→{π}^{+}{μ}^{±}{e}^{∓}$ in proton-proton collisions is presented, using data collected by the LHCb experiment between 2011 and 2018, corresponding to an integrated luminosity of $9\text{ }\text{ }{\mathrm{fb}}^{−1}$. No significant sign…[Phys. Rev. Lett. 137, 061802] Published Tue Aug 04, 2026</w:t>
      </w:r>
    </w:p>
    <w:p>
      <w:pPr>
        <w:spacing w:before="120" w:after="120"/>
      </w:pPr>
      <w:r>
        <w:rPr>
          <w:sz w:val="18"/>
        </w:rPr>
        <w:t>——————————————————————————————————————————————————————————————————————</w:t>
      </w:r>
    </w:p>
    <w:p>
      <w:pPr>
        <w:spacing w:before="160" w:after="40" w:line="240" w:lineRule="auto"/>
      </w:pPr>
      <w:r>
        <w:rPr>
          <w:b/>
        </w:rPr>
        <w:t xml:space="preserve">[378] </w:t>
      </w:r>
      <w:hyperlink r:id="rId1241">
        <w:r>
          <w:rPr>
            <w:color w:val="1155CC"/>
            <w:u w:val="single"/>
          </w:rPr>
          <w:t>在光镊阵列中高效装载 2400 个镱原子</w:t>
        </w:r>
      </w:hyperlink>
    </w:p>
    <w:p>
      <w:pPr>
        <w:spacing w:before="0" w:after="80"/>
      </w:pPr>
      <w:r>
        <w:rPr>
          <w:i/>
          <w:sz w:val="20"/>
        </w:rPr>
        <w:t>EN: High-Efficiency Loading of 2400 Ytterbium Atoms in Optical Tweezer Arrays</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42">
        <w:r>
          <w:rPr>
            <w:color w:val="1155CC"/>
            <w:u w:val="single"/>
          </w:rPr>
          <w:t>10.1103/bp6k-8zmd</w:t>
        </w:r>
      </w:hyperlink>
    </w:p>
    <w:p>
      <w:pPr>
        <w:spacing w:before="0" w:after="120"/>
      </w:pPr>
      <w:r>
        <w:rPr>
          <w:b/>
        </w:rPr>
        <w:t xml:space="preserve">Notes: </w:t>
      </w:r>
      <w:r>
        <w:t>abstract_source=rss_description</w:t>
      </w:r>
    </w:p>
    <w:p>
      <w:pPr>
        <w:spacing w:before="0" w:after="80" w:lineRule="auto" w:line="276"/>
      </w:pPr>
      <w:r>
        <w:rPr>
          <w:b/>
        </w:rPr>
        <w:t xml:space="preserve">摘要（ZH）: </w:t>
      </w:r>
      <w:r>
        <w:t>作者：朱家文，陈长风，周力，谢相如，姜晨阳，丁卓力，吴凡，杨范，王国庆，龚其黄，张鹏，张胜，彭派利用适用于其他原子种类的技术，在光镊阵列中稳定负载了2400个中性Ytterbium-174原子，代表了迄今为止最大的类碱土原子阵列。莱特牧师。 137, 063201] 2026 年 8 月 4 日星期二发布</w:t>
      </w:r>
    </w:p>
    <w:p>
      <w:pPr>
        <w:spacing w:before="0" w:after="200" w:lineRule="auto" w:line="276"/>
      </w:pPr>
      <w:r>
        <w:rPr>
          <w:b/>
        </w:rPr>
        <w:t xml:space="preserve">Abstract (EN): </w:t>
      </w:r>
      <w:r>
        <w:t>Author(s): Jiawen Zhu, Changfeng Chen, Li Zhou, Xiangru Xie, Chenyang Jiang, Zhuoli Ding, Fan Wu, Fan Yang, Guoqing Wang, Qihuang Gong, Peng Zhang, Sheng Zhang, and Pai PengUsing a technique applicable to other atomic species, the stable loading of 2400 neutral Ytterbium-174 atoms in an optical tweezer array represents the largest alkaline-earth-like atom array to date.[Phys. Rev. Lett. 137, 063201] Published Tue Aug 04, 2026</w:t>
      </w:r>
    </w:p>
    <w:p>
      <w:pPr>
        <w:spacing w:before="120" w:after="120"/>
      </w:pPr>
      <w:r>
        <w:rPr>
          <w:sz w:val="18"/>
        </w:rPr>
        <w:t>——————————————————————————————————————————————————————————————————————</w:t>
      </w:r>
    </w:p>
    <w:p>
      <w:pPr>
        <w:spacing w:before="160" w:after="40" w:line="240" w:lineRule="auto"/>
      </w:pPr>
      <w:r>
        <w:rPr>
          <w:b/>
        </w:rPr>
        <w:t xml:space="preserve">[379] </w:t>
      </w:r>
      <w:hyperlink r:id="rId1243">
        <w:r>
          <w:rPr>
            <w:color w:val="1155CC"/>
            <w:u w:val="single"/>
          </w:rPr>
          <w:t>实验分层湍流中的拉格朗日色散</w:t>
        </w:r>
      </w:hyperlink>
    </w:p>
    <w:p>
      <w:pPr>
        <w:spacing w:before="0" w:after="80"/>
      </w:pPr>
      <w:r>
        <w:rPr>
          <w:i/>
          <w:sz w:val="20"/>
        </w:rPr>
        <w:t>EN: Lagrangian Dispersion in Experimental Stratified Turbulence</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44">
        <w:r>
          <w:rPr>
            <w:color w:val="1155CC"/>
            <w:u w:val="single"/>
          </w:rPr>
          <w:t>10.1103/8nm7-pm39</w:t>
        </w:r>
      </w:hyperlink>
    </w:p>
    <w:p>
      <w:pPr>
        <w:spacing w:before="0" w:after="120"/>
      </w:pPr>
      <w:r>
        <w:rPr>
          <w:b/>
        </w:rPr>
        <w:t xml:space="preserve">Notes: </w:t>
      </w:r>
      <w:r>
        <w:t>abstract_source=rss_description</w:t>
      </w:r>
    </w:p>
    <w:p>
      <w:pPr>
        <w:spacing w:before="0" w:after="80" w:lineRule="auto" w:line="276"/>
      </w:pPr>
      <w:r>
        <w:rPr>
          <w:b/>
        </w:rPr>
        <w:t xml:space="preserve">摘要（ZH）: </w:t>
      </w:r>
      <w:r>
        <w:t>作者：Maëlys Magnier、Costanza Rodda、Clément Savaro、Pierre Augier、Nathanaël Machicoane、Thomas Valran、Samuel Viboud 和 Nicolas Mordant 层状湍流中示踪粒子分散的拉格朗日测量是通过大规模实验实现的，该实验实现了高浮力雷诺数和低弗劳德数（海洋条件的特征）。分层对垂直粒子有显着影响……[物理。莱特牧师。 137, 064101] 2026 年 8 月 4 日星期二发布</w:t>
      </w:r>
    </w:p>
    <w:p>
      <w:pPr>
        <w:spacing w:before="0" w:after="200" w:lineRule="auto" w:line="276"/>
      </w:pPr>
      <w:r>
        <w:rPr>
          <w:b/>
        </w:rPr>
        <w:t xml:space="preserve">Abstract (EN): </w:t>
      </w:r>
      <w:r>
        <w:t>Author(s): Maëlys Magnier, Costanza Rodda, Clément Savaro, Pierre Augier, Nathanaël Machicoane, Thomas Valran, Samuel Viboud, and Nicolas MordantLagrangian measurements of tracer particle dispersion in stratified turbulence are presented from a large-scale experiment achieving both high buoyancy Reynolds numbers and low Froude numbers—a regime characteristic of oceanic conditions. Stratification has a pronounced effect on the vertical partic…[Phys. Rev. Lett. 137, 064101] Published Tue Aug 04, 2026</w:t>
      </w:r>
    </w:p>
    <w:p>
      <w:pPr>
        <w:spacing w:before="120" w:after="120"/>
      </w:pPr>
      <w:r>
        <w:rPr>
          <w:sz w:val="18"/>
        </w:rPr>
        <w:t>——————————————————————————————————————————————————————————————————————</w:t>
      </w:r>
    </w:p>
    <w:p>
      <w:pPr>
        <w:spacing w:before="160" w:after="40" w:line="240" w:lineRule="auto"/>
      </w:pPr>
      <w:r>
        <w:rPr>
          <w:b/>
        </w:rPr>
        <w:t xml:space="preserve">[380] </w:t>
      </w:r>
      <w:hyperlink r:id="rId1245">
        <w:r>
          <w:rPr>
            <w:color w:val="1155CC"/>
            <w:u w:val="single"/>
          </w:rPr>
          <w:t>双层硼烯确立了元素超导转变温度的新上限</w:t>
        </w:r>
      </w:hyperlink>
    </w:p>
    <w:p>
      <w:pPr>
        <w:spacing w:before="0" w:after="80"/>
      </w:pPr>
      <w:r>
        <w:rPr>
          <w:i/>
          <w:sz w:val="20"/>
        </w:rPr>
        <w:t>EN: Bilayer Borophenes Establish a New Upper Limit for Elemental Superconducting Transition Temperatures</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46">
        <w:r>
          <w:rPr>
            <w:color w:val="1155CC"/>
            <w:u w:val="single"/>
          </w:rPr>
          <w:t>10.1103/8l19-rdn2</w:t>
        </w:r>
      </w:hyperlink>
    </w:p>
    <w:p>
      <w:pPr>
        <w:spacing w:before="0" w:after="120"/>
      </w:pPr>
      <w:r>
        <w:rPr>
          <w:b/>
        </w:rPr>
        <w:t xml:space="preserve">Notes: </w:t>
      </w:r>
      <w:r>
        <w:t>abstract_source=rss_description</w:t>
      </w:r>
    </w:p>
    <w:p>
      <w:pPr>
        <w:spacing w:before="0" w:after="80" w:lineRule="auto" w:line="276"/>
      </w:pPr>
      <w:r>
        <w:rPr>
          <w:b/>
        </w:rPr>
        <w:t xml:space="preserve">摘要（ZH）: </w:t>
      </w:r>
      <w:r>
        <w:t>作者：王梦辉、穆跃文、纳广仁、宋浩林和崔中华 元素超导体是重要的模型系统，因为它们的组成简单，能够以最小的外在复杂性来探索基本机制。然而，它们的超导转变温度 (${T}_{\mathrm{c}}$) 通常较低，但有一个值得注意的例外……[Phys.莱特牧师。 137, 066001] 2026 年 8 月 4 日星期二发布</w:t>
      </w:r>
    </w:p>
    <w:p>
      <w:pPr>
        <w:spacing w:before="0" w:after="200" w:lineRule="auto" w:line="276"/>
      </w:pPr>
      <w:r>
        <w:rPr>
          <w:b/>
        </w:rPr>
        <w:t xml:space="preserve">Abstract (EN): </w:t>
      </w:r>
      <w:r>
        <w:t>Author(s): Meng-hui Wang, Yuewen Mu, Guang-ren Na, Hao-lin Song, and Zhong-hua CuiElemental superconductors serve as essential model systems because their compositional simplicity enables fundamental mechanisms to be probed with minimal extrinsic complexity. Their superconducting transition temperatures (${T}_{\mathrm{c}}$), however, are generally low, with the notable exception …[Phys. Rev. Lett. 137, 066001] Published Tue Aug 04, 2026</w:t>
      </w:r>
    </w:p>
    <w:p>
      <w:pPr>
        <w:spacing w:before="120" w:after="120"/>
      </w:pPr>
      <w:r>
        <w:rPr>
          <w:sz w:val="18"/>
        </w:rPr>
        <w:t>——————————————————————————————————————————————————————————————————————</w:t>
      </w:r>
    </w:p>
    <w:p>
      <w:pPr>
        <w:spacing w:before="160" w:after="40" w:line="240" w:lineRule="auto"/>
      </w:pPr>
      <w:r>
        <w:rPr>
          <w:b/>
        </w:rPr>
        <w:t xml:space="preserve">[381] </w:t>
      </w:r>
      <w:hyperlink r:id="rId1247">
        <w:r>
          <w:rPr>
            <w:color w:val="1155CC"/>
            <w:u w:val="single"/>
          </w:rPr>
          <w:t>呼吸烧绿石反铁磁体中不同量级的量子库仑液体</w:t>
        </w:r>
      </w:hyperlink>
    </w:p>
    <w:p>
      <w:pPr>
        <w:spacing w:before="0" w:after="80"/>
      </w:pPr>
      <w:r>
        <w:rPr>
          <w:i/>
          <w:sz w:val="20"/>
        </w:rPr>
        <w:t>EN: Quantum Coulomb Liquids of Different Rank in the Breathing Pyrochlore Antiferromagnet</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48">
        <w:r>
          <w:rPr>
            <w:color w:val="1155CC"/>
            <w:u w:val="single"/>
          </w:rPr>
          <w:t>10.1103/87fn-g2j3</w:t>
        </w:r>
      </w:hyperlink>
    </w:p>
    <w:p>
      <w:pPr>
        <w:spacing w:before="0" w:after="120"/>
      </w:pPr>
      <w:r>
        <w:rPr>
          <w:b/>
        </w:rPr>
        <w:t xml:space="preserve">Notes: </w:t>
      </w:r>
      <w:r>
        <w:t>abstract_source=rss_description</w:t>
      </w:r>
    </w:p>
    <w:p>
      <w:pPr>
        <w:spacing w:before="0" w:after="80" w:lineRule="auto" w:line="276"/>
      </w:pPr>
      <w:r>
        <w:rPr>
          <w:b/>
        </w:rPr>
        <w:t xml:space="preserve">摘要（ZH）: </w:t>
      </w:r>
      <w:r>
        <w:t>作者：Lasse Gresista、Daniel Lozano-Gómez、Matthias Vojta、Simon Trebst 和 Yasir Iqbal 呼吸烧绿石晶格上的最小的、与材料相关的自旋 1/2 模型，仅通过对称性允许的 Dzyaloshinskii-Moriya 相互作用进行调整，给出了 1 级和 2 级 U(1) 库仑液体的稳健量子实现。莱特牧师。 137, 066504] 2026 年 8 月 4 日星期二发布</w:t>
      </w:r>
    </w:p>
    <w:p>
      <w:pPr>
        <w:spacing w:before="0" w:after="200" w:lineRule="auto" w:line="276"/>
      </w:pPr>
      <w:r>
        <w:rPr>
          <w:b/>
        </w:rPr>
        <w:t xml:space="preserve">Abstract (EN): </w:t>
      </w:r>
      <w:r>
        <w:t>Author(s): Lasse Gresista, Daniel Lozano-Gómez, Matthias Vojta, Simon Trebst, and Yasir IqbalA minimal, materials-relevant spin-1/2 model on the breathing pyrochlore lattice, tuned solely by symmetry-allowed Dzyaloshinskii–Moriya interactions, gives robust quantum realizations of both rank-1 and rank-2 U(1) Coulomb liquids.[Phys. Rev. Lett. 137, 066504] Published Tue Aug 04, 2026</w:t>
      </w:r>
    </w:p>
    <w:p>
      <w:pPr>
        <w:spacing w:before="120" w:after="120"/>
      </w:pPr>
      <w:r>
        <w:rPr>
          <w:sz w:val="18"/>
        </w:rPr>
        <w:t>——————————————————————————————————————————————————————————————————————</w:t>
      </w:r>
    </w:p>
    <w:p>
      <w:pPr>
        <w:spacing w:before="160" w:after="40" w:line="240" w:lineRule="auto"/>
      </w:pPr>
      <w:r>
        <w:rPr>
          <w:b/>
        </w:rPr>
        <w:t xml:space="preserve">[382] </w:t>
      </w:r>
      <w:hyperlink r:id="rId1249">
        <w:r>
          <w:rPr>
            <w:color w:val="1155CC"/>
            <w:u w:val="single"/>
          </w:rPr>
          <w:t>${\mathrm{RuO}}_{2}$ 中轨道和自旋霍尔效应的共存性和可调性</w:t>
        </w:r>
      </w:hyperlink>
    </w:p>
    <w:p>
      <w:pPr>
        <w:spacing w:before="0" w:after="80"/>
      </w:pPr>
      <w:r>
        <w:rPr>
          <w:i/>
          <w:sz w:val="20"/>
        </w:rPr>
        <w:t>EN: Coexistence and Tunability of Orbital and Spin Hall Effects in ${\mathrm{RuO}}_{2}$</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50">
        <w:r>
          <w:rPr>
            <w:color w:val="1155CC"/>
            <w:u w:val="single"/>
          </w:rPr>
          <w:t>10.1103/lf8d-26b6</w:t>
        </w:r>
      </w:hyperlink>
    </w:p>
    <w:p>
      <w:pPr>
        <w:spacing w:before="0" w:after="120"/>
      </w:pPr>
      <w:r>
        <w:rPr>
          <w:b/>
        </w:rPr>
        <w:t xml:space="preserve">Notes: </w:t>
      </w:r>
      <w:r>
        <w:t>abstract_source=rss_description</w:t>
      </w:r>
    </w:p>
    <w:p>
      <w:pPr>
        <w:spacing w:before="0" w:after="80" w:lineRule="auto" w:line="276"/>
      </w:pPr>
      <w:r>
        <w:rPr>
          <w:b/>
        </w:rPr>
        <w:t xml:space="preserve">摘要（ZH）: </w:t>
      </w:r>
      <w:r>
        <w:t>作者：Lishu 张、Mahmoud Zeer、Dongwook Go、Theodoros Adamantopoulos、Peter Schmitz、Stefan Blügel、Chengwang Niu、Yuriy Mokrousov、Shishen Yan、Hyunsoo Yang 和 Lei Shen (沉雷)交变磁性材料，特别是 ${\mathrm{RuO}}_{2}$，最近因其独特的磁性和节能的自旋电子应用而引起了相当大的关注。然而，最近的实验研究报告了关于交变磁自旋 sp 的高度矛盾的特征……[Phys。莱特牧师。 137, 066701] 2026 年 8 月 4 日星期二发布</w:t>
      </w:r>
    </w:p>
    <w:p>
      <w:pPr>
        <w:spacing w:before="0" w:after="200" w:lineRule="auto" w:line="276"/>
      </w:pPr>
      <w:r>
        <w:rPr>
          <w:b/>
        </w:rPr>
        <w:t xml:space="preserve">Abstract (EN): </w:t>
      </w:r>
      <w:r>
        <w:t>Author(s): Lishu Zhang, Mahmoud Zeer, Dongwook Go, Theodoros Adamantopoulos, Peter Schmitz, Stefan Blügel, Chengwang Niu, Yuriy Mokrousov, Shishen Yan, Hyunsoo Yang, and Lei Shen (沈雷)Altermagnetic materials, especially ${\mathrm{RuO}}_{2}$, have recently attracted considerable attention for their unique magnetic properties and energy-efficient spintronic applications. However, recent experimental studies have reported highly conflicting signatures regarding altermagnetic spin sp…[Phys. Rev. Lett. 137, 066701] Published Tue Aug 04, 2026</w:t>
      </w:r>
    </w:p>
    <w:p>
      <w:pPr>
        <w:spacing w:before="120" w:after="120"/>
      </w:pPr>
      <w:r>
        <w:rPr>
          <w:sz w:val="18"/>
        </w:rPr>
        <w:t>——————————————————————————————————————————————————————————————————————</w:t>
      </w:r>
    </w:p>
    <w:p>
      <w:pPr>
        <w:spacing w:before="160" w:after="40" w:line="240" w:lineRule="auto"/>
      </w:pPr>
      <w:r>
        <w:rPr>
          <w:b/>
        </w:rPr>
        <w:t xml:space="preserve">[383] </w:t>
      </w:r>
      <w:hyperlink r:id="rId1251">
        <w:r>
          <w:rPr>
            <w:color w:val="1155CC"/>
            <w:u w:val="single"/>
          </w:rPr>
          <w:t>通过光学抗结皮效应打破金属的限制损失极限</w:t>
        </w:r>
      </w:hyperlink>
    </w:p>
    <w:p>
      <w:pPr>
        <w:spacing w:before="0" w:after="80"/>
      </w:pPr>
      <w:r>
        <w:rPr>
          <w:i/>
          <w:sz w:val="20"/>
        </w:rPr>
        <w:t>EN: Breaking the Confinement-Loss Limit in Metals via Optical Antiskin Effect</w:t>
      </w:r>
    </w:p>
    <w:p>
      <w:pPr>
        <w:spacing w:before="0" w:after="120"/>
      </w:pPr>
      <w:r>
        <w:rPr>
          <w:b/>
        </w:rPr>
        <w:t xml:space="preserve">Source: </w:t>
      </w:r>
      <w:r>
        <w:t>Recent Articles in Phys. Rev. Lett.</w:t>
      </w:r>
      <w:r>
        <w:t xml:space="preserve">    </w:t>
      </w:r>
      <w:r>
        <w:rPr>
          <w:b/>
        </w:rPr>
        <w:t xml:space="preserve">Pub date: </w:t>
      </w:r>
      <w:r>
        <w:t>2026-08-04 10:00:00+00:00</w:t>
      </w:r>
      <w:r>
        <w:t xml:space="preserve">    </w:t>
      </w:r>
      <w:r>
        <w:rPr>
          <w:b/>
        </w:rPr>
        <w:t xml:space="preserve">DOI: </w:t>
      </w:r>
      <w:hyperlink r:id="rId1252">
        <w:r>
          <w:rPr>
            <w:color w:val="1155CC"/>
            <w:u w:val="single"/>
          </w:rPr>
          <w:t>10.1103/331d-yqzy</w:t>
        </w:r>
      </w:hyperlink>
    </w:p>
    <w:p>
      <w:pPr>
        <w:spacing w:before="0" w:after="120"/>
      </w:pPr>
      <w:r>
        <w:rPr>
          <w:b/>
        </w:rPr>
        <w:t xml:space="preserve">Notes: </w:t>
      </w:r>
      <w:r>
        <w:t>abstract_source=rss_description</w:t>
      </w:r>
    </w:p>
    <w:p>
      <w:pPr>
        <w:spacing w:before="0" w:after="80" w:lineRule="auto" w:line="276"/>
      </w:pPr>
      <w:r>
        <w:rPr>
          <w:b/>
        </w:rPr>
        <w:t xml:space="preserve">摘要（ZH）: </w:t>
      </w:r>
      <w:r>
        <w:t>作者：曾浩民和常超 远低于衍射极限的引导电磁波通常会产生严重的传播损耗，因为场被迫进入耗散材料边界。我们发现金属-Epsilon-近零（ENZ）界面可以支持光学抗结皮效应，显着减少传播......[Phys。莱特牧师。 137, 066901] 2026 年 8 月 4 日星期二发布</w:t>
      </w:r>
    </w:p>
    <w:p>
      <w:pPr>
        <w:spacing w:before="0" w:after="200" w:lineRule="auto" w:line="276"/>
      </w:pPr>
      <w:r>
        <w:rPr>
          <w:b/>
        </w:rPr>
        <w:t xml:space="preserve">Abstract (EN): </w:t>
      </w:r>
      <w:r>
        <w:t>Author(s): Haomin Zeng and Chao ChangGuiding electromagnetic waves far below the diffraction limit usually produce severe propagation loss because the field is forced into dissipative material boundaries. We discover that a metal-Epsilon-near-zero (ENZ) interface can support an optical antiskin effect, significantly reducing propagatio…[Phys. Rev. Lett. 137, 066901] Published Tue Aug 04, 2026</w:t>
      </w:r>
    </w:p>
    <w:p>
      <w:pPr>
        <w:spacing w:before="120" w:after="120"/>
      </w:pPr>
      <w:r>
        <w:rPr>
          <w:sz w:val="18"/>
        </w:rPr>
        <w:t>——————————————————————————————————————————————————————————————————————</w:t>
      </w:r>
    </w:p>
    <w:p>
      <w:pPr>
        <w:spacing w:before="160" w:after="40" w:line="240" w:lineRule="auto"/>
      </w:pPr>
      <w:r>
        <w:rPr>
          <w:b/>
        </w:rPr>
        <w:t xml:space="preserve">[384] </w:t>
      </w:r>
      <w:hyperlink r:id="rId1253">
        <w:r>
          <w:rPr>
            <w:color w:val="1155CC"/>
            <w:u w:val="single"/>
          </w:rPr>
          <w:t>卤素键辅助合成 CsPbI3 钙钛矿纳米晶体发射材料，用于稳定高效的纯红光 LED</w:t>
        </w:r>
      </w:hyperlink>
    </w:p>
    <w:p>
      <w:pPr>
        <w:spacing w:before="0" w:after="80"/>
      </w:pPr>
      <w:r>
        <w:rPr>
          <w:i/>
          <w:sz w:val="20"/>
        </w:rPr>
        <w:t>EN: Halogen‐Bonding‐Assisted Synthesis of CsPbI3 Perovskite Nanocrystal Emission Materials for Stable and Efficient Pure‐Red LEDs</w:t>
      </w:r>
    </w:p>
    <w:p>
      <w:pPr>
        <w:spacing w:before="0" w:after="120"/>
      </w:pPr>
      <w:r>
        <w:rPr>
          <w:b/>
        </w:rPr>
        <w:t xml:space="preserve">Source: </w:t>
      </w:r>
      <w:r>
        <w:t>Wiley: Advanced Materials: Table of Contents</w:t>
      </w:r>
      <w:r>
        <w:t xml:space="preserve">    </w:t>
      </w:r>
      <w:r>
        <w:rPr>
          <w:b/>
        </w:rPr>
        <w:t xml:space="preserve">Pub date: </w:t>
      </w:r>
      <w:r>
        <w:t>2026-08-04 13:10:54+00:00</w:t>
      </w:r>
      <w:r>
        <w:t xml:space="preserve">    </w:t>
      </w:r>
      <w:r>
        <w:rPr>
          <w:b/>
        </w:rPr>
        <w:t xml:space="preserve">DOI: </w:t>
      </w:r>
      <w:hyperlink r:id="rId1254">
        <w:r>
          <w:rPr>
            <w:color w:val="1155CC"/>
            <w:u w:val="single"/>
          </w:rPr>
          <w:t>10.1002/adma.74435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钙钛矿纳米晶体 (NC) 表现出作为发射器解决 Rec.1 问题的非凡潜力。 2020 年广色域显示器标准。然而，纯红色靶向 CsPbI</w:t>
      </w:r>
      <w:r>
        <w:rPr>
          <w:vertAlign w:val="subscript"/>
        </w:rPr>
        <w:t>3</w:t>
      </w:r>
      <w:r>
        <w:t>NC 通常会受到对发射波长的不精确合成控制和结构不稳定的影响，从而显着降低性能。我们报告了一种新颖的卤素工程框架，解决了原本不利的波长-效率-稳定性关系。我们的方法利用表面 I</w:t>
      </w:r>
      <w:r>
        <w:t xml:space="preserve"> </w:t>
      </w:r>
      <w:r>
        <w:t>-</w:t>
      </w:r>
      <w:r>
        <w:t>···我</w:t>
      </w:r>
      <w:r>
        <w:rPr>
          <w:vertAlign w:val="subscript"/>
        </w:rPr>
        <w:t>2</w:t>
      </w:r>
      <w:r>
        <w:t>相互作用，同时解锁特殊的光学特性和应用所需的难以捉摸的结构稳健性。它实现了：（i）受控的量子限制调谐发射波长，（ii）通过碘化物空位缺陷管理实现近乎一致的光致发光（PL）量子产率，以及（iii）通过晶格畸变抑制，即使在恶劣（85°C/85%）的温度和湿度条件下，也具有出色的环境稳定性。推荐。随后，国际照明委员会对符合 2020 标准的 638 nm 峰值发光二极管 (LED) 进行了演示，坐标 (X, Y) = (0.703, 0.297)，外部量子效率 22%，亮度 ≥ 11,000 cd m</w:t>
      </w:r>
      <w:r>
        <w:t xml:space="preserve"> </w:t>
      </w:r>
      <w:r>
        <w:t>−2</w:t>
      </w:r>
      <w:r>
        <w:t xml:space="preserve"> </w:t>
      </w:r>
      <w:r>
        <w:t>和长寿命，建立了材料设计范例，以推进下一代钙钛矿显示技术。</w:t>
      </w:r>
    </w:p>
    <w:p>
      <w:pPr>
        <w:spacing w:before="0" w:after="200" w:lineRule="auto" w:line="276"/>
      </w:pPr>
      <w:r>
        <w:rPr>
          <w:b/>
        </w:rPr>
        <w:t xml:space="preserve">Abstract (EN): </w:t>
      </w:r>
      <w:r>
        <w:t>Perovskite nanocrystals (NCs) demonstrate exceptional potential as emitters to address Rec. 2020 standards for wide color gamut displays. However, the pure‐red‐targeted CsPbI</w:t>
      </w:r>
      <w:r>
        <w:rPr>
          <w:vertAlign w:val="subscript"/>
        </w:rPr>
        <w:t>3</w:t>
      </w:r>
      <w:r>
        <w:t>NCs generally suffer from imprecise synthetic control over emission wavelength and from structural instabilities that significantly diminish performance. We report a novel halogen engineering framework that addresses the otherwise unfavorable wavelength‐efficiency‐stability nexus. Our approach leverages surface I</w:t>
      </w:r>
      <w:r>
        <w:t xml:space="preserve"> </w:t>
      </w:r>
      <w:r>
        <w:t>−</w:t>
      </w:r>
      <w:r>
        <w:t>···I</w:t>
      </w:r>
      <w:r>
        <w:rPr>
          <w:vertAlign w:val="subscript"/>
        </w:rPr>
        <w:t>2</w:t>
      </w:r>
      <w:r>
        <w:t>interactions to simultaneously unlock exceptional optical characteristics and the elusive structural robustness needed for application. It achieves: (i) controlled quantum‐confinement‐tuned emission wavelength, (ii) near‐unity photoluminescence (PL) quantum yield through iodide vacancy defect management, and (iii) excellent environmental stability, even under harsh (85°C/85%) temperature and humidity conditions, through lattice‐distortion suppression. Rec. 2020 compliant, 638 nm peak light‐emitting diodes (LEDs) are then demonstrated with Commission Internationale de l'Éclairage coordinates (X, Y) = (0.703, 0.297), 22% external quantum efficiency, luminance ≥ 11,000 cd m</w:t>
      </w:r>
      <w:r>
        <w:t xml:space="preserve"> </w:t>
      </w:r>
      <w:r>
        <w:t>−2</w:t>
      </w:r>
      <w:r>
        <w:t xml:space="preserve"> </w:t>
      </w:r>
      <w:r>
        <w:t>, and long lifetime, establishing a materials‐by‐design paradigm for advancing next‐generation perovskite display technologies.</w:t>
      </w:r>
    </w:p>
    <w:p>
      <w:pPr>
        <w:spacing w:before="120" w:after="120"/>
      </w:pPr>
      <w:r>
        <w:rPr>
          <w:sz w:val="18"/>
        </w:rPr>
        <w:t>——————————————————————————————————————————————————————————————————————</w:t>
      </w:r>
    </w:p>
    <w:p>
      <w:pPr>
        <w:spacing w:before="160" w:after="40" w:line="240" w:lineRule="auto"/>
      </w:pPr>
      <w:r>
        <w:rPr>
          <w:b/>
        </w:rPr>
        <w:t xml:space="preserve">[385] </w:t>
      </w:r>
      <w:hyperlink r:id="rId1255">
        <w:r>
          <w:rPr>
            <w:color w:val="1155CC"/>
            <w:u w:val="single"/>
          </w:rPr>
          <w:t>对“用于远程控制脑血流和啮齿动物大脑对低灌注反应的实​​时体内成像的弹性微球囊”的修正</w:t>
        </w:r>
      </w:hyperlink>
    </w:p>
    <w:p>
      <w:pPr>
        <w:spacing w:before="0" w:after="80"/>
      </w:pPr>
      <w:r>
        <w:rPr>
          <w:i/>
          <w:sz w:val="20"/>
        </w:rPr>
        <w:t>EN: Correction to “Elastomeric Micro‐Balloons for Remote Control of Cerebral Blood Flow and Real‐Time In vivo Imaging of Rodent Brain Response to Hypoperfusion”</w:t>
      </w:r>
    </w:p>
    <w:p>
      <w:pPr>
        <w:spacing w:before="0" w:after="120"/>
      </w:pPr>
      <w:r>
        <w:rPr>
          <w:b/>
        </w:rPr>
        <w:t xml:space="preserve">Source: </w:t>
      </w:r>
      <w:r>
        <w:t>Wiley: Advanced Materials: Table of Contents</w:t>
      </w:r>
      <w:r>
        <w:t xml:space="preserve">    </w:t>
      </w:r>
      <w:r>
        <w:rPr>
          <w:b/>
        </w:rPr>
        <w:t xml:space="preserve">Pub date: </w:t>
      </w:r>
      <w:r>
        <w:t>2026-08-04 13:12:55+00:00</w:t>
      </w:r>
      <w:r>
        <w:t xml:space="preserve">    </w:t>
      </w:r>
      <w:r>
        <w:rPr>
          <w:b/>
        </w:rPr>
        <w:t xml:space="preserve">DOI: </w:t>
      </w:r>
      <w:hyperlink r:id="rId1256">
        <w:r>
          <w:rPr>
            <w:color w:val="1155CC"/>
            <w:u w:val="single"/>
          </w:rPr>
          <w:t>10.1002/adma.74451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[386] </w:t>
      </w:r>
      <w:hyperlink r:id="rId1257">
        <w:r>
          <w:rPr>
            <w:color w:val="1155CC"/>
            <w:u w:val="single"/>
          </w:rPr>
          <w:t>用于心律失常管理的组织集成水凝胶电池支持的电疗法</w:t>
        </w:r>
      </w:hyperlink>
    </w:p>
    <w:p>
      <w:pPr>
        <w:spacing w:before="0" w:after="80"/>
      </w:pPr>
      <w:r>
        <w:rPr>
          <w:i/>
          <w:sz w:val="20"/>
        </w:rPr>
        <w:t>EN: Tissue‐Integrated Hydrogel Battery‐Enabled Electroceutical for Cardiac Arrhythmia Management</w:t>
      </w:r>
    </w:p>
    <w:p>
      <w:pPr>
        <w:spacing w:before="0" w:after="120"/>
      </w:pPr>
      <w:r>
        <w:rPr>
          <w:b/>
        </w:rPr>
        <w:t xml:space="preserve">Source: </w:t>
      </w:r>
      <w:r>
        <w:t>Wiley: Advanced Materials: Table of Contents</w:t>
      </w:r>
      <w:r>
        <w:t xml:space="preserve">    </w:t>
      </w:r>
      <w:r>
        <w:rPr>
          <w:b/>
        </w:rPr>
        <w:t xml:space="preserve">Pub date: </w:t>
      </w:r>
      <w:r>
        <w:t>2026-08-04 13:22:08+00:00</w:t>
      </w:r>
      <w:r>
        <w:t xml:space="preserve">    </w:t>
      </w:r>
      <w:r>
        <w:rPr>
          <w:b/>
        </w:rPr>
        <w:t xml:space="preserve">DOI: </w:t>
      </w:r>
      <w:hyperlink r:id="rId1258">
        <w:r>
          <w:rPr>
            <w:color w:val="1155CC"/>
            <w:u w:val="single"/>
          </w:rPr>
          <w:t>10.1002/adma.74488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心律失常管理的传统植入式生物电子设备体积庞大、具有侵入性、容易出现机械故障和免疫排斥。在这里，我们介绍了一种独立的生物粘附水凝胶电池驱动的电疗装置，它与心脏组织无缝连接，从而能够快速电化学调节心律。该装置由动态超分子水凝胶构成，可实现强电极-电解质粘附以及与生物组织的无缝合整合（粘附能&gt; 200 J m</w:t>
      </w:r>
      <w:r>
        <w:t xml:space="preserve"> </w:t>
      </w:r>
      <w:r>
        <w:t>−2</w:t>
      </w:r>
      <w:r>
        <w:t xml:space="preserve"> </w:t>
      </w:r>
      <w:r>
        <w:t>）。它可提供稳定的体内电压输出 (0.90–1.17 V) 14 天，同时通过下调炎症生物标志物来抑制免疫反应。电池放电增强心肌细胞收缩，促进细胞连接蛋白表达，并介导离体大鼠心脏的心律失常。该装置无需手术固定即可直接粘附在心肌上，产生持续的电刺激，用于矫正心动过缓和低能量除颤，在大鼠模型中在几秒钟（5-10 秒）内恢复窦性心律。这种组织整合电疗法通过增强组织整合和最小化异物反应，为心脏手术期间治疗心律失常提供了一种有前途的替代方案。</w:t>
      </w:r>
    </w:p>
    <w:p>
      <w:pPr>
        <w:spacing w:before="0" w:after="200" w:lineRule="auto" w:line="276"/>
      </w:pPr>
      <w:r>
        <w:rPr>
          <w:b/>
        </w:rPr>
        <w:t xml:space="preserve">Abstract (EN): </w:t>
      </w:r>
      <w:r>
        <w:t>Conventional implantable bioelectronic devices for cardiac arrhythmia management are bulky, invasive, prone to mechanical failure and immune rejection. Here, we introduce a standalone bioadhesive hydrogel battery‐enabled electroceutical device that seamlessly interfaces with cardiac tissue, enabling rapid electrochemical modulation of cardiac rhythm. Constructed from dynamic supermolecular hydrogels, the device achieves strong electrode–electrolyte adhesion and suture‐free integration with biological tissue (adhesion energy &amp;gt; 200 J m</w:t>
      </w:r>
      <w:r>
        <w:t xml:space="preserve"> </w:t>
      </w:r>
      <w:r>
        <w:t>−2</w:t>
      </w:r>
      <w:r>
        <w:t xml:space="preserve"> </w:t>
      </w:r>
      <w:r>
        <w:t>). It provides stable in vivo voltage outputs (0.90–1.17 V) for 14 days while suppressing immune response as indicated by downregulating inflammatory biomarkers. The battery discharge enhances cardiomyocyte contraction, promotes cell junction protein expression, and mediates cardiac arrhythmias in ex vivo rat hearts. Adhering directly to the myocardium without surgical fixation, the device generates sustained electrical stimulation for bradycardia correction and low‐energy defibrillation, restoring sinus rhythm within seconds (5–10 s) in a rat model. This tissue‐integrated electroceutical offers a promising alternative during cardiac surgery to treat arrhythmia by enhancing tissue integration and minimizing foreign‐body response.</w:t>
      </w:r>
    </w:p>
    <w:p>
      <w:pPr>
        <w:spacing w:before="120" w:after="120"/>
      </w:pPr>
      <w:r>
        <w:rPr>
          <w:sz w:val="18"/>
        </w:rPr>
        <w:t>——————————————————————————————————————————————————————————————————————</w:t>
      </w:r>
    </w:p>
    <w:p>
      <w:pPr>
        <w:spacing w:before="160" w:after="40" w:line="240" w:lineRule="auto"/>
      </w:pPr>
      <w:r>
        <w:rPr>
          <w:b/>
        </w:rPr>
        <w:t xml:space="preserve">[387] </w:t>
      </w:r>
      <w:hyperlink r:id="rId1259">
        <w:r>
          <w:rPr>
            <w:color w:val="1155CC"/>
            <w:u w:val="single"/>
          </w:rPr>
          <w:t>照亮金属纳米团簇作为有前途的分子发射体</w:t>
        </w:r>
      </w:hyperlink>
    </w:p>
    <w:p>
      <w:pPr>
        <w:spacing w:before="0" w:after="80"/>
      </w:pPr>
      <w:r>
        <w:rPr>
          <w:i/>
          <w:sz w:val="20"/>
        </w:rPr>
        <w:t>EN: Lighting up Metal Nanoclusters as Promising Molecular Emitters</w:t>
      </w:r>
    </w:p>
    <w:p>
      <w:pPr>
        <w:spacing w:before="0" w:after="120"/>
      </w:pPr>
      <w:r>
        <w:rPr>
          <w:b/>
        </w:rPr>
        <w:t xml:space="preserve">Source: </w:t>
      </w:r>
      <w:r>
        <w:t>Wiley: Advanced Materials: Table of Contents</w:t>
      </w:r>
      <w:r>
        <w:t xml:space="preserve">    </w:t>
      </w:r>
      <w:r>
        <w:rPr>
          <w:b/>
        </w:rPr>
        <w:t xml:space="preserve">Pub date: </w:t>
      </w:r>
      <w:r>
        <w:t>2026-08-04 13:23:13+00:00</w:t>
      </w:r>
      <w:r>
        <w:t xml:space="preserve">    </w:t>
      </w:r>
      <w:r>
        <w:rPr>
          <w:b/>
        </w:rPr>
        <w:t xml:space="preserve">DOI: </w:t>
      </w:r>
      <w:hyperlink r:id="rId1260">
        <w:r>
          <w:rPr>
            <w:color w:val="1155CC"/>
            <w:u w:val="single"/>
          </w:rPr>
          <w:t>10.1002/adma.74472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原子精确的金属纳米团簇（NC）已成为有前途的光学材料。在金属原子和等离子体金属纳米颗粒之间的过渡尺寸处，金属NC表现出其光致发光（PL）特性背后难以捉摸的机制。这种基本的理解不仅需要建立与载流子动力学的相关性，而且可以为具有所需光学特性的金属NC的设计提供线索。这个</w:t>
      </w:r>
      <w:r>
        <w:t xml:space="preserve"> </w:t>
      </w:r>
      <w:r>
        <w:t>评论</w:t>
      </w:r>
      <w:r>
        <w:t xml:space="preserve"> </w:t>
      </w:r>
      <w:r>
        <w:t>讨论了有助于 PL 的载流子动力学，包括激发、跃迁和弛豫，强调了金属 NC 的结构和活性表面的关键作用。此外，金属NC可以作为构建块或前体，通过分子间相互作用来定制PL特性。最后，我们总结了新兴应用，并强调了光致发光金属NC的挑战和机遇，希望这项工作能够激发更多对基础理解和应用的研究。</w:t>
      </w:r>
    </w:p>
    <w:p>
      <w:pPr>
        <w:spacing w:before="0" w:after="200" w:lineRule="auto" w:line="276"/>
      </w:pPr>
      <w:r>
        <w:rPr>
          <w:b/>
        </w:rPr>
        <w:t xml:space="preserve">Abstract (EN): </w:t>
      </w:r>
      <w:r>
        <w:t>Atomically precise metal nanoclusters (NCs) have emerged as promising optical materials in recent years. At the transition size between metal atoms and plasmonic metal nanoparticles, metal NCs exhibit elusive mechanisms underlying their photoluminescence (PL) properties. This fundamental understanding not only requires establishing a correlation with charge carrier dynamics, but can shed light on the design of metal NCs with desired optical properties. This</w:t>
      </w:r>
      <w:r>
        <w:t xml:space="preserve"> </w:t>
      </w:r>
      <w:r>
        <w:t>Review</w:t>
      </w:r>
      <w:r>
        <w:t xml:space="preserve"> </w:t>
      </w:r>
      <w:r>
        <w:t>discusses the charge carrier dynamics contributing to PL, including excitation, transition, and relaxation, highlighting the critical roles of the structure and active surface of metal NCs. Additionally, metal NCs can serve as building blocks or precursors to tailor PL properties through intermolecular interactions. Finally, we summarize emergent applications and highlight the challenges and opportunities for photoluminescent metal NCs, hoping that this work will stimulate more research on fundamental understanding and applications.</w:t>
      </w:r>
    </w:p>
    <w:p>
      <w:pPr>
        <w:spacing w:before="120" w:after="120"/>
      </w:pPr>
      <w:r>
        <w:rPr>
          <w:sz w:val="18"/>
        </w:rPr>
        <w:t>——————————————————————————————————————————————————————————————————————</w:t>
      </w:r>
    </w:p>
    <w:p>
      <w:pPr>
        <w:spacing w:before="160" w:after="40" w:line="240" w:lineRule="auto"/>
      </w:pPr>
      <w:r>
        <w:rPr>
          <w:b/>
        </w:rPr>
        <w:t xml:space="preserve">[388] </w:t>
      </w:r>
      <w:hyperlink r:id="rId1261">
        <w:r>
          <w:rPr>
            <w:color w:val="1155CC"/>
            <w:u w:val="single"/>
          </w:rPr>
          <w:t>多功能电极/神经集成接口可实现慢性高保真神经记录和数量级的神经调节质量</w:t>
        </w:r>
      </w:hyperlink>
    </w:p>
    <w:p>
      <w:pPr>
        <w:spacing w:before="0" w:after="80"/>
      </w:pPr>
      <w:r>
        <w:rPr>
          <w:i/>
          <w:sz w:val="20"/>
        </w:rPr>
        <w:t>EN: Multifunctional Electrode/Neural Integration Interface Enabling Chronic High‐Fidelity Neural Recording and an Order‐of‐Magnitude Neuromodulation Quality</w:t>
      </w:r>
    </w:p>
    <w:p>
      <w:pPr>
        <w:spacing w:before="0" w:after="120"/>
      </w:pPr>
      <w:r>
        <w:rPr>
          <w:b/>
        </w:rPr>
        <w:t xml:space="preserve">Source: </w:t>
      </w:r>
      <w:r>
        <w:t>Wiley: Advanced Materials: Table of Contents</w:t>
      </w:r>
      <w:r>
        <w:t xml:space="preserve">    </w:t>
      </w:r>
      <w:r>
        <w:rPr>
          <w:b/>
        </w:rPr>
        <w:t xml:space="preserve">Pub date: </w:t>
      </w:r>
      <w:r>
        <w:t>2026-08-04 14:04:00+00:00</w:t>
      </w:r>
      <w:r>
        <w:t xml:space="preserve">    </w:t>
      </w:r>
      <w:r>
        <w:rPr>
          <w:b/>
        </w:rPr>
        <w:t xml:space="preserve">DOI: </w:t>
      </w:r>
      <w:hyperlink r:id="rId1262">
        <w:r>
          <w:rPr>
            <w:color w:val="1155CC"/>
            <w:u w:val="single"/>
          </w:rPr>
          <w:t>10.1002/adma.74519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神经电极面临持续的挑战，包括炎症、生物污垢和阻抗，这些挑战会影响长期记录和刺激质量。在这里，我们介绍了一种多功能聚氨基酸界面，它通过结合生物相容性、抗菌活性和防污特性来增强神经界面。 Applied to flexible electrodes, this coating reduces foreign body reaction and preserves neuronal proximity, ensuring stable integration with brain tissue.在慢性啮齿动物模型中，功能化电极可实现 300 多天的高保真单单元记录，并且尖峰振幅和产量显着高于裸露对照。值得注意的是，该接口能够将神经调节效率提高一个数量级，仅需 2 µA 即可引发强大的运动反应，而未涂层探针的电流为 100 µA。 Multi‐omics analysis reveals a molecularly profound alteration in the host tissue response, transitioning from a pro‐inflammatory injury signature to an attenuated inflammatory state with improved tissue homeostasis.此外，该界面对生物“胶结”的抵抗力有利于无损伤的电极去除和恢复，保留神经结构并实现长期更换的可能性。 This universal platform offers a promising and practical strategy for the next generation of stable, clinically viable neural–computer interfaces.</w:t>
      </w:r>
    </w:p>
    <w:p>
      <w:pPr>
        <w:spacing w:before="0" w:after="200" w:lineRule="auto" w:line="276"/>
      </w:pPr>
      <w:r>
        <w:rPr>
          <w:b/>
        </w:rPr>
        <w:t xml:space="preserve">Abstract (EN): </w:t>
      </w:r>
      <w:r>
        <w:t>Neural electrodes face persistent challenges, including inflammation, biofouling, and impedance, which compromise long‐term recording and stimulation quality. Here, we introduced a multifunctional polyamino acid interface that enhances neural interfacing by combining biocompatibility, antimicrobial activity, and antifouling properties. Applied to flexible electrodes, this coating reduces foreign body reaction and preserves neuronal proximity, ensuring stable integration with brain tissue. In chronic rodent models, functionalized electrodes achieve high‐fidelity single‐unit recordings for over 300 days with significantly higher spike amplitudes and yield than bare controls. Notably, the interface enables an order‐of‐magnitude improvement in neuromodulation efficiency, evoking robust motor responses at only 2 µA compared to 100 µA for uncoated probes. Multi‐omics analysis reveals a molecularly profound alteration in the host tissue response, transitioning from a pro‐inflammatory injury signature to an attenuated inflammatory state with improved tissue homeostasis. Furthermore, the interface's resistance to biological “cementing” facilitates damage‐free electrode removal and recovery, preserving the neural architecture and enabling the possibility of chronic replacement. This universal platform offers a promising and practical strategy for the next generation of stable, clinically viable neural–computer interfaces.</w:t>
      </w:r>
    </w:p>
    <w:p>
      <w:pPr>
        <w:spacing w:before="120" w:after="120"/>
      </w:pPr>
      <w:r>
        <w:rPr>
          <w:sz w:val="18"/>
        </w:rPr>
        <w:t>——————————————————————————————————————————————————————————————————————</w:t>
      </w:r>
    </w:p>
    <w:p>
      <w:pPr>
        <w:spacing w:before="160" w:after="40" w:line="240" w:lineRule="auto"/>
      </w:pPr>
      <w:r>
        <w:rPr>
          <w:b/>
        </w:rPr>
        <w:t xml:space="preserve">[389] </w:t>
      </w:r>
      <w:hyperlink r:id="rId1263">
        <w:r>
          <w:rPr>
            <w:color w:val="1155CC"/>
            <w:u w:val="single"/>
          </w:rPr>
          <w:t>用于实时模拟信号处理的 FeOx 光存储器件中的材料内自适应动态编码</w:t>
        </w:r>
      </w:hyperlink>
    </w:p>
    <w:p>
      <w:pPr>
        <w:spacing w:before="0" w:after="80"/>
      </w:pPr>
      <w:r>
        <w:rPr>
          <w:i/>
          <w:sz w:val="20"/>
        </w:rPr>
        <w:t>EN: In‐Material Self‐Adaptive Dynamic Encoding in FeOx Optomemory Device for Real‐Time Analog Signal Processing</w:t>
      </w:r>
    </w:p>
    <w:p>
      <w:pPr>
        <w:spacing w:before="0" w:after="120"/>
      </w:pPr>
      <w:r>
        <w:rPr>
          <w:b/>
        </w:rPr>
        <w:t xml:space="preserve">Source: </w:t>
      </w:r>
      <w:r>
        <w:t>Wiley: Advanced Materials: Table of Contents</w:t>
      </w:r>
      <w:r>
        <w:t xml:space="preserve">    </w:t>
      </w:r>
      <w:r>
        <w:rPr>
          <w:b/>
        </w:rPr>
        <w:t xml:space="preserve">Pub date: </w:t>
      </w:r>
      <w:r>
        <w:t>2026-08-04 14:12:33+00:00</w:t>
      </w:r>
      <w:r>
        <w:t xml:space="preserve">    </w:t>
      </w:r>
      <w:r>
        <w:rPr>
          <w:b/>
        </w:rPr>
        <w:t xml:space="preserve">DOI: </w:t>
      </w:r>
      <w:hyperlink r:id="rId1264">
        <w:r>
          <w:rPr>
            <w:color w:val="1155CC"/>
            <w:u w:val="single"/>
          </w:rPr>
          <w:t>10.1002/adma.74462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传感器内视觉计算系统作为新兴的边缘计算平台，显示出处理动态信息的巨大潜力。然而，它仍然需要电力来重置重量，这在很大程度上限制了它处理复杂信号的能力。这里我们推荐FeO</w:t>
      </w:r>
      <w:r>
        <w:t xml:space="preserve"> </w:t>
      </w:r>
      <w:r>
        <w:t>x</w:t>
      </w:r>
      <w:r>
        <w:t xml:space="preserve"> </w:t>
      </w:r>
      <w:r>
        <w:t>光存储器可以自动将其状态从负光电导存储器（NPM）转换为正光电导存储器（PPM）。中性氧空位的形成（</w:t>
      </w:r>
      <w:r>
        <w:t xml:space="preserve"> </w:t>
      </w:r>
      <w:r>
        <w:t>V</w:t>
      </w:r>
      <w:r>
        <w:t xml:space="preserve"> </w:t>
      </w:r>
      <w:r>
        <w:t>哦</w:t>
      </w:r>
      <w:r>
        <w:t xml:space="preserve"> </w:t>
      </w:r>
      <w:r>
        <w:t>）来自光生电子铁还原过程（Fe</w:t>
      </w:r>
      <w:r>
        <w:t xml:space="preserve"> </w:t>
      </w:r>
      <w:r>
        <w:t>3+</w:t>
      </w:r>
      <w:r>
        <w:t xml:space="preserve"> </w:t>
      </w:r>
      <w:r>
        <w:t>to Fe</w:t>
      </w:r>
      <w:r>
        <w:t xml:space="preserve"> </w:t>
      </w:r>
      <w:r>
        <w:t>2+</w:t>
      </w:r>
      <w:r>
        <w:t xml:space="preserve"> </w:t>
      </w:r>
      <w:r>
        <w:t>）和带电氧空位的光电子捕获（</w:t>
      </w:r>
      <w:r>
        <w:t xml:space="preserve"> </w:t>
      </w:r>
      <w:r>
        <w:t>V</w:t>
      </w:r>
      <w:r>
        <w:t xml:space="preserve"> </w:t>
      </w:r>
      <w:r>
        <w:t>哦</w:t>
      </w:r>
      <w:r>
        <w:t xml:space="preserve"> </w:t>
      </w:r>
      <w:r>
        <w:t>x+</w:t>
      </w:r>
      <w:r>
        <w:t xml:space="preserve"> </w:t>
      </w:r>
      <w:r>
        <w:t>）在低光剂量照明下构建 NPM 效果。 The decrease in</w:t>
      </w:r>
      <w:r>
        <w:t xml:space="preserve"> </w:t>
      </w:r>
      <w:r>
        <w:t>V</w:t>
      </w:r>
      <w:r>
        <w:t xml:space="preserve"> </w:t>
      </w:r>
      <w:r>
        <w:t>哦</w:t>
      </w:r>
      <w:r>
        <w:t xml:space="preserve"> </w:t>
      </w:r>
      <w:r>
        <w:t>通过光生空穴铁氧化过程（Fe</w:t>
      </w:r>
      <w:r>
        <w:t xml:space="preserve"> </w:t>
      </w:r>
      <w:r>
        <w:t>2+</w:t>
      </w:r>
      <w:r>
        <w:t xml:space="preserve"> </w:t>
      </w:r>
      <w:r>
        <w:t>至铁</w:t>
      </w:r>
      <w:r>
        <w:t xml:space="preserve"> </w:t>
      </w:r>
      <w:r>
        <w:t>3+</w:t>
      </w:r>
      <w:r>
        <w:t xml:space="preserve"> </w:t>
      </w:r>
      <w:r>
        <w:t>）和增加</w:t>
      </w:r>
      <w:r>
        <w:t xml:space="preserve"> </w:t>
      </w:r>
      <w:r>
        <w:t>V</w:t>
      </w:r>
      <w:r>
        <w:t xml:space="preserve"> </w:t>
      </w:r>
      <w:r>
        <w:t>哦</w:t>
      </w:r>
      <w:r>
        <w:t xml:space="preserve"> </w:t>
      </w:r>
      <w:r>
        <w:t>x+</w:t>
      </w:r>
      <w:r>
        <w:t xml:space="preserve"> </w:t>
      </w:r>
      <w:r>
        <w:t>通过焦耳热辅助光电子脱陷</w:t>
      </w:r>
    </w:p>
    <w:p>
      <w:pPr>
        <w:spacing w:before="0" w:after="200" w:lineRule="auto" w:line="276"/>
      </w:pPr>
      <w:r>
        <w:rPr>
          <w:b/>
        </w:rPr>
        <w:t xml:space="preserve">Abstract (EN): </w:t>
      </w:r>
      <w:r>
        <w:t>In‐sensor vision computing system as an emerging edge computing platform shows great potential to process dynamic information. However, it still requires an electric to reset weight, largely limiting its capability in processing complex signals. Here we propose FeO</w:t>
      </w:r>
      <w:r>
        <w:t xml:space="preserve"> </w:t>
      </w:r>
      <w:r>
        <w:t>x</w:t>
      </w:r>
      <w:r>
        <w:t xml:space="preserve"> </w:t>
      </w:r>
      <w:r>
        <w:t>optomemory that can automatically convert its states from negative photoconductance memory (NPM) to positive photoconductance memory (PPM). The formation of neutral oxygen vacancy (</w:t>
      </w:r>
      <w:r>
        <w:t xml:space="preserve"> </w:t>
      </w:r>
      <w:r>
        <w:t>V</w:t>
      </w:r>
      <w:r>
        <w:t xml:space="preserve"> </w:t>
      </w:r>
      <w:r>
        <w:t>o</w:t>
      </w:r>
      <w:r>
        <w:t xml:space="preserve"> </w:t>
      </w:r>
      <w:r>
        <w:t>) from both the photogenerated electron‐based iron reduction process (Fe</w:t>
      </w:r>
      <w:r>
        <w:t xml:space="preserve"> </w:t>
      </w:r>
      <w:r>
        <w:t>3+</w:t>
      </w:r>
      <w:r>
        <w:t xml:space="preserve"> </w:t>
      </w:r>
      <w:r>
        <w:t>to Fe</w:t>
      </w:r>
      <w:r>
        <w:t xml:space="preserve"> </w:t>
      </w:r>
      <w:r>
        <w:t>2+</w:t>
      </w:r>
      <w:r>
        <w:t xml:space="preserve"> </w:t>
      </w:r>
      <w:r>
        <w:t>) and the photoelectron trapping by charged oxygen vacancy (</w:t>
      </w:r>
      <w:r>
        <w:t xml:space="preserve"> </w:t>
      </w:r>
      <w:r>
        <w:t>V</w:t>
      </w:r>
      <w:r>
        <w:t xml:space="preserve"> </w:t>
      </w:r>
      <w:r>
        <w:t>o</w:t>
      </w:r>
      <w:r>
        <w:t xml:space="preserve"> </w:t>
      </w:r>
      <w:r>
        <w:t>x+</w:t>
      </w:r>
      <w:r>
        <w:t xml:space="preserve"> </w:t>
      </w:r>
      <w:r>
        <w:t>) builds the NPM effect under low light dosage illumination. The decrease in</w:t>
      </w:r>
      <w:r>
        <w:t xml:space="preserve"> </w:t>
      </w:r>
      <w:r>
        <w:t>V</w:t>
      </w:r>
      <w:r>
        <w:t xml:space="preserve"> </w:t>
      </w:r>
      <w:r>
        <w:t>o</w:t>
      </w:r>
      <w:r>
        <w:t xml:space="preserve"> </w:t>
      </w:r>
      <w:r>
        <w:t>by the photogenerated hole‐based iron oxidization process (Fe</w:t>
      </w:r>
      <w:r>
        <w:t xml:space="preserve"> </w:t>
      </w:r>
      <w:r>
        <w:t>2+</w:t>
      </w:r>
      <w:r>
        <w:t xml:space="preserve"> </w:t>
      </w:r>
      <w:r>
        <w:t>to Fe</w:t>
      </w:r>
      <w:r>
        <w:t xml:space="preserve"> </w:t>
      </w:r>
      <w:r>
        <w:t>3+</w:t>
      </w:r>
      <w:r>
        <w:t xml:space="preserve"> </w:t>
      </w:r>
      <w:r>
        <w:t>) and the increase in</w:t>
      </w:r>
      <w:r>
        <w:t xml:space="preserve"> </w:t>
      </w:r>
      <w:r>
        <w:t>V</w:t>
      </w:r>
      <w:r>
        <w:t xml:space="preserve"> </w:t>
      </w:r>
      <w:r>
        <w:t>o</w:t>
      </w:r>
      <w:r>
        <w:t xml:space="preserve"> </w:t>
      </w:r>
      <w:r>
        <w:t>x+</w:t>
      </w:r>
      <w:r>
        <w:t xml:space="preserve"> </w:t>
      </w:r>
      <w:r>
        <w:t>by Joule‐heating assisted photoelectron detrapping from</w:t>
      </w:r>
      <w:r>
        <w:t xml:space="preserve"> </w:t>
      </w:r>
      <w:r>
        <w:t>V</w:t>
      </w:r>
      <w:r>
        <w:t xml:space="preserve"> </w:t>
      </w:r>
      <w:r>
        <w:t>o</w:t>
      </w:r>
      <w:r>
        <w:t xml:space="preserve"> </w:t>
      </w:r>
      <w:r>
        <w:t>sites causes the automatic conversion from the NPM to the PPM when the light illumination exceeds the threshold dosage (0.72 µJ/µm</w:t>
      </w:r>
      <w:r>
        <w:rPr>
          <w:vertAlign w:val="subscript"/>
        </w:rPr>
        <w:t>2</w:t>
      </w:r>
      <w:r>
        <w:t>). Such self‐adaptive conversion from NPM and PPM enables the FeO</w:t>
      </w:r>
      <w:r>
        <w:t xml:space="preserve"> </w:t>
      </w:r>
      <w:r>
        <w:t>x</w:t>
      </w:r>
      <w:r>
        <w:t xml:space="preserve"> </w:t>
      </w:r>
      <w:r>
        <w:t>optomemory to execute fully optical computing. The NPM effect provides rich echo states for dynamic feature encoding while the PPM initializes the encoded states, thus building a self‐adaptive reservoir computing (RC) system, yielding a recognition accuracy of 97.93%. This work provides an emerging in‐material encoding mechanism for in‐sensor edge computing system.</w:t>
      </w:r>
    </w:p>
    <w:p>
      <w:pPr>
        <w:spacing w:before="120" w:after="120"/>
      </w:pPr>
      <w:r>
        <w:rPr>
          <w:sz w:val="18"/>
        </w:rPr>
        <w:t>——————————————————————————————————————————————————————————————————————</w:t>
      </w:r>
    </w:p>
    <w:p>
      <w:pPr>
        <w:spacing w:before="160" w:after="40" w:line="240" w:lineRule="auto"/>
      </w:pPr>
      <w:r>
        <w:rPr>
          <w:b/>
        </w:rPr>
        <w:t xml:space="preserve">[390] </w:t>
      </w:r>
      <w:hyperlink r:id="rId1265">
        <w:r>
          <w:rPr>
            <w:color w:val="1155CC"/>
            <w:u w:val="single"/>
          </w:rPr>
          <w:t>具有跨尺度机械联锁纳米纤维的分子门控筛分膜对 SO2 的选择性创纪录</w:t>
        </w:r>
      </w:hyperlink>
    </w:p>
    <w:p>
      <w:pPr>
        <w:spacing w:before="0" w:after="80"/>
      </w:pPr>
      <w:r>
        <w:rPr>
          <w:i/>
          <w:sz w:val="20"/>
        </w:rPr>
        <w:t>EN: Record Selectivity of SO2 by Molecularly Gated Sieving Membranes Having Cross‐Scale Mechanically Interlocked Nanofibers</w:t>
      </w:r>
    </w:p>
    <w:p>
      <w:pPr>
        <w:spacing w:before="0" w:after="120"/>
      </w:pPr>
      <w:r>
        <w:rPr>
          <w:b/>
        </w:rPr>
        <w:t xml:space="preserve">Source: </w:t>
      </w:r>
      <w:r>
        <w:t>Wiley: Advanced Materials: Table of Contents</w:t>
      </w:r>
      <w:r>
        <w:t xml:space="preserve">    </w:t>
      </w:r>
      <w:r>
        <w:rPr>
          <w:b/>
        </w:rPr>
        <w:t xml:space="preserve">Pub date: </w:t>
      </w:r>
      <w:r>
        <w:t>2026-08-04 14:15:03+00:00</w:t>
      </w:r>
      <w:r>
        <w:t xml:space="preserve">    </w:t>
      </w:r>
      <w:r>
        <w:rPr>
          <w:b/>
        </w:rPr>
        <w:t xml:space="preserve">DOI: </w:t>
      </w:r>
      <w:hyperlink r:id="rId1266">
        <w:r>
          <w:rPr>
            <w:color w:val="1155CC"/>
            <w:u w:val="single"/>
          </w:rPr>
          <w:t>10.1002/adma.74439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集成柔性膜中实现选择性分子筛分、高效颗粒过滤和被动信号采集，标志着交互式传感保护应用的关键进步。在此，我们解开了跨尺度机械联锁聚乳酸（CSMI-PLA）纳米纤维膜，该膜通过聚多巴胺粘附的初级氢键和通过异质金属有机框架缠结的二级配位键合制造。这种分层互锁的界面设计在维度尺度上建立了强大的连接性，赋予 CSMI-PLA 卓越的机械弹性和长期传感保护耐久性。值得注意的是，CSMI-PLA 膜同时实现了 &gt;99.45% 的 PM 去除率</w:t>
      </w:r>
      <w:r>
        <w:t xml:space="preserve"> </w:t>
      </w:r>
      <w:r>
        <w:t>0.3</w:t>
      </w:r>
      <w:r>
        <w:t xml:space="preserve"> </w:t>
      </w:r>
      <w:r>
        <w:t>120 Pa 的超低压降，创纪录的二氧化硫/氮气 (SO</w:t>
      </w:r>
      <w:r>
        <w:rPr>
          <w:vertAlign w:val="subscript"/>
        </w:rPr>
        <w:t>2</w:t>
      </w:r>
      <w:r>
        <w:t>/N</w:t>
      </w:r>
      <w:r>
        <w:rPr>
          <w:vertAlign w:val="subscript"/>
        </w:rPr>
        <w:t>2</w:t>
      </w:r>
      <w:r>
        <w:t>）选择性为37000，并且有大量SO</w:t>
      </w:r>
      <w:r>
        <w:rPr>
          <w:vertAlign w:val="subscript"/>
        </w:rPr>
        <w:t>2</w:t>
      </w:r>
      <w:r>
        <w:t>摄取量 10.6 mmol·g</w:t>
      </w:r>
      <w:r>
        <w:t xml:space="preserve"> </w:t>
      </w:r>
      <w:r>
        <w:t>-</w:t>
      </w:r>
      <w:r>
        <w:rPr>
          <w:vertAlign w:val="subscript"/>
        </w:rPr>
        <w:t>1</w:t>
      </w:r>
      <w:r>
        <w:t>。此外，CSMI-PLA 膜在多组分条件下保持高功能完整性，同时提供实现被动智能传感的固有电活性。这项工作建立了一个通用平台，用于产生传感保护纳米纤维，对分子门控筛分和可生物降解的自适应可穿戴设备具有广阔的前景。</w:t>
      </w:r>
    </w:p>
    <w:p>
      <w:pPr>
        <w:spacing w:before="0" w:after="200" w:lineRule="auto" w:line="276"/>
      </w:pPr>
      <w:r>
        <w:rPr>
          <w:b/>
        </w:rPr>
        <w:t xml:space="preserve">Abstract (EN): </w:t>
      </w:r>
      <w:r>
        <w:t>Achieving selective molecular sieving, efficient particulate filtration, and passive signal acquisition into an integrated flexible membrane signifies a pivotal advancement toward interactive sensing‐protective application. Herein, we unravel cross‐scale mechanically interlocked poly(lactic acid) (CSMI‐PLA) nanofibrous membranes fabricated via primary hydrogen bonding through polydopamine adhesion and secondary coordinate bonding via heterogeneous metal‐organic frameworks entanglement. This hierarchically interlocked interface design establishes robust connectivity across dimensional scales, endowing CSMI‐PLA with exceptional mechanical resilience and long‐term sensing‐protective durability. Remarkably, the CSMI‐PLA membranes simultaneously achieve &amp;gt;99.45% removal of PM</w:t>
      </w:r>
      <w:r>
        <w:t xml:space="preserve"> </w:t>
      </w:r>
      <w:r>
        <w:t>0.3</w:t>
      </w:r>
      <w:r>
        <w:t xml:space="preserve"> </w:t>
      </w:r>
      <w:r>
        <w:t>with an ultralow pressure drop of 120 Pa, a record sulfur dioxide/nitrogen (SO</w:t>
      </w:r>
      <w:r>
        <w:rPr>
          <w:vertAlign w:val="subscript"/>
        </w:rPr>
        <w:t>2</w:t>
      </w:r>
      <w:r>
        <w:t>/N</w:t>
      </w:r>
      <w:r>
        <w:rPr>
          <w:vertAlign w:val="subscript"/>
        </w:rPr>
        <w:t>2</w:t>
      </w:r>
      <w:r>
        <w:t>) selectivity of 37000, and a substantial SO</w:t>
      </w:r>
      <w:r>
        <w:rPr>
          <w:vertAlign w:val="subscript"/>
        </w:rPr>
        <w:t>2</w:t>
      </w:r>
      <w:r>
        <w:t>uptake of 10.6 mmol·g</w:t>
      </w:r>
      <w:r>
        <w:t xml:space="preserve"> </w:t>
      </w:r>
      <w:r>
        <w:t>−</w:t>
      </w:r>
      <w:r>
        <w:rPr>
          <w:vertAlign w:val="subscript"/>
        </w:rPr>
        <w:t>1</w:t>
      </w:r>
      <w:r>
        <w:t>. Moreover, the CSMI‐PLA membranes retain high functional integrity under multicomponent conditions while offering intrisical electroactivity that enables passive intelligent sensing. This work establishes a generalizable platform for engendering sensing‐protective nanofibers, with promising implications for molecularly gated sieving and biodegradable self‐adaptive wearables.</w:t>
      </w:r>
    </w:p>
    <w:p>
      <w:pPr>
        <w:spacing w:before="120" w:after="120"/>
      </w:pPr>
      <w:r>
        <w:rPr>
          <w:sz w:val="18"/>
        </w:rPr>
        <w:t>——————————————————————————————————————————————————————————————————————</w:t>
      </w:r>
    </w:p>
    <w:p>
      <w:pPr>
        <w:spacing w:before="160" w:after="40" w:line="240" w:lineRule="auto"/>
      </w:pPr>
      <w:r>
        <w:rPr>
          <w:b/>
        </w:rPr>
        <w:t xml:space="preserve">[391] </w:t>
      </w:r>
      <w:hyperlink r:id="rId1267">
        <w:r>
          <w:rPr>
            <w:color w:val="1155CC"/>
            <w:u w:val="single"/>
          </w:rPr>
          <w:t>1D-2D 混合纳米填料与聚（乙烯醇）网络的共价界面锚定可实现高强度、高硬度水凝胶纤维</w:t>
        </w:r>
      </w:hyperlink>
    </w:p>
    <w:p>
      <w:pPr>
        <w:spacing w:before="0" w:after="80"/>
      </w:pPr>
      <w:r>
        <w:rPr>
          <w:i/>
          <w:sz w:val="20"/>
        </w:rPr>
        <w:t>EN: Covalent Interfacial Anchoring of 1D‐2D Hybrid Nanofillers to Poly(Vinyl Alcohol) Networks Enables High‐Strength, High‐Stiffness Hydrogel Fibers</w:t>
      </w:r>
    </w:p>
    <w:p>
      <w:pPr>
        <w:spacing w:before="0" w:after="120"/>
      </w:pPr>
      <w:r>
        <w:rPr>
          <w:b/>
        </w:rPr>
        <w:t xml:space="preserve">Source: </w:t>
      </w:r>
      <w:r>
        <w:t>Wiley: Advanced Materials: Table of Contents</w:t>
      </w:r>
      <w:r>
        <w:t xml:space="preserve">    </w:t>
      </w:r>
      <w:r>
        <w:rPr>
          <w:b/>
        </w:rPr>
        <w:t xml:space="preserve">Pub date: </w:t>
      </w:r>
      <w:r>
        <w:t>2026-08-04 14:16:16+00:00</w:t>
      </w:r>
      <w:r>
        <w:t xml:space="preserve">    </w:t>
      </w:r>
      <w:r>
        <w:rPr>
          <w:b/>
        </w:rPr>
        <w:t xml:space="preserve">DOI: </w:t>
      </w:r>
      <w:hyperlink r:id="rId1268">
        <w:r>
          <w:rPr>
            <w:color w:val="1155CC"/>
            <w:u w:val="single"/>
          </w:rPr>
          <w:t>10.1002/adma.74421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完全水合下具有高强度、刚度和韧性的水凝胶对于人工肌腱、韧带和软机器人等负载转移应用至关重要。然而，实现这样的性能仍然很困难，因为传统的聚合物网络本质上是软的并且传递应力的效率低。在这里，引入了共价界面锚定（CIA）策略，通过将碳纳米管（CNT）和氧化石墨烯（GO）化学锚定在聚乙烯醇网络内，在完全水合下实现高强度、高硬度的水凝胶微纤维。在该网络中，CNT有助于轴向载荷传递，而GO形成戊二醛介导的PVA-GO缩醛键，抑制变形过程中纳米填料的流动性并促进有效的应力传递。所得水凝胶纤维的拉伸强度为 132 MPa，模量为 1.1 GPa，韧性为 25 MJ m</w:t>
      </w:r>
      <w:r>
        <w:t xml:space="preserve"> </w:t>
      </w:r>
      <w:r>
        <w:t>−3</w:t>
      </w:r>
      <w:r>
        <w:t xml:space="preserve"> </w:t>
      </w:r>
      <w:r>
        <w:t>在完全水合的情况下，在 100 个模拟肌腱加载循环后保持约 88% 的位移。这些发现强调了共价界面锚定是一种有效的策略，可以为肌腱样负载转移应用设计坚固且坚硬的水凝胶纤维。</w:t>
      </w:r>
    </w:p>
    <w:p>
      <w:pPr>
        <w:spacing w:before="0" w:after="200" w:lineRule="auto" w:line="276"/>
      </w:pPr>
      <w:r>
        <w:rPr>
          <w:b/>
        </w:rPr>
        <w:t xml:space="preserve">Abstract (EN): </w:t>
      </w:r>
      <w:r>
        <w:t>Hydrogels with high strength, stiffness, and toughness under full hydration are essential for load‐transfer applications such as artificial tendons, ligaments, and soft robotics. Yet achieving such performance remains difficult because conventional polymer networks are intrinsically soft and transfer stress inefficiently. Here, a covalent interfacial anchoring (CIA) strategy is introduced to enable high‐strength, high‐stiffness hydrogel microfibers under full hydration by chemically anchoring carbon nanotubes (CNTs) and graphene oxide (GO) within poly(vinyl alcohol) networks. In this network, CNTs contribute to axial load transfer, whereas GO forms glutaraldehyde‐mediated PVA–GO acetal linkages that suppress nanofiller mobility during deformation and promote efficient stress transfer. The resulting hydrogel fibers achieve tensile strength of 132 MPa, modulus of 1.1 GPa and toughness of 25 MJ m</w:t>
      </w:r>
      <w:r>
        <w:t xml:space="preserve"> </w:t>
      </w:r>
      <w:r>
        <w:t>−3</w:t>
      </w:r>
      <w:r>
        <w:t xml:space="preserve"> </w:t>
      </w:r>
      <w:r>
        <w:t>under full hydration and maintain ∼88% displacement after 100 tendon‐mimetic loading cycles. These findings highlight covalent interfacial anchoring as an effective strategy for engineering strong and stiff hydrogel fibers for tendon‐like load‐transfer applications.</w:t>
      </w:r>
    </w:p>
    <w:p>
      <w:pPr>
        <w:spacing w:before="120" w:after="120"/>
      </w:pPr>
      <w:r>
        <w:rPr>
          <w:sz w:val="18"/>
        </w:rPr>
        <w:t>——————————————————————————————————————————————————————————————————————</w:t>
      </w:r>
    </w:p>
    <w:p>
      <w:pPr>
        <w:spacing w:before="160" w:after="40" w:line="240" w:lineRule="auto"/>
      </w:pPr>
      <w:r>
        <w:rPr>
          <w:b/>
        </w:rPr>
        <w:t xml:space="preserve">[392] </w:t>
      </w:r>
      <w:hyperlink r:id="rId1269">
        <w:r>
          <w:rPr>
            <w:color w:val="1155CC"/>
            <w:u w:val="single"/>
          </w:rPr>
          <w:t>面向经济的弹性管式 MPC，用于风不确定性和 DoS 攻击下气电耦合系统的负载频率控制</w:t>
        </w:r>
      </w:hyperlink>
    </w:p>
    <w:p>
      <w:pPr>
        <w:spacing w:before="0" w:after="80"/>
      </w:pPr>
      <w:r>
        <w:rPr>
          <w:i/>
          <w:sz w:val="20"/>
        </w:rPr>
        <w:t>EN: Economy-oriented resilient tube-based MPC for load frequency control of gas-electricity coupling systems under wind uncertainty and DoS attacks</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1270">
        <w:r>
          <w:rPr>
            <w:color w:val="1155CC"/>
            <w:u w:val="single"/>
          </w:rPr>
          <w:t>10.1016/j.apenergy.2026.128515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[393] </w:t>
      </w:r>
      <w:hyperlink r:id="rId1271">
        <w:r>
          <w:rPr>
            <w:color w:val="1155CC"/>
            <w:u w:val="single"/>
          </w:rPr>
          <w:t>基于在线安全感知深度强化学习的配电网分布式能源灵活支持方法</w:t>
        </w:r>
      </w:hyperlink>
    </w:p>
    <w:p>
      <w:pPr>
        <w:spacing w:before="0" w:after="80"/>
      </w:pPr>
      <w:r>
        <w:rPr>
          <w:i/>
          <w:sz w:val="20"/>
        </w:rPr>
        <w:t>EN: An online safety-aware deep reinforcement learning-based method for flexible support of distributed energy resources in distribution networks</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1272">
        <w:r>
          <w:rPr>
            <w:color w:val="1155CC"/>
            <w:u w:val="single"/>
          </w:rPr>
          <w:t>10.1016/j.apenergy.2026.128577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[394] </w:t>
      </w:r>
      <w:hyperlink r:id="rId1273">
        <w:r>
          <w:rPr>
            <w:color w:val="1155CC"/>
            <w:u w:val="single"/>
          </w:rPr>
          <w:t>镍 (II) 催化的对映选择性亚甲基 C(sp3)–H 炔基化反应中重要的固有位点选择性</w:t>
        </w:r>
      </w:hyperlink>
    </w:p>
    <w:p>
      <w:pPr>
        <w:spacing w:before="0" w:after="80"/>
      </w:pPr>
      <w:r>
        <w:rPr>
          <w:i/>
          <w:sz w:val="20"/>
        </w:rPr>
        <w:t>EN: Overriding Intrinsic Site-Selectivity in Nickel(II)-Catalyzed Enantioselective Methylene C(sp3)–H Alkynylation</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74">
        <w:r>
          <w:rPr>
            <w:color w:val="1155CC"/>
            <w:u w:val="single"/>
          </w:rPr>
          <w:t>10.1021/jacs.6c11377</w:t>
        </w:r>
      </w:hyperlink>
    </w:p>
    <w:p>
      <w:pPr>
        <w:spacing w:before="0" w:after="120"/>
      </w:pPr>
      <w:r>
        <w:rPr>
          <w:b/>
        </w:rPr>
        <w:t xml:space="preserve">Notes: </w:t>
      </w:r>
      <w:r>
        <w:t>abstract_source=crossref</w:t>
      </w:r>
    </w:p>
    <w:p>
      <w:pPr>
        <w:spacing w:before="0" w:after="80" w:lineRule="auto" w:line="276"/>
      </w:pPr>
      <w:r>
        <w:rPr>
          <w:b/>
        </w:rPr>
        <w:t xml:space="preserve">摘要（ZH）: </w:t>
      </w:r>
      <w:r>
        <w:t>摘要 脂肪族 C-H 键的位点和对映选择性官能化是有机合成中的关键挑战。虽然定向对映选择性甲基 C(sp3)–H 激活已得到充分证实，但在亚甲基位点实现类似的反应性（这将能够直接编辑分子支架）仍然是一个艰巨的目标，特别是对于地球上丰富的 3d 金属。在这里，我们报道了第一个镍(II)催化的β-亚甲基C(sp3)-H键的对映选择性炔基化反应。这种转化是通过空气稳定的 Ni(II) 盐和庞大的手性磷酸配体 (R)-TCYP 实现的，可提供多种 β-炔基化酰胺，产率高达 98%，ee 高达 99%。值得注意的是，该系统在甲基存在的情况下实现了亚甲基C-H优先活化，克服了定向C(sp3)-H活化的固有选择性。机理研究，包括通过 X 射线衍射分离和全面表征手性 Ni(II)-金属环中间体，表明 C-H 裂解步骤既是速率决定步骤，也是对映体决定步骤。</w:t>
      </w:r>
    </w:p>
    <w:p>
      <w:pPr>
        <w:spacing w:before="0" w:after="200" w:lineRule="auto" w:line="276"/>
      </w:pPr>
      <w:r>
        <w:rPr>
          <w:b/>
        </w:rPr>
        <w:t xml:space="preserve">Abstract (EN): </w:t>
      </w:r>
      <w:r>
        <w:t>The site- and enantioselective functionalization of aliphatic C–H bonds is a pivotal challenge in organic synthesis. While directed enantioselective methyl C(sp3)–H activation is well-established, achieving analogous reactivity at methylene sites─which would enable the direct editing of molecular scaffolds─remains a formidable goal, particularly with earth-abundant 3d metals. Here, we report the first nickel(II)-catalyzed enantioselective alkynylation of β-methylene C(sp3)–H bonds. This transformation is enabled by an air-stable Ni(II) salt and a bulky chiral phosphoric acid ligand, (R)-TCYP, delivering a broad range of β-alkynylated amides in up to 98% yield and 99% ee. Notably, this system achieves preferential methylene C–H activation in the presence of methyl groups, overcoming the intrinsic selectivity of directed C(sp3)–H activation. Mechanistic studies, including the isolation and full characterization of a chiral Ni(II)-metallacyclic intermediate via X-ray diffraction, reveal that the C–H cleavage step is both the rate- and enantio-determining step.</w:t>
      </w:r>
    </w:p>
    <w:p>
      <w:pPr>
        <w:spacing w:before="120" w:after="120"/>
      </w:pPr>
      <w:r>
        <w:rPr>
          <w:sz w:val="18"/>
        </w:rPr>
        <w:t>——————————————————————————————————————————————————————————————————————</w:t>
      </w:r>
    </w:p>
    <w:p>
      <w:pPr>
        <w:spacing w:before="160" w:after="40" w:line="240" w:lineRule="auto"/>
      </w:pPr>
      <w:r>
        <w:rPr>
          <w:b/>
        </w:rPr>
        <w:t xml:space="preserve">[395] </w:t>
      </w:r>
      <w:hyperlink r:id="rId1275">
        <w:r>
          <w:rPr>
            <w:color w:val="1155CC"/>
            <w:u w:val="single"/>
          </w:rPr>
          <w:t>投资成本不确定下的需求承受能力弹性规划</w:t>
        </w:r>
      </w:hyperlink>
    </w:p>
    <w:p>
      <w:pPr>
        <w:spacing w:before="0" w:after="80"/>
      </w:pPr>
      <w:r>
        <w:rPr>
          <w:i/>
          <w:sz w:val="20"/>
        </w:rPr>
        <w:t>EN: Demand affordability-concerned resilience planning under investment cost uncertainties</w:t>
      </w:r>
    </w:p>
    <w:p>
      <w:pPr>
        <w:spacing w:before="0" w:after="120"/>
      </w:pPr>
      <w:r>
        <w:rPr>
          <w:b/>
        </w:rPr>
        <w:t xml:space="preserve">Source: </w:t>
      </w:r>
      <w:r>
        <w:t>ScienceDirect Publication: Applied Energy</w:t>
      </w:r>
      <w:r>
        <w:t xml:space="preserve">    </w:t>
      </w:r>
      <w:r>
        <w:rPr>
          <w:b/>
        </w:rPr>
        <w:t xml:space="preserve">Pub date: </w:t>
      </w:r>
      <w:r>
        <w:t>2026-08-05 00:00:00+00:00</w:t>
      </w:r>
      <w:r>
        <w:t xml:space="preserve">    </w:t>
      </w:r>
      <w:r>
        <w:rPr>
          <w:b/>
        </w:rPr>
        <w:t xml:space="preserve">DOI: </w:t>
      </w:r>
      <w:hyperlink r:id="rId1276">
        <w:r>
          <w:rPr>
            <w:color w:val="1155CC"/>
            <w:u w:val="single"/>
          </w:rPr>
          <w:t>10.1016/j.apenergy.2026.128537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[396] </w:t>
      </w:r>
      <w:hyperlink r:id="rId1277">
        <w:r>
          <w:rPr>
            <w:color w:val="1155CC"/>
            <w:u w:val="single"/>
          </w:rPr>
          <w:t>双位点格拉布斯催化剂环丁烯和降冰片烯的交替共聚</w:t>
        </w:r>
      </w:hyperlink>
    </w:p>
    <w:p>
      <w:pPr>
        <w:spacing w:before="0" w:after="80"/>
      </w:pPr>
      <w:r>
        <w:rPr>
          <w:i/>
          <w:sz w:val="20"/>
        </w:rPr>
        <w:t>EN: Alternating Copolymerization of Cyclobutenes and Norbornenes by a Dual-Site Grubbs Catalyst</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78">
        <w:r>
          <w:rPr>
            <w:color w:val="1155CC"/>
            <w:u w:val="single"/>
          </w:rPr>
          <w:t>10.1021/jacs.6c07797</w:t>
        </w:r>
      </w:hyperlink>
    </w:p>
    <w:p>
      <w:pPr>
        <w:spacing w:before="0" w:after="120"/>
      </w:pPr>
      <w:r>
        <w:rPr>
          <w:b/>
        </w:rPr>
        <w:t xml:space="preserve">Notes: </w:t>
      </w:r>
      <w:r>
        <w:t>abstract_source=crossref</w:t>
      </w:r>
    </w:p>
    <w:p>
      <w:pPr>
        <w:spacing w:before="0" w:after="80" w:lineRule="auto" w:line="276"/>
      </w:pPr>
      <w:r>
        <w:rPr>
          <w:b/>
        </w:rPr>
        <w:t xml:space="preserve">摘要（ZH）: </w:t>
      </w:r>
      <w:r>
        <w:t>摘要 催化交替共聚是一种有吸引力但具有挑战性的顺序合成策略，要求催化剂对不同单体具有不间断的交替识别能力。化学家通常使用难以自聚合的单体，确保交替共聚的速率远高于各单体的均聚的速率。然而，高度自聚合单体之间交替共聚的报道极其罕见。这项工作采用了空间要求高的手性格拉布斯催化剂，该催化剂具有供电子 C-Ru 键，有利于每个有效复分解在两侧发生。因此，通过利用其右侧和左侧的空间差异，该催化剂可以有效地区分两种都表现出高开环复分解聚合（ROMP）反应活性的环烯烃，尽管空间位阻略有不同。以1:1的单体投料比实现了环丁烯和降冰片烯的高效交替共聚，所得聚合物具有高分子量和低分散性。与无规共聚物或聚降冰片烯相比，这些交替共聚物表现出显着改善的机械性能，其特征在于高强度和高韧性而不牺牲弹性。这项研究说明了手性催化剂在精密聚合物合成中的广泛潜在用途。</w:t>
      </w:r>
    </w:p>
    <w:p>
      <w:pPr>
        <w:spacing w:before="0" w:after="200" w:lineRule="auto" w:line="276"/>
      </w:pPr>
      <w:r>
        <w:rPr>
          <w:b/>
        </w:rPr>
        <w:t xml:space="preserve">Abstract (EN): </w:t>
      </w:r>
      <w:r>
        <w:t>Catalytic alternating copolymerization is an appealing yet challenging sequential synthetic strategy that requires catalysts to have uninterrupted alternating recognition capabilities for different monomers. Chemists usually utilize monomers that are difficult to self-polymerize, ensuring that the rate of alternating copolymerization is far higher than the rate of homopolymerization of each monomer. However, reports of alternating copolymerization between highly self-polymerizable monomers are exceedingly uncommon. This work employs a sterically demanding chiral Grubbs catalyst featuring an electron-donating C–Ru bond, which facilitates the alternation of each productive metathesis to occur on both sides. Therefore, by leveraging the steric differences on its right and left sides, the catalyst can effectively distinguish between two cycloalkenes that both demonstrate high ring-opening metathesis polymerization (ROMP) reactivity, albeit with slightly different steric hindrances. Efficient alternating copolymerization of cyclobutene and norbornene was achieved at a 1:1 monomer feed ratio, providing the resultant polymers with high molecular weights and low dispersity. In contrast to random copolymers or polynorbornenes, these alternating copolymers exhibit notably improved mechanical properties, characterized by high strength and high toughness without sacrificing elasticity. This study illustrates the wide range of potential uses for chiral catalysts in precision polymer synthesis.</w:t>
      </w:r>
    </w:p>
    <w:p>
      <w:pPr>
        <w:spacing w:before="120" w:after="120"/>
      </w:pPr>
      <w:r>
        <w:rPr>
          <w:sz w:val="18"/>
        </w:rPr>
        <w:t>——————————————————————————————————————————————————————————————————————</w:t>
      </w:r>
    </w:p>
    <w:p>
      <w:pPr>
        <w:spacing w:before="160" w:after="40" w:line="240" w:lineRule="auto"/>
      </w:pPr>
      <w:r>
        <w:rPr>
          <w:b/>
        </w:rPr>
        <w:t xml:space="preserve">[397] </w:t>
      </w:r>
      <w:hyperlink r:id="rId1279">
        <w:r>
          <w:rPr>
            <w:color w:val="1155CC"/>
            <w:u w:val="single"/>
          </w:rPr>
          <w:t>通过氧化还原解耦串联流电合成进行通用无金属脱硼-氘化</w:t>
        </w:r>
      </w:hyperlink>
    </w:p>
    <w:p>
      <w:pPr>
        <w:spacing w:before="0" w:after="80"/>
      </w:pPr>
      <w:r>
        <w:rPr>
          <w:i/>
          <w:sz w:val="20"/>
        </w:rPr>
        <w:t>EN: Universal Metal-Free Deborylation–Deuteration via Redox-Decoupled Tandem Flow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80">
        <w:r>
          <w:rPr>
            <w:color w:val="1155CC"/>
            <w:u w:val="single"/>
          </w:rPr>
          <w:t>10.1021/jacs.6c09364</w:t>
        </w:r>
      </w:hyperlink>
    </w:p>
    <w:p>
      <w:pPr>
        <w:spacing w:before="0" w:after="120"/>
      </w:pPr>
      <w:r>
        <w:rPr>
          <w:b/>
        </w:rPr>
        <w:t xml:space="preserve">Notes: </w:t>
      </w:r>
      <w:r>
        <w:t>abstract_source=crossref</w:t>
      </w:r>
    </w:p>
    <w:p>
      <w:pPr>
        <w:spacing w:before="0" w:after="80" w:lineRule="auto" w:line="276"/>
      </w:pPr>
      <w:r>
        <w:rPr>
          <w:b/>
        </w:rPr>
        <w:t xml:space="preserve">摘要（ZH）: </w:t>
      </w:r>
      <w:r>
        <w:t>摘要 流动电化学合成是构建 d 标记化合物等增值靶标的有前景的平台。然而，其效率和更广泛的应用受到低效或动力学不匹配的反半反应以及传统流通池架构的架构限制的限制。在这里，我们报告了单池串联流反应器内的氧化还原解耦策略，该策略将经典的替代脱硼化-氘化分离为连续的电化学步骤。这种方法能够对各种有机硼物质进行通用、无金属的氘化，包括硼酸、硼酸酯和硼酸盐、烷基、（杂环）芳基、烯基和其他衍生物（&gt; 100 个例子）。使用 D2O 作为经济高效的 d-源，该系统实现了优异的产率、d-掺入、对不稳定官能团的耐受性，并显着提高了法拉第效率。该平台展示了工业级的耐用性，可连续运行超过 1200 小时，并能够大规模、无保护地合成氘代药物 d-美西律。总体而言，该策略显着扩展了流式电化学的设计空间，为绿色、经济和高效的电合成铺平了一条令人兴奋的道路。</w:t>
      </w:r>
    </w:p>
    <w:p>
      <w:pPr>
        <w:spacing w:before="0" w:after="200" w:lineRule="auto" w:line="276"/>
      </w:pPr>
      <w:r>
        <w:rPr>
          <w:b/>
        </w:rPr>
        <w:t xml:space="preserve">Abstract (EN): </w:t>
      </w:r>
      <w:r>
        <w:t>Flow electrochemical synthesis is a promising platform for constructing value-added targets such as d-labeled compounds. However, its efficiency and broader application are limited by the unproductive or kinetically mismatched counter half-reactions and architectural constraints of conventional flow cell architectures. Here, we report a redox-decoupled strategy within a single-cell tandem flow reactor that separates a classical substitutive deborylation–deuteration into sequential electrochemical steps. This approach enables the universal, metal-free deuteration of diverse organoboron species, including boronic acids, borate esters, and borates, across alkyl, (heterocyclic) aryl, alkenyl, and other derivatives (&amp;gt;100 examples). Using D2O as a cost-effective d-source, the system achieves excellent yields, d-incorporation, tolerance to the labile functional groups, and significantly improved Faradaic efficiency. The platform demonstrates industrial-grade durability with continuous operation for over 1200 h and enables scalable, unprotected synthesis of deuterated drug d-mexiletine. Overall, this strategy significantly expands the design space of flow electrochemistry, paving an exciting path toward green, economic, and efficient electrosynthesis.</w:t>
      </w:r>
    </w:p>
    <w:p>
      <w:pPr>
        <w:spacing w:before="120" w:after="120"/>
      </w:pPr>
      <w:r>
        <w:rPr>
          <w:sz w:val="18"/>
        </w:rPr>
        <w:t>——————————————————————————————————————————————————————————————————————</w:t>
      </w:r>
    </w:p>
    <w:p>
      <w:pPr>
        <w:spacing w:before="160" w:after="40" w:line="240" w:lineRule="auto"/>
      </w:pPr>
      <w:r>
        <w:rPr>
          <w:b/>
        </w:rPr>
        <w:t xml:space="preserve">[398] </w:t>
      </w:r>
      <w:hyperlink r:id="rId1281">
        <w:r>
          <w:rPr>
            <w:color w:val="1155CC"/>
            <w:u w:val="single"/>
          </w:rPr>
          <w:t>通过亚氨基硼酸盐化学对 DNA Origami 进行动态共价功能化</w:t>
        </w:r>
      </w:hyperlink>
    </w:p>
    <w:p>
      <w:pPr>
        <w:spacing w:before="0" w:after="80"/>
      </w:pPr>
      <w:r>
        <w:rPr>
          <w:i/>
          <w:sz w:val="20"/>
        </w:rPr>
        <w:t>EN: Dynamic Covalent Functionalization of DNA Origami via Iminoboronate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82">
        <w:r>
          <w:rPr>
            <w:color w:val="1155CC"/>
            <w:u w:val="single"/>
          </w:rPr>
          <w:t>10.1021/jacs.6c08320</w:t>
        </w:r>
      </w:hyperlink>
    </w:p>
    <w:p>
      <w:pPr>
        <w:spacing w:before="0" w:after="120"/>
      </w:pPr>
      <w:r>
        <w:rPr>
          <w:b/>
        </w:rPr>
        <w:t xml:space="preserve">Notes: </w:t>
      </w:r>
      <w:r>
        <w:t>abstract_source=crossref</w:t>
      </w:r>
    </w:p>
    <w:p>
      <w:pPr>
        <w:spacing w:before="0" w:after="80" w:lineRule="auto" w:line="276"/>
      </w:pPr>
      <w:r>
        <w:rPr>
          <w:b/>
        </w:rPr>
        <w:t xml:space="preserve">摘要（ZH）: </w:t>
      </w:r>
      <w:r>
        <w:t>摘要 DNA 纳米结构的可逆功能化对于将其整合到动态生物结构和生物医学应用中至关重要。目前的策略通常依赖于链置换或刺激响应序列，而基于动态共价化学的方法在很大程度上仍未被探索。然而，动态共价键将共价稳定性与温和条件下的可逆交换结合起来，为调节 DNA 纳米结构提供了适应性强且生物相容的途径。在这里，我们报告亚氨基硼酸缀合作为 DNA 折纸可逆功能化的策略。带有 2-甲酰基苯基硼酸的聚乙二醇和胆固醇部分可有效地与展示 α 效应胺的 DNA 折纸缀合，而缀合物置换可由小分子竞争剂触发。我们进一步证明了 DNA 折纸与脂质双层系统（包括大型和巨型单层囊泡）的可逆锚定。这些发现将亚氨基硼酸盐化学确立为一个强大的刺激响应平台，用于将 DNA 折纸与功能部分连接起来，为可编程纳米器件和自适应仿生材料铺平了道路。</w:t>
      </w:r>
    </w:p>
    <w:p>
      <w:pPr>
        <w:spacing w:before="0" w:after="200" w:lineRule="auto" w:line="276"/>
      </w:pPr>
      <w:r>
        <w:rPr>
          <w:b/>
        </w:rPr>
        <w:t xml:space="preserve">Abstract (EN): </w:t>
      </w:r>
      <w:r>
        <w:t>Reversible functionalization of DNA nanostructures is essential for their integration into dynamic biological constructs and biomedical applications. Current strategies typically rely on strand displacement or stimuli-responsive sequences, while approaches based on dynamic covalent chemistry remain largely unexplored. Yet, dynamic covalent bonds combine covalent stability with reversible exchange under mild conditions, offering adaptable and biologically compatible routes to modulate DNA nanostructures. Here, we report iminoboronate conjugation as a strategy for the reversible functionalization of DNA origami. Polyethylene glycol and cholesterol moieties bearing 2-formylphenylboronic acid are efficiently conjugated to DNA origami displaying α-effect amines, while conjugate displacement can be triggered by a small-molecule competitor. We further demonstrate the reversible anchoring of DNA origami to lipid bilayer systems, including both large and giant unilamellar vesicles. These findings establish iminoboronate chemistry as a robust, stimuli-responsive platform for interfacing DNA origami with functional moieties, paving the way for programmable nanodevices and adaptive biomimetic materials.</w:t>
      </w:r>
    </w:p>
    <w:p>
      <w:pPr>
        <w:spacing w:before="120" w:after="120"/>
      </w:pPr>
      <w:r>
        <w:rPr>
          <w:sz w:val="18"/>
        </w:rPr>
        <w:t>——————————————————————————————————————————————————————————————————————</w:t>
      </w:r>
    </w:p>
    <w:p>
      <w:pPr>
        <w:spacing w:before="160" w:after="40" w:line="240" w:lineRule="auto"/>
      </w:pPr>
      <w:r>
        <w:rPr>
          <w:b/>
        </w:rPr>
        <w:t xml:space="preserve">[399] </w:t>
      </w:r>
      <w:hyperlink r:id="rId1283">
        <w:r>
          <w:rPr>
            <w:color w:val="1155CC"/>
            <w:u w:val="single"/>
          </w:rPr>
          <w:t>生物正交脱甲硅烷基化系统增强肿瘤 mRNA 治疗</w:t>
        </w:r>
      </w:hyperlink>
    </w:p>
    <w:p>
      <w:pPr>
        <w:spacing w:before="0" w:after="80"/>
      </w:pPr>
      <w:r>
        <w:rPr>
          <w:i/>
          <w:sz w:val="20"/>
        </w:rPr>
        <w:t>EN: A Bioorthogonal Desilylation System Potentiates mRNA Therapeutics in Tumors</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84">
        <w:r>
          <w:rPr>
            <w:color w:val="1155CC"/>
            <w:u w:val="single"/>
          </w:rPr>
          <w:t>10.1021/jacs.6c09548</w:t>
        </w:r>
      </w:hyperlink>
    </w:p>
    <w:p>
      <w:pPr>
        <w:spacing w:before="0" w:after="120"/>
      </w:pPr>
      <w:r>
        <w:rPr>
          <w:b/>
        </w:rPr>
        <w:t xml:space="preserve">Notes: </w:t>
      </w:r>
      <w:r>
        <w:t>abstract_source=crossref</w:t>
      </w:r>
    </w:p>
    <w:p>
      <w:pPr>
        <w:spacing w:before="0" w:after="80" w:lineRule="auto" w:line="276"/>
      </w:pPr>
      <w:r>
        <w:rPr>
          <w:b/>
        </w:rPr>
        <w:t xml:space="preserve">摘要（ZH）: </w:t>
      </w:r>
      <w:r>
        <w:t>摘要：脂质纳米颗粒（LNP）介导的 mRNA 递送已成为一种强大的治疗方式，但其在肿瘤学中的临床转化仍然受到固有的肝向性和低效的内体逃逸的限制。这些限制使得高剂量给药成为必要，这会引发脂质相关毒性和肝脏中的脱靶蛋白表达。为了克服这些障碍，我们报告了一种基于可裂解甲硅烷基醚的生物正交可激活LNP平台，称为SiLNP，它能够实现肿瘤特异性激活和胞质mRNA释放。我们设计了包含硅醚结构熔丝的可电离脂质，可响应苯丙氨酸三氟硼酸盐 (Phe-BF3) 触发器。该系统利用上调的转运蛋白 LAT-1 主动将 Phe-BF3 导入肿瘤细胞，从而触发脂质脱甲硅烷基化和快速释放货物。在体外，SiLNP 表现出对 mRNA 表达的可控外部控制，与标准 SM-102 LNP 相比，mRNA 表达提高了 44 倍，激活与沉默比率提高了 10 倍。在免疫学“冷”B16-F10 黑色素瘤模型中，编码 Gasdermin D N 末端结构域 (GDNT) 的 SiLNP 诱导肿瘤特异性细胞焦亡，从而抑制肿瘤生长，且没有可检测到的全身毒性。此外，该平台通过提供免疫调节 mRNA（包括 IL-2 和 Cxcl9）而展示了多功能性。总而言之，这项工作提出了一种代谢靶向、生物正交激活的递送策略，以解决当前 mRNA 药物的选择性和效率限制，</w:t>
      </w:r>
    </w:p>
    <w:p>
      <w:pPr>
        <w:spacing w:before="0" w:after="200" w:lineRule="auto" w:line="276"/>
      </w:pPr>
      <w:r>
        <w:rPr>
          <w:b/>
        </w:rPr>
        <w:t xml:space="preserve">Abstract (EN): </w:t>
      </w:r>
      <w:r>
        <w:t>Lipid nanoparticle (LNP)-mediated mRNA delivery has emerged as a powerful therapeutic modality, yet its clinical translation in oncology remains constrained by inherent hepatic tropism and inefficient endosomal escape. These limitations necessitate high-dose administration, which triggers lipid-associated toxicity and off-target protein expression in the liver. To overcome these barriers, we report a cleavable silyl-ether-based bioorthogonally activatable LNP platform, termed SiLNP, that enables tumor-specific activation and cytosolic mRNA release. We engineered ionizable lipids incorporating silyl ether structural fuses that respond to a phenylalanine trifluoroborate (Phe-BF3) trigger. This system leverages the upregulated transporter LAT-1 to actively import Phe-BF3 into tumor cells, where it triggers lipid desilylation and rapid cargo release. In vitro, SiLNPs demonstrated controllable external control over mRNA expression, achieving a 44-fold enhancement in mRNA expression compared to standard SM-102 LNPs with a 10-fold activation-to-silent ratio. In immunologically “cold” B16–F10 melanoma models, SiLNPs encoding the N-terminal domain of gasdermin D (GDNT) induced tumor-specific pyroptosis, resulting in tumor growth inhibition without detectable systemic toxicity. Furthermore, this platform demonstrated versatility by delivering immunomodulatory mRNAs, including IL-2 and Cxcl9. Taken together, this work presents a metabolically targeted, bioorthogonal-activated delivery strategy to address the selectivity and efficiency limitations of current mRNA medicines, providing a promising platform for precision oncology.</w:t>
      </w:r>
    </w:p>
    <w:p>
      <w:pPr>
        <w:spacing w:before="120" w:after="120"/>
      </w:pPr>
      <w:r>
        <w:rPr>
          <w:sz w:val="18"/>
        </w:rPr>
        <w:t>——————————————————————————————————————————————————————————————————————</w:t>
      </w:r>
    </w:p>
    <w:p>
      <w:pPr>
        <w:spacing w:before="160" w:after="40" w:line="240" w:lineRule="auto"/>
      </w:pPr>
      <w:r>
        <w:rPr>
          <w:b/>
        </w:rPr>
        <w:t xml:space="preserve">[400] </w:t>
      </w:r>
      <w:hyperlink r:id="rId1285">
        <w:r>
          <w:rPr>
            <w:color w:val="1155CC"/>
            <w:u w:val="single"/>
          </w:rPr>
          <w:t>通过氧空位工程和单原子锚定赋予中心对称氧化物有效的压电效应，用于多催化声免疫治疗</w:t>
        </w:r>
      </w:hyperlink>
    </w:p>
    <w:p>
      <w:pPr>
        <w:spacing w:before="0" w:after="80"/>
      </w:pPr>
      <w:r>
        <w:rPr>
          <w:i/>
          <w:sz w:val="20"/>
        </w:rPr>
        <w:t>EN: Endowing Centrosymmetric Oxides with Effective Piezoelectricity via Oxygen Vacancy Engineering and Single-Atom Anchoring for Multicatalytic Sono-Immunotherapy</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86">
        <w:r>
          <w:rPr>
            <w:color w:val="1155CC"/>
            <w:u w:val="single"/>
          </w:rPr>
          <w:t>10.1021/jacs.6c08298</w:t>
        </w:r>
      </w:hyperlink>
    </w:p>
    <w:p>
      <w:pPr>
        <w:spacing w:before="0" w:after="120"/>
      </w:pPr>
      <w:r>
        <w:rPr>
          <w:b/>
        </w:rPr>
        <w:t xml:space="preserve">Notes: </w:t>
      </w:r>
      <w:r>
        <w:t>abstract_source=crossref</w:t>
      </w:r>
    </w:p>
    <w:p>
      <w:pPr>
        <w:spacing w:before="0" w:after="80" w:lineRule="auto" w:line="276"/>
      </w:pPr>
      <w:r>
        <w:rPr>
          <w:b/>
        </w:rPr>
        <w:t xml:space="preserve">摘要（ZH）: </w:t>
      </w:r>
      <w:r>
        <w:t>摘要 由于压电势驱动的能带倾斜和促进载流子分离，超声压电疗法（SPT）有望克服能带结构的局限性。然而，压电效应对非中心对称晶体结构的依赖性严重限制了材料选择的范围。在此，通过氧空位（OV）工程和单原子锚定策略打破了氧化铟（In2O3）纳米晶体的固有中心对称性，产生了具有有效压电性的铜单原子锚定富含OV的In2O3-x（CuSA-In2O3-x）。通过超声压电催化，CuSA-In2O3-x可以产生多种活性氧、氧气和一氧化碳，并消耗乳酸和谷胱甘肽。同时，CuSA-In2O3-x还表现出多种酶样活性，包括过氧化氢酶、过氧化物酶、谷胱甘肽氧化酶和烟酰胺腺嘌呤二核苷酸（磷酸）（NAD（P）H）氧化酶模拟。受益于多催化性能的协同效应，CuSA-In2O3-x在超声波照射下有效破坏肿瘤细胞的氧化还原和能量代谢稳态，从而诱导细胞凋亡和铁死亡，启动免疫原性细胞死亡，增强免疫反应。 CuSA-In2O3-x联合超声不仅能显着抑制肿瘤生长，还能促进树突状细胞成熟、CD8+T细胞浸润和记忆T细胞分化，从而激活免疫保护并预防肿瘤复发。作为中心对称氧的代表性应用</w:t>
      </w:r>
    </w:p>
    <w:p>
      <w:pPr>
        <w:spacing w:before="0" w:after="200" w:lineRule="auto" w:line="276"/>
      </w:pPr>
      <w:r>
        <w:rPr>
          <w:b/>
        </w:rPr>
        <w:t xml:space="preserve">Abstract (EN): </w:t>
      </w:r>
      <w:r>
        <w:t>Due to piezopotential-driven energy band tilting and the promotion of charge carrier separation, sonopiezoelectric therapy (SPT) holds promise in overcoming the limitations of band structure. However, the dependence of the piezoelectric effect on noncentrosymmetric crystal structures severely restricts the range of material selection. Herein, the intrinsic centrosymmetry of indium oxide (In2O3) nanocrystals was broken through oxygen vacancy (OV) engineering and single-atom anchoring strategies, resulting in copper single-atom-anchored OV-rich In2O3-x (CuSA-In2O3-x) with effective piezoelectricity. Through sonopiezoelectric catalysis, CuSA-In2O3-x can generate diverse reactive oxygen species, oxygen, and carbon monoxide and consume lactic acid and glutathione. Meanwhile, CuSA-In2O3-x also exhibits multiple enzyme-like activities, including catalase, peroxidase, glutathione oxidase, and nicotinamide adenine dinucleotide (phosphate) (NAD(P)H) oxidase mimicking. Benefiting from the synergistic effect of multicatalytic performance, CuSA-In2O3-x under ultrasonic irradiation effectively disrupts the redox and energy metabolic homeostasis of tumor cells, thereby inducing apoptosis and ferroptosis and initiating immunogenic cell death to enhance the immune response. CuSA-In2O3-x combined with ultrasound not only significantly inhibits tumor growth but also promotes dendritic cell maturation, CD8+ T-cell infiltration, and memory T-cell differentiation, thereby activating immune protection and preventing tumor recurrence. As a representative application of centrosymmetric oxides in SPT, this work will expand the selection of piezoelectric sonocatalysts and provide valuable insights into sono-immunotherapy.</w:t>
      </w:r>
    </w:p>
    <w:p>
      <w:pPr>
        <w:spacing w:before="120" w:after="120"/>
      </w:pPr>
      <w:r>
        <w:rPr>
          <w:sz w:val="18"/>
        </w:rPr>
        <w:t>——————————————————————————————————————————————————————————————————————</w:t>
      </w:r>
    </w:p>
    <w:p>
      <w:pPr>
        <w:spacing w:before="160" w:after="40" w:line="240" w:lineRule="auto"/>
      </w:pPr>
      <w:r>
        <w:rPr>
          <w:b/>
        </w:rPr>
        <w:t xml:space="preserve">[401] </w:t>
      </w:r>
      <w:hyperlink r:id="rId1287">
        <w:r>
          <w:rPr>
            <w:color w:val="1155CC"/>
            <w:u w:val="single"/>
          </w:rPr>
          <w:t>用于靶向蛋白质降解的从头设计的双功能蛋白质</w:t>
        </w:r>
      </w:hyperlink>
    </w:p>
    <w:p>
      <w:pPr>
        <w:spacing w:before="0" w:after="80"/>
      </w:pPr>
      <w:r>
        <w:rPr>
          <w:i/>
          <w:sz w:val="20"/>
        </w:rPr>
        <w:t>EN: De Novo-Designed Bifunctional Proteins for Targeted Protein Degradation</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88">
        <w:r>
          <w:rPr>
            <w:color w:val="1155CC"/>
            <w:u w:val="single"/>
          </w:rPr>
          <w:t>10.1021/jacs.6c07593</w:t>
        </w:r>
      </w:hyperlink>
    </w:p>
    <w:p>
      <w:pPr>
        <w:spacing w:before="0" w:after="120"/>
      </w:pPr>
      <w:r>
        <w:rPr>
          <w:b/>
        </w:rPr>
        <w:t xml:space="preserve">Notes: </w:t>
      </w:r>
      <w:r>
        <w:t>abstract_source=crossref</w:t>
      </w:r>
    </w:p>
    <w:p>
      <w:pPr>
        <w:spacing w:before="0" w:after="80" w:lineRule="auto" w:line="276"/>
      </w:pPr>
      <w:r>
        <w:rPr>
          <w:b/>
        </w:rPr>
        <w:t xml:space="preserve">摘要（ZH）: </w:t>
      </w:r>
      <w:r>
        <w:t>摘要 在靶向蛋白降解 (TPD) 中，特定的亚细胞蛋白通过泛素蛋白酶体、自噬或溶酶体机制被去除。例如，蛋白水解靶向嵌合体 (PROTAC) 是合成的异双功能小分子，可同时结合靶标和 E3 泛素连接酶，以驱动蛋白酶体泛素化和降解。尽管取得了相当大的成功，但设计此类分子仍具有挑战性，而且目前可寻址的泛素 E3 连接酶的数量有限。在这里，我们设计了一种异双功能从头蛋白质来触发常见癌症靶标的降解，从而产生所需的表型输出。首先，我们开发了一种高度稳定且适应性强的螺旋-转角-螺旋支架，用于呈现多个结合位点。接下来，我们使用计算蛋白质设计来整合和修饰热点结合位点，以靶向抗凋亡介质 BCL-xL 和 MCL-1。我们展示了针对这些目标创建亚微摩尔粘合剂的成功率为 75%。复合物的晶体结构证实了设计的结合姿势。然后，我们将短线性基序 (SLiM) 设计到支架环中以招募 KLHL20 和泛素连接酶机制。这些设计对 KLHL20 的微摩尔亲和力与天然 SLiM 相当。此外，双功能化蛋白会降解细胞中的 BCL-xL，导致细胞凋亡。</w:t>
      </w:r>
    </w:p>
    <w:p>
      <w:pPr>
        <w:spacing w:before="0" w:after="200" w:lineRule="auto" w:line="276"/>
      </w:pPr>
      <w:r>
        <w:rPr>
          <w:b/>
        </w:rPr>
        <w:t xml:space="preserve">Abstract (EN): </w:t>
      </w:r>
      <w:r>
        <w:t>In targeted protein degradation (TPD), specific subcellular proteins are removed by routing them to the ubiquitin-proteasome, autophagy, or lysosome machinery. For instance, proteolysis-targeting chimeras (PROTACs) are synthetic heterobifunctional small molecules that simultaneously bind the target and an E3 ubiquitin ligase to drive ubiquitination and degradation by the proteasome. Despite considerable success, designing such molecules is challenging, and the number of currently addressable ubiquitin E3 ligases is limited. Here, we design a heterobifunctional de novo protein to trigger the degradation of a common cancer target, resulting in a desired phenotypic output. First, we developed a highly stable and adaptable helix–turn–helix scaffold for presenting multiple binding sites. Next, we use computational protein design to incorporate and embellish hot-spot-binding sites to target the antiapoptotic mediators BCL-xL and MCL-1. We show a 75% success rate for creating submicromolar binders against these targets. Crystal structures of the complexes confirmed the designed binding poses. Then, we designed short linear motifs (SLiMs) into the loop of the scaffold to recruit KLHL20 and the ubiquitin ligase machinery. These designs have low micromolar affinity for KLHL20 comparable to that of the natural SLiMs. Moreover, the bifunctionalized proteins degrade BCL-xL in cells, leading to apoptosis.</w:t>
      </w:r>
    </w:p>
    <w:p>
      <w:pPr>
        <w:spacing w:before="120" w:after="120"/>
      </w:pPr>
      <w:r>
        <w:rPr>
          <w:sz w:val="18"/>
        </w:rPr>
        <w:t>——————————————————————————————————————————————————————————————————————</w:t>
      </w:r>
    </w:p>
    <w:p>
      <w:pPr>
        <w:spacing w:before="160" w:after="40" w:line="240" w:lineRule="auto"/>
      </w:pPr>
      <w:r>
        <w:rPr>
          <w:b/>
        </w:rPr>
        <w:t xml:space="preserve">[402] </w:t>
      </w:r>
      <w:hyperlink r:id="rId1289">
        <w:r>
          <w:rPr>
            <w:color w:val="1155CC"/>
            <w:u w:val="single"/>
          </w:rPr>
          <w:t>邻-B−π–B-稠合全六元BN[7]Helicene，用于具有鲁棒构型稳定性的窄带圆偏振发光</w:t>
        </w:r>
      </w:hyperlink>
    </w:p>
    <w:p>
      <w:pPr>
        <w:spacing w:before="0" w:after="80"/>
      </w:pPr>
      <w:r>
        <w:rPr>
          <w:i/>
          <w:sz w:val="20"/>
        </w:rPr>
        <w:t>EN: An Ortho -B−π–B-Fused All-Six-Membered BN[7]Helicene for Narrowband Circularly Polarized Luminescence with Robust Configurational Stability</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90">
        <w:r>
          <w:rPr>
            <w:color w:val="1155CC"/>
            <w:u w:val="single"/>
          </w:rPr>
          <w:t>10.1021/jacs.6c10817</w:t>
        </w:r>
      </w:hyperlink>
    </w:p>
    <w:p>
      <w:pPr>
        <w:spacing w:before="0" w:after="120"/>
      </w:pPr>
      <w:r>
        <w:rPr>
          <w:b/>
        </w:rPr>
        <w:t xml:space="preserve">Notes: </w:t>
      </w:r>
      <w:r>
        <w:t>abstract_source=crossref</w:t>
      </w:r>
    </w:p>
    <w:p>
      <w:pPr>
        <w:spacing w:before="0" w:after="80" w:lineRule="auto" w:line="276"/>
      </w:pPr>
      <w:r>
        <w:rPr>
          <w:b/>
        </w:rPr>
        <w:t xml:space="preserve">摘要（ZH）: </w:t>
      </w:r>
      <w:r>
        <w:t>摘要 圆偏振有机发光二极管（CP-OLED）直接产生圆偏振电致发光（CPEL），可实现高质量的光学输出，同时减少对先进显示技术和新兴手性光电应用的外部偏振元件的依赖。基于螺旋烯的圆偏振多重共振热激活延迟荧光（CP-MR-TADF）发射器将固有手性与窄带发射相结合，但将其发射扩展到更长的波长通常会伴随着显着的光谱展宽和构型稳定性的损失。在这里，我们介绍了解决这些问题的 BN[7]helicene 框架。利用邻B−π–B拓扑结构，我们构建了一种全六元环稠合结构，其对映体固体粉末在250°C连续加热6天后仍保持构型稳定性和CPL性能。对映体 ( P / M )-DBN- cp ICz 在 558 nm 处呈现黄色发射，半峰全宽 (FWHM) 为 23 nm，光致发光不对称因子为 +2.2/–1.9 × 10–3，外消旋化能垒为 48.28 kcal mol–1。基于 ( P / M )-DBN- cp ICz 的 CP-OLED 在 572 nm 处实现窄带 CPEL，半高宽为 29–30 nm，不对称因子为 +2.1/–2.3 × 10–3。这项工作为长波长、高颜色纯度的圆偏振发光建立了一条可行的途径，并增强了鲁棒手性MR光电材料的构型稳定性。</w:t>
      </w:r>
    </w:p>
    <w:p>
      <w:pPr>
        <w:spacing w:before="0" w:after="200" w:lineRule="auto" w:line="276"/>
      </w:pPr>
      <w:r>
        <w:rPr>
          <w:b/>
        </w:rPr>
        <w:t xml:space="preserve">Abstract (EN): </w:t>
      </w:r>
      <w:r>
        <w:t>Circularly polarized organic light-emitting diodes (CP-OLEDs) directly generate circularly polarized electroluminescence (CPEL), enabling high-quality optical output with reduced reliance on external polarizing components for advanced display technologies and emerging chiral optoelectronic applications. Helicene-based circularly polarized multiple resonance thermally activated delayed fluorescence (CP-MR-TADF) emitters combine intrinsic chirality with narrowband emission, but extending their emission to longer wavelengths is often accompanied by significant spectral broadening and a loss of configurational stability. Here, we introduce a BN[7]helicene framework that addresses these issues. Using an ortho-B−π–B topology, we construct an all-six-membered-ring-fused structure whose enantiomeric solid powders retain configurational stability and CPL performance after continuous heating at 250 °C for 6 days. The enantiomers ( P / M )-DBN- cp ICz exhibit yellow emission at 558 nm with a full-width at half-maximum (FWHM) of 23 nm, photoluminescence dissymmetry factors of +2.2/–1.9 × 10–3 and an energy barrier of racemization of 48.28 kcal mol–1. CP-OLEDs based on ( P / M )-DBN- cp ICz achieve narrowband CPEL at 572 nm, with FWHM’s of 29–30 nm and dissymmetry factors of +2.1/–2.3 × 10–3. This work establishes a viable route toward long-wavelength, high-color-purity circularly polarized luminescence with enhanced configurational stability for robust chiral MR optoelectronic materials.</w:t>
      </w:r>
    </w:p>
    <w:p>
      <w:pPr>
        <w:spacing w:before="120" w:after="120"/>
      </w:pPr>
      <w:r>
        <w:rPr>
          <w:sz w:val="18"/>
        </w:rPr>
        <w:t>——————————————————————————————————————————————————————————————————————</w:t>
      </w:r>
    </w:p>
    <w:p>
      <w:pPr>
        <w:spacing w:before="160" w:after="40" w:line="240" w:lineRule="auto"/>
      </w:pPr>
      <w:r>
        <w:rPr>
          <w:b/>
        </w:rPr>
        <w:t xml:space="preserve">[403] </w:t>
      </w:r>
      <w:hyperlink r:id="rId1291">
        <w:r>
          <w:rPr>
            <w:color w:val="1155CC"/>
            <w:u w:val="single"/>
          </w:rPr>
          <w:t>铁催化臭氧分解烯烃脱烯基硼化反应</w:t>
        </w:r>
      </w:hyperlink>
    </w:p>
    <w:p>
      <w:pPr>
        <w:spacing w:before="0" w:after="80"/>
      </w:pPr>
      <w:r>
        <w:rPr>
          <w:i/>
          <w:sz w:val="20"/>
        </w:rPr>
        <w:t>EN: Iron-Catalyzed Dealkenylative Borylation of Alkenes via Ozonolysis</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92">
        <w:r>
          <w:rPr>
            <w:color w:val="1155CC"/>
            <w:u w:val="single"/>
          </w:rPr>
          <w:t>10.1021/jacs.6c10840</w:t>
        </w:r>
      </w:hyperlink>
    </w:p>
    <w:p>
      <w:pPr>
        <w:spacing w:before="0" w:after="120"/>
      </w:pPr>
      <w:r>
        <w:rPr>
          <w:b/>
        </w:rPr>
        <w:t xml:space="preserve">Notes: </w:t>
      </w:r>
      <w:r>
        <w:t>abstract_source=crossref</w:t>
      </w:r>
    </w:p>
    <w:p>
      <w:pPr>
        <w:spacing w:before="0" w:after="80" w:lineRule="auto" w:line="276"/>
      </w:pPr>
      <w:r>
        <w:rPr>
          <w:b/>
        </w:rPr>
        <w:t xml:space="preserve">摘要（ZH）: </w:t>
      </w:r>
      <w:r>
        <w:t>摘要 鉴于硼酸酯作为合成关键的特殊多功能性，直接将天然丰富的基序（例如烯烃）转化为含硼中间体的策略提供了巨大的价值。 Herein, we report the development of a dealkenylative borylation transformation that converts C(sp3)–C(sp2) bonds into C(sp3)–B bonds via ozonolysis and iron catalysis.该协议有效地进行，同时容忍广泛的功能组。机理研究表明，硼化试剂双（儿茶酚）乙硼烷 (B2cat2) 具有双重用途，即硼源和化学计量还原剂。我们通过将这种脱烯基硼化反应直接应用于天然存在的类固醇、萜烯和萜类化合物以及天然产物的合成来展示合成实用性。最后，通过含烯烃的天然产物桦木酸的不同官能化，凸显了我们的烯烃到硼的转化从原料化合物中快速获得结构多样的类似物的潜力。</w:t>
      </w:r>
    </w:p>
    <w:p>
      <w:pPr>
        <w:spacing w:before="0" w:after="200" w:lineRule="auto" w:line="276"/>
      </w:pPr>
      <w:r>
        <w:rPr>
          <w:b/>
        </w:rPr>
        <w:t xml:space="preserve">Abstract (EN): </w:t>
      </w:r>
      <w:r>
        <w:t>Given the exceptional versatility of boronic esters as synthetic linchpins, strategies that directly transform naturally abundant motifs such as alkenes into boron-containing intermediates offer substantial value. Herein, we report the development of a dealkenylative borylation transformation that converts C(sp3)–C(sp2) bonds into C(sp3)–B bonds via ozonolysis and iron catalysis. This protocol proceeds efficiently while tolerating a broad range of functional groups. Mechanistic studies indicate that the borylation reagent bis(catecholato)diborane (B2cat2) serves a dual purpose as both the boron source and the stoichiometric reductant. We demonstrate synthetic utility by applying this dealkenylative borylation reaction directly to naturally occurring steroids, terpenes, and terpenoids, as well as to the synthesis of natural products. Finally, the potential of our alkene-to-boron transformation to rapidly access structurally diverse analogues from feedstock compounds is highlighted through the divergent functionalization of the alkene-containing natural product betulinic acid.</w:t>
      </w:r>
    </w:p>
    <w:p>
      <w:pPr>
        <w:spacing w:before="120" w:after="120"/>
      </w:pPr>
      <w:r>
        <w:rPr>
          <w:sz w:val="18"/>
        </w:rPr>
        <w:t>——————————————————————————————————————————————————————————————————————</w:t>
      </w:r>
    </w:p>
    <w:p>
      <w:pPr>
        <w:spacing w:before="160" w:after="40" w:line="240" w:lineRule="auto"/>
      </w:pPr>
      <w:r>
        <w:rPr>
          <w:b/>
        </w:rPr>
        <w:t xml:space="preserve">[404] </w:t>
      </w:r>
      <w:hyperlink r:id="rId1293">
        <w:r>
          <w:rPr>
            <w:color w:val="1155CC"/>
            <w:u w:val="single"/>
          </w:rPr>
          <w:t>冠醚尺寸选择性的光谱追踪：封装的统一分子图</w:t>
        </w:r>
      </w:hyperlink>
    </w:p>
    <w:p>
      <w:pPr>
        <w:spacing w:before="0" w:after="80"/>
      </w:pPr>
      <w:r>
        <w:rPr>
          <w:i/>
          <w:sz w:val="20"/>
        </w:rPr>
        <w:t>EN: Spectroscopic Tracking of Size Selectivity in Crown Ethers: A Unified Molecular Picture of Encapsulation</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94">
        <w:r>
          <w:rPr>
            <w:color w:val="1155CC"/>
            <w:u w:val="single"/>
          </w:rPr>
          <w:t>10.1021/jacs.6c05693</w:t>
        </w:r>
      </w:hyperlink>
    </w:p>
    <w:p>
      <w:pPr>
        <w:spacing w:before="0" w:after="120"/>
      </w:pPr>
      <w:r>
        <w:rPr>
          <w:b/>
        </w:rPr>
        <w:t xml:space="preserve">Notes: </w:t>
      </w:r>
      <w:r>
        <w:t>abstract_source=crossref</w:t>
      </w:r>
    </w:p>
    <w:p>
      <w:pPr>
        <w:spacing w:before="0" w:after="80" w:lineRule="auto" w:line="276"/>
      </w:pPr>
      <w:r>
        <w:rPr>
          <w:b/>
        </w:rPr>
        <w:t xml:space="preserve">摘要（ZH）: </w:t>
      </w:r>
      <w:r>
        <w:t>摘要 冠醚表现出显着的离子选择性，长期以来为超分子化学提供了良好的平台。这种选择性通过冠醚的离子半径和标称空腔尺寸之间的匹配而合理化，这在很大程度上是由 K+18-crown-6 系统的成功推动的。然而，这个概念忽略了冠醚构象灵活性的作用，并且未能将结合结构与离子选择性直接连接起来。为了在分子水平上深入了解冠醚与碱金属离子的内在结合结构，我们利用低温气相红外光谱结合 CH 拉伸区域的非谐波分析，对不同环尺寸的冠醚进行了系统研究。 CH拉伸区作为离子结合结构和相互作用的敏感探针，能够对不同冠醚中的Li+-Cs+复合物进行明确的结构分配。 Our results reveal that the intrinsic binding structures vary systematically with both ionic radius and crown ring size.似乎特定离子-冠醚系统的成功选择性取决于两个因素：冠醚封装离子的能力，以及具有离子与醚氧形成的平面内的氧原子等距的构型。虽然 Li+、Na+ 和 K+ 的封装是通过 18-crown-6 实现的，但只有 K+18-crown-6 的氧距离均匀分布在该平面周围，从而实现真正的选择性封装。 For 12-crown-4 and 15-crown-5, the most favorable stru</w:t>
      </w:r>
    </w:p>
    <w:p>
      <w:pPr>
        <w:spacing w:before="0" w:after="200" w:lineRule="auto" w:line="276"/>
      </w:pPr>
      <w:r>
        <w:rPr>
          <w:b/>
        </w:rPr>
        <w:t xml:space="preserve">Abstract (EN): </w:t>
      </w:r>
      <w:r>
        <w:t>Crown ethers exhibit pronounced ion selectivity and have long provided an excellent platform in supramolecular chemistry. This selectivity has been rationalized by a match between the ionic radius and the nominal cavity size of the crown ether, largely driven by the success of the K+18-crown-6 system. However, this concept omits the role of conformational flexibility of the crown ethers and fails to directly connect binding structures with ion selectivity. To gain molecular-level insight into the intrinsic binding structures of crown ethers with alkali metal ions, we present a systematic study of crown ethers with varying ring sizes using cryogenic gas-phase infrared spectroscopy in conjunction with anharmonic analysis of the CH stretch region. The CH stretch region serves as a sensitive probe of ion-binding structures and interactions, enabling definitive structural assignments of Li+–Cs+ complexes across different crown ethers. Our results reveal that the intrinsic binding structures vary systematically with both ionic radius and crown ring size. It appears that successful selectivity for a specific ion-crown ether system depends on two factors: the ability of the crown ether to encapsulate the ion, and having a configuration where the ion is equidistant from the oxygen atoms within a plane formed by the etheric oxygens. While encapsulation of Li+, Na+ and K+ is achieved by 18-crown-6, only K+18-crown-6 has the oxygen distances uniformly positioned about this plane, resulting in truly selective encapsulation. For 12-crown-4 and 15-crown-5, the most favorable structures, involving Li+ and Na+, respectively, are unable to achieve selective encapsulation, as the ions are positioned at varying distances with respect to the plane of the etheric oxygens. These distinctions can be traced to the differing conformational flexibility of the crown ethers.</w:t>
      </w:r>
    </w:p>
    <w:p>
      <w:pPr>
        <w:spacing w:before="120" w:after="120"/>
      </w:pPr>
      <w:r>
        <w:rPr>
          <w:sz w:val="18"/>
        </w:rPr>
        <w:t>——————————————————————————————————————————————————————————————————————</w:t>
      </w:r>
    </w:p>
    <w:p>
      <w:pPr>
        <w:spacing w:before="160" w:after="40" w:line="240" w:lineRule="auto"/>
      </w:pPr>
      <w:r>
        <w:rPr>
          <w:b/>
        </w:rPr>
        <w:t xml:space="preserve">[405] </w:t>
      </w:r>
      <w:hyperlink r:id="rId1295">
        <w:r>
          <w:rPr>
            <w:color w:val="1155CC"/>
            <w:u w:val="single"/>
          </w:rPr>
          <w:t>全铁 NiFeS 簇中的镍 (I)</w:t>
        </w:r>
      </w:hyperlink>
    </w:p>
    <w:p>
      <w:pPr>
        <w:spacing w:before="0" w:after="80"/>
      </w:pPr>
      <w:r>
        <w:rPr>
          <w:i/>
          <w:sz w:val="20"/>
        </w:rPr>
        <w:t>EN: Nickel(I) in an All-Ferric NiFeS Cluster</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96">
        <w:r>
          <w:rPr>
            <w:color w:val="1155CC"/>
            <w:u w:val="single"/>
          </w:rPr>
          <w:t>10.1021/jacs.6c09417</w:t>
        </w:r>
      </w:hyperlink>
    </w:p>
    <w:p>
      <w:pPr>
        <w:spacing w:before="0" w:after="120"/>
      </w:pPr>
      <w:r>
        <w:rPr>
          <w:b/>
        </w:rPr>
        <w:t xml:space="preserve">Notes: </w:t>
      </w:r>
      <w:r>
        <w:t>abstract_source=crossref</w:t>
      </w:r>
    </w:p>
    <w:p>
      <w:pPr>
        <w:spacing w:before="0" w:after="80" w:lineRule="auto" w:line="276"/>
      </w:pPr>
      <w:r>
        <w:rPr>
          <w:b/>
        </w:rPr>
        <w:t xml:space="preserve">摘要（ZH）: </w:t>
      </w:r>
      <w:r>
        <w:t>摘要 厌氧一氧化碳脱氢酶 (CODH) 在温和条件下以近乎完美的选择性相互转化 CO2 和 CO。 CODH 活性位点称为 C 簇，是一个 [NiFe3S4]-Feu 簇，可以存在几种不同的氧化态。尽管经过数十年的研究，C 团簇的电子结构仍未得到解决，金属氧化态也不清楚。在本研究中，我们研究了一系列具有多种氧化态 [NiFe3S4]3+/2+/1+ 核心的合成团簇，作为 C 团簇立方烷核心的模型。每个簇都通过晶体学、光谱学、磁性和计算来表征。最氧化的簇，[NiFe3S4]3+，最好描述为具有 Ni2+ 和三个 Fe3+ 位点。值得注意的是，X 射线吸收光谱 (XAS) 数据表明，即使附近存在 Fe3+ 位点，还原至 [NiFe3S4]2+ 态也会导致镍还原为 Ni1+。只有当镍达到Ni1+状态后，完全氧化的Fe3+3亚位点才能被还原。这些结果表明 Ni1+ 是 FeS 簇中易于接近的氧化态，其拓扑与 CODH C 簇相关。</w:t>
      </w:r>
    </w:p>
    <w:p>
      <w:pPr>
        <w:spacing w:before="0" w:after="200" w:lineRule="auto" w:line="276"/>
      </w:pPr>
      <w:r>
        <w:rPr>
          <w:b/>
        </w:rPr>
        <w:t xml:space="preserve">Abstract (EN): </w:t>
      </w:r>
      <w:r>
        <w:t>Anaerobic carbon monoxide dehydrogenase (CODH) enzymes interconvert CO2 and CO under mild conditions and with near perfect selectivity. The CODH active site, termed the C-cluster, is a [NiFe3S4]-Feu cluster that can reside in several different oxidation states. Despite decades of research, the electronic structure of the C-cluster remains unresolved, and the metal oxidation states are ambiguous. In this study, we interrogate a series of synthetic clusters with [NiFe3S4]3+/2+/1+ cores in multiple oxidation states as models of the C-cluster cubane core. Each cluster is characterized using crystallography, spectroscopy, magnetism, and computations. The most oxidized cluster, [NiFe3S4]3+, is best described as having Ni2+ and three Fe3+ sites. Remarkably, X-ray absorption spectroscopy (XAS) data show that reduction to the [NiFe3S4]2+ state results in reduction of nickel to Ni1+, even though nearby Fe3+ sites are present. The fully oxidized Fe3+3 subsite can be reduced only after nickel has reached the Ni1+ state. These results demonstrate that Ni1+ is a readily accessible oxidation state in FeS clusters that are topologically relevant to the CODH C-cluster.</w:t>
      </w:r>
    </w:p>
    <w:p>
      <w:pPr>
        <w:spacing w:before="120" w:after="120"/>
      </w:pPr>
      <w:r>
        <w:rPr>
          <w:sz w:val="18"/>
        </w:rPr>
        <w:t>——————————————————————————————————————————————————————————————————————</w:t>
      </w:r>
    </w:p>
    <w:p>
      <w:pPr>
        <w:spacing w:before="160" w:after="40" w:line="240" w:lineRule="auto"/>
      </w:pPr>
      <w:r>
        <w:rPr>
          <w:b/>
        </w:rPr>
        <w:t xml:space="preserve">[406] </w:t>
      </w:r>
      <w:hyperlink r:id="rId1297">
        <w:r>
          <w:rPr>
            <w:color w:val="1155CC"/>
            <w:u w:val="single"/>
          </w:rPr>
          <w:t>具有合理设计聚集体的可调谐手性 D4 对称酞菁用于近红外圆偏振发光</w:t>
        </w:r>
      </w:hyperlink>
    </w:p>
    <w:p>
      <w:pPr>
        <w:spacing w:before="0" w:after="80"/>
      </w:pPr>
      <w:r>
        <w:rPr>
          <w:i/>
          <w:sz w:val="20"/>
        </w:rPr>
        <w:t>EN: Tunable Chiral D4-Symmetric Phthalocyanines with Rationally Designed Aggregation for Near-Infrared Circularly Polarized Luminescence</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298">
        <w:r>
          <w:rPr>
            <w:color w:val="1155CC"/>
            <w:u w:val="single"/>
          </w:rPr>
          <w:t>10.1021/jacs.6c08313</w:t>
        </w:r>
      </w:hyperlink>
    </w:p>
    <w:p>
      <w:pPr>
        <w:spacing w:before="0" w:after="120"/>
      </w:pPr>
      <w:r>
        <w:rPr>
          <w:b/>
        </w:rPr>
        <w:t xml:space="preserve">Notes: </w:t>
      </w:r>
      <w:r>
        <w:t>abstract_source=crossref</w:t>
      </w:r>
    </w:p>
    <w:p>
      <w:pPr>
        <w:spacing w:before="0" w:after="80" w:lineRule="auto" w:line="276"/>
      </w:pPr>
      <w:r>
        <w:rPr>
          <w:b/>
        </w:rPr>
        <w:t xml:space="preserve">摘要（ZH）: </w:t>
      </w:r>
      <w:r>
        <w:t>摘要 手性酞菁在手性光学和超分子材料方面具有重要前景。然而，报道的例子仍然是零星的，并且没有通用的合成平台可以系统地控制它们的结构和功能特性。在这里，我们报告了从市售 H8-BINOL 合成 D4-对称手性酞菁的实用且通用的方法。这种模块化路线提供了直接访问广泛的手性结构的途径，从而能够系统地研究取代基如何控制超分子组装。我们发现聚合行为可以通过简单的结构修改进行可预测的调整。单晶 X 射线衍射分析指导了定制非共价相互作用的设计，促进自发和选择性 J 型聚集成明确的手性螺旋。所得的超分子结构显示出窄带近红外荧光（fwhm = 15 nm）和明显的圆偏振发光（CPL），不对称因子（glum）高达0.01。值得注意的是，聚集体的 CPL 信号在低至 500 nM 的纳摩尔浓度下仍然可检测到，这证明了这些材料的高手性光学效率及其低浓度应用的潜力。</w:t>
      </w:r>
    </w:p>
    <w:p>
      <w:pPr>
        <w:spacing w:before="0" w:after="200" w:lineRule="auto" w:line="276"/>
      </w:pPr>
      <w:r>
        <w:rPr>
          <w:b/>
        </w:rPr>
        <w:t xml:space="preserve">Abstract (EN): </w:t>
      </w:r>
      <w:r>
        <w:t>Chiral phthalocyanines hold significant promise for chiroptical and supramolecular materials; however, reported examples remain sporadic, and no general synthetic platform has been available to systematically control their structural and functional properties. Here, we report a practical and general synthesis of D4-symmetric chiral phthalocyanines from commercially available H8-BINOL. This modular route provides direct access to a broad palette of chiral architectures, enabling systematic investigation of how substituents govern supramolecular assembly. We found that aggregation behavior can be predictably tuned through simple structural modifications. Single-crystal X-ray diffraction analysis guided the design of tailored noncovalent interactions that promote spontaneous and selective J-type aggregation into well-defined chiral helices. The resulting supramolecular structures display narrowband near-infrared fluorescence (fwhm = 15 nm) and pronounced circularly polarized luminescence (CPL), with dissymmetry factors (glum) of up to 0.01. Notably, the CPL signal of the aggregates remains detectable at nanomolar concentrations down to 500 nM, demonstrating the high chiroptical efficiency of these materials and their potential for low concentration applications.</w:t>
      </w:r>
    </w:p>
    <w:p>
      <w:pPr>
        <w:spacing w:before="120" w:after="120"/>
      </w:pPr>
      <w:r>
        <w:rPr>
          <w:sz w:val="18"/>
        </w:rPr>
        <w:t>——————————————————————————————————————————————————————————————————————</w:t>
      </w:r>
    </w:p>
    <w:p>
      <w:pPr>
        <w:spacing w:before="160" w:after="40" w:line="240" w:lineRule="auto"/>
      </w:pPr>
      <w:r>
        <w:rPr>
          <w:b/>
        </w:rPr>
        <w:t xml:space="preserve">[407] </w:t>
      </w:r>
      <w:hyperlink r:id="rId1299">
        <w:r>
          <w:rPr>
            <w:color w:val="1155CC"/>
            <w:u w:val="single"/>
          </w:rPr>
          <w:t>铜-有机硼协同活化天冬氨酸使肽环化和缀合</w:t>
        </w:r>
      </w:hyperlink>
    </w:p>
    <w:p>
      <w:pPr>
        <w:spacing w:before="0" w:after="80"/>
      </w:pPr>
      <w:r>
        <w:rPr>
          <w:i/>
          <w:sz w:val="20"/>
        </w:rPr>
        <w:t>EN: Synergistic Copper-Organoboron Activation of Aspartic Acid Enabled Peptide Cyclization and Conjugation</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300">
        <w:r>
          <w:rPr>
            <w:color w:val="1155CC"/>
            <w:u w:val="single"/>
          </w:rPr>
          <w:t>10.1021/jacs.6c09712</w:t>
        </w:r>
      </w:hyperlink>
    </w:p>
    <w:p>
      <w:pPr>
        <w:spacing w:before="0" w:after="120"/>
      </w:pPr>
      <w:r>
        <w:rPr>
          <w:b/>
        </w:rPr>
        <w:t xml:space="preserve">Notes: </w:t>
      </w:r>
      <w:r>
        <w:t>abstract_source=crossref</w:t>
      </w:r>
    </w:p>
    <w:p>
      <w:pPr>
        <w:spacing w:before="0" w:after="80" w:lineRule="auto" w:line="276"/>
      </w:pPr>
      <w:r>
        <w:rPr>
          <w:b/>
        </w:rPr>
        <w:t xml:space="preserve">摘要（ZH）: </w:t>
      </w:r>
      <w:r>
        <w:t>摘要 很少有进展能够有效解决选择性激活天冬氨酸 (Asp) 侧链的挑战。 Asp 的 β-羧基作为反应手柄仍未得到充分利用，因为其在生物相容性条件下的反应性有限、对竞争性天冬酰亚胺形成的敏感性以及在谷氨酸 (Glu) 侧链和 C 末端上化学上无法区分的羧基之间实现位点选择性的困难。在此，我们报道了一种铜/有机硼协同系统，该系统能够直接选择性地激活天冬氨酸-组氨酸基序中的天冬氨酸侧链，在中性水条件下形成赖氨酸-天冬氨酸异肽键，并与含有所有规范氨基酸（包括识别基序之外的谷氨酸和天冬氨酸残基）的未受保护的肽表现出广泛的相容性。该方法适用于环肽（14 至 38 元环）、双环结构和多种生物活性序列（包括 RGD 肽）的合成。这种 Asp 激活策略的实用性扩展到蛋白质工程，从头设计的蛋白质 ABLE 的头尾环化和异二聚体卷曲螺旋介导的蛋白质-蛋白质连接就证明了这一点。除了环化之外，我们还鉴定了一个 -DAGGDHLP- 标签，该标签利用活化的天冬氨酸残基与小分子胺进行位点特异性肽缀合。这种双试剂激活策略为 Asp 侧链化学提供了无酶解决方案，扩展了肽和蛋白质工程的合成工具包。</w:t>
      </w:r>
    </w:p>
    <w:p>
      <w:pPr>
        <w:spacing w:before="0" w:after="200" w:lineRule="auto" w:line="276"/>
      </w:pPr>
      <w:r>
        <w:rPr>
          <w:b/>
        </w:rPr>
        <w:t xml:space="preserve">Abstract (EN): </w:t>
      </w:r>
      <w:r>
        <w:t>Few advances have effectively addressed the challenge of selectively activating aspartic acid (Asp) side chains. The β-carboxyl group of Asp remains underutilized as a reactive handle due to its limited reactivity under biocompatible conditions, its susceptibility to competing aspartimide formation, and the difficulty of achieving site-selectivity among chemically indistinguishable carboxyl groups on glutamic acid (Glu) side chains and the C-terminus. Here, we report a copper/organoboron synergistic system that enables direct and selective activation of the Asp side chain within Asp-His motifs, forming Lys-Asp isopeptide bonds under neutral aqueous conditions and exhibiting broad compatibility with unprotected peptides containing all canonical amino acids, including Glu and Asp residues outside the recognition motif. The method is applied to the synthesis of cyclic peptides (14- to 38-membered rings), bicyclic architectures, and diverse bioactive sequences, including the RGD peptide. The utility of this Asp activation strategy extends to protein engineering, as demonstrated by the head-to-tail cyclization of the de novo-designed protein ABLE and protein–protein ligation mediated by a heterodimeric coiled-coil. Beyond cyclization, we identified a -DAGGDHLP- tag that exploits the activated Asp residue for site-specific peptide conjugation with small-molecule amines. This dual-reagent activation strategy provides an enzyme-free solution for Asp side-chain chemistry, expanding the synthetic toolkit for peptide and protein engineering.</w:t>
      </w:r>
    </w:p>
    <w:p>
      <w:pPr>
        <w:spacing w:before="120" w:after="120"/>
      </w:pPr>
      <w:r>
        <w:rPr>
          <w:sz w:val="18"/>
        </w:rPr>
        <w:t>——————————————————————————————————————————————————————————————————————</w:t>
      </w:r>
    </w:p>
    <w:p>
      <w:pPr>
        <w:spacing w:before="160" w:after="40" w:line="240" w:lineRule="auto"/>
      </w:pPr>
      <w:r>
        <w:rPr>
          <w:b/>
        </w:rPr>
        <w:t xml:space="preserve">[408] </w:t>
      </w:r>
      <w:hyperlink r:id="rId1301">
        <w:r>
          <w:rPr>
            <w:color w:val="1155CC"/>
            <w:u w:val="single"/>
          </w:rPr>
          <w:t>真空中半乳糖基化反应的立体选择性</w:t>
        </w:r>
      </w:hyperlink>
    </w:p>
    <w:p>
      <w:pPr>
        <w:spacing w:before="0" w:after="80"/>
      </w:pPr>
      <w:r>
        <w:rPr>
          <w:i/>
          <w:sz w:val="20"/>
        </w:rPr>
        <w:t>EN: Stereoselectivity of Galactosylation Reactions In Vacuo</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302">
        <w:r>
          <w:rPr>
            <w:color w:val="1155CC"/>
            <w:u w:val="single"/>
          </w:rPr>
          <w:t>10.1021/jacs.6c09131</w:t>
        </w:r>
      </w:hyperlink>
    </w:p>
    <w:p>
      <w:pPr>
        <w:spacing w:before="0" w:after="120"/>
      </w:pPr>
      <w:r>
        <w:rPr>
          <w:b/>
        </w:rPr>
        <w:t xml:space="preserve">Notes: </w:t>
      </w:r>
      <w:r>
        <w:t>abstract_source=crossref</w:t>
      </w:r>
    </w:p>
    <w:p>
      <w:pPr>
        <w:spacing w:before="0" w:after="80" w:lineRule="auto" w:line="276"/>
      </w:pPr>
      <w:r>
        <w:rPr>
          <w:b/>
        </w:rPr>
        <w:t xml:space="preserve">摘要（ZH）: </w:t>
      </w:r>
      <w:r>
        <w:t>摘要 控制糖苷键形成的立体选择性结果仍然是化学合成中的主要挑战。该过程通常沿着复杂的 SN1-SN2 机械连续体进行。在溶液中，由于结构和环境变量（例如溶剂、反离子或温度）的影响，这些机制的关键贡献很难确定。为了分离驱动糖基化立体选择性的内在因素，我们研究了单糖半乳糖在气相中的反应。我们在质谱仪的离子阱内完全隔离地进行离子-分子半乳糖基化反应，并使用质量分辨紫外冷离子光谱直接探测所形成产物的立体化学。结果表明，气相中的 α-选择性明显弱于溶液中，并且产物的立体化学可能受到亲核试剂的电子密度而不是其整体亲核强度的影响。</w:t>
      </w:r>
    </w:p>
    <w:p>
      <w:pPr>
        <w:spacing w:before="0" w:after="200" w:lineRule="auto" w:line="276"/>
      </w:pPr>
      <w:r>
        <w:rPr>
          <w:b/>
        </w:rPr>
        <w:t xml:space="preserve">Abstract (EN): </w:t>
      </w:r>
      <w:r>
        <w:t>Controlling the stereoselective outcome of glycosidic bond formation remains a major challenge in chemical synthesis. This process typically proceeds along a complex SN1-SN2 mechanistic continuum. In solution, the key contributions to these mechanisms are difficult to determine due to influence by structural and environmental variables, such as solvents, counterions or temperature. To isolate the intrinsic factors driving steroselectivity in glycosylations, we investigate the reactions for the monosaccharide galactose in the gas phase. We perform ion–molecule galactosylation reactions in complete isolation inside an ion trap of a mass spectrometer and directly probe the stereochemistry of the formed products using mass-resolved ultraviolet cold ion spectroscopy. The results show that α-selectivity is significantly weaker in the gas phase than in solution, and that the product stereochemistry might be influenced by the nucleophile’s electron density rather than its overall nucleophilic strength.</w:t>
      </w:r>
    </w:p>
    <w:p>
      <w:pPr>
        <w:spacing w:before="120" w:after="120"/>
      </w:pPr>
      <w:r>
        <w:rPr>
          <w:sz w:val="18"/>
        </w:rPr>
        <w:t>——————————————————————————————————————————————————————————————————————</w:t>
      </w:r>
    </w:p>
    <w:p>
      <w:pPr>
        <w:spacing w:before="160" w:after="40" w:line="240" w:lineRule="auto"/>
      </w:pPr>
      <w:r>
        <w:rPr>
          <w:b/>
        </w:rPr>
        <w:t xml:space="preserve">[409] </w:t>
      </w:r>
      <w:hyperlink r:id="rId1303">
        <w:r>
          <w:rPr>
            <w:color w:val="1155CC"/>
            <w:u w:val="single"/>
          </w:rPr>
          <w:t>出版商更正：结直肠癌转移过程中的渐进可塑性</w:t>
        </w:r>
      </w:hyperlink>
    </w:p>
    <w:p>
      <w:pPr>
        <w:spacing w:before="0" w:after="80"/>
      </w:pPr>
      <w:r>
        <w:rPr>
          <w:i/>
          <w:sz w:val="20"/>
        </w:rPr>
        <w:t>EN: Publisher Correction: Progressive plasticity during colorectal cancer metastasis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04">
        <w:r>
          <w:rPr>
            <w:color w:val="1155CC"/>
            <w:u w:val="single"/>
          </w:rPr>
          <w:t>10.1038/s41586-026-10963-0</w:t>
        </w:r>
      </w:hyperlink>
    </w:p>
    <w:p>
      <w:pPr>
        <w:spacing w:before="0" w:after="120"/>
      </w:pPr>
      <w:r>
        <w:rPr>
          <w:b/>
        </w:rPr>
        <w:t xml:space="preserve">Notes: </w:t>
      </w:r>
      <w:r>
        <w:t>abstract_source=openalex</w:t>
      </w:r>
    </w:p>
    <w:p>
      <w:pPr>
        <w:spacing w:before="0" w:after="80" w:lineRule="auto" w:line="276"/>
      </w:pPr>
      <w:r>
        <w:rPr>
          <w:b/>
        </w:rPr>
        <w:t xml:space="preserve">摘要（ZH）: </w:t>
      </w:r>
      <w:r>
        <w:t>在本文于 2025 年 1 月 9 日重新发布的版本中，Francesco Cambuli 的姓氏拼写错误 (Cambulli)，现已在该文章的 HTML 和 PDF 版本中进行了修改。</w:t>
      </w:r>
    </w:p>
    <w:p>
      <w:pPr>
        <w:spacing w:before="0" w:after="200" w:lineRule="auto" w:line="276"/>
      </w:pPr>
      <w:r>
        <w:rPr>
          <w:b/>
        </w:rPr>
        <w:t xml:space="preserve">Abstract (EN): </w:t>
      </w:r>
      <w:r>
        <w:t>In the version of this article republished 9 January 2025, the surname of Francesco Cambuli was misspelled (Cambulli) and is now amended in the HTML and PDF versions of the article.</w:t>
      </w:r>
    </w:p>
    <w:p>
      <w:pPr>
        <w:spacing w:before="120" w:after="120"/>
      </w:pPr>
      <w:r>
        <w:rPr>
          <w:sz w:val="18"/>
        </w:rPr>
        <w:t>——————————————————————————————————————————————————————————————————————</w:t>
      </w:r>
    </w:p>
    <w:p>
      <w:pPr>
        <w:spacing w:before="160" w:after="40" w:line="240" w:lineRule="auto"/>
      </w:pPr>
      <w:r>
        <w:rPr>
          <w:b/>
        </w:rPr>
        <w:t xml:space="preserve">[410] </w:t>
      </w:r>
      <w:hyperlink r:id="rId1305">
        <w:r>
          <w:rPr>
            <w:color w:val="1155CC"/>
            <w:u w:val="single"/>
          </w:rPr>
          <w:t>用于 3D 打印的水凝胶原位颗粒到纤维的转化</w:t>
        </w:r>
      </w:hyperlink>
    </w:p>
    <w:p>
      <w:pPr>
        <w:spacing w:before="0" w:after="80"/>
      </w:pPr>
      <w:r>
        <w:rPr>
          <w:i/>
          <w:sz w:val="20"/>
        </w:rPr>
        <w:t>EN: In situ particle-to-fibre transformation of hydrogels for 3D printing</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06">
        <w:r>
          <w:rPr>
            <w:color w:val="1155CC"/>
            <w:u w:val="single"/>
          </w:rPr>
          <w:t>10.1038/s41586-026-10883-z</w:t>
        </w:r>
      </w:hyperlink>
    </w:p>
    <w:p>
      <w:pPr>
        <w:spacing w:before="0" w:after="120"/>
      </w:pPr>
      <w:r>
        <w:rPr>
          <w:b/>
        </w:rPr>
        <w:t xml:space="preserve">Notes: </w:t>
      </w:r>
      <w:r>
        <w:t>abstract_source=pubmed</w:t>
      </w:r>
    </w:p>
    <w:p>
      <w:pPr>
        <w:spacing w:before="0" w:after="80" w:lineRule="auto" w:line="276"/>
      </w:pPr>
      <w:r>
        <w:rPr>
          <w:b/>
        </w:rPr>
        <w:t xml:space="preserve">摘要（ZH）: </w:t>
      </w:r>
      <w:r>
        <w:t>结构各向异性在自然界中普遍存在，并控制着方向相关的属性和功能1,2。事实证明，在水凝胶（生物医学中广泛使用的富含水的软材料）中重现仿生各向异性具有挑战性3。 Here we report a phenomenon termed shear-extensional in situ particle-to-fibre transformation (SHIFT) and demonstrate the SHIFT printing of highly aligned hydrogel microfibres (5-30 μm in diameter).在 SHIFT 中，颗粒嵌入的水凝胶以受控方式挤出，其中离散颗粒和周围基质经历相反的相变，同时将颗粒转变为排列良好的亚体素微纤维。 SHIFT 建立了一种从液滴中产生各向异性的方法，该方法以溶胶-凝胶两相系统的拉伸流动为主。它构成了一种多功能的上游制造方法，可以以高度可访问的方式轻松适应三维打印和微纤维纺丝场景。明显的结构各向异性使得能够在体外形成异常长的肌管，并加速体积肌肉损失的再生。通过在流程中实施原位亚体素制造工艺，SHIFT 扩展了加工软材料的能力。</w:t>
      </w:r>
    </w:p>
    <w:p>
      <w:pPr>
        <w:spacing w:before="0" w:after="200" w:lineRule="auto" w:line="276"/>
      </w:pPr>
      <w:r>
        <w:rPr>
          <w:b/>
        </w:rPr>
        <w:t xml:space="preserve">Abstract (EN): </w:t>
      </w:r>
      <w:r>
        <w:t>Structural anisotropy is ubiquitous in nature and governs orientation-dependent properties and functions1,2. Recreating biomimetic anisotropy in hydrogels-water-rich soft materials widely used in biomedicine-has proven challenging3. Here we report a phenomenon termed shear-extensional in situ particle-to-fibre transformation (SHIFT) and demonstrate the SHIFT printing of highly aligned hydrogel microfibres (5-30 μm in diameter). In SHIFT, particle-embedded hydrogel is extruded in a controlled manner, in which the discrete particles and surrounding matrix experience opposite phase transitions, concurrently transforming particles into well-aligned subvoxel microfibres. SHIFT establishes a methodology for creating anisotropy from droplets, which is dominated by extensional flow of sol-gel two-phase systems. It constitutes a versatile upstream manufacturing approach that can be readily adapted into three-dimensional printing and microfibre spinning scenarios in a highly accessible manner. The pronounced structural anisotropy enables the formation of exceptionally long myotubes in vitro and accelerates regeneration in volumetric muscle loss. By implementing an in situ subvoxel manufacturing process within flow, SHIFT expands the ability to process soft materials.</w:t>
      </w:r>
    </w:p>
    <w:p>
      <w:pPr>
        <w:spacing w:before="120" w:after="120"/>
      </w:pPr>
      <w:r>
        <w:rPr>
          <w:sz w:val="18"/>
        </w:rPr>
        <w:t>——————————————————————————————————————————————————————————————————————</w:t>
      </w:r>
    </w:p>
    <w:p>
      <w:pPr>
        <w:spacing w:before="160" w:after="40" w:line="240" w:lineRule="auto"/>
      </w:pPr>
      <w:r>
        <w:rPr>
          <w:b/>
        </w:rPr>
        <w:t xml:space="preserve">[411] </w:t>
      </w:r>
      <w:hyperlink r:id="rId1307">
        <w:r>
          <w:rPr>
            <w:color w:val="1155CC"/>
            <w:u w:val="single"/>
          </w:rPr>
          <w:t>ZFP36L2 协调再生和癌症中的压力适应性可塑性</w:t>
        </w:r>
      </w:hyperlink>
    </w:p>
    <w:p>
      <w:pPr>
        <w:spacing w:before="0" w:after="80"/>
      </w:pPr>
      <w:r>
        <w:rPr>
          <w:i/>
          <w:sz w:val="20"/>
        </w:rPr>
        <w:t>EN: ZFP36L2 orchestrates stress-adaptive plasticity in regeneration and cancer</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08">
        <w:r>
          <w:rPr>
            <w:color w:val="1155CC"/>
            <w:u w:val="single"/>
          </w:rPr>
          <w:t>10.1038/s41586-026-10890-0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表型可塑性是癌症的标志</w:t>
      </w:r>
      <w:r>
        <w:rPr>
          <w:vertAlign w:val="subscript"/>
        </w:rPr>
        <w:t>1</w:t>
      </w:r>
      <w:r>
        <w:t>;然而，人们对细胞命运重编程所需的分子开关知之甚少。在肠道伤口愈合和结直肠癌（CRC）转移过程中，分化细胞可以动态去分化为肠道干细胞（ISC）状态，以驱动上皮再生和转移生长</w:t>
      </w:r>
      <w:r>
        <w:t xml:space="preserve"> </w:t>
      </w:r>
      <w:r>
        <w:t>2–10</w:t>
      </w:r>
      <w:r>
        <w:t xml:space="preserve"> </w:t>
      </w:r>
      <w:r>
        <w:t>。在这里，我们展示了 RNA 结合蛋白 ZFP36L2，它在 5-10% 的 CRC 中发生突变</w:t>
      </w:r>
      <w:r>
        <w:t xml:space="preserve"> </w:t>
      </w:r>
      <w:r>
        <w:t>11–15</w:t>
      </w:r>
      <w:r>
        <w:t xml:space="preserve"> </w:t>
      </w:r>
      <w:r>
        <w:t>，是动态去分化的关键压力反应协调器。在小鼠结肠再生模型中，ZFP36L2 消融会抑制去分化、ISC 基因表达和功能，并损害肠道再生。在人类结直肠癌中，ZFP36L2 功能的丧失会消除转移性播种和 LGR5 的生长</w:t>
      </w:r>
      <w:r>
        <w:t xml:space="preserve"> </w:t>
      </w:r>
      <w:r>
        <w:t>+</w:t>
      </w:r>
      <w:r>
        <w:t xml:space="preserve"> </w:t>
      </w:r>
      <w:r>
        <w:t>典型转移，同时促进谱系可塑性和非典型分化为异质细胞状态。从机制上讲，ZFP36L2 与含有富含 AU 3′非翻译区的应激相关 mRNA 结合，诱导与 mRNA 降解和应激反应终止相关的动态生物分子缩合物的形成。总之，这些数据表明 ZFP36L2 充当重要的分子开关，将压力传感与表型可塑性结合起来。这反过来又驱动细胞去分化，这对于伤口愈合过程中重建 ISC 状态至关重要</w:t>
      </w:r>
    </w:p>
    <w:p>
      <w:pPr>
        <w:spacing w:before="0" w:after="200" w:lineRule="auto" w:line="276"/>
      </w:pPr>
      <w:r>
        <w:rPr>
          <w:b/>
        </w:rPr>
        <w:t xml:space="preserve">Abstract (EN): </w:t>
      </w:r>
      <w:r>
        <w:t>Phenotypic plasticity is a hallmark of cancer</w:t>
      </w:r>
      <w:r>
        <w:rPr>
          <w:vertAlign w:val="subscript"/>
        </w:rPr>
        <w:t>1</w:t>
      </w:r>
      <w:r>
        <w:t>; however the molecular switches required for cell-fate reprogramming are poorly understood. During intestinal wound-healing and colorectal cancer (CRC) metastasis, differentiated cells can dynamically dedifferentiate into an intestinal stem cell (ISC) state to drive epithelial regeneration and metastatic outgrowth</w:t>
      </w:r>
      <w:r>
        <w:t xml:space="preserve"> </w:t>
      </w:r>
      <w:r>
        <w:t>2–10</w:t>
      </w:r>
      <w:r>
        <w:t xml:space="preserve"> </w:t>
      </w:r>
      <w:r>
        <w:t>. Here we show that the RNA-binding protein ZFP36L2, which is mutated in 5–10% of CRC</w:t>
      </w:r>
      <w:r>
        <w:t xml:space="preserve"> </w:t>
      </w:r>
      <w:r>
        <w:t>11–15</w:t>
      </w:r>
      <w:r>
        <w:t xml:space="preserve"> </w:t>
      </w:r>
      <w:r>
        <w:t>, is a pivotal stress-responsive orchestrator of dynamic dedifferentiation. In mouse colon regeneration models, ZFP36L2 ablation inhibits dedifferentiation, ISC gene expression and function and impairs intestinal regeneration. In human CRC, loss of ZFP36L2 function abrogates metastatic seeding and the outgrowth of LGR5</w:t>
      </w:r>
      <w:r>
        <w:t xml:space="preserve"> </w:t>
      </w:r>
      <w:r>
        <w:t>+</w:t>
      </w:r>
      <w:r>
        <w:t xml:space="preserve"> </w:t>
      </w:r>
      <w:r>
        <w:t>canonical metastases while promoting lineage plasticity and non-canonical differentiation into heterogeneous cell states. Mechanistically, ZFP36L2 binds to stress-associated mRNAs that contain AU-rich 3′ untranslated regions, which induces the formation of dynamic biomolecular condensates associated with mRNA degradation and termination of the stress response. Together, these data show that ZFP36L2 acts as an important molecular switch that couples stress sensing with phenotypic plasticity. This in turn drives cellular dedifferentiation essential for re-establishing the ISC state during wound healing and metastasis. In ZFP36L2-deficient CRC, the inability to re-enter the LGR5</w:t>
      </w:r>
      <w:r>
        <w:t xml:space="preserve"> </w:t>
      </w:r>
      <w:r>
        <w:t>+</w:t>
      </w:r>
      <w:r>
        <w:t xml:space="preserve"> </w:t>
      </w:r>
      <w:r>
        <w:t>state during metastatic outgrowth promotes non-canonical lineage plasticity, which is associated with poor clinical outcomes.</w:t>
      </w:r>
    </w:p>
    <w:p>
      <w:pPr>
        <w:spacing w:before="120" w:after="120"/>
      </w:pPr>
      <w:r>
        <w:rPr>
          <w:sz w:val="18"/>
        </w:rPr>
        <w:t>——————————————————————————————————————————————————————————————————————</w:t>
      </w:r>
    </w:p>
    <w:p>
      <w:pPr>
        <w:spacing w:before="160" w:after="40" w:line="240" w:lineRule="auto"/>
      </w:pPr>
      <w:r>
        <w:rPr>
          <w:b/>
        </w:rPr>
        <w:t xml:space="preserve">[412] </w:t>
      </w:r>
      <w:hyperlink r:id="rId1309">
        <w:r>
          <w:rPr>
            <w:color w:val="1155CC"/>
            <w:u w:val="single"/>
          </w:rPr>
          <w:t>下一代 3D 癌症模型增强的依赖性图</w:t>
        </w:r>
      </w:hyperlink>
    </w:p>
    <w:p>
      <w:pPr>
        <w:spacing w:before="0" w:after="80"/>
      </w:pPr>
      <w:r>
        <w:rPr>
          <w:i/>
          <w:sz w:val="20"/>
        </w:rPr>
        <w:t>EN: A dependency map enhanced with next-generation 3D cancer models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10">
        <w:r>
          <w:rPr>
            <w:color w:val="1155CC"/>
            <w:u w:val="single"/>
          </w:rPr>
          <w:t>10.1038/s41586-026-10843-7</w:t>
        </w:r>
      </w:hyperlink>
    </w:p>
    <w:p>
      <w:pPr>
        <w:spacing w:before="0" w:after="120"/>
      </w:pPr>
      <w:r>
        <w:rPr>
          <w:b/>
        </w:rPr>
        <w:t xml:space="preserve">Notes: </w:t>
      </w:r>
      <w:r>
        <w:t>abstract_source=openalex</w:t>
      </w:r>
    </w:p>
    <w:p>
      <w:pPr>
        <w:spacing w:before="0" w:after="80" w:lineRule="auto" w:line="276"/>
      </w:pPr>
      <w:r>
        <w:rPr>
          <w:b/>
        </w:rPr>
        <w:t xml:space="preserve">摘要（ZH）: </w:t>
      </w:r>
      <w:r>
        <w:t>尽管精准肿瘤学取得了进步，但大多数癌症患者仍然缺乏有效的个性化治疗1。癌症依赖性图 (DepMap) 通过系统地识别不同临床前模型中的癌症脆弱性，加速了这一领域的发展。来自 1,300 多个细胞系的数据帮助我们发现了针对多种肿瘤类型的新治疗策略2。然而，使用传统细胞系绘制癌症脆弱性具有局限性，包括癌症亚型代表性不足以及培养条件对扰动反应的影响。在这里，我们对 10 种癌症类型的下一代 (NextGen) 癌症模型（类器官和球体）进行了 147 次基因组规模的 CRISPR 筛选和多组学表征。该策略使 DepMap 能够扩展，以涵盖新的基因组和分子亚型，并识别新的生物标志物相关漏洞。这些新模型还保留了传统细胞系中沉默的转录程序，并有助于发现与这些程序相关的特定基因依赖性。传统癌症模型和下一代癌症模型的比较可以进一步确定生长方式和培养基对基因必要性的不同影响。集成数据集结合了两种模型类型的数据，为探索癌症脆弱性提供了宝贵的、广泛的资源，并且可以通过 DepMap 门户访问。来自传统细胞系和下一代癌症模型的基因组规模 CRISPR 筛选数据的整合扩大了肿瘤亚型的代表性，</w:t>
      </w:r>
    </w:p>
    <w:p>
      <w:pPr>
        <w:spacing w:before="0" w:after="200" w:lineRule="auto" w:line="276"/>
      </w:pPr>
      <w:r>
        <w:rPr>
          <w:b/>
        </w:rPr>
        <w:t xml:space="preserve">Abstract (EN): </w:t>
      </w:r>
      <w:r>
        <w:t>Despite advances in precision oncology, effective personalized treatments are still lacking for most patients with cancer1. The Cancer Dependency Map (DepMap) accelerates this field by systematically identifying cancer vulnerabilities in diverse preclinical models. Data from over 1,300 cell lines have led to the discovery of new therapeutic strategies across multiple tumour types2. However, mapping cancer vulnerabilities using traditional cell lines has limitations, including insufficient cancer subtype representation and the impact of culture conditions on perturbation responses. Here we perform 147 genome-scale CRISPR screens and multi-omic characterizations of next-generation (NextGen) cancer models (organoids and spheroids) across 10 cancer types. This strategy enables the expansion of DepMap to cover new genomic and molecular subtypes and to identify new biomarker-associated vulnerabilities. These new models also preserve transcriptional programs that are silenced in traditional cell lines and facilitate the discovery of specific gene dependencies associated with these programs. Comparisons of traditional and NextGen cancer models enable further identification of distinct effects of growth format and culture medium on gene essentiality. The integrated dataset combines data from both model types to offer a valuable, expansive resource for exploring cancer vulnerabilities and is accessible via the DepMap portal. Integration of genome-scale CRISPR screening data from traditional cell lines and next-generation cancer models expands the representation of tumour subtypes and genomic alterations in The Cancer Dependency Map.</w:t>
      </w:r>
    </w:p>
    <w:p>
      <w:pPr>
        <w:spacing w:before="120" w:after="120"/>
      </w:pPr>
      <w:r>
        <w:rPr>
          <w:sz w:val="18"/>
        </w:rPr>
        <w:t>——————————————————————————————————————————————————————————————————————</w:t>
      </w:r>
    </w:p>
    <w:p>
      <w:pPr>
        <w:spacing w:before="160" w:after="40" w:line="240" w:lineRule="auto"/>
      </w:pPr>
      <w:r>
        <w:rPr>
          <w:b/>
        </w:rPr>
        <w:t xml:space="preserve">[413] </w:t>
      </w:r>
      <w:hyperlink r:id="rId1311">
        <w:r>
          <w:rPr>
            <w:color w:val="1155CC"/>
            <w:u w:val="single"/>
          </w:rPr>
          <w:t>双轨擦除量子位的纠缠门</w:t>
        </w:r>
      </w:hyperlink>
    </w:p>
    <w:p>
      <w:pPr>
        <w:spacing w:before="0" w:after="80"/>
      </w:pPr>
      <w:r>
        <w:rPr>
          <w:i/>
          <w:sz w:val="20"/>
        </w:rPr>
        <w:t>EN: An entangling gate for dual-rail erasure qubits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12">
        <w:r>
          <w:rPr>
            <w:color w:val="1155CC"/>
            <w:u w:val="single"/>
          </w:rPr>
          <w:t>10.1038/s41586-026-10822-y</w:t>
        </w:r>
      </w:hyperlink>
    </w:p>
    <w:p>
      <w:pPr>
        <w:spacing w:before="0" w:after="120"/>
      </w:pPr>
      <w:r>
        <w:rPr>
          <w:b/>
        </w:rPr>
        <w:t xml:space="preserve">Notes: </w:t>
      </w:r>
      <w:r>
        <w:t>abstract_source=semanticscholar</w:t>
      </w:r>
    </w:p>
    <w:p>
      <w:pPr>
        <w:spacing w:before="0" w:after="80" w:lineRule="auto" w:line="276"/>
      </w:pPr>
      <w:r>
        <w:rPr>
          <w:b/>
        </w:rPr>
        <w:t xml:space="preserve">摘要（ZH）: </w:t>
      </w:r>
      <w:r>
        <w:t>为了充分发挥量子计算的潜力，可能需要量子纠错 (QEC)，但它会带来令人畏惧的硬件开销，并且要求物理量子位 1、2、3-4 上的门错误较低。通过设计具有强大错误层次结构的量子位可以缓解这些要求，其中最常见的噪声通道也是最容易纠正的。当计算子空间外的可检测泄漏错误主导剩余泡利错误5、6、7、8、9、10-11时，擦除量子位可以实现这一点，从而导致更高的阈值并改善代码距离的缩放5、12、13。在实践中，只有在所有门和操作中尽可能保留错误层次结构，这些优势才能实现。在这里，我们设计并实现了用于双轨腔量子位的双量子位纠缠门，这是一种在一对超导微波腔中编码的擦除量子位。我们的实验演示证实，错误层次结构在门控过程中很大程度上得到了保留。该门速度很快（大约 500 ns 持续时间），并且显示出每个门大约 0.5% 的低擦除率，剩余泡利误差低于 0.1%，并且对相移误差有很强的偏差，其中位翻转在 10−6 级别实际上不存在。这些结果为错误纠正系统提供了一条更快的途径，可以在错误扩展时快速抑制错误；我们通过详细的表面代码模拟来支持这一主张。用于双轨腔擦除量子位的快速、低错误纠缠门保留了强大的错误层次结构，大大推进了可扩展的量子纠错</w:t>
      </w:r>
    </w:p>
    <w:p>
      <w:pPr>
        <w:spacing w:before="0" w:after="200" w:lineRule="auto" w:line="276"/>
      </w:pPr>
      <w:r>
        <w:rPr>
          <w:b/>
        </w:rPr>
        <w:t xml:space="preserve">Abstract (EN): </w:t>
      </w:r>
      <w:r>
        <w:t>Quantum error correction (QEC) will likely be required to realize the full potential of quantum computing, but comes with daunting hardware overheads and demands low gate errors on the physical qubits1, 2, 3–4. These requirements can be eased by engineering qubits with a strong error hierarchy, in which the most common noise channels are also the easiest to correct. Erasure qubits can achieve this when detectable leakage errors out of the computational subspace dominate over the residual Pauli errors5, 6, 7, 8, 9, 10–11, resulting in higher thresholds and improved scaling with code distance5,12,13. In practice, these advantages come to fruition only if the error hierarchy is preserved as much as possible throughout all gates and operations. Here we design and realize a two-qubit entangling gate for dual-rail cavity qubits, a type of erasure qubit encoded in a pair of superconducting microwave cavities7. Our experimental demonstration confirms that the error hierarchy is largely preserved during the gate. The gate is fast (about 500 ns duration) and shows low erasure rates of approximately 0.5% per gate, remaining Pauli errors below 0.1%, and a strong bias towards dephasing errors, in which bit-flips are practically non-existent at the 10−6 level. These results enable a faster path to error-corrected systems that rapidly suppress errors as they scale; a claim we support with our detailed surface code simulations. A fast, low-error entangling gate for dual-rail cavity erasure qubits preserves a strong error hierarchy, advancing scalable quantum error correction with substantially improved fault-tolerant performance.</w:t>
      </w:r>
    </w:p>
    <w:p>
      <w:pPr>
        <w:spacing w:before="120" w:after="120"/>
      </w:pPr>
      <w:r>
        <w:rPr>
          <w:sz w:val="18"/>
        </w:rPr>
        <w:t>——————————————————————————————————————————————————————————————————————</w:t>
      </w:r>
    </w:p>
    <w:p>
      <w:pPr>
        <w:spacing w:before="160" w:after="40" w:line="240" w:lineRule="auto"/>
      </w:pPr>
      <w:r>
        <w:rPr>
          <w:b/>
        </w:rPr>
        <w:t xml:space="preserve">[414] </w:t>
      </w:r>
      <w:hyperlink r:id="rId1313">
        <w:r>
          <w:rPr>
            <w:color w:val="1155CC"/>
            <w:u w:val="single"/>
          </w:rPr>
          <w:t>用于量子电路的空气稳定二维超导体的封装外延</w:t>
        </w:r>
      </w:hyperlink>
    </w:p>
    <w:p>
      <w:pPr>
        <w:spacing w:before="0" w:after="80"/>
      </w:pPr>
      <w:r>
        <w:rPr>
          <w:i/>
          <w:sz w:val="20"/>
        </w:rPr>
        <w:t>EN: Encapsulation epitaxy of air-stable 2D superconductors for quantum circuits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14">
        <w:r>
          <w:rPr>
            <w:color w:val="1155CC"/>
            <w:u w:val="single"/>
          </w:rPr>
          <w:t>10.1038/s41586-026-10865-1</w:t>
        </w:r>
      </w:hyperlink>
    </w:p>
    <w:p>
      <w:pPr>
        <w:spacing w:before="0" w:after="120"/>
      </w:pPr>
      <w:r>
        <w:rPr>
          <w:b/>
        </w:rPr>
        <w:t xml:space="preserve">Notes: </w:t>
      </w:r>
      <w:r>
        <w:t>abstract_source=pubmed</w:t>
      </w:r>
    </w:p>
    <w:p>
      <w:pPr>
        <w:spacing w:before="0" w:after="80" w:lineRule="auto" w:line="276"/>
      </w:pPr>
      <w:r>
        <w:rPr>
          <w:b/>
        </w:rPr>
        <w:t xml:space="preserve">摘要（ZH）: </w:t>
      </w:r>
      <w:r>
        <w:t>二维 (2D) 超导体是支持强相关物理和量子信息科学的新兴平台1,2。它们的降维、原子级平坦的界面和高结晶度对于在超导电路中实现紧凑的集总元件器件特别有吸引力3-5。然而，单层二维超导体的大规模合成仍然具有挑战性，因为它们在空气中很容易被氧化。在这里，我们报告了一种“封装外延”机制，该机制能够生长大面积（超过 1 英寸）、空气稳定的单层二硒化铌 (NbSe2) 薄膜 (1L-NbSe2)，并探索其在超导量子电路中的潜力。这项工作代表了一种独特的生长现象，其中预沉积在 3D 基板（例如 SiO2 或 Si3N4）上的 2D 封装层（例如石墨烯或六方氮化硼）同时充当其下方封装基板界面处的 1L-NbSe2 外延生长的模板，并作为防止环境退化的保护覆盖层。生长的1L-石墨烯/NbSe2异质结构表现出强大的超导性（超导转变温度Tc ≈ 1 K）和增强的电荷密度波（CDW；CDW转变温度TCDW   177 K）。我们通过开发无氧化转移和超导边缘接触技术进一步证明了 1L-NbSe2 与超导电路的集成。这些电路中的 1L-NbSe2 具有测量的动感电感 LK ≈ 0.7 nH □-1，使其适用于需要高电阻元件的量子电路。</w:t>
      </w:r>
    </w:p>
    <w:p>
      <w:pPr>
        <w:spacing w:before="0" w:after="200" w:lineRule="auto" w:line="276"/>
      </w:pPr>
      <w:r>
        <w:rPr>
          <w:b/>
        </w:rPr>
        <w:t xml:space="preserve">Abstract (EN): </w:t>
      </w:r>
      <w:r>
        <w:t>Two-dimensional (2D) superconductors are emerging platforms supporting both strongly correlated physics and quantum information science1,2. Their reduced dimensionality, atomically flat interfaces and high crystallinity are particularly attractive for realizing compact lumped-element devices in superconducting circuits3-5. However, large-scale synthesis of monolayer 2D superconductors remains challenging as they are easily oxidized in air6. Here we report an 'encapsulation epitaxy' mechanism that enables the growth of large-area (more than 1 inch), air-stable, monolayer niobium diselenide (NbSe2) films (1L-NbSe2) and explore their potential for superconducting quantum circuits. This work represents a distinct growth phenomenon in which a 2D encapsulation layer, such as graphene or hexagonal boron nitride, pre-deposited on a 3D substrate (for example, SiO2 or Si3N4) simultaneously serves as a template for the epitaxial growth of 1L-NbSe2 underneath it at the encapsulation-substrate interface and as a protective capping layer against ambient degradation. The as-grown 1L-graphene/NbSe2 heterostructures exhibit robust superconductivity (superconducting transition temperature Tc ≈ 1 K) and enhanced charge density waves (CDWs; CDW transition temperature TCDW ≈ 177 K). We further demonstrate the integration of 1L-NbSe2 into superconducting circuits by developing oxidation-free transfer and superconducting edge-contact techniques. The 1L-NbSe2 in these circuits feature a measured kinetic inductance LK ≈ 0.7 nH □-1, making it suitable for quantum circuits requiring elements with high kinetic inductance. This encapsulation-epitaxy methodology enables the production of air-stable 2D superconductors and van der Waals heterostructures, holding promise for wafer-scale, monolithic fabrication of superconducting quantum circuitry.</w:t>
      </w:r>
    </w:p>
    <w:p>
      <w:pPr>
        <w:spacing w:before="120" w:after="120"/>
      </w:pPr>
      <w:r>
        <w:rPr>
          <w:sz w:val="18"/>
        </w:rPr>
        <w:t>——————————————————————————————————————————————————————————————————————</w:t>
      </w:r>
    </w:p>
    <w:p>
      <w:pPr>
        <w:spacing w:before="160" w:after="40" w:line="240" w:lineRule="auto"/>
      </w:pPr>
      <w:r>
        <w:rPr>
          <w:b/>
        </w:rPr>
        <w:t xml:space="preserve">[415] </w:t>
      </w:r>
      <w:hyperlink r:id="rId1315">
        <w:r>
          <w:rPr>
            <w:color w:val="1155CC"/>
            <w:u w:val="single"/>
          </w:rPr>
          <w:t>首次用于治疗人类食物过敏的粪便移植取得了“令人兴奋”的结果</w:t>
        </w:r>
      </w:hyperlink>
    </w:p>
    <w:p>
      <w:pPr>
        <w:spacing w:before="0" w:after="80"/>
      </w:pPr>
      <w:r>
        <w:rPr>
          <w:i/>
          <w:sz w:val="20"/>
        </w:rPr>
        <w:t>EN: First poo transplant to treat food allergy in people has ‘exciting’ results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16">
        <w:r>
          <w:rPr>
            <w:color w:val="1155CC"/>
            <w:u w:val="single"/>
          </w:rPr>
          <w:t>10.1038/d41586-026-02440-5</w:t>
        </w:r>
      </w:hyperlink>
    </w:p>
    <w:p>
      <w:pPr>
        <w:spacing w:before="0" w:after="120"/>
      </w:pPr>
      <w:r>
        <w:rPr>
          <w:b/>
        </w:rPr>
        <w:t xml:space="preserve">Notes: </w:t>
      </w:r>
      <w:r>
        <w:t>abstract_source=nature_html</w:t>
      </w:r>
    </w:p>
    <w:p>
      <w:pPr>
        <w:spacing w:before="0" w:after="80" w:lineRule="auto" w:line="276"/>
      </w:pPr>
      <w:r>
        <w:rPr>
          <w:b/>
        </w:rPr>
        <w:t xml:space="preserve">摘要（ZH）: </w:t>
      </w:r>
      <w:r>
        <w:t>现有的食物过敏治疗方法有限。</w:t>
      </w:r>
    </w:p>
    <w:p>
      <w:pPr>
        <w:spacing w:before="0" w:after="200" w:lineRule="auto" w:line="276"/>
      </w:pPr>
      <w:r>
        <w:rPr>
          <w:b/>
        </w:rPr>
        <w:t xml:space="preserve">Abstract (EN): </w:t>
      </w:r>
      <w:r>
        <w:t>Existing treatments for food allergy are limited.</w:t>
      </w:r>
    </w:p>
    <w:p>
      <w:pPr>
        <w:spacing w:before="120" w:after="120"/>
      </w:pPr>
      <w:r>
        <w:rPr>
          <w:sz w:val="18"/>
        </w:rPr>
        <w:t>——————————————————————————————————————————————————————————————————————</w:t>
      </w:r>
    </w:p>
    <w:p>
      <w:pPr>
        <w:spacing w:before="160" w:after="40" w:line="240" w:lineRule="auto"/>
      </w:pPr>
      <w:r>
        <w:rPr>
          <w:b/>
        </w:rPr>
        <w:t xml:space="preserve">[416] </w:t>
      </w:r>
      <w:hyperlink r:id="rId1317">
        <w:r>
          <w:rPr>
            <w:color w:val="1155CC"/>
            <w:u w:val="single"/>
          </w:rPr>
          <w:t>更多肌肉，更少腹部脂肪：基因突变与广泛的益处相关</w:t>
        </w:r>
      </w:hyperlink>
    </w:p>
    <w:p>
      <w:pPr>
        <w:spacing w:before="0" w:after="80"/>
      </w:pPr>
      <w:r>
        <w:rPr>
          <w:i/>
          <w:sz w:val="20"/>
        </w:rPr>
        <w:t>EN: More muscle, less belly fat: mutations to a gene are linked to wide-ranging benefits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18">
        <w:r>
          <w:rPr>
            <w:color w:val="1155CC"/>
            <w:u w:val="single"/>
          </w:rPr>
          <w:t>10.1038/d41586-026-02438-z</w:t>
        </w:r>
      </w:hyperlink>
    </w:p>
    <w:p>
      <w:pPr>
        <w:spacing w:before="0" w:after="120"/>
      </w:pPr>
      <w:r>
        <w:rPr>
          <w:b/>
        </w:rPr>
        <w:t xml:space="preserve">Notes: </w:t>
      </w:r>
      <w:r>
        <w:t>abstract_source=rss_nature</w:t>
      </w:r>
    </w:p>
    <w:p>
      <w:pPr>
        <w:spacing w:before="0" w:after="80" w:lineRule="auto" w:line="276"/>
      </w:pPr>
      <w:r>
        <w:rPr>
          <w:b/>
        </w:rPr>
        <w:t xml:space="preserve">摘要（ZH）: </w:t>
      </w:r>
      <w:r>
        <w:t>对一百万个不同基因组的分析产生了与降低糖尿病、心脏病和其他“心脏代谢”疾病风险相关的突变。</w:t>
      </w:r>
    </w:p>
    <w:p>
      <w:pPr>
        <w:spacing w:before="0" w:after="200" w:lineRule="auto" w:line="276"/>
      </w:pPr>
      <w:r>
        <w:rPr>
          <w:b/>
        </w:rPr>
        <w:t xml:space="preserve">Abstract (EN): </w:t>
      </w:r>
      <w:r>
        <w:t>Analysis of one million diverse genomes yields mutations associated with lower risk of diabetes, heart disease and other ‘cardiometabolic’ conditions.</w:t>
      </w:r>
    </w:p>
    <w:p>
      <w:pPr>
        <w:spacing w:before="120" w:after="120"/>
      </w:pPr>
      <w:r>
        <w:rPr>
          <w:sz w:val="18"/>
        </w:rPr>
        <w:t>——————————————————————————————————————————————————————————————————————</w:t>
      </w:r>
    </w:p>
    <w:p>
      <w:pPr>
        <w:spacing w:before="160" w:after="40" w:line="240" w:lineRule="auto"/>
      </w:pPr>
      <w:r>
        <w:rPr>
          <w:b/>
        </w:rPr>
        <w:t xml:space="preserve">[417] </w:t>
      </w:r>
      <w:hyperlink r:id="rId1319">
        <w:r>
          <w:rPr>
            <w:color w:val="1155CC"/>
            <w:u w:val="single"/>
          </w:rPr>
          <w:t>独家：专利引用次数最多的科学论文</w:t>
        </w:r>
      </w:hyperlink>
    </w:p>
    <w:p>
      <w:pPr>
        <w:spacing w:before="0" w:after="80"/>
      </w:pPr>
      <w:r>
        <w:rPr>
          <w:i/>
          <w:sz w:val="20"/>
        </w:rPr>
        <w:t>EN: Exclusive: the science papers that patents cite the most</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20">
        <w:r>
          <w:rPr>
            <w:color w:val="1155CC"/>
            <w:u w:val="single"/>
          </w:rPr>
          <w:t>10.1038/d41586-026-02386-8</w:t>
        </w:r>
      </w:hyperlink>
    </w:p>
    <w:p>
      <w:pPr>
        <w:spacing w:before="0" w:after="120"/>
      </w:pPr>
      <w:r>
        <w:rPr>
          <w:b/>
        </w:rPr>
        <w:t xml:space="preserve">Notes: </w:t>
      </w:r>
      <w:r>
        <w:t>abstract_source=rss_nature</w:t>
      </w:r>
    </w:p>
    <w:p>
      <w:pPr>
        <w:spacing w:before="0" w:after="80" w:lineRule="auto" w:line="276"/>
      </w:pPr>
      <w:r>
        <w:rPr>
          <w:b/>
        </w:rPr>
        <w:t xml:space="preserve">摘要（ZH）: </w:t>
      </w:r>
      <w:r>
        <w:t>《自然》揭示了专利申请中最常提及的研究及其原因。</w:t>
      </w:r>
    </w:p>
    <w:p>
      <w:pPr>
        <w:spacing w:before="0" w:after="200" w:lineRule="auto" w:line="276"/>
      </w:pPr>
      <w:r>
        <w:rPr>
          <w:b/>
        </w:rPr>
        <w:t xml:space="preserve">Abstract (EN): </w:t>
      </w:r>
      <w:r>
        <w:t>Nature reveals the studies that are mentioned most often in patent filings — and why.</w:t>
      </w:r>
    </w:p>
    <w:p>
      <w:pPr>
        <w:spacing w:before="120" w:after="120"/>
      </w:pPr>
      <w:r>
        <w:rPr>
          <w:sz w:val="18"/>
        </w:rPr>
        <w:t>——————————————————————————————————————————————————————————————————————</w:t>
      </w:r>
    </w:p>
    <w:p>
      <w:pPr>
        <w:spacing w:before="160" w:after="40" w:line="240" w:lineRule="auto"/>
      </w:pPr>
      <w:r>
        <w:rPr>
          <w:b/>
        </w:rPr>
        <w:t xml:space="preserve">[418] </w:t>
      </w:r>
      <w:hyperlink r:id="rId1321">
        <w:r>
          <w:rPr>
            <w:color w:val="1155CC"/>
            <w:u w:val="single"/>
          </w:rPr>
          <w:t>对细胞分裂至关重要的染色体区域图谱揭示了高度多样性</w:t>
        </w:r>
      </w:hyperlink>
    </w:p>
    <w:p>
      <w:pPr>
        <w:spacing w:before="0" w:after="80"/>
      </w:pPr>
      <w:r>
        <w:rPr>
          <w:i/>
          <w:sz w:val="20"/>
        </w:rPr>
        <w:t>EN: Maps of chromosomal regions crucial for cell division reveal high diversity</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22">
        <w:r>
          <w:rPr>
            <w:color w:val="1155CC"/>
            <w:u w:val="single"/>
          </w:rPr>
          <w:t>10.1038/d41586-026-02327-5</w:t>
        </w:r>
      </w:hyperlink>
    </w:p>
    <w:p>
      <w:pPr>
        <w:spacing w:before="0" w:after="120"/>
      </w:pPr>
      <w:r>
        <w:rPr>
          <w:b/>
        </w:rPr>
        <w:t xml:space="preserve">Notes: </w:t>
      </w:r>
      <w:r>
        <w:t>abstract_source=openalex</w:t>
      </w:r>
    </w:p>
    <w:p>
      <w:pPr>
        <w:spacing w:before="0" w:after="80" w:lineRule="auto" w:line="276"/>
      </w:pPr>
      <w:r>
        <w:rPr>
          <w:b/>
        </w:rPr>
        <w:t xml:space="preserve">摘要（ZH）: </w:t>
      </w:r>
      <w:r>
        <w:t>着丝粒是细胞分裂所需的染色体区域。来自 65 个不同群体的着丝粒的完整序列特征揭示了突变变化的动态和快速模式，提供了有关着丝粒进化和功能的信息。着丝粒序列在几代之间和数十万年的时间里快速进化。</w:t>
      </w:r>
    </w:p>
    <w:p>
      <w:pPr>
        <w:spacing w:before="0" w:after="200" w:lineRule="auto" w:line="276"/>
      </w:pPr>
      <w:r>
        <w:rPr>
          <w:b/>
        </w:rPr>
        <w:t xml:space="preserve">Abstract (EN): </w:t>
      </w:r>
      <w:r>
        <w:t>Centromeres are regions of chromosomes that are required for cell division. Complete sequence characterization of centromeres from a diverse group of 65 individuals reveals dynamic and rapid patterns of mutational change, providing information about centromere evolution and function. Centromere sequences evolve rapidly between generations and over hundreds of thousands of years.</w:t>
      </w:r>
    </w:p>
    <w:p>
      <w:pPr>
        <w:spacing w:before="120" w:after="120"/>
      </w:pPr>
      <w:r>
        <w:rPr>
          <w:sz w:val="18"/>
        </w:rPr>
        <w:t>——————————————————————————————————————————————————————————————————————</w:t>
      </w:r>
    </w:p>
    <w:p>
      <w:pPr>
        <w:spacing w:before="160" w:after="40" w:line="240" w:lineRule="auto"/>
      </w:pPr>
      <w:r>
        <w:rPr>
          <w:b/>
        </w:rPr>
        <w:t xml:space="preserve">[419] </w:t>
      </w:r>
      <w:hyperlink r:id="rId1323">
        <w:r>
          <w:rPr>
            <w:color w:val="1155CC"/>
            <w:u w:val="single"/>
          </w:rPr>
          <w:t>真空可以与光相互作用，甚至改变它的属性吗？</w:t>
        </w:r>
      </w:hyperlink>
    </w:p>
    <w:p>
      <w:pPr>
        <w:spacing w:before="0" w:after="80"/>
      </w:pPr>
      <w:r>
        <w:rPr>
          <w:i/>
          <w:sz w:val="20"/>
        </w:rPr>
        <w:t>EN: Can empty space interact with light — and even change its properties?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24">
        <w:r>
          <w:rPr>
            <w:color w:val="1155CC"/>
            <w:u w:val="single"/>
          </w:rPr>
          <w:t>10.1038/d41586-026-02289-8</w:t>
        </w:r>
      </w:hyperlink>
    </w:p>
    <w:p>
      <w:pPr>
        <w:spacing w:before="0" w:after="120"/>
      </w:pPr>
      <w:r>
        <w:rPr>
          <w:b/>
        </w:rPr>
        <w:t xml:space="preserve">Notes: </w:t>
      </w:r>
      <w:r>
        <w:t>abstract_source=rss_nature</w:t>
      </w:r>
    </w:p>
    <w:p>
      <w:pPr>
        <w:spacing w:before="0" w:after="80" w:lineRule="auto" w:line="276"/>
      </w:pPr>
      <w:r>
        <w:rPr>
          <w:b/>
        </w:rPr>
        <w:t xml:space="preserve">摘要（ZH）: </w:t>
      </w:r>
      <w:r>
        <w:t>对磁化恒星核心的观测表明，在超强磁场中，真空可以使光偏振。</w:t>
      </w:r>
    </w:p>
    <w:p>
      <w:pPr>
        <w:spacing w:before="0" w:after="200" w:lineRule="auto" w:line="276"/>
      </w:pPr>
      <w:r>
        <w:rPr>
          <w:b/>
        </w:rPr>
        <w:t xml:space="preserve">Abstract (EN): </w:t>
      </w:r>
      <w:r>
        <w:t>Observations of a magnetized stellar core indicate that in an ultra-strong magnetic field, empty space can polarize light.</w:t>
      </w:r>
    </w:p>
    <w:p>
      <w:pPr>
        <w:spacing w:before="120" w:after="120"/>
      </w:pPr>
      <w:r>
        <w:rPr>
          <w:sz w:val="18"/>
        </w:rPr>
        <w:t>——————————————————————————————————————————————————————————————————————</w:t>
      </w:r>
    </w:p>
    <w:p>
      <w:pPr>
        <w:spacing w:before="160" w:after="40" w:line="240" w:lineRule="auto"/>
      </w:pPr>
      <w:r>
        <w:rPr>
          <w:b/>
        </w:rPr>
        <w:t xml:space="preserve">[420] </w:t>
      </w:r>
      <w:hyperlink r:id="rId1325">
        <w:r>
          <w:rPr>
            <w:color w:val="1155CC"/>
            <w:u w:val="single"/>
          </w:rPr>
          <w:t>詹姆斯·邦德，而不是邦德·詹姆斯：为什么科学出版必须尊重姓名顺序</w:t>
        </w:r>
      </w:hyperlink>
    </w:p>
    <w:p>
      <w:pPr>
        <w:spacing w:before="0" w:after="80"/>
      </w:pPr>
      <w:r>
        <w:rPr>
          <w:i/>
          <w:sz w:val="20"/>
        </w:rPr>
        <w:t>EN: James Bond, not Bond James: why scientific publishing must respect name order</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26">
        <w:r>
          <w:rPr>
            <w:color w:val="1155CC"/>
            <w:u w:val="single"/>
          </w:rPr>
          <w:t>10.1038/d41586-026-01772-6</w:t>
        </w:r>
      </w:hyperlink>
    </w:p>
    <w:p>
      <w:pPr>
        <w:spacing w:before="0" w:after="120"/>
      </w:pPr>
      <w:r>
        <w:rPr>
          <w:b/>
        </w:rPr>
        <w:t xml:space="preserve">Notes: </w:t>
      </w:r>
      <w:r>
        <w:t>abstract_source=rss_nature</w:t>
      </w:r>
    </w:p>
    <w:p>
      <w:pPr>
        <w:spacing w:before="0" w:after="80" w:lineRule="auto" w:line="276"/>
      </w:pPr>
      <w:r>
        <w:rPr>
          <w:b/>
        </w:rPr>
        <w:t xml:space="preserve">摘要（ZH）: </w:t>
      </w:r>
      <w:r>
        <w:t>数据库和提交系统通常不灵活。出版商就不能在作者姓名上做更多的事情吗？</w:t>
      </w:r>
    </w:p>
    <w:p>
      <w:pPr>
        <w:spacing w:before="0" w:after="200" w:lineRule="auto" w:line="276"/>
      </w:pPr>
      <w:r>
        <w:rPr>
          <w:b/>
        </w:rPr>
        <w:t xml:space="preserve">Abstract (EN): </w:t>
      </w:r>
      <w:r>
        <w:t>Databases and submission systems are often inflexible. Can’t publishers do more on author names?</w:t>
      </w:r>
    </w:p>
    <w:p>
      <w:pPr>
        <w:spacing w:before="120" w:after="120"/>
      </w:pPr>
      <w:r>
        <w:rPr>
          <w:sz w:val="18"/>
        </w:rPr>
        <w:t>——————————————————————————————————————————————————————————————————————</w:t>
      </w:r>
    </w:p>
    <w:p>
      <w:pPr>
        <w:spacing w:before="160" w:after="40" w:line="240" w:lineRule="auto"/>
      </w:pPr>
      <w:r>
        <w:rPr>
          <w:b/>
        </w:rPr>
        <w:t xml:space="preserve">[421] </w:t>
      </w:r>
      <w:hyperlink r:id="rId1327">
        <w:r>
          <w:rPr>
            <w:color w:val="1155CC"/>
            <w:u w:val="single"/>
          </w:rPr>
          <w:t>FNIP1 变异与 100 万人的良好新陈代谢相关</w:t>
        </w:r>
      </w:hyperlink>
    </w:p>
    <w:p>
      <w:pPr>
        <w:spacing w:before="0" w:after="80"/>
      </w:pPr>
      <w:r>
        <w:rPr>
          <w:i/>
          <w:sz w:val="20"/>
        </w:rPr>
        <w:t>EN: FNIP1 variants are associated with favourable metabolism in 1 million humans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28">
        <w:r>
          <w:rPr>
            <w:color w:val="1155CC"/>
            <w:u w:val="single"/>
          </w:rPr>
          <w:t>10.1038/s41586-026-10864-2</w:t>
        </w:r>
      </w:hyperlink>
    </w:p>
    <w:p>
      <w:pPr>
        <w:spacing w:before="0" w:after="120"/>
      </w:pPr>
      <w:r>
        <w:rPr>
          <w:b/>
        </w:rPr>
        <w:t xml:space="preserve">Notes: </w:t>
      </w:r>
      <w:r>
        <w:t>abstract_source=pubmed</w:t>
      </w:r>
    </w:p>
    <w:p>
      <w:pPr>
        <w:spacing w:before="0" w:after="80" w:lineRule="auto" w:line="276"/>
      </w:pPr>
      <w:r>
        <w:rPr>
          <w:b/>
        </w:rPr>
        <w:t xml:space="preserve">摘要（ZH）: </w:t>
      </w:r>
      <w:r>
        <w:t>能量代谢改变是心脏代谢疾病的共同驱动因素，而心脏代谢疾病是全球死亡的主要原因1。能量代谢因人而异，部分可遗传2-9。在这里，为了研究能量代谢的遗传基础，我们对来自美洲、欧洲和亚洲的 1,032,116 人进行了外显子组测序分析，并估计了罕见蛋白质编码变异与甘油三酯与高密度脂蛋白胆固醇 (TG:HDL) 的比率之间的关联，甘油三酯与高密度脂蛋白胆固醇 (TG:HDL) 的比率是一种与多种心脏代谢危险因素和疾病相关的能量状态生物标志物。我们鉴定了 59 个独立基因 (P &lt; 1.04 × 10-7)，这些基因富含肝脏和脂肪表达的能量平衡、储存和代谢的主调节因子；其中 23 个（39%）基因编码已批准或临床阶段的药物靶点。 FNIP1 中的超罕见蛋白质截短变体（等位基因频率，0.01%）编码能量消耗和线粒体代谢的抑制因子，与较低的 TG:HDL 比率、较低的肝脏脂肪、较低的血糖、有利的脂肪分布以及约 60% 的心脏代谢疾病发病率降低相关。原代人肝细胞中的 FNIP1 敲除可诱导脂质分解和溶酶体基因表达，而 Fnip1 及其旁系同源物 Fnip2 的肝脏敲除或其相互作用因子 Flcn 的敲除可防止高脂饮食小鼠的体重增加、减少肝脏脂肪并增强胰岛素敏感性。我们的研究表明 FNIP1 通路与人类能量代谢有关，并强调其抑制作为心脏代谢疾病的潜在治疗策略。</w:t>
      </w:r>
    </w:p>
    <w:p>
      <w:pPr>
        <w:spacing w:before="0" w:after="200" w:lineRule="auto" w:line="276"/>
      </w:pPr>
      <w:r>
        <w:rPr>
          <w:b/>
        </w:rPr>
        <w:t xml:space="preserve">Abstract (EN): </w:t>
      </w:r>
      <w:r>
        <w:t>Altered energy metabolism is a shared driver across cardiometabolic diseases-the leading cause of death globally1. Energy metabolism varies between individuals and is partly heritable2-9. Here, to investigate the genetic basis of energy metabolism, we perform an exome-sequencing analysis of 1,032,116 people from America, Europe and Asia, and estimate associations between rare protein-coding variants and the ratio of triglyceride to high-density-lipoprotein cholesterol (TG:HDL)-an energy-state biomarker that we associate with diverse cardiometabolic risk factors and diseases. We identify 59 independent genes (P &lt; 1.04 × 10-7) that are enriched for liver- and adipose-expressed master regulators of energy balance, storage and metabolism; 23 (39%) of these genes encode approved or clinical-stage drug targets. Ultra-rare protein-truncating variants in FNIP1 (allele frequency, 0.01%), which encodes a suppressor of energy expenditure and mitochondrial metabolism, are associated with a lower TG:HDL ratio, lower liver fat, lower glycaemia, favourable fat distribution and around 60% lower odds of cardiometabolic disease. FNIP1 knockdown in primary human hepatocytes induces lipid breakdown and lysosomal gene expression, while combined hepatic knockdown of Fnip1 with its paralogue Fnip2 or knockdown of its interactor Flcn protect against weight gain, reduce liver fat and enhance insulin sensitivity in mice fed a high-fat diet. Our study implicates the FNIP1 pathway in human energy metabolism and highlights its inhibition as a potential therapeutic strategy in cardiometabolic disease.</w:t>
      </w:r>
    </w:p>
    <w:p>
      <w:pPr>
        <w:spacing w:before="120" w:after="120"/>
      </w:pPr>
      <w:r>
        <w:rPr>
          <w:sz w:val="18"/>
        </w:rPr>
        <w:t>——————————————————————————————————————————————————————————————————————</w:t>
      </w:r>
    </w:p>
    <w:p>
      <w:pPr>
        <w:spacing w:before="160" w:after="40" w:line="240" w:lineRule="auto"/>
      </w:pPr>
      <w:r>
        <w:rPr>
          <w:b/>
        </w:rPr>
        <w:t xml:space="preserve">[422] </w:t>
      </w:r>
      <w:hyperlink r:id="rId1329">
        <w:r>
          <w:rPr>
            <w:color w:val="1155CC"/>
            <w:u w:val="single"/>
          </w:rPr>
          <w:t>古老的线粒体程序调整翻译以适应血红素的可用性</w:t>
        </w:r>
      </w:hyperlink>
    </w:p>
    <w:p>
      <w:pPr>
        <w:spacing w:before="0" w:after="80"/>
      </w:pPr>
      <w:r>
        <w:rPr>
          <w:i/>
          <w:sz w:val="20"/>
        </w:rPr>
        <w:t>EN: An ancient mitochondrial program tunes translation to haem availability</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30">
        <w:r>
          <w:rPr>
            <w:color w:val="1155CC"/>
            <w:u w:val="single"/>
          </w:rPr>
          <w:t>10.1038/s41586-026-10885-x</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贫血是全球主要的健康负担，影响四分之一的人口，每年导致超过 5000 万年的健康寿命丧失</w:t>
      </w:r>
      <w:r>
        <w:rPr>
          <w:vertAlign w:val="subscript"/>
        </w:rPr>
        <w:t>1</w:t>
      </w:r>
      <w:r>
        <w:t>。它由营养性铁缺乏、遗传性疾病（包括地中海贫血和镰状细胞病）和疟疾引起，其特点是血红蛋白失衡</w:t>
      </w:r>
      <w:r>
        <w:rPr>
          <w:vertAlign w:val="subscript"/>
        </w:rPr>
        <w:t>2</w:t>
      </w:r>
      <w:r>
        <w:t>。血红素（血红蛋白的活性成分）既重要又具有潜在毒性，因此需要严格控制水平。然而，监测血红素水平的分子电路仍然不清楚。胞质 eIF2α 激酶 HRI 可以对抗缺铁或地中海贫血引起的贫血</w:t>
      </w:r>
      <w:r>
        <w:t xml:space="preserve"> </w:t>
      </w:r>
      <w:r>
        <w:t>3,4</w:t>
      </w:r>
      <w:r>
        <w:t xml:space="preserve"> </w:t>
      </w:r>
      <w:r>
        <w:t>在红细胞分化过程中充当翻译的看门人，这归因于其血红素结合能力</w:t>
      </w:r>
      <w:r>
        <w:rPr>
          <w:vertAlign w:val="subscript"/>
        </w:rPr>
        <w:t>5</w:t>
      </w:r>
      <w:r>
        <w:t>。在这里，我们发现线粒体内的血红素稀缺是通过 OMA1-DELE1 轴感知的。从机制上讲，血红素缺乏会触发 OMA1 依赖性线粒体释放 DELE1。在细胞质中，DELE1 从 HRI 中释放抑制性血红素，从而能够对激酶的一个重要的无序片段进行修饰。我们证明，这种传感器-执行器在包括红系祖细胞在内的人体组织中发挥作用，并且在进化上一直保守到无血无脊椎动物，因此早于基于血红蛋白的氧气运输的出现。值得注意的是，该系统的药理学操作增强了胎儿的球蛋白</w:t>
      </w:r>
    </w:p>
    <w:p>
      <w:pPr>
        <w:spacing w:before="0" w:after="200" w:lineRule="auto" w:line="276"/>
      </w:pPr>
      <w:r>
        <w:rPr>
          <w:b/>
        </w:rPr>
        <w:t xml:space="preserve">Abstract (EN): </w:t>
      </w:r>
      <w:r>
        <w:t>Anaemia is a major global health burden that affects one-quarter of the human population and annually accounts for over 50 million years of healthy life lost</w:t>
      </w:r>
      <w:r>
        <w:rPr>
          <w:vertAlign w:val="subscript"/>
        </w:rPr>
        <w:t>1</w:t>
      </w:r>
      <w:r>
        <w:t>. It arises from nutritional iron deficiency, hereditary disorders (including thalassaemia and sickle cell disease) and malaria, and is characterized by haemoglobin imbalances</w:t>
      </w:r>
      <w:r>
        <w:rPr>
          <w:vertAlign w:val="subscript"/>
        </w:rPr>
        <w:t>2</w:t>
      </w:r>
      <w:r>
        <w:t>. Haem—the active component of haemoglobin—is both essential and potentially toxic, which necessitates tight control of levels. However, the molecular circuitry that monitors haem levels remains obscure. The cytosolic eIF2α kinase HRI counteracts anaemia amid iron deficiency or thalassaemia</w:t>
      </w:r>
      <w:r>
        <w:t xml:space="preserve"> </w:t>
      </w:r>
      <w:r>
        <w:t>3,4</w:t>
      </w:r>
      <w:r>
        <w:t xml:space="preserve"> </w:t>
      </w:r>
      <w:r>
        <w:t>by acting as a gatekeeper of translation during erythroid differentiation, which has been attributed to its haem-binding ability</w:t>
      </w:r>
      <w:r>
        <w:rPr>
          <w:vertAlign w:val="subscript"/>
        </w:rPr>
        <w:t>5</w:t>
      </w:r>
      <w:r>
        <w:t>. Here we uncover that haem scarcity is sensed inside mitochondria through an OMA1–DELE1 axis. Mechanistically, haem deficiency triggers OMA1-dependent mitochondrial release of DELE1. In the cytosol, DELE1 releases inhibitory haem from HRI, which enables modifications in a crucial disordered segment of the kinase. We demonstrate that this sensor–actuator operates across human tissues, including erythroid progenitors, and is evolutionarily conserved down to bloodless invertebrates, thus predating the emergence of haemoglobin-based oxygen transport. Notably, pharmacological manipulation of this system enhances fetal globin expression—a central therapeutic objective in haemoglobinopathies. Together, these results reveal a primordial sentinel system that safeguards against haem-related toxicity from the single-cell to the organismic scale.</w:t>
      </w:r>
    </w:p>
    <w:p>
      <w:pPr>
        <w:spacing w:before="120" w:after="120"/>
      </w:pPr>
      <w:r>
        <w:rPr>
          <w:sz w:val="18"/>
        </w:rPr>
        <w:t>——————————————————————————————————————————————————————————————————————</w:t>
      </w:r>
    </w:p>
    <w:p>
      <w:pPr>
        <w:spacing w:before="160" w:after="40" w:line="240" w:lineRule="auto"/>
      </w:pPr>
      <w:r>
        <w:rPr>
          <w:b/>
        </w:rPr>
        <w:t xml:space="preserve">[423] </w:t>
      </w:r>
      <w:hyperlink r:id="rId1331">
        <w:r>
          <w:rPr>
            <w:color w:val="1155CC"/>
            <w:u w:val="single"/>
          </w:rPr>
          <w:t>真空双折射和射电磁星的偏振 X 射线发射</w:t>
        </w:r>
      </w:hyperlink>
    </w:p>
    <w:p>
      <w:pPr>
        <w:spacing w:before="0" w:after="80"/>
      </w:pPr>
      <w:r>
        <w:rPr>
          <w:i/>
          <w:sz w:val="20"/>
        </w:rPr>
        <w:t>EN: Vacuum birefringence and the polarized X-ray emission from a radio magnetar</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32">
        <w:r>
          <w:rPr>
            <w:color w:val="1155CC"/>
            <w:u w:val="single"/>
          </w:rPr>
          <w:t>10.1038/s41586-026-10859-z</w:t>
        </w:r>
      </w:hyperlink>
    </w:p>
    <w:p>
      <w:pPr>
        <w:spacing w:before="0" w:after="120"/>
      </w:pPr>
      <w:r>
        <w:rPr>
          <w:b/>
        </w:rPr>
        <w:t xml:space="preserve">Notes: </w:t>
      </w:r>
      <w:r>
        <w:t>abstract_source=pubmed</w:t>
      </w:r>
    </w:p>
    <w:p>
      <w:pPr>
        <w:spacing w:before="0" w:after="80" w:lineRule="auto" w:line="276"/>
      </w:pPr>
      <w:r>
        <w:rPr>
          <w:b/>
        </w:rPr>
        <w:t xml:space="preserve">摘要（ZH）: </w:t>
      </w:r>
      <w:r>
        <w:t>磁星是孤立的中子星，具有超过 1014 G 的异常强的表面场（参考文献 1）。它们明亮的 X 射线发射探测量子电动力学 (QED) 影响辐射传播的物理状态2-4。强磁场在真空中产生与偏振相关的折射率5,6；这种真空双折射仍然是 QED 的一个长期存在但未经证实的预测。在这里，我们报告了射电发射磁星 1E 1547.0-5408 的相位和能量分辨偏振测量，这是通过协调来自成像 X 射线偏振测量探测器、中子星内部成分探测器和帕克斯/穆里扬天文台的 X 射线和射电观测而获得的。我们在热主导软 X 射线波段检测到大偏振度 (PD)，在 2 keV 时达到相位平均值 65%，然后在 2 keV 和 4 keV 之间大幅下降。在某些旋转相位，2-3 keV PD 上升至近 80%，同时在整个无线电波束交叉过程中保持较高水平 (≳40%)。相位相关的 X 射线和射电偏振角均与旋转矢量模型一致，表明发射几何形状跟踪恒星的大尺度磁场。总的来说，这些特性对使用光的非折射传播到无穷远的标准表面发射模型提出了挑战。真空双折射控制的磁层传播可以自然地解释 X 射线偏振信号。我们的结果代表了探索量子电动力学这一标志性预测的显着进展，为超强场打开了一个新的宇宙窗口</w:t>
      </w:r>
    </w:p>
    <w:p>
      <w:pPr>
        <w:spacing w:before="0" w:after="200" w:lineRule="auto" w:line="276"/>
      </w:pPr>
      <w:r>
        <w:rPr>
          <w:b/>
        </w:rPr>
        <w:t xml:space="preserve">Abstract (EN): </w:t>
      </w:r>
      <w:r>
        <w:t>Magnetars are isolated neutron stars with exceptionally strong surface fields exceeding 1014 G (ref. 1). Their bright X-ray emission probes physical regimes in which quantum electrodynamics (QED) influences radiation propagation2-4. Strong magnetic fields induce polarization-dependent refractive indices in the vacuum5,6; such vacuum birefringence remains a long-standing but unconfirmed prediction of QED. Here we report phase- and energy-resolved polarization measurements of the radio-emitting magnetar 1E 1547.0-5408 obtained by coordinating X-ray and radio observations from the Imaging X-ray Polarimetry Explorer, the Neutron Star Interior Composition Explorer and the Parkes/Murriyang Observatory. We detect large polarization degrees (PDs) in the thermally dominant soft X-ray band, reaching phase-averaged values of 65% at 2 keV before substantially decreasing between 2 keV and 4 keV. At certain rotational phases, the 2-3 keV PD rises to nearly 80% while remaining high (≳40%) throughout the radio beam crossing. The phase-dependent X-ray and radio polarization angles are both consistent with the rotating vector model, suggesting that the emission geometries track the large-scale magnetic field of the star. Collectively, these characteristics challenge standard surface emission models using non-refractive propagation of light to infinity. Vacuum-birefringence-governed magnetospheric propagation can naturally explain the X-ray polarization signals. Our results represent a marked advance in probing this hallmark prediction of QED, opening a new cosmic window into superstrong-field quantum physics, thereby motivating further observational and theoretical studies concentrating on this domain.</w:t>
      </w:r>
    </w:p>
    <w:p>
      <w:pPr>
        <w:spacing w:before="120" w:after="120"/>
      </w:pPr>
      <w:r>
        <w:rPr>
          <w:sz w:val="18"/>
        </w:rPr>
        <w:t>——————————————————————————————————————————————————————————————————————</w:t>
      </w:r>
    </w:p>
    <w:p>
      <w:pPr>
        <w:spacing w:before="160" w:after="40" w:line="240" w:lineRule="auto"/>
      </w:pPr>
      <w:r>
        <w:rPr>
          <w:b/>
        </w:rPr>
        <w:t xml:space="preserve">[424] </w:t>
      </w:r>
      <w:hyperlink r:id="rId1333">
        <w:r>
          <w:rPr>
            <w:color w:val="1155CC"/>
            <w:u w:val="single"/>
          </w:rPr>
          <w:t>伏隔核中的胆碱能枢纽控制阿片类药物奖励学习</w:t>
        </w:r>
      </w:hyperlink>
    </w:p>
    <w:p>
      <w:pPr>
        <w:spacing w:before="0" w:after="80"/>
      </w:pPr>
      <w:r>
        <w:rPr>
          <w:i/>
          <w:sz w:val="20"/>
        </w:rPr>
        <w:t>EN: A cholinergic hub in the nucleus accumbens gates opioid-reward learning</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34">
        <w:r>
          <w:rPr>
            <w:color w:val="1155CC"/>
            <w:u w:val="single"/>
          </w:rPr>
          <w:t>10.1038/s41586-026-10887-9</w:t>
        </w:r>
      </w:hyperlink>
    </w:p>
    <w:p>
      <w:pPr>
        <w:spacing w:before="0" w:after="120"/>
      </w:pPr>
      <w:r>
        <w:rPr>
          <w:b/>
        </w:rPr>
        <w:t xml:space="preserve">Notes: </w:t>
      </w:r>
      <w:r>
        <w:t>abstract_source=pubmed</w:t>
      </w:r>
    </w:p>
    <w:p>
      <w:pPr>
        <w:spacing w:before="0" w:after="80" w:lineRule="auto" w:line="276"/>
      </w:pPr>
      <w:r>
        <w:rPr>
          <w:b/>
        </w:rPr>
        <w:t xml:space="preserve">摘要（ZH）: </w:t>
      </w:r>
      <w:r>
        <w:t>阿片类药物的有益作用和适应不良作用很难区分1-3，部分原因是多巴胺信号传导对这两种作用类型都有贡献4-13。在这里，我们表明，即使在伏隔核中多巴胺升高的条件下，联想性阿片类药物奖励学习也可以被阻止。我们开发了 naloxoneDART，一种临床阿片受体拮抗剂 naloxone14,15 的细胞类型特异性类似物，并将其递送至基因定义的伏隔胆碱能中间神经元，选择性地使这些细胞对吗啡不敏感。吗啡条件性位置偏好的获得以目标参与依赖性方式被废除，没有上下文或运动障碍的证据：盐水习惯在疗程之间增强并且在疗程内没有变化，而吗啡引起的过度运动、敏化和急性镇痛保持不变。微透析显示，胆碱能中间神经元特异性纳洛酮 DART 可以阻止吗啡诱导的乙酰胆碱减少，而不会明显改变伏隔核中多巴胺的增加。这些发现确定了联想阿片奖励学习的胆碱能门，支持新兴的多巴胺乙酰胆碱可塑性理论16,17，并激发对阿片胆碱能策略的探索，这些策略可以保留急性镇痛，同时限制早期联想奖励学习18-25。</w:t>
      </w:r>
    </w:p>
    <w:p>
      <w:pPr>
        <w:spacing w:before="0" w:after="200" w:lineRule="auto" w:line="276"/>
      </w:pPr>
      <w:r>
        <w:rPr>
          <w:b/>
        </w:rPr>
        <w:t xml:space="preserve">Abstract (EN): </w:t>
      </w:r>
      <w:r>
        <w:t>Beneficial and maladaptive opioid effects are difficult to dissociate1-3, partly because dopamine signalling contributes to both these effect types4-13. Here we show that associative opioid-reward learning can be blocked even under conditions that elevate dopamine in the nucleus accumbens. We developed naloxoneDART, a cell-type-specific analogue of the clinical opioid receptor antagonist naloxone14,15, and delivered it to genetically defined accumbal cholinergic interneurons, selectively rendering these cells morphine-insensitive. Acquisition of morphine conditioned place preference was abolished in a target-engagement-dependent manner, without evidence of contextual or locomotor impairment: saline habituation was enhanced between sessions and unchanged within sessions, whereas morphine-evoked hyperlocomotion, sensitization and acute analgesia remained intact. Microdialysis revealed that cholinergic interneuron-specific naloxoneDART prevented morphine-induced acetylcholine reductions without detectably altering dopamine increases in the accumbens. These findings identify a cholinergic gate for associative opioid-reward learning, support an emerging dopamine-acetylcholine plasticity theory16,17, and motivate exploration of opioid-cholinergic strategies that may preserve acute analgesia while limiting early associative reward learning18-25.</w:t>
      </w:r>
    </w:p>
    <w:p>
      <w:pPr>
        <w:spacing w:before="120" w:after="120"/>
      </w:pPr>
      <w:r>
        <w:rPr>
          <w:sz w:val="18"/>
        </w:rPr>
        <w:t>——————————————————————————————————————————————————————————————————————</w:t>
      </w:r>
    </w:p>
    <w:p>
      <w:pPr>
        <w:spacing w:before="160" w:after="40" w:line="240" w:lineRule="auto"/>
      </w:pPr>
      <w:r>
        <w:rPr>
          <w:b/>
        </w:rPr>
        <w:t xml:space="preserve">[425] </w:t>
      </w:r>
      <w:hyperlink r:id="rId1335">
        <w:r>
          <w:rPr>
            <w:color w:val="1155CC"/>
            <w:u w:val="single"/>
          </w:rPr>
          <w:t>杏仁核星形胶质细胞初级纤毛机制有助于应激行为</w:t>
        </w:r>
      </w:hyperlink>
    </w:p>
    <w:p>
      <w:pPr>
        <w:spacing w:before="0" w:after="80"/>
      </w:pPr>
      <w:r>
        <w:rPr>
          <w:i/>
          <w:sz w:val="20"/>
        </w:rPr>
        <w:t>EN: Amygdala astrocyte primary cilium mechanisms contribute to stress behaviours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36">
        <w:r>
          <w:rPr>
            <w:color w:val="1155CC"/>
            <w:u w:val="single"/>
          </w:rPr>
          <w:t>10.1038/s41586-026-10874-0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了解不良生活事件如何引发与压力相关的行为变化仍然是一个尚未解决的挑战。杏仁核是情绪和压力反应不可或缺的一部分</w:t>
      </w:r>
      <w:r>
        <w:rPr>
          <w:vertAlign w:val="subscript"/>
        </w:rPr>
        <w:t>1</w:t>
      </w:r>
      <w:r>
        <w:t>并包括星形胶质细胞、神经元和其他细胞。在这里，我们表明杏仁核星形胶质细胞通过与其初级纤毛相关的信号机制促进与压力相关的行为</w:t>
      </w:r>
      <w:r>
        <w:rPr>
          <w:vertAlign w:val="subscript"/>
        </w:rPr>
        <w:t>2</w:t>
      </w:r>
      <w:r>
        <w:t>。杏仁核星形胶质细胞在应激期间蛋白质和基因表达水平发生改变，与初级纤毛相关的分子表达减少</w:t>
      </w:r>
      <w:r>
        <w:t xml:space="preserve"> </w:t>
      </w:r>
      <w:r>
        <w:t>3,4</w:t>
      </w:r>
      <w:r>
        <w:t xml:space="preserve"> </w:t>
      </w:r>
      <w:r>
        <w:t>初级纤毛形态较短</w:t>
      </w:r>
      <w:r>
        <w:t xml:space="preserve"> </w:t>
      </w:r>
      <w:r>
        <w:t>5,6</w:t>
      </w:r>
      <w:r>
        <w:t xml:space="preserve"> </w:t>
      </w:r>
      <w:r>
        <w:t>。 G 蛋白偶联受体 (GPCR) 是星形胶质细胞的核心</w:t>
      </w:r>
      <w:r>
        <w:rPr>
          <w:vertAlign w:val="subscript"/>
        </w:rPr>
        <w:t>7</w:t>
      </w:r>
      <w:r>
        <w:t>和初级纤毛</w:t>
      </w:r>
      <w:r>
        <w:t xml:space="preserve"> </w:t>
      </w:r>
      <w:r>
        <w:t>2,8,9</w:t>
      </w:r>
      <w:r>
        <w:t xml:space="preserve"> </w:t>
      </w:r>
      <w:r>
        <w:t>功能。因此，我们推测 GPCR 信号激活可能有益于与压力相关的行为障碍。我们确定杏仁核星形胶质细胞 GPCR 是压力后反应的调节因子。化学遗传学和靶向天然 1-磷酸鞘氨醇受体 1 (S1PR1) GPCR 可恢复星形胶质细胞初级纤毛长度，纠正分子改变并改善应激相关行为。纤毛相关基因在人类杏仁核星形胶质细胞中大量表达，其中许多基因在与压力相关的脑部疾病中表现出表达破坏。 S1PR1 在人类杏仁核星形胶质细胞中也高度表达</w:t>
      </w:r>
    </w:p>
    <w:p>
      <w:pPr>
        <w:spacing w:before="0" w:after="200" w:lineRule="auto" w:line="276"/>
      </w:pPr>
      <w:r>
        <w:rPr>
          <w:b/>
        </w:rPr>
        <w:t xml:space="preserve">Abstract (EN): </w:t>
      </w:r>
      <w:r>
        <w:t>Understanding how adverse life events trigger stress-related behavioural changes remains an unresolved challenge. The amygdala is integral to emotion and stress responses</w:t>
      </w:r>
      <w:r>
        <w:rPr>
          <w:vertAlign w:val="subscript"/>
        </w:rPr>
        <w:t>1</w:t>
      </w:r>
      <w:r>
        <w:t>and comprises astrocytes, neurons and other cells. Here we show that amygdala astrocytes contribute to stress-related behaviours through signalling mechanisms related to their primary cilia</w:t>
      </w:r>
      <w:r>
        <w:rPr>
          <w:vertAlign w:val="subscript"/>
        </w:rPr>
        <w:t>2</w:t>
      </w:r>
      <w:r>
        <w:t>. Amygdala astrocytes are altered during stress at the protein and gene expression level, display reduced expression of molecules related to primary cilia</w:t>
      </w:r>
      <w:r>
        <w:t xml:space="preserve"> </w:t>
      </w:r>
      <w:r>
        <w:t>3,4</w:t>
      </w:r>
      <w:r>
        <w:t xml:space="preserve"> </w:t>
      </w:r>
      <w:r>
        <w:t>and have morphologically short primary cilia</w:t>
      </w:r>
      <w:r>
        <w:t xml:space="preserve"> </w:t>
      </w:r>
      <w:r>
        <w:t>5,6</w:t>
      </w:r>
      <w:r>
        <w:t xml:space="preserve"> </w:t>
      </w:r>
      <w:r>
        <w:t>. G protein-coupled receptors (GPCRs) are central to astrocyte</w:t>
      </w:r>
      <w:r>
        <w:rPr>
          <w:vertAlign w:val="subscript"/>
        </w:rPr>
        <w:t>7</w:t>
      </w:r>
      <w:r>
        <w:t>and primary cilia</w:t>
      </w:r>
      <w:r>
        <w:t xml:space="preserve"> </w:t>
      </w:r>
      <w:r>
        <w:t>2,8,9</w:t>
      </w:r>
      <w:r>
        <w:t xml:space="preserve"> </w:t>
      </w:r>
      <w:r>
        <w:t>function. Therefore, we speculated that GPCR signalling activation might be beneficial in stress-related behavioural disorders. We identified amygdala astrocyte GPCRs as regulators of responses following stress. Chemogenetics and targeting of native sphingosine-1-phosphate receptor 1 (S1PR1) GPCRs led to the restoration of astrocyte primary cilia length, corrected molecular alterations and improved stress-related behaviours. Cilium-related genes were abundantly expressed in human amygdala astrocytes, with many displaying disrupted expression in stress-related brain disorders. S1PR1 was also highly expressed in amygdala astrocytes from human tissue. Selective genetic disruption of amygdala astrocyte primary cilia in mice altered some stress-related behaviours and gene expression of astrocytes and parenchymal cells. These data confirm that astrocytic cilia have important roles in this brain nucleus. In summary, amygdala astrocytes and their primary cilia are disrupted during stress, and their restoration is accompanied by stress-related molecular and behavioural improvements. Astrocyte primary cilia-related mechanisms may therefore provide new treatment strategies for stress-related and other brain disorders.</w:t>
      </w:r>
    </w:p>
    <w:p>
      <w:pPr>
        <w:spacing w:before="120" w:after="120"/>
      </w:pPr>
      <w:r>
        <w:rPr>
          <w:sz w:val="18"/>
        </w:rPr>
        <w:t>——————————————————————————————————————————————————————————————————————</w:t>
      </w:r>
    </w:p>
    <w:p>
      <w:pPr>
        <w:spacing w:before="160" w:after="40" w:line="240" w:lineRule="auto"/>
      </w:pPr>
      <w:r>
        <w:rPr>
          <w:b/>
        </w:rPr>
        <w:t xml:space="preserve">[426] </w:t>
      </w:r>
      <w:hyperlink r:id="rId1337">
        <w:r>
          <w:rPr>
            <w:color w:val="1155CC"/>
            <w:u w:val="single"/>
          </w:rPr>
          <w:t>谷胱甘肽激活的 DCAF11 依赖性分子胶降解剂</w:t>
        </w:r>
      </w:hyperlink>
    </w:p>
    <w:p>
      <w:pPr>
        <w:spacing w:before="0" w:after="80"/>
      </w:pPr>
      <w:r>
        <w:rPr>
          <w:i/>
          <w:sz w:val="20"/>
        </w:rPr>
        <w:t>EN: DCAF11-dependent molecular glue degrader activated by glutathionylation</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38">
        <w:r>
          <w:rPr>
            <w:color w:val="1155CC"/>
            <w:u w:val="single"/>
          </w:rPr>
          <w:t>10.1038/s41586-026-10873-1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靶向蛋白质降解是一种强大的药理学策略，它利用泛素蛋白酶体系统来消除与疾病相关的蛋白质，包括其他不可成药的蛋白质</w:t>
      </w:r>
      <w:r>
        <w:rPr>
          <w:vertAlign w:val="subscript"/>
        </w:rPr>
        <w:t>1</w:t>
      </w:r>
      <w:r>
        <w:t>。在这里，我们报告了一个公正且广泛适用的平台，用于系统地发现跨不同 E3 连接酶的分子胶。使用基于多重质谱的化学筛选，我们鉴定了 M12，一种分子胶，可对 E3 连接酶 DCAF11 进行重编程以降解 DDX18。从机制上讲，M12 充当通过谷胱甘肽激活的前药</w:t>
      </w:r>
      <w:r>
        <w:t xml:space="preserve"> </w:t>
      </w:r>
      <w:r>
        <w:t>S</w:t>
      </w:r>
      <w:r>
        <w:t xml:space="preserve"> </w:t>
      </w:r>
      <w:r>
        <w:t>-转移酶介导的谷胱甘肽化。谷胱甘肽部分与 DCAF11 上进化保守的谷胱甘肽结合位点结合，暴露的 M12 部分有利于新底物的招募。我们证明这种谷胱甘肽依赖性机制很容易实现一系列蛋白质的定向降解。总的来说，这些发现证实代谢激活的化合物可以重新定向 E3 连接酶的功能，从而扩大目标蛋白质降解和化学诱导接近的范围。</w:t>
      </w:r>
    </w:p>
    <w:p>
      <w:pPr>
        <w:spacing w:before="0" w:after="200" w:lineRule="auto" w:line="276"/>
      </w:pPr>
      <w:r>
        <w:rPr>
          <w:b/>
        </w:rPr>
        <w:t xml:space="preserve">Abstract (EN): </w:t>
      </w:r>
      <w:r>
        <w:t>Targeted protein degradation is a powerful pharmacological strategy that harnesses the ubiquitin proteasome system to eliminate disease-relevant proteins, including otherwise undruggable proteins</w:t>
      </w:r>
      <w:r>
        <w:rPr>
          <w:vertAlign w:val="subscript"/>
        </w:rPr>
        <w:t>1</w:t>
      </w:r>
      <w:r>
        <w:t>. Here we report an unbiased and broadly applicable platform for the systematic discovery of molecular glues across diverse E3 ligases. Using multiplexed mass spectrometry-based chemical screening, we identified M12, a molecular glue that reprogrammes the E3 ligase DCAF11 to degrade DDX18. Mechanistically, M12 functions as a prodrug that is activated through glutathione</w:t>
      </w:r>
      <w:r>
        <w:t xml:space="preserve"> </w:t>
      </w:r>
      <w:r>
        <w:t>S</w:t>
      </w:r>
      <w:r>
        <w:t xml:space="preserve"> </w:t>
      </w:r>
      <w:r>
        <w:t>-transferase-mediated glutathionylation. The glutathione moiety binds to an evolutionary conserved glutathione-binding site on DCAF11, and the exposed M12 moiety facilitates neo-substrate recruitment. We demonstrate that this glutathione-dependent mechanism readily enables targeted degradation of a range of proteins. Collectively, these findings establish that metabolically activated compounds can redirect E3 ligase function, thereby expanding the scope of targeted protein degradation and chemically induced proximity.</w:t>
      </w:r>
    </w:p>
    <w:p>
      <w:pPr>
        <w:spacing w:before="120" w:after="120"/>
      </w:pPr>
      <w:r>
        <w:rPr>
          <w:sz w:val="18"/>
        </w:rPr>
        <w:t>——————————————————————————————————————————————————————————————————————</w:t>
      </w:r>
    </w:p>
    <w:p>
      <w:pPr>
        <w:spacing w:before="160" w:after="40" w:line="240" w:lineRule="auto"/>
      </w:pPr>
      <w:r>
        <w:rPr>
          <w:b/>
        </w:rPr>
        <w:t xml:space="preserve">[427] </w:t>
      </w:r>
      <w:hyperlink r:id="rId1339">
        <w:r>
          <w:rPr>
            <w:color w:val="1155CC"/>
            <w:u w:val="single"/>
          </w:rPr>
          <w:t>溶膜肽程序免疫原性细胞死亡用于癌症治疗</w:t>
        </w:r>
      </w:hyperlink>
    </w:p>
    <w:p>
      <w:pPr>
        <w:spacing w:before="0" w:after="80"/>
      </w:pPr>
      <w:r>
        <w:rPr>
          <w:i/>
          <w:sz w:val="20"/>
        </w:rPr>
        <w:t>EN: Membranolytic peptide programs immunogenic cell death for cancer therapy</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40">
        <w:r>
          <w:rPr>
            <w:color w:val="1155CC"/>
            <w:u w:val="single"/>
          </w:rPr>
          <w:t>10.1038/s41586-026-10899-5</w:t>
        </w:r>
      </w:hyperlink>
    </w:p>
    <w:p>
      <w:pPr>
        <w:spacing w:before="0" w:after="120"/>
      </w:pPr>
      <w:r>
        <w:rPr>
          <w:b/>
        </w:rPr>
        <w:t xml:space="preserve">Notes: </w:t>
      </w:r>
      <w:r>
        <w:t>abstract_source=pubmed</w:t>
      </w:r>
    </w:p>
    <w:p>
      <w:pPr>
        <w:spacing w:before="0" w:after="80" w:lineRule="auto" w:line="276"/>
      </w:pPr>
      <w:r>
        <w:rPr>
          <w:b/>
        </w:rPr>
        <w:t xml:space="preserve">摘要（ZH）: </w:t>
      </w:r>
      <w:r>
        <w:t>促进创新细胞死亡模式的合理设计可以极大地促进抗肿瘤治疗的进步1,2。在这里，我们设计并实现了肿瘤细胞中免疫原性溶膜细胞死亡（mLCD）的独特模式，其特征是从溶酶体到质膜的时滞破裂；人们发现这种方法可以强有力地增强免疫检查点阻断疗法。这种 mLCD 模式是由合成酸响应性膜溶解肽 (aMP) aMPC16-CA50 诱导的，该肽对与肿瘤细胞外环境和溶酶体相关的 pH 值降低表现出分级响应性。 aMPC16-CA50 激活肿瘤细胞中的炎症转录程序，增强其诱导树突状细胞上 I 类主要组织相容性复合物分子抗原呈递以及随后激活 T 细胞的能力。溶膜肽的 pH 响应动力学和溶膜活性在通过膜破裂过程的时空调节增强裂解肿瘤细胞的免疫原性方面发挥着关键作用。此外，aMPC16-CA50通过促进抗肿瘤免疫反应在增强免疫检查点阻断疗法的抗肿瘤功效方面表现出相当大的优势。此外，其全身给药在小鼠中具有良好的耐受性。总体而言，我们使用易于操作的合成 pH 响应膜溶解肽，通过膜破裂过程的时空调节，成功地在肿瘤细胞中编程了一种独特的免疫原性 mLCD 模式。</w:t>
      </w:r>
    </w:p>
    <w:p>
      <w:pPr>
        <w:spacing w:before="0" w:after="200" w:lineRule="auto" w:line="276"/>
      </w:pPr>
      <w:r>
        <w:rPr>
          <w:b/>
        </w:rPr>
        <w:t xml:space="preserve">Abstract (EN): </w:t>
      </w:r>
      <w:r>
        <w:t>A rational design for facilitating innovative cell death modes can substantially aid advances in antitumour therapy1,2. Here we design and implement a unique mode of immunogenic membranolytic cell death (mLCD) in tumour cells, characterized by time-lagged rupture from the lysosomal to plasma membranes; this approach was found to robustly potentiate immune checkpoint blockade therapy. This mode of mLCD was induced by the synthetic-acid-responsive membranolytic peptide (aMP) aMPC16-CA50, which exhibits hierarchical responsiveness to the decreasing pH associated with the tumour extracellular environment and lysosomes. aMPC16-CA50 activated an inflammatory transcriptional program in tumour cells, potentiating their ability to induce antigen presentation on class I major histocompatibility complex molecules on dendritic cells and the subsequent activation of T cells. The pH-responsive kinetics and membranolytic activity of the membranolytic peptides had a critical role in enhancing the immunogenicity of lytic tumour cells through the spatiotemporal regulation of the membrane-rupture processes. Furthermore, aMPC16-CA50 exhibited a considerable advantage in enhancing the antitumour efficacy of immune checkpoint blockade therapy through the promotion of antitumour immune response. Moreover, its systemic administration was well tolerated in mice. Overall, we successfully programmed a unique mode of immunogenic mLCD in tumour cells through the spatiotemporal regulation of membrane-rupture processes using a synthetic pH-responsive membranolytic peptide amenable to manipulation.</w:t>
      </w:r>
    </w:p>
    <w:p>
      <w:pPr>
        <w:spacing w:before="120" w:after="120"/>
      </w:pPr>
      <w:r>
        <w:rPr>
          <w:sz w:val="18"/>
        </w:rPr>
        <w:t>——————————————————————————————————————————————————————————————————————</w:t>
      </w:r>
    </w:p>
    <w:p>
      <w:pPr>
        <w:spacing w:before="160" w:after="40" w:line="240" w:lineRule="auto"/>
      </w:pPr>
      <w:r>
        <w:rPr>
          <w:b/>
        </w:rPr>
        <w:t xml:space="preserve">[428] </w:t>
      </w:r>
      <w:hyperlink r:id="rId1341">
        <w:r>
          <w:rPr>
            <w:color w:val="1155CC"/>
            <w:u w:val="single"/>
          </w:rPr>
          <w:t>费米-哈伯德量子模拟器中的赝能隙</w:t>
        </w:r>
      </w:hyperlink>
    </w:p>
    <w:p>
      <w:pPr>
        <w:spacing w:before="0" w:after="80"/>
      </w:pPr>
      <w:r>
        <w:rPr>
          <w:i/>
          <w:sz w:val="20"/>
        </w:rPr>
        <w:t>EN: Pseudogap in a Fermi–Hubbard quantum simulator</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42">
        <w:r>
          <w:rPr>
            <w:color w:val="1155CC"/>
            <w:u w:val="single"/>
          </w:rPr>
          <w:t>10.1038/s41586-026-10875-z</w:t>
        </w:r>
      </w:hyperlink>
    </w:p>
    <w:p>
      <w:pPr>
        <w:spacing w:before="0" w:after="120"/>
      </w:pPr>
      <w:r>
        <w:rPr>
          <w:b/>
        </w:rPr>
        <w:t xml:space="preserve">Notes: </w:t>
      </w:r>
      <w:r>
        <w:t>abstract_source=pubmed</w:t>
      </w:r>
    </w:p>
    <w:p>
      <w:pPr>
        <w:spacing w:before="0" w:after="80" w:lineRule="auto" w:line="276"/>
      </w:pPr>
      <w:r>
        <w:rPr>
          <w:b/>
        </w:rPr>
        <w:t xml:space="preserve">摘要（ZH）: </w:t>
      </w:r>
      <w:r>
        <w:t>了解掺杂莫特绝缘体是凝聚态物理的一个基本目标，与铜酸盐超导体和其他量子材料相关1-3。哈伯德模型最低限度地描述了此类系统，并解释了它们的一些复杂行为4,5。然而，关于在低温和中间掺杂下出现的反常金属态以及在铜酸盐中在冷却时产生高温超导性的许多悬而未决的问题2,6,7。在这里，我们利用冷原子量子模拟器中的热力学和光谱测量，利用最近可达到的温度降低了几倍，观察到哈伯德模型中普通金属和赝能隙金属之间的交叉。冷却时，压缩性在中间掺杂处达到最大值，标志着状态方程中出现拐点。我们跟踪了这个最大值与相互作用强度的关系，揭示了相图中的一条热力学异常线，在大相互作用下将欠掺杂金属与过掺杂金属分开。欠掺杂状态下的晶格调制光谱显示出低能量响应的损失，特别是在布里渊区的波腹区域明显，表明存在赝能隙。我们使用该信号来构建赝能隙相对于相互作用和掺杂的相图。我们的结果通过实验建立并表征了哈伯德模型中的赝能隙金属，并提出了与电荷顺序的联系，可以在未来的工作中研究。此外，这项工作展示了量子模拟在解决前沿问题方面的实用性</w:t>
      </w:r>
    </w:p>
    <w:p>
      <w:pPr>
        <w:spacing w:before="0" w:after="200" w:lineRule="auto" w:line="276"/>
      </w:pPr>
      <w:r>
        <w:rPr>
          <w:b/>
        </w:rPr>
        <w:t xml:space="preserve">Abstract (EN): </w:t>
      </w:r>
      <w:r>
        <w:t>Understanding doped Mott insulators is a fundamental goal in condensed matter physics, relevant to cuprate superconductors and other quantum materials1-3. The Hubbard model minimally describes such systems and has explicated some of their complex behaviour4,5. However, many open questions remain concerning the anomalous metallic states that emerge at low temperatures and intermediate doping and which, in cuprates, give rise to high-temperature superconductivity on cooling2,6,7. Here we observe a crossover between a normal metal and a pseudogapped metal in the Hubbard model using thermodynamic and spectroscopic measurements in a cold-atom quantum simulator, leveraging a recent several-fold reduction in achievable temperatures8. On cooling, the compressibility develops a maximum at intermediate doping, signalling an inflection point in the equation of state. We track this maximum versus interaction strength, revealing a line of thermodynamic anomalies in the phase diagram separating an underdoped from an overdoped metal at large interactions. Lattice modulation spectra in the underdoped regime show a loss of low-energy response, especially pronounced in the antinodal regions of the Brillouin zone, indicating a pseudogap. We use this signal to construct a pseudogap phase diagram versus interactions and doping. Our results experimentally establish and characterize the pseudogap metal in the Hubbard model, and suggest connections to charge order that can be studied in future work. Furthermore, this work demonstrates the utility of quantum simulation in addressing frontier problems in correlated electron physics.</w:t>
      </w:r>
    </w:p>
    <w:p>
      <w:pPr>
        <w:spacing w:before="120" w:after="120"/>
      </w:pPr>
      <w:r>
        <w:rPr>
          <w:sz w:val="18"/>
        </w:rPr>
        <w:t>——————————————————————————————————————————————————————————————————————</w:t>
      </w:r>
    </w:p>
    <w:p>
      <w:pPr>
        <w:spacing w:before="160" w:after="40" w:line="240" w:lineRule="auto"/>
      </w:pPr>
      <w:r>
        <w:rPr>
          <w:b/>
        </w:rPr>
        <w:t xml:space="preserve">[429] </w:t>
      </w:r>
      <w:hyperlink r:id="rId1343">
        <w:r>
          <w:rPr>
            <w:color w:val="1155CC"/>
            <w:u w:val="single"/>
          </w:rPr>
          <w:t>急性和长期 COVID-19 中的病毒重新激活</w:t>
        </w:r>
      </w:hyperlink>
    </w:p>
    <w:p>
      <w:pPr>
        <w:spacing w:before="0" w:after="80"/>
      </w:pPr>
      <w:r>
        <w:rPr>
          <w:i/>
          <w:sz w:val="20"/>
        </w:rPr>
        <w:t>EN: Virus reactivation in acute and long COVID-19</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44">
        <w:r>
          <w:rPr>
            <w:color w:val="1155CC"/>
            <w:u w:val="single"/>
          </w:rPr>
          <w:t>10.1038/s41586-026-10740-z</w:t>
        </w:r>
      </w:hyperlink>
    </w:p>
    <w:p>
      <w:pPr>
        <w:spacing w:before="0" w:after="120"/>
      </w:pPr>
      <w:r>
        <w:rPr>
          <w:b/>
        </w:rPr>
        <w:t xml:space="preserve">Notes: </w:t>
      </w:r>
      <w:r>
        <w:t>abstract_source=pubmed</w:t>
      </w:r>
    </w:p>
    <w:p>
      <w:pPr>
        <w:spacing w:before="0" w:after="80" w:lineRule="auto" w:line="276"/>
      </w:pPr>
      <w:r>
        <w:rPr>
          <w:b/>
        </w:rPr>
        <w:t xml:space="preserve">摘要（ZH）: </w:t>
      </w:r>
      <w:r>
        <w:t>慢性病毒感染在人类中普遍存在，个体携带多种病毒，这些病毒可以在生理应激（包括严重疾病）期间重新激活1。值得注意的是，SARS-CoV-2 感染已被证明可以重新激活 Epstein-Barr 病毒和巨细胞病毒等慢性病毒，但 COVID-19 中病毒重新激活的全部范围、时间动态和免疫学影响仍未完全了解2-7。在这里，我们利用来自 COVID-19 队列免疫表型评估 (IMPACC) 研究中 1,154 名住院 COVID-19 患者的多组学纵向数据，揭示了急性 COVID-19 期间疱疹病毒科和指环病毒科的显着重新激活，不同病毒具有不同的时间动态，并证明重新激活与疾病严重程度、宿主免疫效应和临床结果相关。尽管我们的结果并未确定病毒再激活与临床结果之间的因果关系，但我们强调了急性 COVID-19 和长期 COVID 期间慢性病毒再激活的患病率。我们的研究结果挑战了普遍的观点，即慢性病毒再激活主要是免疫抑制的结果，表明病毒再激活在严重疾病期间经常发生在免疫功能正常的个体中，并且与全身炎症增加有关。此外，我们证明了恢复期病毒重新激活的持续性，并报告了指环病毒科与长期新冠病毒之间的关联。这项研究提供了病毒重新激活的免疫、转录组和代谢组学特征，可以为未来的策略提供信息</w:t>
      </w:r>
    </w:p>
    <w:p>
      <w:pPr>
        <w:spacing w:before="0" w:after="200" w:lineRule="auto" w:line="276"/>
      </w:pPr>
      <w:r>
        <w:rPr>
          <w:b/>
        </w:rPr>
        <w:t xml:space="preserve">Abstract (EN): </w:t>
      </w:r>
      <w:r>
        <w:t>Chronic viral infections are ubiquitous in humans, with individuals carrying multiple viruses that can reactivate during physiological stress, including severe illness1. Notably, SARS-CoV-2 infection has been shown to reactivate chronic viruses such as Epstein-Barr virus and cytomegalovirus, yet the full extent, temporal dynamics and immunological impact of viral reactivation in COVID-19 remain incompletely understood2-7. Here, leveraging multi-omic longitudinal data from 1,154 hospitalized patients with COVID-19 from the Immunophenotyping Assessment in a COVID-19 Cohort (IMPACC) study, we reveal significant reactivation of Herpesviridae and Anelloviridae during acute COVID-19, with distinct temporal dynamics for different viruses, and demonstrate that reactivation correlates with disease severity, host immune effects and clinical outcomes. Although our results do not establish causation between virus reactivation and clinical outcomes, we highlight the prevalence of chronic viral reactivation during acute COVID-19 and long COVID. Our findings challenge the prevailing view that chronic viral reactivation is primarily a consequence of immunosuppression, demonstrating that reactivations occur frequently in immunocompetent individuals during severe illness and in association with increased systemic inflammation. Additionally, we demonstrate persistence of viral reactivation in convalescence, and report an association of Anelloviridae with long COVID. This study provides immune, transcriptomic and metabolomic signatures of viral reactivation that could inform future strategies to prognosticate and treat acute COVID-19 and long COVID.</w:t>
      </w:r>
    </w:p>
    <w:p>
      <w:pPr>
        <w:spacing w:before="120" w:after="120"/>
      </w:pPr>
      <w:r>
        <w:rPr>
          <w:sz w:val="18"/>
        </w:rPr>
        <w:t>——————————————————————————————————————————————————————————————————————</w:t>
      </w:r>
    </w:p>
    <w:p>
      <w:pPr>
        <w:spacing w:before="160" w:after="40" w:line="240" w:lineRule="auto"/>
      </w:pPr>
      <w:r>
        <w:rPr>
          <w:b/>
        </w:rPr>
        <w:t xml:space="preserve">[430] </w:t>
      </w:r>
      <w:hyperlink r:id="rId1345">
        <w:r>
          <w:rPr>
            <w:color w:val="1155CC"/>
            <w:u w:val="single"/>
          </w:rPr>
          <w:t>虚拟组织基础模型解决了跨尺度的空间蛋白质组学问题</w:t>
        </w:r>
      </w:hyperlink>
    </w:p>
    <w:p>
      <w:pPr>
        <w:spacing w:before="0" w:after="80"/>
      </w:pPr>
      <w:r>
        <w:rPr>
          <w:i/>
          <w:sz w:val="20"/>
        </w:rPr>
        <w:t>EN: The Virtual Tissues foundation model resolves spatial proteomics across scales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46">
        <w:r>
          <w:rPr>
            <w:color w:val="1155CC"/>
            <w:u w:val="single"/>
          </w:rPr>
          <w:t>10.1038/s41586-026-10884-y</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空间蛋白质组学技术改变了我们对癌症复杂组织结构的理解，但对计算分析提出了独特的挑战</w:t>
      </w:r>
      <w:r>
        <w:rPr>
          <w:vertAlign w:val="subscript"/>
        </w:rPr>
        <w:t>1</w:t>
      </w:r>
      <w:r>
        <w:t>。每项研究都使用不同的标记物组和方案，并且大多数方法都是针对单个队列量身定制的，这限制了知识转移和强大的生物标记物发现。在这里，我们介绍虚拟组织 (VirTues)，这是一种空间蛋白质组学的通用基础模型，可直接从多重成像数据中学习蛋白质、细胞、生态位和组织的标记感知、多尺度表示。 VirTues 通过单个预训练主干网络支持标记重建、细胞分割和分型、生态位注释、空间生物标记发现和患者分层，包括跨异构面板和数据集的零样本注释。在三阴性乳腺癌中，VirTues 衍生的生物标志物可预测抗 PD-L1 化疗免疫治疗反应</w:t>
      </w:r>
      <w:r>
        <w:rPr>
          <w:vertAlign w:val="subscript"/>
        </w:rPr>
        <w:t>2</w:t>
      </w:r>
      <w:r>
        <w:t>并对独立队列中的无病生存进行分层</w:t>
      </w:r>
      <w:r>
        <w:rPr>
          <w:vertAlign w:val="subscript"/>
        </w:rPr>
        <w:t>3</w:t>
      </w:r>
      <w:r>
        <w:t>，优于源自相同数据集和当前临床分层方案的最先进的生物标志物。</w:t>
      </w:r>
    </w:p>
    <w:p>
      <w:pPr>
        <w:spacing w:before="0" w:after="200" w:lineRule="auto" w:line="276"/>
      </w:pPr>
      <w:r>
        <w:rPr>
          <w:b/>
        </w:rPr>
        <w:t xml:space="preserve">Abstract (EN): </w:t>
      </w:r>
      <w:r>
        <w:t>Spatial proteomics technologies have transformed our understanding of complex tissue architecture in cancer but present unique challenges for computational analysis</w:t>
      </w:r>
      <w:r>
        <w:rPr>
          <w:vertAlign w:val="subscript"/>
        </w:rPr>
        <w:t>1</w:t>
      </w:r>
      <w:r>
        <w:t>. Each study uses a different marker panel and protocol, and most methods are tailored to single cohorts, which limits knowledge transfer and robust biomarker discovery. Here we present Virtual Tissues (VirTues), a general-purpose foundation model for spatial proteomics that learns marker-aware, multi-scale representations of proteins, cells, niches and tissues directly from multiplex imaging data. From a single pretrained backbone, VirTues supports marker reconstruction, cell segmentation and typing, niche annotation, spatial biomarker discovery and patient stratification, including zero-shot annotation across heterogeneous panels and datasets. In triple-negative breast cancer, VirTues-derived biomarkers predict anti-PD-L1 chemo-immunotherapy response</w:t>
      </w:r>
      <w:r>
        <w:rPr>
          <w:vertAlign w:val="subscript"/>
        </w:rPr>
        <w:t>2</w:t>
      </w:r>
      <w:r>
        <w:t>and stratify disease-free survival in an independent cohort</w:t>
      </w:r>
      <w:r>
        <w:rPr>
          <w:vertAlign w:val="subscript"/>
        </w:rPr>
        <w:t>3</w:t>
      </w:r>
      <w:r>
        <w:t>, outperforming state-of-the-art biomarkers derived from the same datasets and current clinical stratification schemes.</w:t>
      </w:r>
    </w:p>
    <w:p>
      <w:pPr>
        <w:spacing w:before="120" w:after="120"/>
      </w:pPr>
      <w:r>
        <w:rPr>
          <w:sz w:val="18"/>
        </w:rPr>
        <w:t>——————————————————————————————————————————————————————————————————————</w:t>
      </w:r>
    </w:p>
    <w:p>
      <w:pPr>
        <w:spacing w:before="160" w:after="40" w:line="240" w:lineRule="auto"/>
      </w:pPr>
      <w:r>
        <w:rPr>
          <w:b/>
        </w:rPr>
        <w:t xml:space="preserve">[431] </w:t>
      </w:r>
      <w:hyperlink r:id="rId1347">
        <w:r>
          <w:rPr>
            <w:color w:val="1155CC"/>
            <w:u w:val="single"/>
          </w:rPr>
          <w:t>CD40+MHC-II+星形胶质细胞呈递抗原促进中枢神经系统自身免疫</w:t>
        </w:r>
      </w:hyperlink>
    </w:p>
    <w:p>
      <w:pPr>
        <w:spacing w:before="0" w:after="80"/>
      </w:pPr>
      <w:r>
        <w:rPr>
          <w:i/>
          <w:sz w:val="20"/>
        </w:rPr>
        <w:t>EN: Antigen presentation by CD40+MHC-II+ astrocytes promotes CNS autoimmunity</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48">
        <w:r>
          <w:rPr>
            <w:color w:val="1155CC"/>
            <w:u w:val="single"/>
          </w:rPr>
          <w:t>10.1038/s41586-026-10860-6</w:t>
        </w:r>
      </w:hyperlink>
    </w:p>
    <w:p>
      <w:pPr>
        <w:spacing w:before="0" w:after="120"/>
      </w:pPr>
      <w:r>
        <w:rPr>
          <w:b/>
        </w:rPr>
        <w:t xml:space="preserve">Notes: </w:t>
      </w:r>
      <w:r>
        <w:t>abstract_source=pubmed</w:t>
      </w:r>
    </w:p>
    <w:p>
      <w:pPr>
        <w:spacing w:before="0" w:after="80" w:lineRule="auto" w:line="276"/>
      </w:pPr>
      <w:r>
        <w:rPr>
          <w:b/>
        </w:rPr>
        <w:t xml:space="preserve">摘要（ZH）: </w:t>
      </w:r>
      <w:r>
        <w:t>星形胶质细胞与多种神经系统疾病的病理学有关，包括 T 细胞驱动的中枢神经系统 (CNS) 多发性硬化症及其小鼠模型实验性自身免疫性脑脊髓炎 1。然而，人们对星形胶质细胞和 CD4+ T 细胞之间的功能相互作用知之甚少。在此，我们使用狂犬病条形码相互作用检测和测序2，结合单细胞 RNA 测序、体外共培养系统和基于 CRISPR-Cas9 的细胞特异性体内遗传扰动研究，确定表达 CD40 和 MHC-II 的星形胶质细胞可促进 CNS T 细胞自身免疫。我们通过SorTagging细胞间接触3利用通用标记免疫伙伴关系来分析星形胶质细胞相互作用的CD4+T细胞，发现星形胶质细胞-CD4+T细胞的直接相互作用增强了实验性自身免疫性脑脊髓炎中致病性T辅助17细胞的反应。此外，我们研究了这些相互作用对星形胶质细胞的影响。使用体内亚蛋白质组学方法4和AlphaFold-Multimer预测5，我们确定CD4+ T细胞表达的CD40L在星形胶质细胞中激活CD40会诱导PLIN4阳性脂滴的积累，从而提供乙酰辅酶A以促进p65乙酰化依赖性NF-κB激活和抗原呈递。最后，我们通过单核RNA测序和免疫组化检测了多发性硬化症样本中的CD40+MHC-II+LD+星形胶质细胞。总之，这些研究定义了一种以前未被认识的星形胶质细胞促进中枢神经系统自身免疫的机制。</w:t>
      </w:r>
    </w:p>
    <w:p>
      <w:pPr>
        <w:spacing w:before="0" w:after="200" w:lineRule="auto" w:line="276"/>
      </w:pPr>
      <w:r>
        <w:rPr>
          <w:b/>
        </w:rPr>
        <w:t xml:space="preserve">Abstract (EN): </w:t>
      </w:r>
      <w:r>
        <w:t>Astrocytes contribute to the pathology of multiple neurological disorders, including the T cell-driven autoimmune disease of the central nervous system (CNS) multiple sclerosis and its mouse model, experimental autoimmune encephalomyelitis1. However, little is known about functional interactions between astrocytes and CD4+ T cells. Here using rabies barcode interaction detection followed by sequencing2, in combination with single-cell RNA sequencing, in vitro co-culture systems and cell-specific in vivo CRISPR-Cas9-based genetic perturbation studies, we established that astrocytes expressing CD40 and MHC-II promote CNS T cell autoimmunity. We harnessed universal labelling immune partnerships by SorTagging intercellular contacts3 to analyse astrocyte-interacting CD4+ T cells, finding that direct astrocyte-CD4+ T cell interactions enhance pathogenic T helper 17 cell responses in experimental autoimmune encephalomyelitis. In addition, we studied the effect of these interactions on astrocytes. Using in vivo subproteomic approaches4 and AlphaFold-Multimer predictions5, we established that CD40 activation in astrocytes by CD40L expressed by CD4+ T cells induces the accumulation of PLIN4-positive lipid droplets, which provide acetyl-CoA to promote p65 acetylation-dependent NF-κB activation and antigen presentation. Finally, we detected CD40+MHC-II+LD+ astrocytes in multiple sclerosis samples by single-nucleus RNA sequencing and immunohistochemistry. In summary, these studies define a previously unrecognized mechanism by which astrocytes promote CNS autoimmunity.</w:t>
      </w:r>
    </w:p>
    <w:p>
      <w:pPr>
        <w:spacing w:before="120" w:after="120"/>
      </w:pPr>
      <w:r>
        <w:rPr>
          <w:sz w:val="18"/>
        </w:rPr>
        <w:t>——————————————————————————————————————————————————————————————————————</w:t>
      </w:r>
    </w:p>
    <w:p>
      <w:pPr>
        <w:spacing w:before="160" w:after="40" w:line="240" w:lineRule="auto"/>
      </w:pPr>
      <w:r>
        <w:rPr>
          <w:b/>
        </w:rPr>
        <w:t xml:space="preserve">[432] </w:t>
      </w:r>
      <w:hyperlink r:id="rId1349">
        <w:r>
          <w:rPr>
            <w:color w:val="1155CC"/>
            <w:u w:val="single"/>
          </w:rPr>
          <w:t>针对不同癌症的下一代患者衍生模型概要</w:t>
        </w:r>
      </w:hyperlink>
    </w:p>
    <w:p>
      <w:pPr>
        <w:spacing w:before="0" w:after="80"/>
      </w:pPr>
      <w:r>
        <w:rPr>
          <w:i/>
          <w:sz w:val="20"/>
        </w:rPr>
        <w:t>EN: A compendium of next-generation patient-derived models for diverse cancers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50">
        <w:r>
          <w:rPr>
            <w:color w:val="1155CC"/>
            <w:u w:val="single"/>
          </w:rPr>
          <w:t>10.1038/s41586-026-10806-y</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新疗法的开发和癌症发病机制的验证需要有代表性的实验室模型</w:t>
      </w:r>
      <w:r>
        <w:t xml:space="preserve"> </w:t>
      </w:r>
      <w:r>
        <w:t>1,2</w:t>
      </w:r>
      <w:r>
        <w:t xml:space="preserve"> </w:t>
      </w:r>
      <w:r>
        <w:t>。然而，现有的收集仅代表人类癌症中观察到的多样性的一小部分</w:t>
      </w:r>
      <w:r>
        <w:t xml:space="preserve"> </w:t>
      </w:r>
      <w:r>
        <w:t>2–4</w:t>
      </w:r>
      <w:r>
        <w:t xml:space="preserve"> </w:t>
      </w:r>
      <w:r>
        <w:t>。最新技术已经实现了高效的体外模型推导（例如肿瘤类器官）</w:t>
      </w:r>
      <w:r>
        <w:rPr>
          <w:vertAlign w:val="subscript"/>
        </w:rPr>
        <w:t>5</w:t>
      </w:r>
      <w:r>
        <w:t>。然而，这些是否在长期扩张过程中保持患者肿瘤的基本特性尚未得到系统研究。在这里，我们展示了一项大型国际计划——人类癌症模型计划——的结果，该计划涉及从 2,780 名捐赠者生成 665 个下一代模型资源，涉及 25 种癌症类型，并进行综合肿瘤模型全基因组、外显子组、甲基化组和转录组分析。该资源提供了 522 个具有全面临床数据的模型、153 个罕见癌症模型以及来自非欧洲血统参与者的 71 个模型。对 421 个匹配的肿瘤模型对的分析揭示了遗传 (97.8%) 和表观遗传 (95%) 的高度一致性，并定义了模型不一致的相关性。肿瘤模型对的单核 RNA 测序揭示了培养条件显着影响细胞状态的模型子集。最后，我们描述了染色体外 DNA 和治疗后突变特征的模型保存特征，为研究治疗耐药性提供了机会。这个模型库太疯狂了</w:t>
      </w:r>
    </w:p>
    <w:p>
      <w:pPr>
        <w:spacing w:before="0" w:after="200" w:lineRule="auto" w:line="276"/>
      </w:pPr>
      <w:r>
        <w:rPr>
          <w:b/>
        </w:rPr>
        <w:t xml:space="preserve">Abstract (EN): </w:t>
      </w:r>
      <w:r>
        <w:t>The development of new therapeutics and the validation of pathogenetic cancer mechanisms require representative laboratory models</w:t>
      </w:r>
      <w:r>
        <w:t xml:space="preserve"> </w:t>
      </w:r>
      <w:r>
        <w:t>1,2</w:t>
      </w:r>
      <w:r>
        <w:t xml:space="preserve"> </w:t>
      </w:r>
      <w:r>
        <w:t>. However, existing collections represent only a fraction of the diversity observed in human cancer</w:t>
      </w:r>
      <w:r>
        <w:t xml:space="preserve"> </w:t>
      </w:r>
      <w:r>
        <w:t>2–4</w:t>
      </w:r>
      <w:r>
        <w:t xml:space="preserve"> </w:t>
      </w:r>
      <w:r>
        <w:t>. Recent technologies have enabled efficient in vitro model derivation (for example, tumour organoids)</w:t>
      </w:r>
      <w:r>
        <w:rPr>
          <w:vertAlign w:val="subscript"/>
        </w:rPr>
        <w:t>5</w:t>
      </w:r>
      <w:r>
        <w:t>. However, whether these maintain essential properties of patient tumours during long-term expansion has not been systematically investigated. Here we present results of a large-scale international programme—the Human Cancer Models Initiative—which involved the generation of a resource of 665 next-generation models from 2,780 donors with 25 cancer types and integrated tumour–model whole genome, exome, methylome and transcriptome analyses. The resource provides 522 models with comprehensive clinical data, 153 models of rare cancers and 71 models from participants with non-European ancestry. Analyses of 421 matched tumour–model pairs reveal high genetic (97.8%) and epigenetic (95%) concordance and define correlates of model discordance. Single-nucleus RNA sequencing of tumour–model pairs reveals subsets of models in which culture conditions significantly influence cell states. Finally, we characterize model preservation of extrachromosomal DNA and post-treatment mutational signatures to provide opportunities to study therapeutic resistance. This model repository is being made available to the community—including multimodal molecular profiling, clinical information and integrative software tools—thus providing a valuable resource for preclinical investigation of cancer pathogenesis and treatment response.</w:t>
      </w:r>
    </w:p>
    <w:p>
      <w:pPr>
        <w:spacing w:before="120" w:after="120"/>
      </w:pPr>
      <w:r>
        <w:rPr>
          <w:sz w:val="18"/>
        </w:rPr>
        <w:t>——————————————————————————————————————————————————————————————————————</w:t>
      </w:r>
    </w:p>
    <w:p>
      <w:pPr>
        <w:spacing w:before="160" w:after="40" w:line="240" w:lineRule="auto"/>
      </w:pPr>
      <w:r>
        <w:rPr>
          <w:b/>
        </w:rPr>
        <w:t xml:space="preserve">[433] </w:t>
      </w:r>
      <w:hyperlink r:id="rId1351">
        <w:r>
          <w:rPr>
            <w:color w:val="1155CC"/>
            <w:u w:val="single"/>
          </w:rPr>
          <w:t>刺激调节人脑中基因相关的细胞组装</w:t>
        </w:r>
      </w:hyperlink>
    </w:p>
    <w:p>
      <w:pPr>
        <w:spacing w:before="0" w:after="80"/>
      </w:pPr>
      <w:r>
        <w:rPr>
          <w:i/>
          <w:sz w:val="20"/>
        </w:rPr>
        <w:t>EN: Stimulation modulates gene-linked cell assemblies in the human brain</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52">
        <w:r>
          <w:rPr>
            <w:color w:val="1155CC"/>
            <w:u w:val="single"/>
          </w:rPr>
          <w:t>10.1038/s41586-026-10879-9</w:t>
        </w:r>
      </w:hyperlink>
    </w:p>
    <w:p>
      <w:pPr>
        <w:spacing w:before="0" w:after="120"/>
      </w:pPr>
      <w:r>
        <w:rPr>
          <w:b/>
        </w:rPr>
        <w:t xml:space="preserve">Notes: </w:t>
      </w:r>
      <w:r>
        <w:t>abstract_source=pubmed</w:t>
      </w:r>
    </w:p>
    <w:p>
      <w:pPr>
        <w:spacing w:before="0" w:after="80" w:lineRule="auto" w:line="276"/>
      </w:pPr>
      <w:r>
        <w:rPr>
          <w:b/>
        </w:rPr>
        <w:t xml:space="preserve">摘要（ZH）: </w:t>
      </w:r>
      <w:r>
        <w:t>通过刺激重塑皮质回路代表了一种恢复认知功能的新兴疗法1-5，但其作用背后的生物机制在人类中很大程度上仍未被探索。在这里，为了直接研究人脑刺激引起的神经调节机制，我们开发了一个离体平台，该平台将微电极阵列刺激与来自接受神经外科手术的患者切除的颞叶皮层的同步记录和单核基因组学相结合。我们发现刺激可以增强细胞组装，然后将这种效应与细胞类型特异性基因调控网络联系起来。我们通过识别体内刺激后人类皮质中常见的细胞类型特异性基因表达特征，进一步证明了这些发现的普遍性。总之，我们的结果为识别与生理学相关的可靶向遗传特征奠定了基础，这些特征可通过神经调节策略用于治疗益处。</w:t>
      </w:r>
    </w:p>
    <w:p>
      <w:pPr>
        <w:spacing w:before="0" w:after="200" w:lineRule="auto" w:line="276"/>
      </w:pPr>
      <w:r>
        <w:rPr>
          <w:b/>
        </w:rPr>
        <w:t xml:space="preserve">Abstract (EN): </w:t>
      </w:r>
      <w:r>
        <w:t>Reshaping cortical circuits through stimulation represents an emerging therapy for the restoration of cognitive function1-5, yet the biological mechanisms that underlie its effects remain largely unexplored in humans. Here, to directly investigate the mechanisms of neuromodulation elicited by human brain stimulation, we developed an ex vivo platform that integrates microelectrode array stimulation with simultaneous recording and single-nucleus genomics from resected temporal cortex obtained from patients undergoing neurosurgery. We found that stimulation strengthens cell assemblies and then linked this effect to cell-type-specific gene regulatory networks. We further demonstrated the generalizability of these findings by identifying common cell-type-specific gene expression signatures in the human cortex following in vivo stimulation. Together, our results establish a foundation for identifying targetable genetic signatures linked with physiology that may be harnessed for therapeutic benefit via neuromodulation strategies.</w:t>
      </w:r>
    </w:p>
    <w:p>
      <w:pPr>
        <w:spacing w:before="120" w:after="120"/>
      </w:pPr>
      <w:r>
        <w:rPr>
          <w:sz w:val="18"/>
        </w:rPr>
        <w:t>——————————————————————————————————————————————————————————————————————</w:t>
      </w:r>
    </w:p>
    <w:p>
      <w:pPr>
        <w:spacing w:before="160" w:after="40" w:line="240" w:lineRule="auto"/>
      </w:pPr>
      <w:r>
        <w:rPr>
          <w:b/>
        </w:rPr>
        <w:t xml:space="preserve">[434] </w:t>
      </w:r>
      <w:hyperlink r:id="rId1353">
        <w:r>
          <w:rPr>
            <w:color w:val="1155CC"/>
            <w:u w:val="single"/>
          </w:rPr>
          <w:t>新冠病毒可以唤醒体内大量休眠的病毒</w:t>
        </w:r>
      </w:hyperlink>
    </w:p>
    <w:p>
      <w:pPr>
        <w:spacing w:before="0" w:after="80"/>
      </w:pPr>
      <w:r>
        <w:rPr>
          <w:i/>
          <w:sz w:val="20"/>
        </w:rPr>
        <w:t>EN: COVID can wake up a slew of dormant viruses inside you</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54">
        <w:r>
          <w:rPr>
            <w:color w:val="1155CC"/>
            <w:u w:val="single"/>
          </w:rPr>
          <w:t>10.1038/d41586-026-02443-2</w:t>
        </w:r>
      </w:hyperlink>
    </w:p>
    <w:p>
      <w:pPr>
        <w:spacing w:before="0" w:after="120"/>
      </w:pPr>
      <w:r>
        <w:rPr>
          <w:b/>
        </w:rPr>
        <w:t xml:space="preserve">Notes: </w:t>
      </w:r>
      <w:r>
        <w:t>abstract_source=rss_nature</w:t>
      </w:r>
    </w:p>
    <w:p>
      <w:pPr>
        <w:spacing w:before="0" w:after="80" w:lineRule="auto" w:line="276"/>
      </w:pPr>
      <w:r>
        <w:rPr>
          <w:b/>
        </w:rPr>
        <w:t xml:space="preserve">摘要（ZH）: </w:t>
      </w:r>
      <w:r>
        <w:t>研究发现，特别是通常无害的指环病毒的重新激活似乎与长期感染新冠病毒有关。</w:t>
      </w:r>
    </w:p>
    <w:p>
      <w:pPr>
        <w:spacing w:before="0" w:after="200" w:lineRule="auto" w:line="276"/>
      </w:pPr>
      <w:r>
        <w:rPr>
          <w:b/>
        </w:rPr>
        <w:t xml:space="preserve">Abstract (EN): </w:t>
      </w:r>
      <w:r>
        <w:t>Reactivation of typically harmless anelloviruses, in particular, seems to be linked with developing long COVID, study finds.</w:t>
      </w:r>
    </w:p>
    <w:p>
      <w:pPr>
        <w:spacing w:before="120" w:after="120"/>
      </w:pPr>
      <w:r>
        <w:rPr>
          <w:sz w:val="18"/>
        </w:rPr>
        <w:t>——————————————————————————————————————————————————————————————————————</w:t>
      </w:r>
    </w:p>
    <w:p>
      <w:pPr>
        <w:spacing w:before="160" w:after="40" w:line="240" w:lineRule="auto"/>
      </w:pPr>
      <w:r>
        <w:rPr>
          <w:b/>
        </w:rPr>
        <w:t xml:space="preserve">[435] </w:t>
      </w:r>
      <w:hyperlink r:id="rId1355">
        <w:r>
          <w:rPr>
            <w:color w:val="1155CC"/>
            <w:u w:val="single"/>
          </w:rPr>
          <w:t>关闭 FNIP1 基因可预防代谢疾病</w:t>
        </w:r>
      </w:hyperlink>
    </w:p>
    <w:p>
      <w:pPr>
        <w:spacing w:before="0" w:after="80"/>
      </w:pPr>
      <w:r>
        <w:rPr>
          <w:i/>
          <w:sz w:val="20"/>
        </w:rPr>
        <w:t>EN: Switching off the FNIP1 gene protects against metabolic disease</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56">
        <w:r>
          <w:rPr>
            <w:color w:val="1155CC"/>
            <w:u w:val="single"/>
          </w:rPr>
          <w:t>10.1038/d41586-026-02391-x</w:t>
        </w:r>
      </w:hyperlink>
    </w:p>
    <w:p>
      <w:pPr>
        <w:spacing w:before="0" w:after="120"/>
      </w:pPr>
      <w:r>
        <w:rPr>
          <w:b/>
        </w:rPr>
        <w:t xml:space="preserve">Notes: </w:t>
      </w:r>
      <w:r>
        <w:t>abstract_source=openalex</w:t>
      </w:r>
    </w:p>
    <w:p>
      <w:pPr>
        <w:spacing w:before="0" w:after="80" w:lineRule="auto" w:line="276"/>
      </w:pPr>
      <w:r>
        <w:rPr>
          <w:b/>
        </w:rPr>
        <w:t xml:space="preserve">摘要（ZH）: </w:t>
      </w:r>
      <w:r>
        <w:t>一项针对超过 100 万人的研究表明，破坏 FNIP1 基因的罕见遗传变异与良好的代谢特征相关，并且与普通人群相比，患心脏代谢疾病的风险大约降低 60%。沉默小鼠 FNIP1 通路中的基因会诱导脂肪分解，并重现与人类变异相关的代谢益处。携带 FNIP1 基因极其罕见变异的人具有良好的代谢特征。</w:t>
      </w:r>
    </w:p>
    <w:p>
      <w:pPr>
        <w:spacing w:before="0" w:after="200" w:lineRule="auto" w:line="276"/>
      </w:pPr>
      <w:r>
        <w:rPr>
          <w:b/>
        </w:rPr>
        <w:t xml:space="preserve">Abstract (EN): </w:t>
      </w:r>
      <w:r>
        <w:t>A study of more than one million people shows that rare genetic variants that disrupt the FNIP1 gene are associated with a favourable metabolic profile and a roughly 60% lower risk of cardiometabolic disease than the general population. Silencing genes in the FNIP1 pathway in mice induces fat breakdown and reproduces the metabolic benefits associated with the variants in humans. People with ultra-rare variants of the FNIP1 gene have a favourable metabolic profile.</w:t>
      </w:r>
    </w:p>
    <w:p>
      <w:pPr>
        <w:spacing w:before="120" w:after="120"/>
      </w:pPr>
      <w:r>
        <w:rPr>
          <w:sz w:val="18"/>
        </w:rPr>
        <w:t>——————————————————————————————————————————————————————————————————————</w:t>
      </w:r>
    </w:p>
    <w:p>
      <w:pPr>
        <w:spacing w:before="160" w:after="40" w:line="240" w:lineRule="auto"/>
      </w:pPr>
      <w:r>
        <w:rPr>
          <w:b/>
        </w:rPr>
        <w:t xml:space="preserve">[436] </w:t>
      </w:r>
      <w:hyperlink r:id="rId1357">
        <w:r>
          <w:rPr>
            <w:color w:val="1155CC"/>
            <w:u w:val="single"/>
          </w:rPr>
          <w:t>尼安德特人基因使一些现代人更高、肌肉更发达</w:t>
        </w:r>
      </w:hyperlink>
    </w:p>
    <w:p>
      <w:pPr>
        <w:spacing w:before="0" w:after="80"/>
      </w:pPr>
      <w:r>
        <w:rPr>
          <w:i/>
          <w:sz w:val="20"/>
        </w:rPr>
        <w:t>EN: Neanderthal gene makes some modern humans taller and more muscular</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58">
        <w:r>
          <w:rPr>
            <w:color w:val="1155CC"/>
            <w:u w:val="single"/>
          </w:rPr>
          <w:t>10.1038/d41586-026-02439-y</w:t>
        </w:r>
      </w:hyperlink>
    </w:p>
    <w:p>
      <w:pPr>
        <w:spacing w:before="0" w:after="120"/>
      </w:pPr>
      <w:r>
        <w:rPr>
          <w:b/>
        </w:rPr>
        <w:t xml:space="preserve">Notes: </w:t>
      </w:r>
      <w:r>
        <w:t>abstract_source=rss_nature</w:t>
      </w:r>
    </w:p>
    <w:p>
      <w:pPr>
        <w:spacing w:before="0" w:after="80" w:lineRule="auto" w:line="276"/>
      </w:pPr>
      <w:r>
        <w:rPr>
          <w:b/>
        </w:rPr>
        <w:t xml:space="preserve">摘要（ZH）: </w:t>
      </w:r>
      <w:r>
        <w:t>这种古老的遗传变异在南亚和东亚血统的人中最常见。</w:t>
      </w:r>
    </w:p>
    <w:p>
      <w:pPr>
        <w:spacing w:before="0" w:after="200" w:lineRule="auto" w:line="276"/>
      </w:pPr>
      <w:r>
        <w:rPr>
          <w:b/>
        </w:rPr>
        <w:t xml:space="preserve">Abstract (EN): </w:t>
      </w:r>
      <w:r>
        <w:t>The ancient genetic variant is most common in people of South and East Asian ancestry.</w:t>
      </w:r>
    </w:p>
    <w:p>
      <w:pPr>
        <w:spacing w:before="120" w:after="120"/>
      </w:pPr>
      <w:r>
        <w:rPr>
          <w:sz w:val="18"/>
        </w:rPr>
        <w:t>——————————————————————————————————————————————————————————————————————</w:t>
      </w:r>
    </w:p>
    <w:p>
      <w:pPr>
        <w:spacing w:before="160" w:after="40" w:line="240" w:lineRule="auto"/>
      </w:pPr>
      <w:r>
        <w:rPr>
          <w:b/>
        </w:rPr>
        <w:t xml:space="preserve">[437] </w:t>
      </w:r>
      <w:hyperlink r:id="rId1359">
        <w:r>
          <w:rPr>
            <w:color w:val="1155CC"/>
            <w:u w:val="single"/>
          </w:rPr>
          <w:t>为什么科学必须加强其社会契约</w:t>
        </w:r>
      </w:hyperlink>
    </w:p>
    <w:p>
      <w:pPr>
        <w:spacing w:before="0" w:after="80"/>
      </w:pPr>
      <w:r>
        <w:rPr>
          <w:i/>
          <w:sz w:val="20"/>
        </w:rPr>
        <w:t>EN: Why science must reinforce its social contract</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60">
        <w:r>
          <w:rPr>
            <w:color w:val="1155CC"/>
            <w:u w:val="single"/>
          </w:rPr>
          <w:t>10.1038/d41586-026-02444-1</w:t>
        </w:r>
      </w:hyperlink>
    </w:p>
    <w:p>
      <w:pPr>
        <w:spacing w:before="0" w:after="120"/>
      </w:pPr>
      <w:r>
        <w:rPr>
          <w:b/>
        </w:rPr>
        <w:t xml:space="preserve">Notes: </w:t>
      </w:r>
      <w:r>
        <w:t>abstract_source=rss_nature</w:t>
      </w:r>
    </w:p>
    <w:p>
      <w:pPr>
        <w:spacing w:before="0" w:after="80" w:lineRule="auto" w:line="276"/>
      </w:pPr>
      <w:r>
        <w:rPr>
          <w:b/>
        </w:rPr>
        <w:t xml:space="preserve">摘要（ZH）: </w:t>
      </w:r>
      <w:r>
        <w:t>公众信任问题只能通过符合社会利益的更好的沟通和研究来解决。</w:t>
      </w:r>
    </w:p>
    <w:p>
      <w:pPr>
        <w:spacing w:before="0" w:after="200" w:lineRule="auto" w:line="276"/>
      </w:pPr>
      <w:r>
        <w:rPr>
          <w:b/>
        </w:rPr>
        <w:t xml:space="preserve">Abstract (EN): </w:t>
      </w:r>
      <w:r>
        <w:t>Questions of public trust can be addressed only through better communication and research that meets society’s interests.</w:t>
      </w:r>
    </w:p>
    <w:p>
      <w:pPr>
        <w:spacing w:before="120" w:after="120"/>
      </w:pPr>
      <w:r>
        <w:rPr>
          <w:sz w:val="18"/>
        </w:rPr>
        <w:t>——————————————————————————————————————————————————————————————————————</w:t>
      </w:r>
    </w:p>
    <w:p>
      <w:pPr>
        <w:spacing w:before="160" w:after="40" w:line="240" w:lineRule="auto"/>
      </w:pPr>
      <w:r>
        <w:rPr>
          <w:b/>
        </w:rPr>
        <w:t xml:space="preserve">[438] </w:t>
      </w:r>
      <w:hyperlink r:id="rId1361">
        <w:r>
          <w:rPr>
            <w:color w:val="1155CC"/>
            <w:u w:val="single"/>
          </w:rPr>
          <w:t>人类转录因子 DNA 结合特异性的扩展密码本</w:t>
        </w:r>
      </w:hyperlink>
    </w:p>
    <w:p>
      <w:pPr>
        <w:spacing w:before="0" w:after="80"/>
      </w:pPr>
      <w:r>
        <w:rPr>
          <w:i/>
          <w:sz w:val="20"/>
        </w:rPr>
        <w:t>EN: An expanded codebook of human transcription factor DNA-binding specificity</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62">
        <w:r>
          <w:rPr>
            <w:color w:val="1155CC"/>
            <w:u w:val="single"/>
          </w:rPr>
          <w:t>10.1038/s41586-026-10798-9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基因表达受到转录因子 (TF) 的调节，转录因子可识别特定的 DNA 序列基序。主要通过明显的 DNA 结合结构域识别的数百个假定的人类 TF 缺乏已知的结合基序</w:t>
      </w:r>
      <w:r>
        <w:rPr>
          <w:vertAlign w:val="subscript"/>
        </w:rPr>
        <w:t>1</w:t>
      </w:r>
      <w:r>
        <w:t>。此外，即使对于特征明确的转录因子，基序准确反映活细胞中结合位点的程度仍然存在争议</w:t>
      </w:r>
      <w:r>
        <w:rPr>
          <w:vertAlign w:val="subscript"/>
        </w:rPr>
        <w:t>2</w:t>
      </w:r>
      <w:r>
        <w:t>。在这里，我们描述了一项系统性的工作（“密码本”），以确定 332 个假定的和特征较差的人类 TF 的序列特异性。超过 4,000 项独立实验（涵盖多项体外和体内测定）产生了超过一半（177；53%）的 TF 的基序，其中大多数仅与单一蛋白质相关。这些结果将人类 TF 编码的序列识别词汇扩展为约 130 个不同的基序。此外，体外鉴定的结合基序在细胞结合位点中高度富集。总的来说，这些数据揭示了人类基因组中数以万计的先前未知的、保守的和直接的 TF 结合位点。这些位点集中在启动子区域，可预测基因表达。总之，这个新的密码本为解码人类基因组迈出了重要的一步。</w:t>
      </w:r>
    </w:p>
    <w:p>
      <w:pPr>
        <w:spacing w:before="0" w:after="200" w:lineRule="auto" w:line="276"/>
      </w:pPr>
      <w:r>
        <w:rPr>
          <w:b/>
        </w:rPr>
        <w:t xml:space="preserve">Abstract (EN): </w:t>
      </w:r>
      <w:r>
        <w:t>Gene expression is regulated by transcription factors (TFs), which recognize specific DNA sequence motifs. Several hundred putative human TFs, identified mainly by an apparent DNA-binding domain, lack known binding motifs</w:t>
      </w:r>
      <w:r>
        <w:rPr>
          <w:vertAlign w:val="subscript"/>
        </w:rPr>
        <w:t>1</w:t>
      </w:r>
      <w:r>
        <w:t>. Furthermore, even for well-characterized TFs, it remains controversial the degree to which motifs accurately reflect binding sites in living cells</w:t>
      </w:r>
      <w:r>
        <w:rPr>
          <w:vertAlign w:val="subscript"/>
        </w:rPr>
        <w:t>2</w:t>
      </w:r>
      <w:r>
        <w:t>. Here we describe a systematic effort (‘Codebook’) to determine the sequence specificity of 332 putative and poorly characterized human TFs. More than 4,000 independent experiments, encompassing multiple in vitro and in vivo assays, produced motifs for just over half (177; 53%) of the TFs, of which most are associated with only a single protein. These results extend the vocabulary of sequence recognition encoded by human TFs by around 130 distinct motifs. Moreover, binding motifs identified in vitro are strongly enriched in cellular binding sites. Collectively, the data reveal tens of thousands of previously unknown, conserved and direct TF-binding sites across the human genome. These sites are concentrated in promoter regions and are predictive of gene expression. In summary, this new codebook provides an important step forward in decoding the human genome.</w:t>
      </w:r>
    </w:p>
    <w:p>
      <w:pPr>
        <w:spacing w:before="120" w:after="120"/>
      </w:pPr>
      <w:r>
        <w:rPr>
          <w:sz w:val="18"/>
        </w:rPr>
        <w:t>——————————————————————————————————————————————————————————————————————</w:t>
      </w:r>
    </w:p>
    <w:p>
      <w:pPr>
        <w:spacing w:before="160" w:after="40" w:line="240" w:lineRule="auto"/>
      </w:pPr>
      <w:r>
        <w:rPr>
          <w:b/>
        </w:rPr>
        <w:t xml:space="preserve">[439] </w:t>
      </w:r>
      <w:hyperlink r:id="rId1363">
        <w:r>
          <w:rPr>
            <w:color w:val="1155CC"/>
            <w:u w:val="single"/>
          </w:rPr>
          <w:t>普遍存在的开尔文-亥姆霍兹不稳定性驱动太阳上的等离子体混合</w:t>
        </w:r>
      </w:hyperlink>
    </w:p>
    <w:p>
      <w:pPr>
        <w:spacing w:before="0" w:after="80"/>
      </w:pPr>
      <w:r>
        <w:rPr>
          <w:i/>
          <w:sz w:val="20"/>
        </w:rPr>
        <w:t>EN: Ubiquitous Kelvin–Helmholtz instabilities driving plasma mixing on the Sun</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64">
        <w:r>
          <w:rPr>
            <w:color w:val="1155CC"/>
            <w:u w:val="single"/>
          </w:rPr>
          <w:t>10.1038/s41586-026-10871-3</w:t>
        </w:r>
      </w:hyperlink>
    </w:p>
    <w:p>
      <w:pPr>
        <w:spacing w:before="0" w:after="120"/>
      </w:pPr>
      <w:r>
        <w:rPr>
          <w:b/>
        </w:rPr>
        <w:t xml:space="preserve">Notes: </w:t>
      </w:r>
      <w:r>
        <w:t>abstract_source=pubmed</w:t>
      </w:r>
    </w:p>
    <w:p>
      <w:pPr>
        <w:spacing w:before="0" w:after="80" w:lineRule="auto" w:line="276"/>
      </w:pPr>
      <w:r>
        <w:rPr>
          <w:b/>
        </w:rPr>
        <w:t xml:space="preserve">摘要（ZH）: </w:t>
      </w:r>
      <w:r>
        <w:t>太阳光球层中磁场和湍流对流之间的相互作用驱动着其磁化大气的动力学、演化和结构。这种相互作用通常发生在等于或低于现代观测的空间分辨率。在此，我们报告了使用世界上第一台 4 米级太阳望远镜（美国国家科学基金会的 Daniel K. Inouye 太阳望远镜）对太阳光球层进行的高分辨率观测。时间序列图像揭示了比之前观察到的更加复杂和动态的太阳场景。我们确定了磁通量集中边缘普遍存在的磁化开尔文-亥姆霍兹不稳定性，并为长期存在的理论预测提供了实验证实1,2。太阳光球层中小尺度磁化开尔文-亥姆霍兹不稳定性的发现，可以通过高分辨率数值模拟来重现，对于我们理解表现出涡旋运动的磁场的产生和消散具有深远的影响，涡旋运动可以导致磁通编织。我们的结果支持了可见太阳表面以下层中不相交的磁场集中的图片，这些磁场集中连接到太阳光球层中可见的光斑集中和孔隙的整体通量区域。开尔文-亥姆霍兹不稳定性是磁流体动力系统中传输质量、能量、动量和磁通量的一种有效机制，它们为磁活跃区域（例如此处观察到的区域）的过程提供了变革性的见解。</w:t>
      </w:r>
    </w:p>
    <w:p>
      <w:pPr>
        <w:spacing w:before="0" w:after="200" w:lineRule="auto" w:line="276"/>
      </w:pPr>
      <w:r>
        <w:rPr>
          <w:b/>
        </w:rPr>
        <w:t xml:space="preserve">Abstract (EN): </w:t>
      </w:r>
      <w:r>
        <w:t>The interaction between the magnetic field and turbulent convection in the Sun's photosphere drives the dynamics, evolution and structuring of its magnetized atmosphere. This interaction often takes place at or below the spatial resolution of modern-day observations. Here we report on high-spatial-resolution observations of the solar photosphere acquired using the world's first 4-m class solar telescope, the US National Science Foundation's Daniel K. Inouye Solar Telescope. Time sequence images reveal a far more complex and dynamic solar scene than previously observed. We identify ubiquitous magnetized Kelvin-Helmholtz instabilities at the edges of magnetic flux concentrations and provide experimental confirmation of a long-standing theoretical prediction1,2. The discovery of small-scale magnetized Kelvin-Helmholtz instabilities in the solar photosphere, which can be reproduced by high-resolution numerical simulations, has far-reaching implications for our understanding of the creation and dissipation of magnetic fields exhibiting vortex motion, which can lead to flux braiding. Our results support the picture of disjoint magnetic field concentrations in layers below the visible solar surface that connect to monolithic flux regions visible as facular concentrations and pores in the solar photosphere. Kelvin-Helmholtz instabilities are an efficient mechanism for transporting mass, energy, momentum and magnetic flux in magnetohydrodynamic systems, and they offer transformative insights into processes in magnetically active regions such as the one observed here.</w:t>
      </w:r>
    </w:p>
    <w:p>
      <w:pPr>
        <w:spacing w:before="120" w:after="120"/>
      </w:pPr>
      <w:r>
        <w:rPr>
          <w:sz w:val="18"/>
        </w:rPr>
        <w:t>——————————————————————————————————————————————————————————————————————</w:t>
      </w:r>
    </w:p>
    <w:p>
      <w:pPr>
        <w:spacing w:before="160" w:after="40" w:line="240" w:lineRule="auto"/>
      </w:pPr>
      <w:r>
        <w:rPr>
          <w:b/>
        </w:rPr>
        <w:t xml:space="preserve">[440] </w:t>
      </w:r>
      <w:hyperlink r:id="rId1365">
        <w:r>
          <w:rPr>
            <w:color w:val="1155CC"/>
            <w:u w:val="single"/>
          </w:rPr>
          <w:t>肿瘤来源的类器官生物库绘制了癌症基因依赖性图谱</w:t>
        </w:r>
      </w:hyperlink>
    </w:p>
    <w:p>
      <w:pPr>
        <w:spacing w:before="0" w:after="80"/>
      </w:pPr>
      <w:r>
        <w:rPr>
          <w:i/>
          <w:sz w:val="20"/>
        </w:rPr>
        <w:t>EN: A tumour-derived organoid biobank maps cancer gene dependencies</w:t>
      </w:r>
    </w:p>
    <w:p>
      <w:pPr>
        <w:spacing w:before="0" w:after="120"/>
      </w:pPr>
      <w:r>
        <w:rPr>
          <w:b/>
        </w:rPr>
        <w:t xml:space="preserve">Source: </w:t>
      </w:r>
      <w:r>
        <w:t>Nature</w:t>
      </w:r>
      <w:r>
        <w:t xml:space="preserve">    </w:t>
      </w:r>
      <w:r>
        <w:rPr>
          <w:b/>
        </w:rPr>
        <w:t xml:space="preserve">Pub date: </w:t>
      </w:r>
      <w:r>
        <w:t>2026-08-05 00:00:00+00:00</w:t>
      </w:r>
      <w:r>
        <w:t xml:space="preserve">    </w:t>
      </w:r>
      <w:r>
        <w:rPr>
          <w:b/>
        </w:rPr>
        <w:t xml:space="preserve">DOI: </w:t>
      </w:r>
      <w:hyperlink r:id="rId1366">
        <w:r>
          <w:rPr>
            <w:color w:val="1155CC"/>
            <w:u w:val="single"/>
          </w:rPr>
          <w:t>10.1038/s41586-026-10830-y</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癌细胞系仍然是研究和药物发现的基础，但它们不完全捕获肿瘤多样性，缺乏关联的患者背景，并且已经适应了培养。肿瘤类器官是源自患者组织的三维培养物，可为细胞系提供强大的补充</w:t>
      </w:r>
      <w:r>
        <w:rPr>
          <w:vertAlign w:val="subscript"/>
        </w:rPr>
        <w:t>1</w:t>
      </w:r>
      <w:r>
        <w:t>。在这里，我们直接从结直肠癌、食道癌、卵巢癌、胰腺癌和胃癌中衍生并表征了 256 个临床注释的肿瘤类器官，作为可再生的、遗传稳定的模型。每个模型和匹配的患者肿瘤样本的广泛表征包括全基因组和转录组测序，以及跨 162 个类器官映射基因依赖性的全基因组 CRISPR-Cas9 筛选。综合分析揭示了常见和罕见亚型之间依赖性的基因组和临床标记，识别了类器官特异性必需基因，并揭示了治疗前和治疗后配对样本中肿瘤进化后的可靶向脆弱性。在结直肠癌中，对 EGFR-RAS-MAPK 轴的功能和药理学研究揭示了</w:t>
      </w:r>
      <w:r>
        <w:t xml:space="preserve"> </w:t>
      </w:r>
      <w:r>
        <w:t>克拉斯</w:t>
      </w:r>
      <w:r>
        <w:t xml:space="preserve"> </w:t>
      </w:r>
      <w:r>
        <w:t>变异等位基因。这种开放、公开的资源提供了患者来源的类器官中基因依赖性的系统图谱，扩展了推进精准肿瘤学所需的模型多样性和机制洞察。</w:t>
      </w:r>
    </w:p>
    <w:p>
      <w:pPr>
        <w:spacing w:before="0" w:after="200" w:lineRule="auto" w:line="276"/>
      </w:pPr>
      <w:r>
        <w:rPr>
          <w:b/>
        </w:rPr>
        <w:t xml:space="preserve">Abstract (EN): </w:t>
      </w:r>
      <w:r>
        <w:t>Cancer cell lines remain foundational for research and drug discovery, yet they incompletely capture tumour diversity, lack linked patient context, and have undergone adaptation to culture. Tumour organoids are three-dimensional cultures derived from patient tissue that offer a powerful complement to cell lines</w:t>
      </w:r>
      <w:r>
        <w:rPr>
          <w:vertAlign w:val="subscript"/>
        </w:rPr>
        <w:t>1</w:t>
      </w:r>
      <w:r>
        <w:t>. Here we derived and characterized 256 clinically annotated tumour organoids directly from colorectal, oesophageal, ovarian, pancreatic and gastric cancers as renewable, genetically stable models. Extensive characterization of each model and matched patient tumour samples included whole-genome and transcriptome sequencing, and genome-wide CRISPR–Cas9 screens across 162 organoids mapped gene dependencies. Integrative analyses revealed genomic and clinical markers of dependency across common and rare subtypes, identified organoid-specific essential genes, and revealed targetable vulnerabilities following tumour evolution in paired pre- and post-treatment samples. In colorectal cancer, functional and pharmacological interrogation of the EGFR–RAS–MAPK axis uncovered differential effects of</w:t>
      </w:r>
      <w:r>
        <w:t xml:space="preserve"> </w:t>
      </w:r>
      <w:r>
        <w:t>KRAS</w:t>
      </w:r>
      <w:r>
        <w:t xml:space="preserve"> </w:t>
      </w:r>
      <w:r>
        <w:t>variant alleles. This open, publicly available resource provides a systematic map of gene dependencies in patient-derived organoids, expanding the model diversity and mechanistic insight needed to advance precision oncology.</w:t>
      </w:r>
    </w:p>
    <w:p>
      <w:pPr>
        <w:spacing w:before="120" w:after="120"/>
      </w:pPr>
      <w:r>
        <w:rPr>
          <w:sz w:val="18"/>
        </w:rPr>
        <w:t>——————————————————————————————————————————————————————————————————————</w:t>
      </w:r>
    </w:p>
    <w:p>
      <w:pPr>
        <w:spacing w:before="160" w:after="40" w:line="240" w:lineRule="auto"/>
      </w:pPr>
      <w:r>
        <w:rPr>
          <w:b/>
        </w:rPr>
        <w:t xml:space="preserve">[441] </w:t>
      </w:r>
      <w:hyperlink r:id="rId1367">
        <w:r>
          <w:rPr>
            <w:color w:val="1155CC"/>
            <w:u w:val="single"/>
          </w:rPr>
          <w:t>利用反应驱动的沸石负载金催化剂的结构演化进行选择性氧化反应</w:t>
        </w:r>
      </w:hyperlink>
    </w:p>
    <w:p>
      <w:pPr>
        <w:spacing w:before="0" w:after="80"/>
      </w:pPr>
      <w:r>
        <w:rPr>
          <w:i/>
          <w:sz w:val="20"/>
        </w:rPr>
        <w:t>EN: Harnessing Reaction-Driven Structural Evolution of Zeolite-Supported Gold Catalyst for Selective Oxidation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2026-08-05 00:00:00+00:00</w:t>
      </w:r>
      <w:r>
        <w:t xml:space="preserve">    </w:t>
      </w:r>
      <w:r>
        <w:rPr>
          <w:b/>
        </w:rPr>
        <w:t xml:space="preserve">DOI: </w:t>
      </w:r>
      <w:hyperlink r:id="rId1368">
        <w:r>
          <w:rPr>
            <w:color w:val="1155CC"/>
            <w:u w:val="single"/>
          </w:rPr>
          <w:t>10.1021/jacs.6c08430</w:t>
        </w:r>
      </w:hyperlink>
    </w:p>
    <w:p>
      <w:pPr>
        <w:spacing w:before="0" w:after="120"/>
      </w:pPr>
      <w:r>
        <w:rPr>
          <w:b/>
        </w:rPr>
        <w:t xml:space="preserve">Notes: </w:t>
      </w:r>
      <w:r>
        <w:t>abstract_source=crossref</w:t>
      </w:r>
    </w:p>
    <w:p>
      <w:pPr>
        <w:spacing w:before="0" w:after="80" w:lineRule="auto" w:line="276"/>
      </w:pPr>
      <w:r>
        <w:rPr>
          <w:b/>
        </w:rPr>
        <w:t xml:space="preserve">摘要（ZH）: </w:t>
      </w:r>
      <w:r>
        <w:t>摘要 沸石负载的金催化剂在一系列工业相关反应中表现出卓越的性能。虽然之前的研究主要集中在通过静态合成参数优化催化剂结构，但反应条件下金物质的动态结构转变及其随后的催化影响在很大程度上仍未得到探索。在此，我们利用先进的电子显微镜和光谱学来跟踪分级 TS-1 沸石上负载的金纳米团簇在丙烯与 H2 和 O2 直接环氧化过程中反应驱动的结构演化。全面的催化和表征分析表明，这些结构转变是由 Au 纳米团簇、Na 促进剂和原位形成的含氧产物之间复杂的相互作用主动驱动的。值得注意的是，使用这种直接环氧化反应进料作为有针对性的预处理可将 Au 沸石催化剂在广泛的氧化反应中的催化性能提高 2 至 4 倍，包括 CO 氧化、乙醇选择性氧化为乙醛、甲烷选择性氧化为乙酸以及硅烷氧化为硅烷醇。这些发现表明，暴露于反应性气氛可以作为一种强大的、通用的策略来有意调节沸石负载金属催化剂的结构特征并增强其催化性能。</w:t>
      </w:r>
    </w:p>
    <w:p>
      <w:pPr>
        <w:spacing w:before="0" w:after="200" w:lineRule="auto" w:line="276"/>
      </w:pPr>
      <w:r>
        <w:rPr>
          <w:b/>
        </w:rPr>
        <w:t xml:space="preserve">Abstract (EN): </w:t>
      </w:r>
      <w:r>
        <w:t>Zeolite-supported gold catalysts exhibit exceptional performance across a range of industrially relevant reactions. While previous research has predominantly focused on optimizing catalyst structures through static synthesis parameters, the dynamic structural transformations of Au species under reaction conditions and their subsequent catalytic implications remain largely unexplored. Herein, we utilize advanced electron microscopy and spectroscopy to track the reaction-driven structural evolution of Au nanoclusters supported on hierarchical TS-1 zeolite during the direct epoxidation of propylene with H2 and O2. Comprehensive catalytic and characterization analyses reveal that these structural transformations are actively driven by complex interactions among the Au nanoclusters, the Na promoter, and the in situ-formed oxygenate products. Remarkably, using this direct epoxidation reaction feed as a targeted pretreatment enhances the catalytic performance of the Au-zeolite catalysts by 2- to 4-fold across a broad range of oxidation reactions, including CO oxidation, the selective oxidation of ethanol to acetaldehyde, the selective oxidation of methane to acetic acid, and the oxidation of silane to silanol. These findings establish that exposure to a reactive atmosphere can serve as a powerful, generalized strategy to intentionally modulate the structural features and amplify the catalytic properties of zeolite-supported metal catalysts.</w:t>
      </w:r>
    </w:p>
    <w:p>
      <w:pPr>
        <w:spacing w:before="120" w:after="120"/>
      </w:pPr>
      <w:r>
        <w:rPr>
          <w:sz w:val="18"/>
        </w:rPr>
        <w:t>——————————————————————————————————————————————————————————————————————</w:t>
      </w:r>
    </w:p>
    <w:p>
      <w:pPr>
        <w:spacing w:before="160" w:after="40" w:line="240" w:lineRule="auto"/>
      </w:pPr>
      <w:r>
        <w:rPr>
          <w:b/>
        </w:rPr>
        <w:t xml:space="preserve">[442] </w:t>
      </w:r>
      <w:hyperlink r:id="rId1369">
        <w:r>
          <w:rPr>
            <w:color w:val="1155CC"/>
            <w:u w:val="single"/>
          </w:rPr>
          <w:t>气道施用富含线粒体的人工纳米囊泡，以实现有效和选择性的线粒体转移，从而干预肺纤维化</w:t>
        </w:r>
      </w:hyperlink>
    </w:p>
    <w:p>
      <w:pPr>
        <w:spacing w:before="0" w:after="80"/>
      </w:pPr>
      <w:r>
        <w:rPr>
          <w:i/>
          <w:sz w:val="20"/>
        </w:rPr>
        <w:t>EN: Airway administered artificial mitochondria-enriched nanovesicles for efficient and selective mitochondria transfer to intervene in pulmonary fibrosis</w:t>
      </w:r>
    </w:p>
    <w:p>
      <w:pPr>
        <w:spacing w:before="0" w:after="120"/>
      </w:pPr>
      <w:r>
        <w:rPr>
          <w:b/>
        </w:rPr>
        <w:t xml:space="preserve">Source: </w:t>
      </w:r>
      <w:r>
        <w:t>Biological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线粒体移植是一种有前途的治疗方法，涉及将外源线粒体转移到患病细胞中以恢复受损的线粒体稳态。然而，由于缺乏精确有效的线粒体转移的有效方法，其临床转化受到严重限制。受天然含有线粒体的囊泡的启发，我们开发了间充质干细胞衍生的仿生纳米囊泡，具有高线粒体负载能力和增强的细胞外线粒体稳定性。这些纳米囊泡表现出高效、选择性地将线粒体货物递送至受损细胞的能力，这可能归因于纳米囊泡表面上的晚期抗原5与受损细胞上病理上调的纤连蛋白之间的特异性相互作用。在小鼠肺纤维化模型中，这些纳米囊泡通过气道给药成功地将健康的线粒体传递到受损的肺上皮细胞，从而显着减少纤维化进展。这项研究介绍了一种富含线粒体的仿生纳米囊泡的设计，用于有效和有针对性的线粒体转移，提供了一种基于纳米技术的策略来推进线粒体移植治疗。</w:t>
      </w:r>
    </w:p>
    <w:p>
      <w:pPr>
        <w:spacing w:before="0" w:after="200" w:lineRule="auto" w:line="276"/>
      </w:pPr>
      <w:r>
        <w:rPr>
          <w:b/>
        </w:rPr>
        <w:t xml:space="preserve">Abstract (EN): </w:t>
      </w:r>
      <w:r>
        <w:t>Mitochondrial transplantation is a promising therapeutic approach involving the transfer of exogenous mitochondria into diseased cells to restore impaired mitochondrial homeostasis. However, its clinical translation is severely limited by the lack of efficient methods for precise and potent mitochondria transfer. Inspired by natural mitochondria-containing vesicles, we develop mesenchymal stem cell-derived biomimetic nanovesicles with high mitochondrial loading capacity and augmented extracellular mitochondrial stability. These nanovesicles exhibit an ability to efficiently and selectively deliver mitochondrial cargo to injured cells, which is potentially ascribed to the specific interaction between very late antigen-5 on the nanovesicle surface and pathologically upregulated fibronectin on injured cells. In a mouse pulmonary fibrosis model, these nanovesicles successfully deliver healthy mitochondria to injured lung epithelial cells through airway administration, resulting in a significant reduction in fibrotic progression. This study introduces a design of mitochondria-enriched biomimetic nanovesicles for effective and targeted mitochondria transfer, offering a nanotechnology-based strategy to advance mitochondrial transplantation therapy.</w:t>
      </w:r>
    </w:p>
    <w:p>
      <w:pPr>
        <w:spacing w:before="120" w:after="120"/>
      </w:pPr>
      <w:r>
        <w:rPr>
          <w:sz w:val="18"/>
        </w:rPr>
        <w:t>——————————————————————————————————————————————————————————————————————</w:t>
      </w:r>
    </w:p>
    <w:p>
      <w:pPr>
        <w:spacing w:before="160" w:after="40" w:line="240" w:lineRule="auto"/>
      </w:pPr>
      <w:r>
        <w:rPr>
          <w:b/>
        </w:rPr>
        <w:t xml:space="preserve">[443] </w:t>
      </w:r>
      <w:hyperlink r:id="rId1370">
        <w:r>
          <w:rPr>
            <w:color w:val="1155CC"/>
            <w:u w:val="single"/>
          </w:rPr>
          <w:t>潜在 TGFβ 结合蛋白对 TGFβ 潜伏和激活的贡献的结构基础</w:t>
        </w:r>
      </w:hyperlink>
    </w:p>
    <w:p>
      <w:pPr>
        <w:spacing w:before="0" w:after="80"/>
      </w:pPr>
      <w:r>
        <w:rPr>
          <w:i/>
          <w:sz w:val="20"/>
        </w:rPr>
        <w:t>EN: Structural basis for the contribution of latent TGFβ binding protein to TGFβ latency and activation</w:t>
      </w:r>
    </w:p>
    <w:p>
      <w:pPr>
        <w:spacing w:before="0" w:after="120"/>
      </w:pPr>
      <w:r>
        <w:rPr>
          <w:b/>
        </w:rPr>
        <w:t xml:space="preserve">Source: </w:t>
      </w:r>
      <w:r>
        <w:t>Biological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转化生长因子-β (TGFβ) 是一种有效的细胞因子，可以控制细胞行为的各个方面。 TGFβ 以其前结构域和潜在 TGFβ 结合蛋白 1 (LTBP1) 的复合体形式分泌，形成大潜在复合体 (LLC)，该复合体通过与细胞外基质相互作用实现整合素介导的激活。尽管 TGFβ 结构已知，但 LTBP1 对 TGFβ 结构和活性的影响尚不清楚。在这里，我们报道了包含与 TGFβ 共价结合的 LTBP1 八个半胱氨酸结构域的 LLC 冷冻电镜结构，揭示了 TGFβ 和 LTBP1 之间的疏水界面。结构引导诱变表明该界面对于复合物形成和 TGFβ 活性很重要。我们的结构支持 LLC 中的对侧结构域交换结构，模拟表明这种结构需要增加的力来克服整合素介导的激活障碍，而 TGFβ 与 LTBP1 的共价连接重新分配力以减少展开障碍。这些见解对于针对 TGFβ 的治疗策略非常重要。</w:t>
      </w:r>
    </w:p>
    <w:p>
      <w:pPr>
        <w:spacing w:before="0" w:after="200" w:lineRule="auto" w:line="276"/>
      </w:pPr>
      <w:r>
        <w:rPr>
          <w:b/>
        </w:rPr>
        <w:t xml:space="preserve">Abstract (EN): </w:t>
      </w:r>
      <w:r>
        <w:t>Transforming growth factor-β (TGFβ) is a potent cytokine that controls all aspects of cellular behavior. TGFβ is secreted in complex with its prodomain and latent TGFβ-binding protein-1 (LTBP1), forming the large latent complex (LLC), which through interaction with the extracellular matrix enables integrin-mediated activation. Although TGFβ structures are known, the influence of LTBP1 on the structure and activity of TGFβ is unknown. Here, we report the LLC cryo-EM structure comprising the LTBP1 eight-cysteine domain covalently bound to TGFβ, revealing a hydrophobic interface between TGFβ and LTBP1. Structure-guided mutagenesis shows that the interface is important for complex formation and TGFβ activity. Our structure supports a contralateral domain swapped architecture in the LLC, and simulations show that this architecture requires increased force to overcome barriers for integrin-mediated activation, while the covalent attachment of TGFβ to LTBP1 redistributes force to reduce unfolding barriers. These insights will be important for therapeutic strategies targeting TGFβ.</w:t>
      </w:r>
    </w:p>
    <w:p>
      <w:pPr>
        <w:spacing w:before="120" w:after="120"/>
      </w:pPr>
      <w:r>
        <w:rPr>
          <w:sz w:val="18"/>
        </w:rPr>
        <w:t>——————————————————————————————————————————————————————————————————————</w:t>
      </w:r>
    </w:p>
    <w:p>
      <w:pPr>
        <w:spacing w:before="160" w:after="40" w:line="240" w:lineRule="auto"/>
      </w:pPr>
      <w:r>
        <w:rPr>
          <w:b/>
        </w:rPr>
        <w:t xml:space="preserve">[444] </w:t>
      </w:r>
      <w:hyperlink r:id="rId1371">
        <w:r>
          <w:rPr>
            <w:color w:val="1155CC"/>
            <w:u w:val="single"/>
          </w:rPr>
          <w:t>农业实践对家鼠自然种群的抗性组施加选择压力</w:t>
        </w:r>
      </w:hyperlink>
    </w:p>
    <w:p>
      <w:pPr>
        <w:spacing w:before="0" w:after="80"/>
      </w:pPr>
      <w:r>
        <w:rPr>
          <w:i/>
          <w:sz w:val="20"/>
        </w:rPr>
        <w:t>EN: Farming practices exert selection pressures on the resistome of natural populations of house mice</w:t>
      </w:r>
    </w:p>
    <w:p>
      <w:pPr>
        <w:spacing w:before="0" w:after="120"/>
      </w:pPr>
      <w:r>
        <w:rPr>
          <w:b/>
        </w:rPr>
        <w:t xml:space="preserve">Source: </w:t>
      </w:r>
      <w:r>
        <w:t>Biological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对于居住在人类主导或人类影响较小的景观中的物种来说，维持非驯化动物微生物组中抗菌素耐药基因（ARG）的因素仍不清楚。我们分析了 2016 年至 2022 年间德国农场家鼠 (Mus musculus) 自然群体的 875 个肠道宏基因组，以确定 ARG 发生的环境和宿主决定因素。使用联合物种分布模型，我们量化了景观、气候和小鼠相关特征对个体 ARG 发生和基因间性状依赖性的影响。环境变量和畜牧业强度解释了 ARG 变异的 27%，而宿主特征则解释了 8%。对 ARG 性状的分析表明，农业土地的利用和牲畜接触增加了潜在移动 ARG 的发生。猪密度与整合子编码的磺酰胺抗性基因 (sul1) 以及赋予四环素 (tet) 和 β-内酰胺抗性 (cblA-1) 的基因密切相关（后验概率 0.75）。一致的是，小鼠抗性基因组具有独特的抗性基因组，但与牲畜粪便共享超过 50% 的 ARG，包括广泛存在的基因和在牲畜中推广的基因。在这里，我们表明景观条件，特别是耕作强度，决定了家鼠微生物组中特定 ARG 和潜在移动 ARG 的分布。</w:t>
      </w:r>
    </w:p>
    <w:p>
      <w:pPr>
        <w:spacing w:before="0" w:after="200" w:lineRule="auto" w:line="276"/>
      </w:pPr>
      <w:r>
        <w:rPr>
          <w:b/>
        </w:rPr>
        <w:t xml:space="preserve">Abstract (EN): </w:t>
      </w:r>
      <w:r>
        <w:t>The factors maintaining antimicrobial resistance genes (ARGs) in non-domesticated animal microbiomes remain unclear for species inhabiting human-dominated or less human-impacted landscapes. We analysed 875 gut metagenomes from natural populations of house mice (Mus musculus) on German farms between 2016 and 2022 to identify environmental and host determinants of ARG occurrence. Using joint species distribution models, we quantified the influence of landscape, climate and mouse associated characteristics on the occurrence of individual ARGs and on trait dependence among genes. Environmental variables and livestock farming intensity explained 27% of ARG variation, whereas host characteristics accounted for 8%. Analysis of ARG traits revealed that agricultural land use and exposure to livestock increased the occurrence of potentially mobile ARGs. Pig density was strongly associated with an integron-encoded sulfonamide resistance gene (sul1) and genes conferring tetracycline (tet) and beta-lactam resistance (cblA-1) (posterior probability 0.75). Consistently, mouse resistomes have a distinctive resistome, but share more than 50% of ARGs with livestock manure, including widespread genes and those promoted in livestock. Here, we show that landscape conditions, particularly farming intensity, shape the distribution of specific ARGs and potentially mobile ARGs in house mice microbiomes.</w:t>
      </w:r>
    </w:p>
    <w:p>
      <w:pPr>
        <w:spacing w:before="120" w:after="120"/>
      </w:pPr>
      <w:r>
        <w:rPr>
          <w:sz w:val="18"/>
        </w:rPr>
        <w:t>——————————————————————————————————————————————————————————————————————</w:t>
      </w:r>
    </w:p>
    <w:p>
      <w:pPr>
        <w:spacing w:before="160" w:after="40" w:line="240" w:lineRule="auto"/>
      </w:pPr>
      <w:r>
        <w:rPr>
          <w:b/>
        </w:rPr>
        <w:t xml:space="preserve">[445] </w:t>
      </w:r>
      <w:hyperlink r:id="rId1372">
        <w:r>
          <w:rPr>
            <w:color w:val="1155CC"/>
            <w:u w:val="single"/>
          </w:rPr>
          <w:t>Moon Insight：未来月球探索的概念框架</w:t>
        </w:r>
      </w:hyperlink>
    </w:p>
    <w:p>
      <w:pPr>
        <w:spacing w:before="0" w:after="80"/>
      </w:pPr>
      <w:r>
        <w:rPr>
          <w:i/>
          <w:sz w:val="20"/>
        </w:rPr>
        <w:t>EN: Moon Insight: a Conceptual Framework for Future Lunar Exploration</w:t>
      </w:r>
    </w:p>
    <w:p>
      <w:pPr>
        <w:spacing w:before="0" w:after="120"/>
      </w:pPr>
      <w:r>
        <w:rPr>
          <w:b/>
        </w:rPr>
        <w:t xml:space="preserve">Source: </w:t>
      </w:r>
      <w:r>
        <w:t>National Science Review Advance Access</w:t>
      </w:r>
      <w:r>
        <w:t xml:space="preserve">    </w:t>
      </w:r>
      <w:r>
        <w:rPr>
          <w:b/>
        </w:rPr>
        <w:t xml:space="preserve">Pub date: </w:t>
      </w:r>
      <w:r>
        <w:t>2026-08-05 00:00:00+00:00</w:t>
      </w:r>
      <w:r>
        <w:t xml:space="preserve">    </w:t>
      </w:r>
      <w:r>
        <w:rPr>
          <w:b/>
        </w:rPr>
        <w:t xml:space="preserve">DOI: </w:t>
      </w:r>
      <w:hyperlink r:id="rId1373">
        <w:r>
          <w:rPr>
            <w:color w:val="1155CC"/>
            <w:u w:val="single"/>
          </w:rPr>
          <w:t>10.1093/nsr/nwag474</w:t>
        </w:r>
      </w:hyperlink>
    </w:p>
    <w:p>
      <w:pPr>
        <w:spacing w:before="0" w:after="120"/>
      </w:pPr>
      <w:r>
        <w:rPr>
          <w:b/>
        </w:rPr>
        <w:t xml:space="preserve">Notes: </w:t>
      </w:r>
      <w:r>
        <w:t>abstract_source=crossref</w:t>
      </w:r>
    </w:p>
    <w:p>
      <w:pPr>
        <w:spacing w:before="0" w:after="80" w:lineRule="auto" w:line="276"/>
      </w:pPr>
      <w:r>
        <w:rPr>
          <w:b/>
        </w:rPr>
        <w:t xml:space="preserve">摘要（ZH）: </w:t>
      </w:r>
      <w:r>
        <w:t>Moon Insight概念框架旨在绘制月球熔岩管地图并了解其形状和内部结构。它将利用这些天然的地下空间来研究月球的内部和火山历史，提高我们对月球如何形成和演化的理解，并支持未来的月球基地、人类长期停留、科学研究和资源利用。</w:t>
      </w:r>
    </w:p>
    <w:p>
      <w:pPr>
        <w:spacing w:before="0" w:after="200" w:lineRule="auto" w:line="276"/>
      </w:pPr>
      <w:r>
        <w:rPr>
          <w:b/>
        </w:rPr>
        <w:t xml:space="preserve">Abstract (EN): </w:t>
      </w:r>
      <w:r>
        <w:t>The Moon Insight conceptual framework aims to map lunar lava tubes and understand their shapes and internal structures. It will use these natural underground spaces to study the Moon’s interior and volcanic history, improve our understanding of how the Moon formed and evolved, and support future lunar bases, long-term human stays, scientific research, and resource use.</w:t>
      </w:r>
    </w:p>
    <w:p>
      <w:pPr>
        <w:spacing w:before="120" w:after="120"/>
      </w:pPr>
      <w:r>
        <w:rPr>
          <w:sz w:val="18"/>
        </w:rPr>
        <w:t>——————————————————————————————————————————————————————————————————————</w:t>
      </w:r>
    </w:p>
    <w:p>
      <w:pPr>
        <w:spacing w:before="160" w:after="40" w:line="240" w:lineRule="auto"/>
      </w:pPr>
      <w:r>
        <w:rPr>
          <w:b/>
        </w:rPr>
        <w:t xml:space="preserve">[446] </w:t>
      </w:r>
      <w:hyperlink r:id="rId1374">
        <w:r>
          <w:rPr>
            <w:color w:val="1155CC"/>
            <w:u w:val="single"/>
          </w:rPr>
          <w:t>拓扑设计产生具有低于 10 nm 发射带宽的 MR-TADF 发射器</w:t>
        </w:r>
      </w:hyperlink>
    </w:p>
    <w:p>
      <w:pPr>
        <w:spacing w:before="0" w:after="80"/>
      </w:pPr>
      <w:r>
        <w:rPr>
          <w:i/>
          <w:sz w:val="20"/>
        </w:rPr>
        <w:t>EN: Topological design yields MR-TADF emitters with sub-10 nm emission bandwidths</w:t>
      </w:r>
    </w:p>
    <w:p>
      <w:pPr>
        <w:spacing w:before="0" w:after="120"/>
      </w:pPr>
      <w:r>
        <w:rPr>
          <w:b/>
        </w:rPr>
        <w:t xml:space="preserve">Source: </w:t>
      </w:r>
      <w:r>
        <w:t>National Science Review Advance Access</w:t>
      </w:r>
      <w:r>
        <w:t xml:space="preserve">    </w:t>
      </w:r>
      <w:r>
        <w:rPr>
          <w:b/>
        </w:rPr>
        <w:t xml:space="preserve">Pub date: </w:t>
      </w:r>
      <w:r>
        <w:t>2026-08-05 00:00:00+00:00</w:t>
      </w:r>
      <w:r>
        <w:t xml:space="preserve">    </w:t>
      </w:r>
      <w:r>
        <w:rPr>
          <w:b/>
        </w:rPr>
        <w:t xml:space="preserve">DOI: </w:t>
      </w:r>
      <w:hyperlink r:id="rId1375">
        <w:r>
          <w:rPr>
            <w:color w:val="1155CC"/>
            <w:u w:val="single"/>
          </w:rPr>
          <w:t>10.1093/nsr/nwag468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[447] </w:t>
      </w:r>
      <w:hyperlink r:id="rId1376">
        <w:r>
          <w:rPr>
            <w:color w:val="1155CC"/>
            <w:u w:val="single"/>
          </w:rPr>
          <w:t>澳大利亚-印度尼西亚季风随时间变化</w:t>
        </w:r>
      </w:hyperlink>
    </w:p>
    <w:p>
      <w:pPr>
        <w:spacing w:before="0" w:after="80"/>
      </w:pPr>
      <w:r>
        <w:rPr>
          <w:i/>
          <w:sz w:val="20"/>
        </w:rPr>
        <w:t>EN: The Australian–Indonesian Monsoon Through Time</w:t>
      </w:r>
    </w:p>
    <w:p>
      <w:pPr>
        <w:spacing w:before="0" w:after="120"/>
      </w:pPr>
      <w:r>
        <w:rPr>
          <w:b/>
        </w:rPr>
        <w:t xml:space="preserve">Source: </w:t>
      </w:r>
      <w:r>
        <w:t>National Science Review Advance Access</w:t>
      </w:r>
      <w:r>
        <w:t xml:space="preserve">    </w:t>
      </w:r>
      <w:r>
        <w:rPr>
          <w:b/>
        </w:rPr>
        <w:t xml:space="preserve">Pub date: </w:t>
      </w:r>
      <w:r>
        <w:t>2026-08-05 00:00:00+00:00</w:t>
      </w:r>
      <w:r>
        <w:t xml:space="preserve">    </w:t>
      </w:r>
      <w:r>
        <w:rPr>
          <w:b/>
        </w:rPr>
        <w:t xml:space="preserve">DOI: </w:t>
      </w:r>
      <w:hyperlink r:id="rId1377">
        <w:r>
          <w:rPr>
            <w:color w:val="1155CC"/>
            <w:u w:val="single"/>
          </w:rPr>
          <w:t>10.1093/nsr/nwag473</w:t>
        </w:r>
      </w:hyperlink>
    </w:p>
    <w:p>
      <w:pPr>
        <w:spacing w:before="0" w:after="120"/>
      </w:pPr>
      <w:r>
        <w:rPr>
          <w:b/>
        </w:rPr>
        <w:t xml:space="preserve">Notes: </w:t>
      </w:r>
      <w:r>
        <w:t>abstract_source=rss_oup</w:t>
      </w:r>
    </w:p>
    <w:p>
      <w:pPr>
        <w:spacing w:before="0" w:after="80" w:lineRule="auto" w:line="276"/>
      </w:pPr>
      <w:r>
        <w:rPr>
          <w:b/>
        </w:rPr>
        <w:t xml:space="preserve">摘要（ZH）: </w:t>
      </w:r>
      <w:r>
        <w:t>澳大利亚-印度尼西亚季风（AIM）是澳大利亚北部和海洋大陆极端陆海破碎区域内季节性降雨变化和风向逆转的表现。过去的 AIM 变异性和变化与边界条件的巨大共变变化有关，例如大气二氧化碳、北半球冰盖、轨道日照和海平面变化。这篇综述综合了目前已知的 AIM 演化和机制，强调第四纪代理证据、测年控制和建模实验最丰富。我们评估了如何使用模型层次结构来分离降雨和环流响应，诊断海温模式变化和半球间能量平衡的作用，并表明陆架暴露是否应被视为一阶季风控制或适度的边界条件调整。我们认为，现在的进展更多地取决于数据不确定性的明确量化和代理感知评估，以及使用同位素支持的瞬态模拟和代理系统模型，将模型与代理记录进行比较，而不仅仅是与降水进行比较。</w:t>
      </w:r>
    </w:p>
    <w:p>
      <w:pPr>
        <w:spacing w:before="0" w:after="200" w:lineRule="auto" w:line="276"/>
      </w:pPr>
      <w:r>
        <w:rPr>
          <w:b/>
        </w:rPr>
        <w:t xml:space="preserve">Abstract (EN): </w:t>
      </w:r>
      <w:r>
        <w:t>The Australian-Indonesian monsoon (AIM) is the manifestation of seasonal rainfall change and wind reversal over northern Australia and the Maritime Continent, within a region of extreme land-sea fragmentation. Past AIM variability and change have been related to large, covarying shifts in the boundary conditions such as the atmospheric CO2, Northern Hemisphere ice sheets, orbital insolation, and sea-level variations. This review synthesizes what is currently known about AIM evolution and mechanisms, emphasizing the Quaternary where proxy evidence, dating control, and modeling experiments are most abundant. We assess how model hierarchies have been used to separate rainfall and circulation responses, diagnose the role of SST pattern changes and inter-hemispheric energy balance, and show whether shelf exposure should be treated as a first-order monsoon control or a modest boundary condition adjustment. We argue that progress now hinges more on explicit quantification of data uncertainty and proxy-aware evaluation, as well as using isotope-enabled transient simulations and proxy system models that compare models to what proxies record rather than to precipitation alone.</w:t>
      </w:r>
    </w:p>
    <w:p>
      <w:pPr>
        <w:spacing w:before="120" w:after="120"/>
      </w:pPr>
      <w:r>
        <w:rPr>
          <w:sz w:val="18"/>
        </w:rPr>
        <w:t>——————————————————————————————————————————————————————————————————————</w:t>
      </w:r>
    </w:p>
    <w:p>
      <w:pPr>
        <w:spacing w:before="160" w:after="40" w:line="240" w:lineRule="auto"/>
      </w:pPr>
      <w:r>
        <w:rPr>
          <w:b/>
        </w:rPr>
        <w:t xml:space="preserve">[448] </w:t>
      </w:r>
      <w:hyperlink r:id="rId1378">
        <w:r>
          <w:rPr>
            <w:color w:val="1155CC"/>
            <w:u w:val="single"/>
          </w:rPr>
          <w:t>内源 H2S 信号传导的原位 NIR-IIb 成像，用于植物高分辨率非生物胁迫可视化</w:t>
        </w:r>
      </w:hyperlink>
    </w:p>
    <w:p>
      <w:pPr>
        <w:spacing w:before="0" w:after="80"/>
      </w:pPr>
      <w:r>
        <w:rPr>
          <w:i/>
          <w:sz w:val="20"/>
        </w:rPr>
        <w:t>EN: In situ NIR-IIb imaging of endogenous H2S signaling for high-resolution abiotic stress visualization in plants</w:t>
      </w:r>
    </w:p>
    <w:p>
      <w:pPr>
        <w:spacing w:before="0" w:after="120"/>
      </w:pPr>
      <w:r>
        <w:rPr>
          <w:b/>
        </w:rPr>
        <w:t xml:space="preserve">Source: </w:t>
      </w:r>
      <w:r>
        <w:t>Biological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植物胁迫反应的体内分析仍然是精准农业的主要挑战，限制了可变环境条件下作物生长的动态优化。荧光成像能够无损跟踪应激生物标志物，但其准确性因内源信号分子丰度低、组织自发荧光干扰和信号穿透深度有限而受到影响。在这里，我们开发了一种比例近红外 IIb 荧光探针，用于灵敏监测内源硫化氢 (H2S)。该纳米探针将镧系元素纳米颗粒与 H2S 响应分子单元相结合，通过吸收竞争诱导的发射机制实现增强的组织穿透和高分辨率成像。在非生物胁迫条件下，该探针可将活体植物中胁迫引起的 H2S 波动可视化。这项工作建立了以 H2S 为中心的植物胁迫可视化策略，并为开发早期诊断平台奠定了基础。</w:t>
      </w:r>
    </w:p>
    <w:p>
      <w:pPr>
        <w:spacing w:before="0" w:after="200" w:lineRule="auto" w:line="276"/>
      </w:pPr>
      <w:r>
        <w:rPr>
          <w:b/>
        </w:rPr>
        <w:t xml:space="preserve">Abstract (EN): </w:t>
      </w:r>
      <w:r>
        <w:t>In vivo analysis of plant stress responses remains a major challenge in precision agriculture, limiting dynamic optimization of crop growth under variable environmental conditions. Fluorescence imaging enables nondestructive tracking of stress biomarkers, but its accuracy is compromised by the low abundance of endogenous signaling molecules, tissue autofluorescence interference, and limited signal penetration depth. Here, we develop a ratiometric near-infrared IIb fluorescent probe for sensitive monitoring of endogenous hydrogen sulfide (H2S). This nanoprobe integrates lanthanide nanoparticles with H2S-responsive molecular units, enabling enhanced tissue penetration and high-resolution imaging through an absorption competition-induced emission mechanism. Under abiotic stress conditions, the probe visualizes stress-induced fluctuations of H2S in living plants. This work establishes an H2S-centered strategy for plant stress visualization and provides a foundation for developing early diagnosis platforms.</w:t>
      </w:r>
    </w:p>
    <w:p>
      <w:pPr>
        <w:spacing w:before="120" w:after="120"/>
      </w:pPr>
      <w:r>
        <w:rPr>
          <w:sz w:val="18"/>
        </w:rPr>
        <w:t>——————————————————————————————————————————————————————————————————————</w:t>
      </w:r>
    </w:p>
    <w:p>
      <w:pPr>
        <w:spacing w:before="160" w:after="40" w:line="240" w:lineRule="auto"/>
      </w:pPr>
      <w:r>
        <w:rPr>
          <w:b/>
        </w:rPr>
        <w:t xml:space="preserve">[449] </w:t>
      </w:r>
      <w:hyperlink r:id="rId1379">
        <w:r>
          <w:rPr>
            <w:color w:val="1155CC"/>
            <w:u w:val="single"/>
          </w:rPr>
          <w:t>用于复合带电激子的静电量子纳米围栏</w:t>
        </w:r>
      </w:hyperlink>
    </w:p>
    <w:p>
      <w:pPr>
        <w:spacing w:before="0" w:after="80"/>
      </w:pPr>
      <w:r>
        <w:rPr>
          <w:i/>
          <w:sz w:val="20"/>
        </w:rPr>
        <w:t>EN: Electrostatic quantum nanocorral for composite charged excitons</w:t>
      </w:r>
    </w:p>
    <w:p>
      <w:pPr>
        <w:spacing w:before="0" w:after="120"/>
      </w:pPr>
      <w:r>
        <w:rPr>
          <w:b/>
        </w:rPr>
        <w:t xml:space="preserve">Source: </w:t>
      </w:r>
      <w:r>
        <w:t>Nature Nanotechnology</w:t>
      </w:r>
      <w:r>
        <w:t xml:space="preserve">    </w:t>
      </w:r>
      <w:r>
        <w:rPr>
          <w:b/>
        </w:rPr>
        <w:t xml:space="preserve">Pub date: </w:t>
      </w:r>
      <w:r>
        <w:t>2026-08-05 00:00:00+00:00</w:t>
      </w:r>
      <w:r>
        <w:t xml:space="preserve">    </w:t>
      </w:r>
      <w:r>
        <w:rPr>
          <w:b/>
        </w:rPr>
        <w:t xml:space="preserve">DOI: </w:t>
      </w:r>
      <w:hyperlink r:id="rId1380">
        <w:r>
          <w:rPr>
            <w:color w:val="1155CC"/>
            <w:u w:val="single"/>
          </w:rPr>
          <w:t>10.1038/s41565-026-02222-0</w:t>
        </w:r>
      </w:hyperlink>
    </w:p>
    <w:p>
      <w:pPr>
        <w:spacing w:before="0" w:after="120"/>
      </w:pPr>
      <w:r>
        <w:rPr>
          <w:b/>
        </w:rPr>
        <w:t xml:space="preserve">Notes: </w:t>
      </w:r>
      <w:r>
        <w:t>abstract_source=pubmed</w:t>
      </w:r>
    </w:p>
    <w:p>
      <w:pPr>
        <w:spacing w:before="0" w:after="80" w:lineRule="auto" w:line="276"/>
      </w:pPr>
      <w:r>
        <w:rPr>
          <w:b/>
        </w:rPr>
        <w:t xml:space="preserve">摘要（ZH）: </w:t>
      </w:r>
      <w:r>
        <w:t>飞行光子和静止量子态之间的可调谐界面对于量子网络非常重要。量子限制的带电激子在这方面很有吸引力，因为它们将单光子发射与局域电荷态结合起来。然而，实现可逆、稳健和光谱可解析的纳米级静电约束仍然具有挑战性。在这里，我们使用静电量子纳米围栏展示了单层 WSe2 中发光的量子限制带电激子。量子围栏首先是使用扫描隧道显微镜实现的，其中单个吸附原子在金属表面上排列成环以限制电子驻波。在我们的方法中，单层 WSe2 通过厚度小于 1 nm 的纳米多孔金属单层进行门控，该金属单层充当电场掩模并在约 10 nm 长度尺度上定义限制。这种几何形状在纳米孔内部和外部创建了不同的激子准粒子态，超亮带电激子受到周围高能中性激子态的限制。由此产生的限制会产生明显的能量分裂和离散质心模式的清晰光谱特征。静电势垒是动态可重构的，允许零维和二维激子态之间的交叉，而偏振分辨测量揭示了精细结构分裂的特征。这些结果建立了一种电可调途径来控制具有可调节亮度、能量和光子统计的量子光源的带电激子。</w:t>
      </w:r>
    </w:p>
    <w:p>
      <w:pPr>
        <w:spacing w:before="0" w:after="200" w:lineRule="auto" w:line="276"/>
      </w:pPr>
      <w:r>
        <w:rPr>
          <w:b/>
        </w:rPr>
        <w:t xml:space="preserve">Abstract (EN): </w:t>
      </w:r>
      <w:r>
        <w:t>A tunable interface between flying photons and stationary quantum states is important for quantum networks. Quantum-confined charged excitons are attractive in this context because they combine single-photon emission with localized charge states. However, realizing nanoscale electrostatic confinement that is reversible, robust and spectroscopically resolvable remains challenging. Here we show luminous, quantum-confined charged excitons in monolayer WSe2 using an electrostatic quantum nanocorral. A quantum corral was first realized using scanning tunnelling microscopy, where individual adatoms are arranged in a ring on a metal surface to confine electronic standing waves. In our approach, monolayer WSe2 is gated through a nanoporous metallic monolayer less than 1-nm thick, which acts as an electric-field mask and defines confinement on ~10-nm length scales. This geometry creates distinct excitonic quasiparticle states inside and outside the nanopore, with ultrabright charged excitons confined by surrounding higher-energy neutral-exciton states. The resulting confinement produces pronounced energy splittings and clear spectroscopic signatures of discrete centre-of-mass modes. The electrostatic barrier is dynamically reconfigurable, allowing a crossover between zero- and two-dimensional excitonic states, while polarization-resolved measurements reveal signatures of fine-structure splitting. These results establish an electrically tunable route to controlling charged excitons for quantum light sources with adjustable brightness, energy and photon statistics.</w:t>
      </w:r>
    </w:p>
    <w:p>
      <w:pPr>
        <w:spacing w:before="120" w:after="120"/>
      </w:pPr>
      <w:r>
        <w:rPr>
          <w:sz w:val="18"/>
        </w:rPr>
        <w:t>——————————————————————————————————————————————————————————————————————</w:t>
      </w:r>
    </w:p>
    <w:p>
      <w:pPr>
        <w:spacing w:before="160" w:after="40" w:line="240" w:lineRule="auto"/>
      </w:pPr>
      <w:r>
        <w:rPr>
          <w:b/>
        </w:rPr>
        <w:t xml:space="preserve">[450] </w:t>
      </w:r>
      <w:hyperlink r:id="rId1381">
        <w:r>
          <w:rPr>
            <w:color w:val="1155CC"/>
            <w:u w:val="single"/>
          </w:rPr>
          <w:t>二是公司，三是量子接口</w:t>
        </w:r>
      </w:hyperlink>
    </w:p>
    <w:p>
      <w:pPr>
        <w:spacing w:before="0" w:after="80"/>
      </w:pPr>
      <w:r>
        <w:rPr>
          <w:i/>
          <w:sz w:val="20"/>
        </w:rPr>
        <w:t>EN: Two is company and three is a quantum interface</w:t>
      </w:r>
    </w:p>
    <w:p>
      <w:pPr>
        <w:spacing w:before="0" w:after="120"/>
      </w:pPr>
      <w:r>
        <w:rPr>
          <w:b/>
        </w:rPr>
        <w:t xml:space="preserve">Source: </w:t>
      </w:r>
      <w:r>
        <w:t>Nature Materials</w:t>
      </w:r>
      <w:r>
        <w:t xml:space="preserve">    </w:t>
      </w:r>
      <w:r>
        <w:rPr>
          <w:b/>
        </w:rPr>
        <w:t xml:space="preserve">Pub date: </w:t>
      </w:r>
      <w:r>
        <w:t>2026-08-05 00:00:00+00:00</w:t>
      </w:r>
      <w:r>
        <w:t xml:space="preserve">    </w:t>
      </w:r>
      <w:r>
        <w:rPr>
          <w:b/>
        </w:rPr>
        <w:t xml:space="preserve">DOI: </w:t>
      </w:r>
      <w:hyperlink r:id="rId1382">
        <w:r>
          <w:rPr>
            <w:color w:val="1155CC"/>
            <w:u w:val="single"/>
          </w:rPr>
          <w:t>10.1038/s41563-026-02674-8</w:t>
        </w:r>
      </w:hyperlink>
    </w:p>
    <w:p>
      <w:pPr>
        <w:spacing w:before="0" w:after="120"/>
      </w:pPr>
      <w:r>
        <w:rPr>
          <w:b/>
        </w:rPr>
        <w:t xml:space="preserve">Notes: </w:t>
      </w:r>
      <w:r>
        <w:t>abstract_source=rss_nature</w:t>
      </w:r>
    </w:p>
    <w:p>
      <w:pPr>
        <w:spacing w:before="0" w:after="80" w:lineRule="auto" w:line="276"/>
      </w:pPr>
      <w:r>
        <w:rPr>
          <w:b/>
        </w:rPr>
        <w:t xml:space="preserve">摘要（ZH）: </w:t>
      </w:r>
      <w:r>
        <w:t>磁场弹性粒状铝介导微波腔-磁振子系统中的非线性相互作用，实现三方纠缠，对量子转导和检测产生影响。</w:t>
      </w:r>
    </w:p>
    <w:p>
      <w:pPr>
        <w:spacing w:before="0" w:after="200" w:lineRule="auto" w:line="276"/>
      </w:pPr>
      <w:r>
        <w:rPr>
          <w:b/>
        </w:rPr>
        <w:t xml:space="preserve">Abstract (EN): </w:t>
      </w:r>
      <w:r>
        <w:t>Magnetic-field-resilient granular aluminium mediates nonlinear interactions in a microwave cavity–magnon system, enabling tripartite entanglement with implications for quantum transduction and detection.</w:t>
      </w:r>
    </w:p>
    <w:p>
      <w:pPr>
        <w:spacing w:before="120" w:after="120"/>
      </w:pPr>
      <w:r>
        <w:rPr>
          <w:sz w:val="18"/>
        </w:rPr>
        <w:t>——————————————————————————————————————————————————————————————————————</w:t>
      </w:r>
    </w:p>
    <w:p>
      <w:pPr>
        <w:spacing w:before="160" w:after="40" w:line="240" w:lineRule="auto"/>
      </w:pPr>
      <w:r>
        <w:rPr>
          <w:b/>
        </w:rPr>
        <w:t xml:space="preserve">[451] </w:t>
      </w:r>
      <w:hyperlink r:id="rId1383">
        <w:r>
          <w:rPr>
            <w:color w:val="1155CC"/>
            <w:u w:val="single"/>
          </w:rPr>
          <w:t>激子的带电笼</w:t>
        </w:r>
      </w:hyperlink>
    </w:p>
    <w:p>
      <w:pPr>
        <w:spacing w:before="0" w:after="80"/>
      </w:pPr>
      <w:r>
        <w:rPr>
          <w:i/>
          <w:sz w:val="20"/>
        </w:rPr>
        <w:t>EN: A charged cage for excitons</w:t>
      </w:r>
    </w:p>
    <w:p>
      <w:pPr>
        <w:spacing w:before="0" w:after="120"/>
      </w:pPr>
      <w:r>
        <w:rPr>
          <w:b/>
        </w:rPr>
        <w:t xml:space="preserve">Source: </w:t>
      </w:r>
      <w:r>
        <w:t>Nature Nanotechnology</w:t>
      </w:r>
      <w:r>
        <w:t xml:space="preserve">    </w:t>
      </w:r>
      <w:r>
        <w:rPr>
          <w:b/>
        </w:rPr>
        <w:t xml:space="preserve">Pub date: </w:t>
      </w:r>
      <w:r>
        <w:t>2026-08-05 00:00:00+00:00</w:t>
      </w:r>
      <w:r>
        <w:t xml:space="preserve">    </w:t>
      </w:r>
      <w:r>
        <w:rPr>
          <w:b/>
        </w:rPr>
        <w:t xml:space="preserve">DOI: </w:t>
      </w:r>
      <w:hyperlink r:id="rId1384">
        <w:r>
          <w:rPr>
            <w:color w:val="1155CC"/>
            <w:u w:val="single"/>
          </w:rPr>
          <w:t>10.1038/s41565-026-02240-y</w:t>
        </w:r>
      </w:hyperlink>
    </w:p>
    <w:p>
      <w:pPr>
        <w:spacing w:before="0" w:after="120"/>
      </w:pPr>
      <w:r>
        <w:rPr>
          <w:b/>
        </w:rPr>
        <w:t xml:space="preserve">Notes: </w:t>
      </w:r>
      <w:r>
        <w:t>abstract_source=rss_nature</w:t>
      </w:r>
    </w:p>
    <w:p>
      <w:pPr>
        <w:spacing w:before="0" w:after="80" w:lineRule="auto" w:line="276"/>
      </w:pPr>
      <w:r>
        <w:rPr>
          <w:b/>
        </w:rPr>
        <w:t xml:space="preserve">摘要（ZH）: </w:t>
      </w:r>
      <w:r>
        <w:t>纳米多孔单层金属能够实现单层半导体中带电准粒子的零维量子限制。</w:t>
      </w:r>
    </w:p>
    <w:p>
      <w:pPr>
        <w:spacing w:before="0" w:after="200" w:lineRule="auto" w:line="276"/>
      </w:pPr>
      <w:r>
        <w:rPr>
          <w:b/>
        </w:rPr>
        <w:t xml:space="preserve">Abstract (EN): </w:t>
      </w:r>
      <w:r>
        <w:t>Nanoporous monolayer metal enables 0D quantum confinement of charged quasiparticles in a monolayer semiconductor.</w:t>
      </w:r>
    </w:p>
    <w:p>
      <w:pPr>
        <w:spacing w:before="120" w:after="120"/>
      </w:pPr>
      <w:r>
        <w:rPr>
          <w:sz w:val="18"/>
        </w:rPr>
        <w:t>——————————————————————————————————————————————————————————————————————</w:t>
      </w:r>
    </w:p>
    <w:p>
      <w:pPr>
        <w:spacing w:before="160" w:after="40" w:line="240" w:lineRule="auto"/>
      </w:pPr>
      <w:r>
        <w:rPr>
          <w:b/>
        </w:rPr>
        <w:t xml:space="preserve">[452] </w:t>
      </w:r>
      <w:hyperlink r:id="rId1385">
        <w:r>
          <w:rPr>
            <w:color w:val="1155CC"/>
            <w:u w:val="single"/>
          </w:rPr>
          <w:t>北极海冰系列气旋聚集的相关性</w:t>
        </w:r>
      </w:hyperlink>
    </w:p>
    <w:p>
      <w:pPr>
        <w:spacing w:before="0" w:after="80"/>
      </w:pPr>
      <w:r>
        <w:rPr>
          <w:i/>
          <w:sz w:val="20"/>
        </w:rPr>
        <w:t>EN: On the relevance of serial cyclone clustering for Arctic sea ice</w:t>
      </w:r>
    </w:p>
    <w:p>
      <w:pPr>
        <w:spacing w:before="0" w:after="120"/>
      </w:pPr>
      <w:r>
        <w:rPr>
          <w:b/>
        </w:rPr>
        <w:t xml:space="preserve">Source: </w:t>
      </w:r>
      <w:r>
        <w:t>Earth and environmental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北极海冰浓度（SIC）的短期变化很大程度上是由天气驱动的，在强烈的北极气旋期间通常会发生强烈的冰损失，导致异常温暖和暴风雨的条件。当多个气旋快速相继出现时，这种情况会持续较长时间。在这里，我们利用 1979 年至 2024 年的卫星观测和再分析数据分析了连续气旋聚集时期的 SIC 变化。虽然与非气旋条件相比，气旋通常会降低 SIC，但气旋簇对冰的影响时间大约是单独气旋的 2.5 倍，并且总体 SIC 减少量是单独气旋的两倍。气旋簇造成的 SIC 损失量与簇状气旋的强度和数量成比例，与 1979-1999 年相比，2004-2024 年 SIC 损失加剧，即使在固定的 SIC 类别内也是如此。这些发现强调了聚集性天气事件的累积影响与北极海冰变化的相关性，并强调需要了解北极系列气旋聚集的驱动因素。</w:t>
      </w:r>
    </w:p>
    <w:p>
      <w:pPr>
        <w:spacing w:before="0" w:after="200" w:lineRule="auto" w:line="276"/>
      </w:pPr>
      <w:r>
        <w:rPr>
          <w:b/>
        </w:rPr>
        <w:t xml:space="preserve">Abstract (EN): </w:t>
      </w:r>
      <w:r>
        <w:t>Short-term changes in Arctic sea-ice concentration (SIC) are largely driven by weather, and strong ice loss typically occurs during intense Arctic cyclones causing unusually warm and stormy conditions. Such conditions are prolonged when several cyclones follow rapidly on each other. Here, we analyze changes in SIC for such periods of serial cyclone clustering utilizing satellite observations and reanalysis data from 1979-2024. While cyclones generally decrease SIC compared to non-cyclone conditions, cyclone clusters impact the ice approximately 2.5 times longer and cause two times stronger overall SIC-reductions than solitary cyclones. The amount of SIC-loss due to cyclone clusters scales with the intensity and number of clustered cyclones, and intensified SIC-loss occurs from 2004-2024 compared to 1979-1999, even within fixed SIC-categories. These findings highlight the relevance of accumulated impacts of clustered weather events for Arctic sea-ice variability and emphasize the need to understand drivers of serial cyclone clustering in the Arctic.</w:t>
      </w:r>
    </w:p>
    <w:p>
      <w:pPr>
        <w:spacing w:before="120" w:after="120"/>
      </w:pPr>
      <w:r>
        <w:rPr>
          <w:sz w:val="18"/>
        </w:rPr>
        <w:t>——————————————————————————————————————————————————————————————————————</w:t>
      </w:r>
    </w:p>
    <w:p>
      <w:pPr>
        <w:spacing w:before="160" w:after="40" w:line="240" w:lineRule="auto"/>
      </w:pPr>
      <w:r>
        <w:rPr>
          <w:b/>
        </w:rPr>
        <w:t xml:space="preserve">[453] </w:t>
      </w:r>
      <w:hyperlink r:id="rId1386">
        <w:r>
          <w:rPr>
            <w:color w:val="1155CC"/>
            <w:u w:val="single"/>
          </w:rPr>
          <w:t>实现全球生物多样性和气候承诺的协同作用和权衡</w:t>
        </w:r>
      </w:hyperlink>
    </w:p>
    <w:p>
      <w:pPr>
        <w:spacing w:before="0" w:after="80"/>
      </w:pPr>
      <w:r>
        <w:rPr>
          <w:i/>
          <w:sz w:val="20"/>
        </w:rPr>
        <w:t>EN: Synergies and trade-offs for reaching global biodiversity and climate commitments</w:t>
      </w:r>
    </w:p>
    <w:p>
      <w:pPr>
        <w:spacing w:before="0" w:after="120"/>
      </w:pPr>
      <w:r>
        <w:rPr>
          <w:b/>
        </w:rPr>
        <w:t xml:space="preserve">Source: </w:t>
      </w:r>
      <w:r>
        <w:t>Biological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昆明-蒙特利尔全球生物多样性框架致力于在全球范围内扩大高质量的保护区，但面临着经济限制、气候变化和人类压力。这需要整合生物和社会经济的复杂性，同时确保公平。我们探索多目标“30 x 30”和“50 x 50”（“半个地球”）保护区扩张战略，将物种多样性与碳储存结合起来，量化其有效性（全球物种丰富度和碳储量的代表比例）、连通性和成本效益。在近期和未来的气候下，基于五个分类群（植物、两栖动物、鸟类、哺乳动物和爬行动物）或仅碳的单一标准策略对两个目标的有效性分别达到 42.3 ± 4.10% 和 68.8 ± 8.39%，而多目标策略则达到 44.07 ± 0.42% 和 67.0 ± 0.89%。多目标策略将连接性降低了 2.35%，但略微提高了成本效率（成本降低了 2.06%）和个体指标有效性（平均提高了 0.76%）。从单一目标战略转向多目标战略增加了高纬度、高收入国家的保护区覆盖率（分别提高了 3.14% 和 5.59%），而低收入国家的保护区覆盖率相应下降（7.31% 和 12.6%）；针对受威胁物种的单一目标战略将更多的覆盖范围分配给南半球国家。通过重新平衡南北责任并减轻需要财政支持或补偿机制的低收入国家的负担，这些发现提高了保护负担能力，并为实施全球生物多样性提供了公平见解</w:t>
      </w:r>
    </w:p>
    <w:p>
      <w:pPr>
        <w:spacing w:before="0" w:after="200" w:lineRule="auto" w:line="276"/>
      </w:pPr>
      <w:r>
        <w:rPr>
          <w:b/>
        </w:rPr>
        <w:t xml:space="preserve">Abstract (EN): </w:t>
      </w:r>
      <w:r>
        <w:t>The Kunming-Montreal Global Biodiversity Framework strives to expand high-quality protected areas globally, yet faces economic constraints, climate change and human pressures. This requires integrating biological and socio-economic complexity while ensuring equity. We explore multi-target ‘30 by 30’ and ‘50 by 50’ (the ‘Half Earth’) protected area expansion strategies that combine species diversity with carbon storage, quantifying their effectiveness (the represented proportion of global species richness and carbon stocks), connectivity and cost-efficiency. Under near-current and future climates, single-criterion strategies – based on five taxonomic groups (plants, amphibians, birds, mammals, and reptiles) or carbon alone – achieve effectiveness of 42.3 ± 4.10% and 68.8 ± 8.39% for both targets, whereas multi-goal strategies reach 44.07 ± 0.42% and 67.0 ± 0.89%. Multi-goal strategies reduce connectivity by 2.35% but slightly improve cost-efficiency (2.06% lower cost) and individual-metric effectiveness (mean rise 0.76%). Moving from single- to multi-target strategies increases conserved-area coverage in high-latitude, higher-income countries (by 3.14% and 5.59%), with a corresponding decline in low-income countries (7.31% and 12.6%); single-goal strategies targeting threatened species allocate more coverage to the Global South. By rebalancing North-South responsibilities and easing burdens on low-income nations needing financial support or compensation mechanisms, these findings improve conservation affordability and provide equity insights for implementing Global Biodiversity Framework and Paris Agreement.</w:t>
      </w:r>
    </w:p>
    <w:p>
      <w:pPr>
        <w:spacing w:before="120" w:after="120"/>
      </w:pPr>
      <w:r>
        <w:rPr>
          <w:sz w:val="18"/>
        </w:rPr>
        <w:t>——————————————————————————————————————————————————————————————————————</w:t>
      </w:r>
    </w:p>
    <w:p>
      <w:pPr>
        <w:spacing w:before="160" w:after="40" w:line="240" w:lineRule="auto"/>
      </w:pPr>
      <w:r>
        <w:rPr>
          <w:b/>
        </w:rPr>
        <w:t xml:space="preserve">[454] </w:t>
      </w:r>
      <w:hyperlink r:id="rId1387">
        <w:r>
          <w:rPr>
            <w:color w:val="1155CC"/>
            <w:u w:val="single"/>
          </w:rPr>
          <w:t>RuAl 基中高熵金属间化合物的低电阻率缩放作为潜在的互连金属化</w:t>
        </w:r>
      </w:hyperlink>
    </w:p>
    <w:p>
      <w:pPr>
        <w:spacing w:before="0" w:after="80"/>
      </w:pPr>
      <w:r>
        <w:rPr>
          <w:i/>
          <w:sz w:val="20"/>
        </w:rPr>
        <w:t>EN: Low Resistivity Scaling of RuAl-Based Medium-to-High-Entropy Intermetallic Compounds as Potential Interconnect Metallization</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388">
        <w:r>
          <w:rPr>
            <w:color w:val="1155CC"/>
            <w:u w:val="single"/>
          </w:rPr>
          <w:t>10.1021/acsami.6c12263</w:t>
        </w:r>
      </w:hyperlink>
    </w:p>
    <w:p>
      <w:pPr>
        <w:spacing w:before="0" w:after="120"/>
      </w:pPr>
      <w:r>
        <w:rPr>
          <w:b/>
        </w:rPr>
        <w:t xml:space="preserve">Notes: </w:t>
      </w:r>
      <w:r>
        <w:t>abstract_source=crossref</w:t>
      </w:r>
    </w:p>
    <w:p>
      <w:pPr>
        <w:spacing w:before="0" w:after="80" w:lineRule="auto" w:line="276"/>
      </w:pPr>
      <w:r>
        <w:rPr>
          <w:b/>
        </w:rPr>
        <w:t xml:space="preserve">摘要（ZH）: </w:t>
      </w:r>
      <w:r>
        <w:t>摘要：通过磁控共溅射沉积了含有难熔元素的多组分掺杂 B2 有序铝化钌 (RuAl) 金属间化合物薄膜。在 800°C 快速热退火 1 分钟后，晶体有序 B2（体心立方）结构得以保留，同时晶粒细化至~10 nm。使用 Fuchs-Sondheimer (FS) 和 Mayadas-Shatzkes (MS) 模型进行的数据拟合，结合使用特殊准随机结构 (SQS) 的第一性原理计算，表明成分复杂性的增加缩短了电子平均自由程。计算进一步表明，这种减少主要是由化学无序和崎岖的原子势景观驱动的，而不仅仅是简单的晶格畸变。相对于纯 RuAl，这种短的平均自由程抑制了掺杂薄膜的电阻率缩放，尽管它​​们的绝对电阻率更高。此外，由于静态无序散射占主导地位，多组分掺杂薄膜表现出良好的热稳定性和较低的电阻温度系数。</w:t>
      </w:r>
    </w:p>
    <w:p>
      <w:pPr>
        <w:spacing w:before="0" w:after="200" w:lineRule="auto" w:line="276"/>
      </w:pPr>
      <w:r>
        <w:rPr>
          <w:b/>
        </w:rPr>
        <w:t xml:space="preserve">Abstract (EN): </w:t>
      </w:r>
      <w:r>
        <w:t>Thin films of multicomponent doped, B2-ordered ruthenium aluminide (RuAl) intermetallic compounds incorporating refractory elements were deposited by magnetron co-sputtering. A crystalline, ordered B2 (body-centered cubic) structure was retained after rapid thermal annealing at 800°C for 1 min, accompanied by grain refinement to ∼10 nm. Data fitting using the Fuchs-Sondheimer (FS) and Mayadas-Shatzkes (MS) models, combined with first-principles calculations using special quasi-random structures (SQS), revealed that increasing compositional complexity shortened the electron mean free path. The calculations further indicated that this reduction is primarily driven by chemical disorder and a rugged atomic potential landscape, rather than simple lattice distortion alone. This short mean free path suppressed the resistivity scaling in the doped films relative to pure RuAl, despite their higher absolute resistivity. Furthermore, the multicomponent doped films demonstrated good thermal stability and a low temperature coefficient of resistance, attributed to the dominance of static disorder scattering.</w:t>
      </w:r>
    </w:p>
    <w:p>
      <w:pPr>
        <w:spacing w:before="120" w:after="120"/>
      </w:pPr>
      <w:r>
        <w:rPr>
          <w:sz w:val="18"/>
        </w:rPr>
        <w:t>——————————————————————————————————————————————————————————————————————</w:t>
      </w:r>
    </w:p>
    <w:p>
      <w:pPr>
        <w:spacing w:before="160" w:after="40" w:line="240" w:lineRule="auto"/>
      </w:pPr>
      <w:r>
        <w:rPr>
          <w:b/>
        </w:rPr>
        <w:t xml:space="preserve">[455] </w:t>
      </w:r>
      <w:hyperlink r:id="rId1389">
        <w:r>
          <w:rPr>
            <w:color w:val="1155CC"/>
            <w:u w:val="single"/>
          </w:rPr>
          <w:t>实现具有透明触点的全无机、全蒸发 CsPbI2Br 光电探测器的高温运行</w:t>
        </w:r>
      </w:hyperlink>
    </w:p>
    <w:p>
      <w:pPr>
        <w:spacing w:before="0" w:after="80"/>
      </w:pPr>
      <w:r>
        <w:rPr>
          <w:i/>
          <w:sz w:val="20"/>
        </w:rPr>
        <w:t>EN: Enabling High-Temperature Operation in All-Inorganic, All-Evaporated CsPbI2Br Photodetectors with Transparent Contacts</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390">
        <w:r>
          <w:rPr>
            <w:color w:val="1155CC"/>
            <w:u w:val="single"/>
          </w:rPr>
          <w:t>10.1021/acsami.6c04754</w:t>
        </w:r>
      </w:hyperlink>
    </w:p>
    <w:p>
      <w:pPr>
        <w:spacing w:before="0" w:after="120"/>
      </w:pPr>
      <w:r>
        <w:rPr>
          <w:b/>
        </w:rPr>
        <w:t xml:space="preserve">Notes: </w:t>
      </w:r>
      <w:r>
        <w:t>abstract_source=crossref</w:t>
      </w:r>
    </w:p>
    <w:p>
      <w:pPr>
        <w:spacing w:before="0" w:after="80" w:lineRule="auto" w:line="276"/>
      </w:pPr>
      <w:r>
        <w:rPr>
          <w:b/>
        </w:rPr>
        <w:t xml:space="preserve">摘要（ZH）: </w:t>
      </w:r>
      <w:r>
        <w:t>摘要：全无机 CsPbI2Br 钙钛矿由于其强大的吸收能力、热弹性以及与互补金属氧化物半导体 (CMOS) 平台的兼容性，正在成为高性能可见光电探测器的主要候选者。然而，偏压或热应力下的离子迁移会导致透明导电氧化物（TCO）接触处的陷阱辅助泄漏和界面势垒调制，从而损害器件在高温下的稳定性。在这项工作中，我们揭示了氧化铟锡 (ITO) 和氧化铟锌 (IZO) 电极如何控制玻璃和 Si/TiN 基板上完全蒸发的 CsPbI2Br 光电二极管的电荷传输、陷阱离子相互作用和运行稳定性。在玻璃上，由于氧空位介导的卤化物离子在 TiO2/IZO 界面积累，IZO 器件表现出暗电流升高、瞬态光电流过冲和强场致势垒降低。相比之下，ITO 可以抑制离子极化，从而实现更高的外量子效率 (EQE)、响应度、探测率和线性动态范围 (LDR)。低温 J-V 分析证实，低于 240 K，离子迁移被冻结，并且两种器件都转向陷阱辅助隧道传输为主的传输，这强调了界面差异主要通过较高温度下的离子活动而出现。热导纳谱（TAS）揭示了与电极无关的深陷阱；然而，TCO 相关的陷阱离子耦合强度解释了不同的泄漏行为。值得注意的是，当集成在导电 Si/TiN 基板上时，IZO 和 ITO 器件均优于</w:t>
      </w:r>
    </w:p>
    <w:p>
      <w:pPr>
        <w:spacing w:before="0" w:after="200" w:lineRule="auto" w:line="276"/>
      </w:pPr>
      <w:r>
        <w:rPr>
          <w:b/>
        </w:rPr>
        <w:t xml:space="preserve">Abstract (EN): </w:t>
      </w:r>
      <w:r>
        <w:t>All-inorganic CsPbI2Br perovskites are emerging as leading candidates for high-performance visible photodetectors due to their strong absorption, thermal resilience, and compatibility with complementary metal-oxide semiconductor (CMOS) platforms. However, ion migration under bias or thermal stress leads to trap-assisted leakage and interfacial barrier modulation at transparent conducting oxide (TCO) contacts, compromising device stability at elevated temperatures. In this work, we unravel how indium tin oxide (ITO) and indium zinc oxide (IZO) electrodes govern charge transport, trap–ion interactions, and operational stability in fully evaporated CsPbI2Br photodiodes on glass and Si/TiN substrates. On glass, IZO devices exhibit elevated dark currents, transient photocurrent overshoot, and strong field-induced barrier lowering due to oxygen-vacancy-mediated halide ion accumulation at the TiO2/IZO interface. ITO, in contrast, suppresses ionic polarization, enabling higher external quantum efficiency (EQE), responsivity, detectivity, and linear dynamic range (LDR). Low-temperature J–V analysis confirms that below 240 K, ion migration is frozen and both devices shift to trap-assisted tunneling-dominated transport, underscoring that interfacial differences emerge mainly through ionic activity at higher temperatures. Thermal admittance spectroscopy (TAS) reveals electrode-independent deep traps; however, TCO-dependent trap–ion coupling strength explains the divergent leakage behavior. Remarkably, when integrated on conductive Si/TiN substrates, both IZO and ITO devices exhibit suppressed ionic effects, low leakage, rapid response, and stable performance, emphasizing the critical role of substrate engineering. This study establishes electrode and substrate design as decisive strategies for enabling thermally resilient, ion-stable, CMOS-ready perovskite photodetectors.</w:t>
      </w:r>
    </w:p>
    <w:p>
      <w:pPr>
        <w:spacing w:before="120" w:after="120"/>
      </w:pPr>
      <w:r>
        <w:rPr>
          <w:sz w:val="18"/>
        </w:rPr>
        <w:t>——————————————————————————————————————————————————————————————————————</w:t>
      </w:r>
    </w:p>
    <w:p>
      <w:pPr>
        <w:spacing w:before="160" w:after="40" w:line="240" w:lineRule="auto"/>
      </w:pPr>
      <w:r>
        <w:rPr>
          <w:b/>
        </w:rPr>
        <w:t xml:space="preserve">[456] </w:t>
      </w:r>
      <w:hyperlink r:id="rId1391">
        <w:r>
          <w:rPr>
            <w:color w:val="1155CC"/>
            <w:u w:val="single"/>
          </w:rPr>
          <w:t>淀粉样蛋白增强透明质酸复合水凝胶可实现控制姜黄素输送、抗菌膜光热疗法和加速糖尿病伤口愈合</w:t>
        </w:r>
      </w:hyperlink>
    </w:p>
    <w:p>
      <w:pPr>
        <w:spacing w:before="0" w:after="80"/>
      </w:pPr>
      <w:r>
        <w:rPr>
          <w:i/>
          <w:sz w:val="20"/>
        </w:rPr>
        <w:t>EN: Amyloid-Reinforced Hyaluronic Acid Composite Hydrogel Enabling Controlled Curcumin Delivery, Antibiofilm Photothermal Therapy, and Accelerated Diabetic Wound Healing</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392">
        <w:r>
          <w:rPr>
            <w:color w:val="1155CC"/>
            <w:u w:val="single"/>
          </w:rPr>
          <w:t>10.1021/acsami.6c08302</w:t>
        </w:r>
      </w:hyperlink>
    </w:p>
    <w:p>
      <w:pPr>
        <w:spacing w:before="0" w:after="120"/>
      </w:pPr>
      <w:r>
        <w:rPr>
          <w:b/>
        </w:rPr>
        <w:t xml:space="preserve">Notes: </w:t>
      </w:r>
      <w:r>
        <w:t>abstract_source=crossref</w:t>
      </w:r>
    </w:p>
    <w:p>
      <w:pPr>
        <w:spacing w:before="0" w:after="80" w:lineRule="auto" w:line="276"/>
      </w:pPr>
      <w:r>
        <w:rPr>
          <w:b/>
        </w:rPr>
        <w:t xml:space="preserve">摘要（ZH）: </w:t>
      </w:r>
      <w:r>
        <w:t>摘要 慢性糖尿病伤口的特点是持续的氧化应激、血管生成受损和生物膜相关感染，需要能够调节伤口微环境的多功能生物材料。在此，我们报告了一种淀粉样蛋白增强的透明质酸（HA）复合水凝胶，它将机械稳健性、受控药物输送和生物活性功能集成在一个平台内。该水凝胶是通过互穿的蛋白质-多糖网络构建的，其中热诱导的牛血清白蛋白淀粉样原纤维通过氢键和链缠结在 HA 基质内充当增强支架。与非增强系统相比，这种结构增强了粘弹性、膨胀行为和结构稳定性。姜黄素作为一种多功能治疗剂，在复合网络内的疏水性和 π-π 相互作用的控制下表现出持续的 pH 响应性释放。该水凝胶对革兰氏阳性菌和革兰氏阴性菌均表现出显着的抗菌和抗生物膜活性，并且在近红外（NIR）照射下通过光热效应进一步放大。体外研究证实其具有出色的细胞相容性、血液相容性和增强的成纤维细胞迁移能力，表明良好的细胞相互作用。重要的是，在链脲佐菌素诱导的糖尿病伤口模型中，复合水凝胶显着加速伤口闭合，促进胶原蛋白沉积和新血管形成，并恢复氧化应激生物标志物</w:t>
      </w:r>
    </w:p>
    <w:p>
      <w:pPr>
        <w:spacing w:before="0" w:after="200" w:lineRule="auto" w:line="276"/>
      </w:pPr>
      <w:r>
        <w:rPr>
          <w:b/>
        </w:rPr>
        <w:t xml:space="preserve">Abstract (EN): </w:t>
      </w:r>
      <w:r>
        <w:t>Chronic diabetic wounds are characterized by persistent oxidative stress, impaired angiogenesis, and biofilm-associated infections, necessitating multifunctional biomaterials capable of modulating the wound microenvironment. Herein, we report an amyloid-reinforced hyaluronic acid (HA) composite hydrogel that integrates mechanical robustness, controlled drug delivery, and bioactive functionality within a single platform. The hydrogel is constructed through interpenetrating protein-polysaccharide networks, where thermally induced bovine serum albumin amyloid fibrils act as reinforcing scaffolds within the HA matrix via hydrogen bonding and chain entanglement. This architecture enhances viscoelastic properties, swelling behavior, and structural stability compared to nonreinforced systems. Curcumin is incorporated as a multifunctional therapeutic agent, exhibiting sustained and pH-responsive release governed by hydrophobic and π–π interactions within the composite network. The hydrogel demonstrates pronounced antibacterial and antibiofilm activity against both Gram-positive and Gram-negative bacteria, which is further amplified under near-infrared (NIR) irradiation via photothermal effects. In vitro studies confirm excellent cytocompatibility, hemocompatibility, and enhanced fibroblast migration, indicating favorable cellular interactions. Importantly, in a streptozotocin-induced diabetic wound model, the composite hydrogel significantly accelerates wound closure, promotes collagen deposition and neovascularization, and restores oxidative stress biomarkers toward physiological levels. Mechanistically, the combined integration of amyloid-mediated mechanical reinforcement, HA-driven bioactivity, and curcumin-enabled therapeutic functionality enables the simultaneous regulation of infection, inflammation, and tissue regeneration. This study establishes a protein-polysaccharide hybrid hydrogel platform that couples structural reinforcement with stimuli-responsive therapeutic delivery, offering a promising strategy for advanced diabetic wound management and translational biomaterial design.</w:t>
      </w:r>
    </w:p>
    <w:p>
      <w:pPr>
        <w:spacing w:before="120" w:after="120"/>
      </w:pPr>
      <w:r>
        <w:rPr>
          <w:sz w:val="18"/>
        </w:rPr>
        <w:t>——————————————————————————————————————————————————————————————————————</w:t>
      </w:r>
    </w:p>
    <w:p>
      <w:pPr>
        <w:spacing w:before="160" w:after="40" w:line="240" w:lineRule="auto"/>
      </w:pPr>
      <w:r>
        <w:rPr>
          <w:b/>
        </w:rPr>
        <w:t xml:space="preserve">[457] </w:t>
      </w:r>
      <w:hyperlink r:id="rId1393">
        <w:r>
          <w:rPr>
            <w:color w:val="1155CC"/>
            <w:u w:val="single"/>
          </w:rPr>
          <w:t>营养饥饿和磷酸盐利用协调毛藻的浮力和高光耐受性</w:t>
        </w:r>
      </w:hyperlink>
    </w:p>
    <w:p>
      <w:pPr>
        <w:spacing w:before="0" w:after="80"/>
      </w:pPr>
      <w:r>
        <w:rPr>
          <w:i/>
          <w:sz w:val="20"/>
        </w:rPr>
        <w:t>EN: Nutrient starvation and phosphonate utilization coordinate buoyancy and high-light tolerance in Trichodesmium</w:t>
      </w:r>
    </w:p>
    <w:p>
      <w:pPr>
        <w:spacing w:before="0" w:after="120"/>
      </w:pPr>
      <w:r>
        <w:rPr>
          <w:b/>
        </w:rPr>
        <w:t xml:space="preserve">Source: </w:t>
      </w:r>
      <w:r>
        <w:t>Earth and environmental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固氮蓝藻 Trichodesmium 形成的表面水华对碳和氮循环有很大贡献。然而，控制其垂直上升和随后对高表面辐照度的耐受性的生理驱动因素仍然不清楚。通过测量下沉和漂浮的速度、分析转录组反应以及跟踪气体囊泡的亚细胞分布，我们表明营养饥饿是垂直上升的主要触发因素。具体来说，铁或磷的消耗会抑制代谢压载，破坏气泡升力的平衡，并将毛藻驱向地表水。此外，这种垂直迁移受到光依赖性代谢“安全制动器”的保护，可防止不可逆转地沉入深海。到达地表后，木藻转而利用替代有机磷源。特别是，甲基膦酸酯（MPn）的使用激活了一种独特的“表面生存模式”，其特征是光合活性下调和气体囊泡重新定位以形成外围光屏蔽。我们的研究结果揭示了一种将营养物传感、浮力调节和光保护联系起来的协调策略，解释了毛藻如何在寡营养表层海洋的高辐照度下确保其生态成功。</w:t>
      </w:r>
    </w:p>
    <w:p>
      <w:pPr>
        <w:spacing w:before="0" w:after="200" w:lineRule="auto" w:line="276"/>
      </w:pPr>
      <w:r>
        <w:rPr>
          <w:b/>
        </w:rPr>
        <w:t xml:space="preserve">Abstract (EN): </w:t>
      </w:r>
      <w:r>
        <w:t>The formation of surface blooms by the diazotrophic cyanobacterium Trichodesmium contributes extensively to carbon and nitrogen cycling. Yet the physiological drivers governing its vertical ascent and subsequent tolerance to high surface irradiance remain obscure. By measuring sinking and floating velocities, analyzing transcriptome responses, and tracking the subcellular distribution of gas vesicles, we show that nutrient starvation is the primary trigger for vertical ascent. Specifically, iron or phosphorus depletion inhibits metabolic ballasting, disrupting the equilibrium with gas vesicle lift and driving Trichodesmium towards surface waters. Moreover, this vertical migration is safeguarded by a light-dependent metabolic “safety brake” that prevents irreversible sinking to the deep ocean. Upon reaching the surface, Trichodesmium shifts to utilizing alternative organic phosphorus sources. Particularly, the utilization of methylphosphonate (MPn) activates a distinct “surface-survival mode” characterized by the downregulation of photosynthetic activity and the relocalization of gas vesicles to form peripheral optical shields. Our findings reveal a coordinated strategy linking nutrient sensing, buoyancy regulation, and photoprotection, explaining how Trichodesmium secures its ecological success under the high irradiance of the oligotrophic surface oceans.</w:t>
      </w:r>
    </w:p>
    <w:p>
      <w:pPr>
        <w:spacing w:before="120" w:after="120"/>
      </w:pPr>
      <w:r>
        <w:rPr>
          <w:sz w:val="18"/>
        </w:rPr>
        <w:t>——————————————————————————————————————————————————————————————————————</w:t>
      </w:r>
    </w:p>
    <w:p>
      <w:pPr>
        <w:spacing w:before="160" w:after="40" w:line="240" w:lineRule="auto"/>
      </w:pPr>
      <w:r>
        <w:rPr>
          <w:b/>
        </w:rPr>
        <w:t xml:space="preserve">[458] </w:t>
      </w:r>
      <w:hyperlink r:id="rId1394">
        <w:r>
          <w:rPr>
            <w:color w:val="1155CC"/>
            <w:u w:val="single"/>
          </w:rPr>
          <w:t>分子边缘层工程抑制石墨阶界面处的纳米级耗散</w:t>
        </w:r>
      </w:hyperlink>
    </w:p>
    <w:p>
      <w:pPr>
        <w:spacing w:before="0" w:after="80"/>
      </w:pPr>
      <w:r>
        <w:rPr>
          <w:i/>
          <w:sz w:val="20"/>
        </w:rPr>
        <w:t>EN: Molecular Edge-Layer Engineering Suppresses Nanoscale Dissipation at Graphitic Step Interfaces</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395">
        <w:r>
          <w:rPr>
            <w:color w:val="1155CC"/>
            <w:u w:val="single"/>
          </w:rPr>
          <w:t>10.1021/acsami.6c08414</w:t>
        </w:r>
      </w:hyperlink>
    </w:p>
    <w:p>
      <w:pPr>
        <w:spacing w:before="0" w:after="120"/>
      </w:pPr>
      <w:r>
        <w:rPr>
          <w:b/>
        </w:rPr>
        <w:t xml:space="preserve">Notes: </w:t>
      </w:r>
      <w:r>
        <w:t>abstract_source=crossref</w:t>
      </w:r>
    </w:p>
    <w:p>
      <w:pPr>
        <w:spacing w:before="0" w:after="80" w:lineRule="auto" w:line="276"/>
      </w:pPr>
      <w:r>
        <w:rPr>
          <w:b/>
        </w:rPr>
        <w:t xml:space="preserve">摘要（ZH）: </w:t>
      </w:r>
      <w:r>
        <w:t>摘要 原子阶梯边缘是石墨表面纳米级能量耗散的主要来源，包括明确的模型界面和碳基滑动接触中的石墨缺陷区域。在这里，我们表明，用线性正醇处理提供了一种依赖于链长度的途径来抑制石墨界面处的阶跃相关的横向响应。对酒精处理的高取向热解石墨进行的原子力显微镜测量表明，横向响应仍然局限于台阶边缘附近，而表观台阶高度在处理后几乎保持不变。相比之下，积分阶跃相关的横向响应指数随着烷基链长度的增加而系统地降低，这表明阶跃处的局部分子环境可以调节耗散耦合，而不会显着改变潜在的碳形态。使用受控边缘相关醇层模型的反应分子动力学模拟再现了下降趋势，并确定了分子层顺应性和取向如何减弱阶跃局部阻力。较长的链通过增加界面顺应性、更容易与扫描方向对齐以及减少二氧化硅尖端中扫描方向应变积累来抑制升压和降压电阻响应。短暂的尖端-分子/步骤相互作用在步骤遍历过程中发生，并产生次要的、与相位相关的力分量，但主要的链长效应来自分子层力学和尖端-步骤接触的几何缓冲。这些结果</w:t>
      </w:r>
    </w:p>
    <w:p>
      <w:pPr>
        <w:spacing w:before="0" w:after="200" w:lineRule="auto" w:line="276"/>
      </w:pPr>
      <w:r>
        <w:rPr>
          <w:b/>
        </w:rPr>
        <w:t xml:space="preserve">Abstract (EN): </w:t>
      </w:r>
      <w:r>
        <w:t>Atomic step edges are dominant sources of nanoscale energy dissipation on graphitic surfaces, including well-defined model interfaces and graphitic defect regions in carbon-based sliding contacts. Here, we show that treatment with linear n-alcohols provides a chain-length-dependent route to suppress step-associated lateral response at graphitic interfaces. Atomic force microscopy measurements on alcohol-treated highly oriented pyrolytic graphite reveal that lateral responses remain localized near step edges, whereas the apparent step height remains nearly unchanged after treatment. In contrast, the integrated step-associated lateral-response index decreases systematically with increasing alkyl-chain length, demonstrating that the local molecular environment at the step can regulate dissipative coupling without measurably altering the underlying carbon morphology. Reactive molecular dynamics simulations using controlled edge-associated alcohol-layer models reproduce the decreasing trend and identify how molecular-layer compliance and orientation can attenuate step-localized resistance. Longer chains suppress both step-up and step-down resistive responses by increasing interfacial compliance, aligning more readily with the scan direction, and reducing scan-direction strain accumulation in the silica tip. Short-lived tip–molecule/step interactions occur during step traversal and contribute a secondary, phase-dependent force component, but the dominant chain-length effect arises from molecular-layer mechanics and geometric buffering of the tip–step contact. These results establish molecular edge-layer compliance and orientation as descriptors for reducing nanoscale dissipation at graphitic step interfaces, while the applicability to real carbon-based coatings depends on defect structure, molecular retention, wear, and tribochemical regime.</w:t>
      </w:r>
    </w:p>
    <w:p>
      <w:pPr>
        <w:spacing w:before="120" w:after="120"/>
      </w:pPr>
      <w:r>
        <w:rPr>
          <w:sz w:val="18"/>
        </w:rPr>
        <w:t>——————————————————————————————————————————————————————————————————————</w:t>
      </w:r>
    </w:p>
    <w:p>
      <w:pPr>
        <w:spacing w:before="160" w:after="40" w:line="240" w:lineRule="auto"/>
      </w:pPr>
      <w:r>
        <w:rPr>
          <w:b/>
        </w:rPr>
        <w:t xml:space="preserve">[459] </w:t>
      </w:r>
      <w:hyperlink r:id="rId1396">
        <w:r>
          <w:rPr>
            <w:color w:val="1155CC"/>
            <w:u w:val="single"/>
          </w:rPr>
          <w:t>用于机械变色信息编码的动态硼酯基光子弹性体</w:t>
        </w:r>
      </w:hyperlink>
    </w:p>
    <w:p>
      <w:pPr>
        <w:spacing w:before="0" w:after="80"/>
      </w:pPr>
      <w:r>
        <w:rPr>
          <w:i/>
          <w:sz w:val="20"/>
        </w:rPr>
        <w:t>EN: Dynamic Boronic Ester-Based Photonic Elastomers for Mechanochromic Information Encoding</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397">
        <w:r>
          <w:rPr>
            <w:color w:val="1155CC"/>
            <w:u w:val="single"/>
          </w:rPr>
          <w:t>10.1021/acsami.6c12817</w:t>
        </w:r>
      </w:hyperlink>
    </w:p>
    <w:p>
      <w:pPr>
        <w:spacing w:before="0" w:after="120"/>
      </w:pPr>
      <w:r>
        <w:rPr>
          <w:b/>
        </w:rPr>
        <w:t xml:space="preserve">Notes: </w:t>
      </w:r>
      <w:r>
        <w:t>abstract_source=crossref</w:t>
      </w:r>
    </w:p>
    <w:p>
      <w:pPr>
        <w:spacing w:before="0" w:after="80" w:lineRule="auto" w:line="276"/>
      </w:pPr>
      <w:r>
        <w:rPr>
          <w:b/>
        </w:rPr>
        <w:t xml:space="preserve">摘要（ZH）: </w:t>
      </w:r>
      <w:r>
        <w:t>摘要 响应外部刺激动态调制光学特性的刺激响应光子材料引起了广泛的兴趣，其中能够将机械变形转化为光信号的力致变色系统在直观信号传导方面特别有前景。然而，传统的机械致变色胆甾型液晶弹性体（CLCE）通常功能有限且缺乏内在的损伤可修复性。在此，我们报道了一种多功能自修复光子弹性体（CLCEred），具有角度依赖性选择性布拉格反射和明显的机械致变色性，由动态硼酯键实现。该材料在机械变形下表现出连续和可逆的颜色可调性，同时保持优异的自修复性能。通过将机械变色响应性与固有的自愈能力相结合，该材料可充当可编程信息加密平台，实现机械编码/解码以及损坏后光学性能的恢复。这项工作通过集成多种响应功能，为智能光子材料的设计提供了一种通用策略，并增强了安全性、多功能性和耐用性。</w:t>
      </w:r>
    </w:p>
    <w:p>
      <w:pPr>
        <w:spacing w:before="0" w:after="200" w:lineRule="auto" w:line="276"/>
      </w:pPr>
      <w:r>
        <w:rPr>
          <w:b/>
        </w:rPr>
        <w:t xml:space="preserve">Abstract (EN): </w:t>
      </w:r>
      <w:r>
        <w:t>Stimulus-responsive photonic materials that dynamically modulate optical properties in response to external stimuli have attracted extensive interest, among which mechanochromic systems, capable of converting mechanical deformation into optical signals, are particularly promising for intuitive signal transduction. However, conventional mechanochromic cholesteric liquid crystal elastomers (CLCEs) often suffer from limited functionality and lack intrinsic damage repairability. Herein, we report a multifunctional self-healing photonic elastomer (CLCEred) featuring angle-dependent selective Bragg reflection and pronounced mechanochromism, enabled by dynamic boronic ester bonds. The material demonstrates continuous and reversible color tunability under mechanical deformation while maintaining excellent self-healing performance. By integrating mechanochromic responsiveness with intrinsic self-healing capability, the material functions as a programmable information encryption platform, enabling mechanical encoding/decoding and recovery of optical performance after damage. This work provides a versatile strategy for the design of intelligent photonic materials through the integration of multiple responsive functionalities, with enhanced security, multifunctionality, and durability.</w:t>
      </w:r>
    </w:p>
    <w:p>
      <w:pPr>
        <w:spacing w:before="120" w:after="120"/>
      </w:pPr>
      <w:r>
        <w:rPr>
          <w:sz w:val="18"/>
        </w:rPr>
        <w:t>——————————————————————————————————————————————————————————————————————</w:t>
      </w:r>
    </w:p>
    <w:p>
      <w:pPr>
        <w:spacing w:before="160" w:after="40" w:line="240" w:lineRule="auto"/>
      </w:pPr>
      <w:r>
        <w:rPr>
          <w:b/>
        </w:rPr>
        <w:t xml:space="preserve">[460] </w:t>
      </w:r>
      <w:hyperlink r:id="rId1398">
        <w:r>
          <w:rPr>
            <w:color w:val="1155CC"/>
            <w:u w:val="single"/>
          </w:rPr>
          <w:t>Co-Cu双金属ZIF-67@PDA基织物：可重复使用防护纺织品的三峰协同抗菌性能</w:t>
        </w:r>
      </w:hyperlink>
    </w:p>
    <w:p>
      <w:pPr>
        <w:spacing w:before="0" w:after="80"/>
      </w:pPr>
      <w:r>
        <w:rPr>
          <w:i/>
          <w:sz w:val="20"/>
        </w:rPr>
        <w:t>EN: Co–Cu Bimetallic ZIF-67@PDA-Based Fabrics: Trimodal Synergistic Antibacterial Performance for Reusable Protective Textiles</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399">
        <w:r>
          <w:rPr>
            <w:color w:val="1155CC"/>
            <w:u w:val="single"/>
          </w:rPr>
          <w:t>10.1021/acsami.6c05978</w:t>
        </w:r>
      </w:hyperlink>
    </w:p>
    <w:p>
      <w:pPr>
        <w:spacing w:before="0" w:after="120"/>
      </w:pPr>
      <w:r>
        <w:rPr>
          <w:b/>
        </w:rPr>
        <w:t xml:space="preserve">Notes: </w:t>
      </w:r>
      <w:r>
        <w:t>abstract_source=crossref</w:t>
      </w:r>
    </w:p>
    <w:p>
      <w:pPr>
        <w:spacing w:before="0" w:after="80" w:lineRule="auto" w:line="276"/>
      </w:pPr>
      <w:r>
        <w:rPr>
          <w:b/>
        </w:rPr>
        <w:t xml:space="preserve">摘要（ZH）: </w:t>
      </w:r>
      <w:r>
        <w:t>摘要 防护纺织品对于公共卫生安全至关重要，但传统纺织品仅对微生物进行物理过滤，无法对表面进行快速消毒，容易成为潜在的交叉感染源。商业化抗菌变种还存在灭菌速度慢、重复使用性差、多功能集成不足等问题，无法满足高效、长效防护的需求。在此，开发了一种简便且可扩展的两步策略（真空浸渍，然后 PDMS 喷涂）来制造具有快速协同抗菌活性和出色的可重复使用性的 Co-Cu 双金属 ZIF-67@聚多巴胺（PDA）基织物（CZPP-织物）。合成的Co-Cu双金属ZIF-67@PDA（CZP）纳米材料表现出增强的类酶催化活性和突出的光响应性能，模拟太阳光下羟基自由基（·OH）的产率比纯ZIF-67高3.24倍，光热转换效率达到31.75%。 CZPP-fabric在黑暗中2小时内实现了细菌的高效灭活，而在1 W/cm2模拟太阳光照射下，仅需5分钟即可灭活≥99.67%的金黄色葡萄球菌和100%的大肠杆菌。其抗菌作用归因于类酶催化、增强光动力疗法和光热疗法的强大三重协同作用。类酶催化活性即使在黑暗中也能维持 ROS 的产生，光动力效应诱导大量 ROS 产生（包括·OH 和 1O2），光热效应发挥了重要作用</w:t>
      </w:r>
    </w:p>
    <w:p>
      <w:pPr>
        <w:spacing w:before="0" w:after="200" w:lineRule="auto" w:line="276"/>
      </w:pPr>
      <w:r>
        <w:rPr>
          <w:b/>
        </w:rPr>
        <w:t xml:space="preserve">Abstract (EN): </w:t>
      </w:r>
      <w:r>
        <w:t>Protective textiles are essential for public health security, yet conventional textiles only physically filter microorganisms without rapid surface sterilization, easily becoming potential cross-infection sources. Commercial antibacterial variants also suffer from slow sterilization, poor reusability, and insufficient multifunctional integration, thus failing to meet the demand for efficient and long-term protection. Herein, a facile and scalable two-step strategy (vacuum impregnation followed by PDMS spray coating) was developed to fabricate Co–Cu bimetallic ZIF-67@polydopamine (PDA)-based fabrics (CZPP-fabric) with rapid synergistic antibacterial activity and outstanding reusability. The as-synthesized Co–Cu bimetallic ZIF-67@PDA (CZP) nanomaterials exhibited enhanced enzyme-like catalytic activity and prominent photo-responsive performance, with the yield of hydroxyl radicals (·OH) under simulated solar light being 3.24-fold higher than that for pure ZIF-67 and a photothermal conversion efficiency reaching 31.75%. The CZPP-fabric achieved efficient bacterial inactivation within 2 h in the dark, while, under 1 W/cm2 simulated solar light irradiation, it only took 5 min to inactivate ≥99.67% of S. aureus and 100% of E. coli. Its antibacterial effect was attributed to the robust triple synergy of enzyme-like catalysis, enhanced photodynamic therapy and photothermal therapy. The enzyme-like catalytic activity sustains ROS generation even in the dark, the photodynamic effect induces massive ROS production (including ·OH and 1O2), and the photothermal effect exerts mild thermal sterilization, with all these effects jointly damaging bacterial cell membrane structures to achieve efficient sterilization. Furthermore, the CZPP-fabric exhibited excellent comprehensive practical properties with favorable breathability, high hydrophobicity, and remarkable mechanical stability. More importantly, it maintained over 99% antibacterial efficiency after repeated washing and possessed favorable biocompatibility, enabling durable and safe reusable applications. This work provides a scalable strategy for multifunctional protective textiles with promising application prospects in public health protection.</w:t>
      </w:r>
    </w:p>
    <w:p>
      <w:pPr>
        <w:spacing w:before="120" w:after="120"/>
      </w:pPr>
      <w:r>
        <w:rPr>
          <w:sz w:val="18"/>
        </w:rPr>
        <w:t>——————————————————————————————————————————————————————————————————————</w:t>
      </w:r>
    </w:p>
    <w:p>
      <w:pPr>
        <w:spacing w:before="160" w:after="40" w:line="240" w:lineRule="auto"/>
      </w:pPr>
      <w:r>
        <w:rPr>
          <w:b/>
        </w:rPr>
        <w:t xml:space="preserve">[461] </w:t>
      </w:r>
      <w:hyperlink r:id="rId1400">
        <w:r>
          <w:rPr>
            <w:color w:val="1155CC"/>
            <w:u w:val="single"/>
          </w:rPr>
          <w:t>等网状非金属有机框架（N-MOF）作为有机反应的催化剂</w:t>
        </w:r>
      </w:hyperlink>
    </w:p>
    <w:p>
      <w:pPr>
        <w:spacing w:before="0" w:after="80"/>
      </w:pPr>
      <w:r>
        <w:rPr>
          <w:i/>
          <w:sz w:val="20"/>
        </w:rPr>
        <w:t>EN: Isoreticular Nonmetal−Organic Frameworks (N-MOFs) as Catalysts for Organic Reactions</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401">
        <w:r>
          <w:rPr>
            <w:color w:val="1155CC"/>
            <w:u w:val="single"/>
          </w:rPr>
          <w:t>10.1021/acsami.6c10984</w:t>
        </w:r>
      </w:hyperlink>
    </w:p>
    <w:p>
      <w:pPr>
        <w:spacing w:before="0" w:after="120"/>
      </w:pPr>
      <w:r>
        <w:rPr>
          <w:b/>
        </w:rPr>
        <w:t xml:space="preserve">Notes: </w:t>
      </w:r>
      <w:r>
        <w:t>abstract_source=crossref</w:t>
      </w:r>
    </w:p>
    <w:p>
      <w:pPr>
        <w:spacing w:before="0" w:after="80" w:lineRule="auto" w:line="276"/>
      </w:pPr>
      <w:r>
        <w:rPr>
          <w:b/>
        </w:rPr>
        <w:t xml:space="preserve">摘要（ZH）: </w:t>
      </w:r>
      <w:r>
        <w:t>摘要 最近发现的由质子化胺和游离三嗪官能团组成的等网状非金属有机骨架（N-MOF），带来了一种在催化方面具有潜在应用的新型固体材料。然而，据我们所知，N-MOF 尚未被报道为任何有机反应的催化剂。在这里，我们展示了两种代表性的 N-MOF 不仅催化不同的有机反应，而且还基于双功能酸/碱机制级联进行。缩醛脱保护可以与 Knoevenagel 缩合或 Biginelli 反应结合使用，以良好的收率发生，作为 N-MOF 孔径的函数（即孔越宽，催化活性越高），显示了材料的等网状组织的关键作用。 N-MOF是可回收的，为多相催化提供了一种新的简单有机固体。</w:t>
      </w:r>
    </w:p>
    <w:p>
      <w:pPr>
        <w:spacing w:before="0" w:after="200" w:lineRule="auto" w:line="276"/>
      </w:pPr>
      <w:r>
        <w:rPr>
          <w:b/>
        </w:rPr>
        <w:t xml:space="preserve">Abstract (EN): </w:t>
      </w:r>
      <w:r>
        <w:t>The recent discovery of isoreticular nonmetal−organic frameworks (N-MOFs), composed by protonated amines and free triazine functionalities, has brought a new kind of solid materials with potential application in catalysis. However, to our knowledge, N-MOFs have not been reported yet as catalysts for any organic reaction. Here we show that two representative N-MOFs not only catalyze different organic reactions but also proceed in cascade on the basis of a bifunctional acid/base mechanism. Acetal deprotection can be coupled with either the Knoevenagel condensation or the Biginelli reaction to occur in good yields as a function of the N-MOF pore size—i.e., the wider the pore is, the higher is the catalytic activity—showcasing the key role of the isoreticular organization of the material. The N-MOF is recyclable, providing a new simple and organic solid for heterogeneous catalysis.</w:t>
      </w:r>
    </w:p>
    <w:p>
      <w:pPr>
        <w:spacing w:before="120" w:after="120"/>
      </w:pPr>
      <w:r>
        <w:rPr>
          <w:sz w:val="18"/>
        </w:rPr>
        <w:t>——————————————————————————————————————————————————————————————————————</w:t>
      </w:r>
    </w:p>
    <w:p>
      <w:pPr>
        <w:spacing w:before="160" w:after="40" w:line="240" w:lineRule="auto"/>
      </w:pPr>
      <w:r>
        <w:rPr>
          <w:b/>
        </w:rPr>
        <w:t xml:space="preserve">[462] </w:t>
      </w:r>
      <w:hyperlink r:id="rId1402">
        <w:r>
          <w:rPr>
            <w:color w:val="1155CC"/>
            <w:u w:val="single"/>
          </w:rPr>
          <w:t>原子薄 NdTe3 中的线性色散载流子</w:t>
        </w:r>
      </w:hyperlink>
    </w:p>
    <w:p>
      <w:pPr>
        <w:spacing w:before="0" w:after="80"/>
      </w:pPr>
      <w:r>
        <w:rPr>
          <w:i/>
          <w:sz w:val="20"/>
        </w:rPr>
        <w:t>EN: Linearly dispersing carriers in atomically thin NdTe3</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长期以来，对支持超快电荷传输的材料的探索一直推动着纳米电子学的发展。自从石墨烯被分离出来以来，许多努力都集中在扩展线性色散层状材料的类别，同时将其电子性能扩展到晶胞极限。在这里，我们证明，通过增强的粘附力，可以将反铁磁 NdTe3 的原子薄层隔离到 Au 薄膜上，直至单个晶胞。使用不连续金膜进行剥离还可以实现直接电传输测量。磁输运揭示了原子薄样品中舒布尼科夫-德哈斯振荡的持久性。尽管相对于块状晶体，残余电阻率和磁阻受到抑制，但我们观察到电子结构没有显着改变，线性色散带在所有厚度上持续存在。来自不同费米口袋的多个自旋零效应进一步表明增强的有效 g 因子可能会扩展到 RTe3 家族的其他成员。</w:t>
      </w:r>
    </w:p>
    <w:p>
      <w:pPr>
        <w:spacing w:before="0" w:after="200" w:lineRule="auto" w:line="276"/>
      </w:pPr>
      <w:r>
        <w:rPr>
          <w:b/>
        </w:rPr>
        <w:t xml:space="preserve">Abstract (EN): </w:t>
      </w:r>
      <w:r>
        <w:t>The search for materials supporting ultrafast charge transport has long driven the development of nanoelectronics. Since the isolation of graphene, numerous efforts have focused on expanding the class of linearly dispersive layered materials while scaling their electronic properties to the unit-cell limit. Here, we demonstrate that atomically thin layers of antiferromagnetic NdTe3 can be isolated onto Au films, down to a single unit cell, through enhanced adhesion. Exfoliation using discontinuous Au films furthermore enables direct electrical transport measurements. Magnetotransport reveals the persistence of Shubnikov-de Haas oscillations in atomically thin samples. Despite suppressed residual resistivity ratio and magnetoresistance relative to bulk crystals, we observe no significant modifications of the electronic structure, with linear dispersive bands persisting across all thicknesses. Multiple spin-zero effects from distinct Fermi pockets further indicate an enhanced effective g-factor that may extend to other members of the RTe3 family.</w:t>
      </w:r>
    </w:p>
    <w:p>
      <w:pPr>
        <w:spacing w:before="120" w:after="120"/>
      </w:pPr>
      <w:r>
        <w:rPr>
          <w:sz w:val="18"/>
        </w:rPr>
        <w:t>——————————————————————————————————————————————————————————————————————</w:t>
      </w:r>
    </w:p>
    <w:p>
      <w:pPr>
        <w:spacing w:before="160" w:after="40" w:line="240" w:lineRule="auto"/>
      </w:pPr>
      <w:r>
        <w:rPr>
          <w:b/>
        </w:rPr>
        <w:t xml:space="preserve">[463] </w:t>
      </w:r>
      <w:hyperlink r:id="rId1403">
        <w:r>
          <w:rPr>
            <w:color w:val="1155CC"/>
            <w:u w:val="single"/>
          </w:rPr>
          <w:t>溶剂交换辅助湿法退火和盐析策略用于制备坚韧、强韧、超拉伸和抗冻水凝胶</w:t>
        </w:r>
      </w:hyperlink>
    </w:p>
    <w:p>
      <w:pPr>
        <w:spacing w:before="0" w:after="80"/>
      </w:pPr>
      <w:r>
        <w:rPr>
          <w:i/>
          <w:sz w:val="20"/>
        </w:rPr>
        <w:t>EN: Solvent Exchange-Assisted Wet Annealing and Salting-Out Strategy for Tough, Strong, Ultra-Stretchable, and Antifreezing Hydrogel</w:t>
      </w:r>
    </w:p>
    <w:p>
      <w:pPr>
        <w:spacing w:before="0" w:after="120"/>
      </w:pPr>
      <w:r>
        <w:rPr>
          <w:b/>
        </w:rPr>
        <w:t xml:space="preserve">Source: </w:t>
      </w:r>
      <w:r>
        <w:t>ACS Applied Materials &amp; Interfaces: Latest Articles (ACS Publications)</w:t>
      </w:r>
      <w:r>
        <w:t xml:space="preserve">    </w:t>
      </w:r>
      <w:r>
        <w:rPr>
          <w:b/>
        </w:rPr>
        <w:t xml:space="preserve">Pub date: </w:t>
      </w:r>
      <w:r>
        <w:t>2026-08-05 00:00:00+00:00</w:t>
      </w:r>
      <w:r>
        <w:t xml:space="preserve">    </w:t>
      </w:r>
      <w:r>
        <w:rPr>
          <w:b/>
        </w:rPr>
        <w:t xml:space="preserve">DOI: </w:t>
      </w:r>
      <w:hyperlink r:id="rId1404">
        <w:r>
          <w:rPr>
            <w:color w:val="1155CC"/>
            <w:u w:val="single"/>
          </w:rPr>
          <w:t>10.1021/acsami.6c10699</w:t>
        </w:r>
      </w:hyperlink>
    </w:p>
    <w:p>
      <w:pPr>
        <w:spacing w:before="0" w:after="120"/>
      </w:pPr>
      <w:r>
        <w:rPr>
          <w:b/>
        </w:rPr>
        <w:t xml:space="preserve">Notes: </w:t>
      </w:r>
      <w:r>
        <w:t>abstract_source=crossref</w:t>
      </w:r>
    </w:p>
    <w:p>
      <w:pPr>
        <w:spacing w:before="0" w:after="80" w:lineRule="auto" w:line="276"/>
      </w:pPr>
      <w:r>
        <w:rPr>
          <w:b/>
        </w:rPr>
        <w:t xml:space="preserve">摘要（ZH）: </w:t>
      </w:r>
      <w:r>
        <w:t>摘要 水凝胶广​​泛应用于生物医学、人机交互、可穿戴电子等领域。然而，开发同时具有高强度、高韧性、优异的拉伸性和抗冻性的导电水凝胶以满足不同的应用场景仍然是一个重大挑战。本文提出了一种新的溶剂交换辅助湿法退火-盐析策略，通过修饰内部氢键网络、结构致密化和调整结晶度来制备高韧性聚（乙烯醇）明胶水凝胶。通过溶剂置换Li2SO4的退火和盐析的协同作用，制备的PGEH-ALi导电水凝胶具有优异的机械性能（拉伸强度9.7 MPa、断裂伸长率5316.5%、韧性293.99 MJ/m3）和出色的环境稳定性。这些出色的机械性能优于其他弹性体。这项工作提供了一种新的有效策略来制造坚韧、强韧、可拉伸和抗冻的水凝胶，并在许多领域具有潜在的应用。</w:t>
      </w:r>
    </w:p>
    <w:p>
      <w:pPr>
        <w:spacing w:before="0" w:after="200" w:lineRule="auto" w:line="276"/>
      </w:pPr>
      <w:r>
        <w:rPr>
          <w:b/>
        </w:rPr>
        <w:t xml:space="preserve">Abstract (EN): </w:t>
      </w:r>
      <w:r>
        <w:t>Hydrogels are widely used in biomedicine, human−computer interaction, wearable electronics, etc. However, the development of conductive hydrogels that simultaneously possess high strength, high toughness, excellent stretchability, and antifreezing to meet diverse application scenarios remains a significant challenge. Herein, a new solvent exchange-assisted wet annealing−salting out strategy is proposed to prepare high-toughness poly (vinyl alcohol)-gelatin hydrogels by modification of the internal hydrogen bond network, structural densification, and adjustment of the crystallinity. Through the synergistic effect of annealing and salting out via solvent replacement of Li2SO4, the PGEH-ALi-conductive hydrogels are fabricated with excellent mechanical properties (9.7 MPa of tensile strength, 5316.5% of elongation at break, and 293.99 MJ/m3 of toughness) and outstanding environmental stability. These outstanding mechanical properties are superior to those of other elastomers. This work provides a new and effective strategy to fabricate tough, strong, stretchable, and antifreezing hydrogels with potential applications in numerous fields.</w:t>
      </w:r>
    </w:p>
    <w:p>
      <w:pPr>
        <w:spacing w:before="120" w:after="120"/>
      </w:pPr>
      <w:r>
        <w:rPr>
          <w:sz w:val="18"/>
        </w:rPr>
        <w:t>——————————————————————————————————————————————————————————————————————</w:t>
      </w:r>
    </w:p>
    <w:p>
      <w:pPr>
        <w:spacing w:before="160" w:after="40" w:line="240" w:lineRule="auto"/>
      </w:pPr>
      <w:r>
        <w:rPr>
          <w:b/>
        </w:rPr>
        <w:t xml:space="preserve">[464] </w:t>
      </w:r>
      <w:hyperlink r:id="rId1405">
        <w:r>
          <w:rPr>
            <w:color w:val="1155CC"/>
            <w:u w:val="single"/>
          </w:rPr>
          <w:t>芳基自由基加成-脱氢环化驱动多环芳烃快速增长</w:t>
        </w:r>
      </w:hyperlink>
    </w:p>
    <w:p>
      <w:pPr>
        <w:spacing w:before="0" w:after="80"/>
      </w:pPr>
      <w:r>
        <w:rPr>
          <w:i/>
          <w:sz w:val="20"/>
        </w:rPr>
        <w:t>EN: Aryl radical addition–dehydrocyclization drives rapid polycyclic aromatic hydrocarbon growth</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多环芳烃在太空中无处不在，但天体化学模型无法重现其观测到的丰度，因为已知的生长机制太慢。在这里，我们报告了一种由多环芳基自由基通过芳基加成-脱氢环化机制介导的多环芳烃质量快速增长的合理途径。 1-和2-萘基自由基与联苯和萘的高温反应作为概念验证，证明了通过[3 + 2]之字形边缘和[4 + 2]碳湾封闭气相形成五环多环芳烃，包括苯并[b]苯并菲、苯并[4]螺烯、苯并[k]荧蒽、苯并[j]荧蒽和苝。使用可调谐真空紫外光电离结合 i²PEPICO 光谱选择性地鉴定产品的异构体。由单次碰撞引发，芳基加成-脱氢环化机制形成多个碳-碳键，与夺氢-乙炔加成等顺序途径相比，可能加速多环芳烃的生长。该途径提供了一条从小芳烃到扩展的二维和三维碳纳米结构的途径，重塑了我们对高温天体物理环境中芳香碳演化的理解，从星际包层到行星状星云，为太空中复杂碳质分子的形成提供了见解。</w:t>
      </w:r>
    </w:p>
    <w:p>
      <w:pPr>
        <w:spacing w:before="0" w:after="200" w:lineRule="auto" w:line="276"/>
      </w:pPr>
      <w:r>
        <w:rPr>
          <w:b/>
        </w:rPr>
        <w:t xml:space="preserve">Abstract (EN): </w:t>
      </w:r>
      <w:r>
        <w:t>Polycyclic aromatic hydrocarbons are ubiquitous in space, yet astrochemical models fail to reproduce their observed abundances because known growth mechanisms are far too slow. Here, we report a plausible pathway for rapid polycyclic aromatic hydrocarbon mass growth mediated by multi-ring aryl radicals via the aryl addition–dehydrocyclization mechanism. High-temperature reactions of 1- and 2-naphthyl radicals with biphenyl and naphthalene serve as proof-of-concept, demonstrating the gas-phase formation of five-ring polycyclic aromatic hydrocarbons including benzo[b]triphenylene, benzo[4]helicene, benzo[k]fluoranthene, benzo[j]fluoranthene, and perylene through [3 + 2] zig-zag edge and [4 + 2] carbon bay closures. Products are identified isomer-selectively using tunable vacuum-ultraviolet photoionization coupled with i²PEPICO spectroscopy. Initiated by a single collision, the aryl addition–dehydrocyclization mechanism forms multiple carbon–carbon bonds, possibly accelerating polycyclic aromatic hydrocarbon growth compared with sequential pathways such as hydrogen abstraction–acetylene addition. This pathway provides a route from small aromatics to extended two- and three-dimensional carbon nanostructures, reshaping our understanding of aromatic carbon evolution in high-temperature astrophysical environments, from circumstellar envelopes to planetary nebulae, offering insights into the formation of complex carbonaceous molecules in space.</w:t>
      </w:r>
    </w:p>
    <w:p>
      <w:pPr>
        <w:spacing w:before="120" w:after="120"/>
      </w:pPr>
      <w:r>
        <w:rPr>
          <w:sz w:val="18"/>
        </w:rPr>
        <w:t>——————————————————————————————————————————————————————————————————————</w:t>
      </w:r>
    </w:p>
    <w:p>
      <w:pPr>
        <w:spacing w:before="160" w:after="40" w:line="240" w:lineRule="auto"/>
      </w:pPr>
      <w:r>
        <w:rPr>
          <w:b/>
        </w:rPr>
        <w:t xml:space="preserve">[465] </w:t>
      </w:r>
      <w:hyperlink r:id="rId1406">
        <w:r>
          <w:rPr>
            <w:color w:val="1155CC"/>
            <w:u w:val="single"/>
          </w:rPr>
          <w:t>AMOC-海面温度关系的变化</w:t>
        </w:r>
      </w:hyperlink>
    </w:p>
    <w:p>
      <w:pPr>
        <w:spacing w:before="0" w:after="80"/>
      </w:pPr>
      <w:r>
        <w:rPr>
          <w:i/>
          <w:sz w:val="20"/>
        </w:rPr>
        <w:t>EN: Regime shifts of AMOC-sea surface temperature relationship</w:t>
      </w:r>
    </w:p>
    <w:p>
      <w:pPr>
        <w:spacing w:before="0" w:after="120"/>
      </w:pPr>
      <w:r>
        <w:rPr>
          <w:b/>
        </w:rPr>
        <w:t xml:space="preserve">Source: </w:t>
      </w:r>
      <w:r>
        <w:t>Earth and environmental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大西洋经向翻转环流（AMOC）在调节气候方面发挥着关键作用，副极地北大西洋海面温度（SST）模式被广泛用于推断其强度变化。然而他们关系的稳定性仍不清楚。在这里，我们使用跨越各种气候状态的社区地球系统模型模拟和多模型集合，表明这种关系是依赖于状态的。我们确定了三种不同的状态：具有典型偶极指纹的强 AMOC；中等AMOC，副极地海温异常放大； AMOC 微弱，北大西洋信号减弱。这些状况主要源于大气辐射过程的变化，而海洋过程则通过海气相互作用间接产生影响。 AMOC-SST 敏感度峰值年份作为向弱 AMOC 状态过渡以及相关的北大西洋暖洞衰减的预测因子，为气候预测中的模型不确定性提供了基于物理的约束。我们的研究结果还表明，基于 SST 的 AMOC 指标必须考虑到国家依赖性。</w:t>
      </w:r>
    </w:p>
    <w:p>
      <w:pPr>
        <w:spacing w:before="0" w:after="200" w:lineRule="auto" w:line="276"/>
      </w:pPr>
      <w:r>
        <w:rPr>
          <w:b/>
        </w:rPr>
        <w:t xml:space="preserve">Abstract (EN): </w:t>
      </w:r>
      <w:r>
        <w:t>The Atlantic Meridional Overturning Circulation (AMOC) plays critical roles in regulating climate, and subpolar North Atlantic sea-surface temperature (SST) patterns are widely used to infer changes in its strength. Yet the stationarity of their relationship remains unclear. Here, using Community Earth System Model simulations spanning various climate states and a multi-model ensemble, we show that this relationship is state-dependent. We identify three distinct regimes: strong AMOC with the typical dipole fingerprint; intermediate AMOC with amplified subpolar SST anomalies; and weak AMOC with muted North Atlantic signals. These regimes arise primarily from changes in atmospheric radiative processes, while ocean processes contribute indirectly through air–sea interactions. The year of peak AMOC–SST sensitivity emerges as a predictor of the transition into the weak-AMOC regime and associated decay of the North Atlantic warming hole, offering a physically-based constraint on model uncertainties in climate projections. Our findings also imply that SST-based AMOC indicators must account for state dependence.</w:t>
      </w:r>
    </w:p>
    <w:p>
      <w:pPr>
        <w:spacing w:before="120" w:after="120"/>
      </w:pPr>
      <w:r>
        <w:rPr>
          <w:sz w:val="18"/>
        </w:rPr>
        <w:t>——————————————————————————————————————————————————————————————————————</w:t>
      </w:r>
    </w:p>
    <w:p>
      <w:pPr>
        <w:spacing w:before="160" w:after="40" w:line="240" w:lineRule="auto"/>
      </w:pPr>
      <w:r>
        <w:rPr>
          <w:b/>
        </w:rPr>
        <w:t xml:space="preserve">[466] </w:t>
      </w:r>
      <w:hyperlink r:id="rId1407">
        <w:r>
          <w:rPr>
            <w:color w:val="1155CC"/>
            <w:u w:val="single"/>
          </w:rPr>
          <w:t>全球消费、碳价格和公平之间的权衡</w:t>
        </w:r>
      </w:hyperlink>
    </w:p>
    <w:p>
      <w:pPr>
        <w:spacing w:before="0" w:after="80"/>
      </w:pPr>
      <w:r>
        <w:rPr>
          <w:i/>
          <w:sz w:val="20"/>
        </w:rPr>
        <w:t>EN: Global trade-offs between consumption, carbon prices and equity</w:t>
      </w:r>
    </w:p>
    <w:p>
      <w:pPr>
        <w:spacing w:before="0" w:after="120"/>
      </w:pPr>
      <w:r>
        <w:rPr>
          <w:b/>
        </w:rPr>
        <w:t xml:space="preserve">Source: </w:t>
      </w:r>
      <w:r>
        <w:t>Earth and environmental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随着剩余碳预算持续减少，经济增长给将全球变暖限制在 1.5°C 的努力带来压力。减少高收入地区和富人不必要的生产和消费，并更多地围绕人类需求和人类福祉组织生产，可能会减轻技术驱动的脱碳战略的压力。我们采用改进的综合评估模型来探索人均消费、气候政策严格性和公平性之间的相互作用。我们的路径表明，相对于高消费期货，低消费期货与不同碳价格轨迹的升温幅度大幅降低（0.3-1.1 °C）相关。相比之下，全球各地区收入趋同对全球气温结果的影响较小（</w:t>
      </w:r>
    </w:p>
    <w:p>
      <w:pPr>
        <w:spacing w:before="0" w:after="200" w:lineRule="auto" w:line="276"/>
      </w:pPr>
      <w:r>
        <w:rPr>
          <w:b/>
        </w:rPr>
        <w:t xml:space="preserve">Abstract (EN): </w:t>
      </w:r>
      <w:r>
        <w:t>As the remaining carbon budget continues to dwindle, economic growth strains efforts to limit global warming to 1.5 °C. Reducing unnecessary production and consumption in high-income regions and among the wealthy, and organising production more around human needs and human well-being, may alleviate pressures on technology-driven decarbonisation strategies. We employ a modified integrated assessment model to explore the interaction between converging per-capita consumption, climate policy stringency and equity. Our pathways demonstrate that lower-consumption futures are associated with substantially lower warming, 0.3–1.1 °C across different carbon price trajectories, relative to high-consumption futures. Comparatively, global convergence of incomes between regions has a small influence on global temperature outcomes (</w:t>
      </w:r>
    </w:p>
    <w:p>
      <w:pPr>
        <w:spacing w:before="120" w:after="120"/>
      </w:pPr>
      <w:r>
        <w:rPr>
          <w:sz w:val="18"/>
        </w:rPr>
        <w:t>——————————————————————————————————————————————————————————————————————</w:t>
      </w:r>
    </w:p>
    <w:p>
      <w:pPr>
        <w:spacing w:before="160" w:after="40" w:line="240" w:lineRule="auto"/>
      </w:pPr>
      <w:r>
        <w:rPr>
          <w:b/>
        </w:rPr>
        <w:t xml:space="preserve">[467] </w:t>
      </w:r>
      <w:hyperlink r:id="rId1408">
        <w:r>
          <w:rPr>
            <w:color w:val="1155CC"/>
            <w:u w:val="single"/>
          </w:rPr>
          <w:t>温暖的上新世晚期，热带大西洋的 N2 固定减少</w:t>
        </w:r>
      </w:hyperlink>
    </w:p>
    <w:p>
      <w:pPr>
        <w:spacing w:before="0" w:after="80"/>
      </w:pPr>
      <w:r>
        <w:rPr>
          <w:i/>
          <w:sz w:val="20"/>
        </w:rPr>
        <w:t>EN: Reduced N2 fixation in the tropical Atlantic Ocean during the warm late Pliocene</w:t>
      </w:r>
    </w:p>
    <w:p>
      <w:pPr>
        <w:spacing w:before="0" w:after="120"/>
      </w:pPr>
      <w:r>
        <w:rPr>
          <w:b/>
        </w:rPr>
        <w:t xml:space="preserve">Source: </w:t>
      </w:r>
      <w:r>
        <w:t>Earth and environmental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在过去比现在温暖的气候下，水柱反硝化作用（主要的海洋氮（N）汇）有所减少，但氮固定（主要海洋氮源）的响应仍未得到解决。在这里，我们利用跨越温暖的上新世晚期的热带大西洋的有孔虫结合的 N 同位素记录来解决这一差距，这是预计的 21 世纪变暖的地质模拟。我们的记录显示，热带北大西洋的氮固定量在上新世晚期有所减少，到更新世晚期则显着增加，这可能是由于水柱反硝化作用的增加，这一过程在全球范围内产生了贫氮、含磷（P）的地表水。大约280万年前，随着冰川作用的加剧，我们的记录显示，N2固定强度出现了倾斜变化，这可能反映了海平面控制的大陆架区域变化和西热带大西洋的底栖反硝化作用，同样是通过形成贫氮、含磷的地表水。这些发现表明，氮固定对海洋数百万年和轨道时间尺度上的氮损失过程都有反应，这表明全球海洋固定氮预算可能会在气候变暖时通过减少水柱反硝化和氮固定来重新平衡。</w:t>
      </w:r>
    </w:p>
    <w:p>
      <w:pPr>
        <w:spacing w:before="0" w:after="200" w:lineRule="auto" w:line="276"/>
      </w:pPr>
      <w:r>
        <w:rPr>
          <w:b/>
        </w:rPr>
        <w:t xml:space="preserve">Abstract (EN): </w:t>
      </w:r>
      <w:r>
        <w:t>Water column denitrification, a major oceanic nitrogen (N) sink, decreased under past warmer-than-present climates, but the response of N2 fixation, the main oceanic N source, remains unresolved. Here we address this gap using foraminifera-bound N isotope records from the tropical Atlantic spanning the warm late Pliocene, a geological analog for projected 21st century warming. Our records show that tropical North Atlantic N2 fixation was reduced during the late Pliocene and had increased markedly by the late Pleistocene, likely due to an increase in water column denitrification, a process that globally engenders N-poor, phosphorus (P)-bearing surface waters. After ~ 2.8 million years ago, as glaciations intensified, our records show that obliquity-paced variations in the intensity of N2 fixation emerged, likely reflecting sea-level controlled changes in continental shelf area and benthic denitrification in the western tropical Atlantic, again through the generation of N-poor, P-bearing surface waters. These findings show that N2 fixation responds to the ocean’s N loss processes both over millions of years and on orbital timescales, suggesting that the global marine fixed N budget may rebalance under warmer climates by reducing both water column denitrification and N2 fixation.</w:t>
      </w:r>
    </w:p>
    <w:p>
      <w:pPr>
        <w:spacing w:before="120" w:after="120"/>
      </w:pPr>
      <w:r>
        <w:rPr>
          <w:sz w:val="18"/>
        </w:rPr>
        <w:t>——————————————————————————————————————————————————————————————————————</w:t>
      </w:r>
    </w:p>
    <w:p>
      <w:pPr>
        <w:spacing w:before="160" w:after="40" w:line="240" w:lineRule="auto"/>
      </w:pPr>
      <w:r>
        <w:rPr>
          <w:b/>
        </w:rPr>
        <w:t xml:space="preserve">[468] </w:t>
      </w:r>
      <w:hyperlink r:id="rId1409">
        <w:r>
          <w:rPr>
            <w:color w:val="1155CC"/>
            <w:u w:val="single"/>
          </w:rPr>
          <w:t>种族化经济集中度预测 2005 年至 2022 年美国风暴相关伤害和死亡人数</w:t>
        </w:r>
      </w:hyperlink>
    </w:p>
    <w:p>
      <w:pPr>
        <w:spacing w:before="0" w:after="80"/>
      </w:pPr>
      <w:r>
        <w:rPr>
          <w:i/>
          <w:sz w:val="20"/>
        </w:rPr>
        <w:t>EN: Racialized economic concentration predicts storm-related injuries and deaths in the United States, 2005–2022</w:t>
      </w:r>
    </w:p>
    <w:p>
      <w:pPr>
        <w:spacing w:before="0" w:after="120"/>
      </w:pPr>
      <w:r>
        <w:rPr>
          <w:b/>
        </w:rPr>
        <w:t xml:space="preserve">Source: </w:t>
      </w:r>
      <w:r>
        <w:t>Earth and environmental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美国各地的极端风暴造成了巨大且分布不均的健康负担。我们将美国国家海洋和大气管理局风暴事件数据库（2005-2022）中的 111,252 个县事件观测结果与极端浓度指数 (ICE) 联系起来，以检验 ICE 是否可以预测与风暴相关的伤害和死亡。极端浓度指数是一种种族经济集中度指标，反映了美国各县内高收入非西班牙裔白人家庭与低收入黑人家庭的相对集中度。使用具有县随机截距和人口偏移的多级零膨胀负二项式模型，ICE 每增加五分之一（相对于低收入黑人家庭，高收入非西班牙裔白人家庭更加集中），直接伤害率降低 52%（IRR = 0.48，95% CI：[0.44，0.53]），直接死亡率降低 36%（IRR = 0.64，95% CI：[0.59，0.69]）。间接结果的关联不太精确，但方向一致（间接伤害 IRR = 0.70，95% CI：[0.54，0.91]；间接死亡 IRR = 0.66，95% CI：[0.48，0.89]）。样条模型表明，较高的风险集中在最弱势的县，而风险在较有利的地区趋于平缓。县级地图显示，结构劣势和风暴暴露频率并不系统地共存，这表明已实现的危害是由社会和基础设施环境驱动的，而不仅仅是暴露造成的。这些发现表明，种族化的经济集中是造成这种现象的结构性决定因素。</w:t>
      </w:r>
    </w:p>
    <w:p>
      <w:pPr>
        <w:spacing w:before="0" w:after="200" w:lineRule="auto" w:line="276"/>
      </w:pPr>
      <w:r>
        <w:rPr>
          <w:b/>
        </w:rPr>
        <w:t xml:space="preserve">Abstract (EN): </w:t>
      </w:r>
      <w:r>
        <w:t>Extreme storms across the United States pose substantial and unequally distributed health burdens. We linked 111,252 county-event observations from the US National Oceanic and Atmospheric Administration Storm Events Database (2005–2022) to the Index of Concentration at the Extremes (ICE), a measure of racialized economic concentration reflecting the relative concentration of high-income non-Hispanic White households compared with low-income Black households within U.S. counties, to examine whether ICE predicts storm-related injuries and deaths. Using multilevel zero-inflated negative binomial models with county random intercepts and population offsets, each one-quintile increase in ICE (greater concentration of high-income, non-Hispanic White households relative to low-income Black households) was associated with 52% lower rates of direct injuries (IRR = 0.48, 95% CI: [0.44, 0.53]) and 36% lower rates of direct deaths (IRR = 0.64, 95% CI: [0.59, 0.69]). Associations for indirect outcomes were less precise but directionally consistent (indirect injuries IRR = 0.70, 95% CI: [0.54, 0.91]; indirect deaths IRR = 0.66, 95% CI: [0.48, 0.89]). Spline models suggested elevated risk concentrated in the most disadvantaged counties, with risk flattening in more advantaged areas. County-level maps show that structural disadvantage and storm exposure frequency do not systematically co-locate, suggesting that realized harm is driven by social and infrastructural context rather than exposure alone. These findings identify racialized economic concentration as a structural determinant of disaster harm and support targeting resilience investments toward the most structurally disadvantaged and economically marginalized counties.</w:t>
      </w:r>
    </w:p>
    <w:p>
      <w:pPr>
        <w:spacing w:before="120" w:after="120"/>
      </w:pPr>
      <w:r>
        <w:rPr>
          <w:sz w:val="18"/>
        </w:rPr>
        <w:t>——————————————————————————————————————————————————————————————————————</w:t>
      </w:r>
    </w:p>
    <w:p>
      <w:pPr>
        <w:spacing w:before="160" w:after="40" w:line="240" w:lineRule="auto"/>
      </w:pPr>
      <w:r>
        <w:rPr>
          <w:b/>
        </w:rPr>
        <w:t xml:space="preserve">[469] </w:t>
      </w:r>
      <w:hyperlink r:id="rId1410">
        <w:r>
          <w:rPr>
            <w:color w:val="1155CC"/>
            <w:u w:val="single"/>
          </w:rPr>
          <w:t>作者更正：可拉伸全凝胶有机电化学晶体管</w:t>
        </w:r>
      </w:hyperlink>
    </w:p>
    <w:p>
      <w:pPr>
        <w:spacing w:before="0" w:after="80"/>
      </w:pPr>
      <w:r>
        <w:rPr>
          <w:i/>
          <w:sz w:val="20"/>
        </w:rPr>
        <w:t>EN: Author Correction: Stretchable all-gel organic electrochemical transistors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[470] </w:t>
      </w:r>
      <w:hyperlink r:id="rId1411">
        <w:r>
          <w:rPr>
            <w:color w:val="1155CC"/>
            <w:u w:val="single"/>
          </w:rPr>
          <w:t>连续体中具有束缚角态的声学高阶拓扑金属</w:t>
        </w:r>
      </w:hyperlink>
    </w:p>
    <w:p>
      <w:pPr>
        <w:spacing w:before="0" w:after="80"/>
      </w:pPr>
      <w:r>
        <w:rPr>
          <w:i/>
          <w:sz w:val="20"/>
        </w:rPr>
        <w:t>EN: Acoustic higher-order topological metals with bound corner states in the continuum</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一阶和高阶二维拓扑绝缘体，分别以带隙内边缘态和角态为特征，引起了人们极大的研究兴趣。与它们不同的是，二维拓扑金属在没有体带隙的情况下表现出拓扑边界态。虽然具有反手性或反螺旋边缘态的一阶拓扑金属已经实现，但高阶拓扑金属仍然缺乏系统的实验研究。在这里，我们提出了一种实用的二维高阶拓扑金属方法，并展示了它们在声子晶体中的实验实现。金属体态、带隙反螺旋边缘态和拓扑角态都通过空气传播的声音实验得到了明确的证明。作为这种拓扑金属的关键特征，拓扑角态嵌入在金属体能带的连续谱中，即连续谱中的束缚角态。我们的研究结果证明了金属相中的高阶拓扑状态，并可能促进下一代声波操纵设备的开发。</w:t>
      </w:r>
    </w:p>
    <w:p>
      <w:pPr>
        <w:spacing w:before="0" w:after="200" w:lineRule="auto" w:line="276"/>
      </w:pPr>
      <w:r>
        <w:rPr>
          <w:b/>
        </w:rPr>
        <w:t xml:space="preserve">Abstract (EN): </w:t>
      </w:r>
      <w:r>
        <w:t>Two-dimensional topological insulators for first order and higher order, characterized respectively by in-gap edge states and corner states, have attracted tremendous research interest. Different from them, two-dimensional topological metals exhibit topological boundary states in the absence of bulk bandgaps. While first-order topological metals with anti-chiral or anti-helical edge states have been implemented, higher-order topological metals still lack systematic experimental investigation. Here, we propose a practically accessible approach to two-dimensional higher-order topological metals and demonstrate their experimental realization in phononic crystals. The metallic bulk states, gapped anti-helical edge states, and topological corner states, are unambiguously demonstrated via airborne sound experiments. As the key feature of such topological metal, the topological corner states are embedded in the continuous spectrum of metallic bulk bands, namely the bound corner states in the continuum. Our findings evidence higher-order topological states in metallic phases, and may promote the development of next-generation devices for acoustic wave manipulation.</w:t>
      </w:r>
    </w:p>
    <w:p>
      <w:pPr>
        <w:spacing w:before="120" w:after="120"/>
      </w:pPr>
      <w:r>
        <w:rPr>
          <w:sz w:val="18"/>
        </w:rPr>
        <w:t>——————————————————————————————————————————————————————————————————————</w:t>
      </w:r>
    </w:p>
    <w:p>
      <w:pPr>
        <w:spacing w:before="160" w:after="40" w:line="240" w:lineRule="auto"/>
      </w:pPr>
      <w:r>
        <w:rPr>
          <w:b/>
        </w:rPr>
        <w:t xml:space="preserve">[471] </w:t>
      </w:r>
      <w:hyperlink r:id="rId1412">
        <w:r>
          <w:rPr>
            <w:color w:val="1155CC"/>
            <w:u w:val="single"/>
          </w:rPr>
          <w:t>基于非手性分子的微手性风车阵列</w:t>
        </w:r>
      </w:hyperlink>
    </w:p>
    <w:p>
      <w:pPr>
        <w:spacing w:before="0" w:after="80"/>
      </w:pPr>
      <w:r>
        <w:rPr>
          <w:i/>
          <w:sz w:val="20"/>
        </w:rPr>
        <w:t>EN: Microchiral pinwheel arrays based on achiral molecules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从分子角度来看，手性表现在原子排列的内在不对称性上，不能叠加在它们的镜像上。纳米级的非手性分子可以利用物理刺激组装成微米级的手性结构，但所得的手性结构通常在空间上受到限制，难以在大面积上控制，或者一旦去除刺激就不稳定。在这里，我们展示了源自向列中间相的受限各向异性分子介质经历场驱动的对称破缺转变，从而产生微米级手性结构。这种方法提供了一种简单且可扩展的途径，可以从分子对称前体生成宏观手性光学材料。</w:t>
      </w:r>
    </w:p>
    <w:p>
      <w:pPr>
        <w:spacing w:before="0" w:after="200" w:lineRule="auto" w:line="276"/>
      </w:pPr>
      <w:r>
        <w:rPr>
          <w:b/>
        </w:rPr>
        <w:t xml:space="preserve">Abstract (EN): </w:t>
      </w:r>
      <w:r>
        <w:t>From a molecular perspective, chirality is manifested in the intrinsic asymmetry of atomic arrangements that cannot be superimposed on their mirror images. Achiral molecules at nanometer scale can be assembled to have micron-scale chiral structures using physical stimuli, but the resulting chiral structures are often spatially limited, difficult to control over large areas, or unstable once the stimulus is removed. Here we show that a confined anisotropic molecular medium, derived from the nematic mesophase, undergoes a field-driven symmetry-breaking transition that generates micron-scale chiral structures. This approach provides a simple and scalable route to generate macroscopic chiral optical materials from molecularly symmetric precursors.</w:t>
      </w:r>
    </w:p>
    <w:p>
      <w:pPr>
        <w:spacing w:before="120" w:after="120"/>
      </w:pPr>
      <w:r>
        <w:rPr>
          <w:sz w:val="18"/>
        </w:rPr>
        <w:t>——————————————————————————————————————————————————————————————————————</w:t>
      </w:r>
    </w:p>
    <w:p>
      <w:pPr>
        <w:spacing w:before="160" w:after="40" w:line="240" w:lineRule="auto"/>
      </w:pPr>
      <w:r>
        <w:rPr>
          <w:b/>
        </w:rPr>
        <w:t xml:space="preserve">[472] </w:t>
      </w:r>
      <w:hyperlink r:id="rId1413">
        <w:r>
          <w:rPr>
            <w:color w:val="1155CC"/>
            <w:u w:val="single"/>
          </w:rPr>
          <w:t>顺磁体作为迪克物理学的平台</w:t>
        </w:r>
      </w:hyperlink>
    </w:p>
    <w:p>
      <w:pPr>
        <w:spacing w:before="0" w:after="80"/>
      </w:pPr>
      <w:r>
        <w:rPr>
          <w:i/>
          <w:sz w:val="20"/>
        </w:rPr>
        <w:t>EN: Paramagnets as a platform for Dicke physics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由迪克哈密顿量描述的两能级原子系综和量子化电磁场的相互作用是量子光学中广泛研究的问题。然而，探索凝聚态物质中类似物理现象的实验工作通常采用玻色子物质模式（例如声子、磁振子和等离激元），这些模式可描述为简单谐振子，即等间隔能级的无限阶梯。在这里，我们研究了 Gd3Ga5O12 中相干光模式与顺磁自旋系（有限多级系统）之间的超强耦合。 Gd3+ 离子的电子顺磁共振通过磁场调谐为法布里-珀罗腔模式共振，从而形成自旋光子混合态或塞曼极化子。我们观察到，通过真空拉比分裂测量的光-物质耦合强度随着温度的升高而降低，这可以通过低能态和高能态之间依赖于温度的布居差异来解释，这是有限能级系统的一个特征。这一发现表明，自旋玻色子系统与迪克模型更兼容，并且在追求超强耦合光物质混合体预测现象的实验实现方面比玻色子系统具有优势。</w:t>
      </w:r>
    </w:p>
    <w:p>
      <w:pPr>
        <w:spacing w:before="0" w:after="200" w:lineRule="auto" w:line="276"/>
      </w:pPr>
      <w:r>
        <w:rPr>
          <w:b/>
        </w:rPr>
        <w:t xml:space="preserve">Abstract (EN): </w:t>
      </w:r>
      <w:r>
        <w:t>The interaction of an ensemble of two-level atoms and a quantized electromagnetic field, described by the Dicke Hamiltonian, is an extensively studied problem in quantum optics. However, experimental efforts to explore similar physics in condensed matter typically employ bosonic matter modes (e.g., phonons, magnons, and plasmons) that are describable as simple harmonic oscillators, i.e., an infinite ladder of equally spaced energy levels. Here, we examine ultrastrong coupling between a coherent light mode and an ensemble of paramagnetic spins, a finite-multilevel system, in Gd3Ga5O12. The electron paramagnetic resonance of Gd3+ ions is tuned by a magnetic field into resonance with a Fabry–Pérot cavity mode, resulting in the formation of spin–photon hybrid states, or Zeeman polaritons. We observe that the light–matter coupling strength, measured through the vacuum Rabi splitting, decreases with increasing temperature, which can be explained by the temperature-dependent population difference between the lower and higher-energy states, a trait of a finite-level system. This finding demonstrates that a spin–boson system is more compatible with the Dicke model and has advantages over boson–boson systems for pursuing experimental realizations of phenomena predicted for ultrastrongly coupled light–matter hybrids.</w:t>
      </w:r>
    </w:p>
    <w:p>
      <w:pPr>
        <w:spacing w:before="120" w:after="120"/>
      </w:pPr>
      <w:r>
        <w:rPr>
          <w:sz w:val="18"/>
        </w:rPr>
        <w:t>——————————————————————————————————————————————————————————————————————</w:t>
      </w:r>
    </w:p>
    <w:p>
      <w:pPr>
        <w:spacing w:before="160" w:after="40" w:line="240" w:lineRule="auto"/>
      </w:pPr>
      <w:r>
        <w:rPr>
          <w:b/>
        </w:rPr>
        <w:t xml:space="preserve">[473] </w:t>
      </w:r>
      <w:hyperlink r:id="rId1414">
        <w:r>
          <w:rPr>
            <w:color w:val="1155CC"/>
            <w:u w:val="single"/>
          </w:rPr>
          <w:t>顺势而为，利用物理信息神经网络求解对称驱动的偏微分方程动力学</w:t>
        </w:r>
      </w:hyperlink>
    </w:p>
    <w:p>
      <w:pPr>
        <w:spacing w:before="0" w:after="80"/>
      </w:pPr>
      <w:r>
        <w:rPr>
          <w:i/>
          <w:sz w:val="20"/>
        </w:rPr>
        <w:t>EN: Going with the flow to solve for symmetry-driven PDE dynamics with physics-informed neural networks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我们提出了一个计算框架，该框架将对称性约简集成到物理信息神经网络（PINN）中，用于分析非线性偏微分方程（PDE）中对称驱动的动力学。使用辅助网络来学习瞬态变换，我们将对称不变解呈现为静止或在重新缩放的坐标中缓慢变化，同时推断对称参数（例如，波速、缩放率）。这会产生一个修改后的演化方程，加上对称参数的代数约束，从而产生指数 2 微分代数方程 (DAE) 系统。由于传统的标准 PDE/ODE 求解器在处理如此高指数的 DAE 时会遇到困难甚至失败，因此我们采用 PINN 作为替代方法，自然地将 PDE 残差和代数约束统一在单个损失函数中。这允许同时推断不变解和变换属性，而无需大域、网格自适应性或前跟踪。除了正向模拟之外，我们的框架还能够从稀疏的、空间偏移的数据中进行稳健的参数推断，而普通 PINN 无法做到这一点。我们的数值演示包括二维多孔介质、广义 Korteweg-de Vries 和 Burgers PDE 等，展示了我们提出的方法作为解决非线性波和尺度动力学中出现的指数 2 DAE 的正向和逆向问题的强大工具。</w:t>
      </w:r>
    </w:p>
    <w:p>
      <w:pPr>
        <w:spacing w:before="0" w:after="200" w:lineRule="auto" w:line="276"/>
      </w:pPr>
      <w:r>
        <w:rPr>
          <w:b/>
        </w:rPr>
        <w:t xml:space="preserve">Abstract (EN): </w:t>
      </w:r>
      <w:r>
        <w:t>We address a computational framework that integrates symmetry reduction into Physics-Informed Neural Networks (PINNs) for analysing symmetry-driven dynamics in nonlinear partial differential equations (PDEs). Using an auxiliary network to learn time-dependent transformations, we render the symmetry-invariant solutions stationary or slowly varying in rescaled coordinates while simultaneously inferring the symmetry parameters (e.g., wave speed, scaling rates). This yields a modified evolution equation coupled with algebraic constraints on symmetry parameters, producing index-2 differential-algebraic equation (DAE) systems. Since conventional standard PDE/ODE solvers struggle or even fail with such high-index DAEs, we employ PINNs as an alternative approach that naturally unifies PDE residuals and algebraic constraints in a single loss function. This allows simultaneous inference of the invariant solutions and the transformation properties without large domains, mesh adaptivity, or front tracking. Beyond forward simulation, our framework further enables robust parameter inference from sparse, spatially offset data where vanilla PINNs fail. Our numerical demonstrations include, among others, the 2D porous medium, the generalised Korteweg-de Vries and Burgers PDE, showcasing our proposed approach as a powerful tool for the solution of both the forward and inverse problems for index-2 DAEs arising in nonlinear wave and scaling dynamics.</w:t>
      </w:r>
    </w:p>
    <w:p>
      <w:pPr>
        <w:spacing w:before="120" w:after="120"/>
      </w:pPr>
      <w:r>
        <w:rPr>
          <w:sz w:val="18"/>
        </w:rPr>
        <w:t>——————————————————————————————————————————————————————————————————————</w:t>
      </w:r>
    </w:p>
    <w:p>
      <w:pPr>
        <w:spacing w:before="160" w:after="40" w:line="240" w:lineRule="auto"/>
      </w:pPr>
      <w:r>
        <w:rPr>
          <w:b/>
        </w:rPr>
        <w:t xml:space="preserve">[474] </w:t>
      </w:r>
      <w:hyperlink r:id="rId1415">
        <w:r>
          <w:rPr>
            <w:color w:val="1155CC"/>
            <w:u w:val="single"/>
          </w:rPr>
          <w:t>体现在人口几何中的计算</w:t>
        </w:r>
      </w:hyperlink>
    </w:p>
    <w:p>
      <w:pPr>
        <w:spacing w:before="0" w:after="80"/>
      </w:pPr>
      <w:r>
        <w:rPr>
          <w:i/>
          <w:sz w:val="20"/>
        </w:rPr>
        <w:t>EN: Computation embodied in population geometry</w:t>
      </w:r>
    </w:p>
    <w:p>
      <w:pPr>
        <w:spacing w:before="0" w:after="120"/>
      </w:pPr>
      <w:r>
        <w:rPr>
          <w:b/>
        </w:rPr>
        <w:t xml:space="preserve">Source: </w:t>
      </w:r>
      <w:r>
        <w:t>Biological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神经流形是指由尖峰神经元群体形成的低维形状。这种固有的种群几何形状可以通过电子设备进行物理模拟，从而以卓越的能源效率促进近乎免训练的预测。</w:t>
      </w:r>
    </w:p>
    <w:p>
      <w:pPr>
        <w:spacing w:before="0" w:after="200" w:lineRule="auto" w:line="276"/>
      </w:pPr>
      <w:r>
        <w:rPr>
          <w:b/>
        </w:rPr>
        <w:t xml:space="preserve">Abstract (EN): </w:t>
      </w:r>
      <w:r>
        <w:t>Neural manifolds refer to the low-dimensional shapes formed by populations of spiking neurons. This intrinsic population geometry can be physically emulated by electronic devices, facilitating near-training-free forecasting with exceptional energy efficiency.</w:t>
      </w:r>
    </w:p>
    <w:p>
      <w:pPr>
        <w:spacing w:before="120" w:after="120"/>
      </w:pPr>
      <w:r>
        <w:rPr>
          <w:sz w:val="18"/>
        </w:rPr>
        <w:t>——————————————————————————————————————————————————————————————————————</w:t>
      </w:r>
    </w:p>
    <w:p>
      <w:pPr>
        <w:spacing w:before="160" w:after="40" w:line="240" w:lineRule="auto"/>
      </w:pPr>
      <w:r>
        <w:rPr>
          <w:b/>
        </w:rPr>
        <w:t xml:space="preserve">[475] </w:t>
      </w:r>
      <w:hyperlink r:id="rId1416">
        <w:r>
          <w:rPr>
            <w:color w:val="1155CC"/>
            <w:u w:val="single"/>
          </w:rPr>
          <w:t>使用米氏空隙增强二维激子的定向光发射</w:t>
        </w:r>
      </w:hyperlink>
    </w:p>
    <w:p>
      <w:pPr>
        <w:spacing w:before="0" w:after="80"/>
      </w:pPr>
      <w:r>
        <w:rPr>
          <w:i/>
          <w:sz w:val="20"/>
        </w:rPr>
        <w:t>EN: Enhanced and directional light emission from two-dimensional excitons using Mie voids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控制纳米尺度的光发射在固态照明、显示器和量子光源中具有重要的应用。实现这种控制需要增强局部电磁场以提高发射强度，并设计辐射模式以有效引导光子。米氏空隙由高指数半导体包围的空气腔组成，特别适合此目的，因为它们在附近发射器可到达的区域中暴露出最强的场，同时支持通过干扰形成定向发射的谐振。在这里，我们展示了一个全范德华纳米光子平台，它将原子薄的 WS2 中的激子耦合到 WSe2 中形成的米氏空腔谐振器。在电磁模拟的指导下，我们确定了通过激发和发射过程的协同增强来最大化光致发光的空隙几何形状。我们还引入了一种两步制造方法，利用范德华组装来独立控制空隙直径和深度。通过实验，我们观察到与非结构化 WSe2 相比，放置在单个空隙上的单层 WS2 的光致发光强度增加了 600 倍，同时产生明显的面外光束，产生 2.6 dB 的前向离轴增强。这些结果将范德华半导体中的米氏空洞确立为控制纳米尺度光与物质相互作用的通用平台。</w:t>
      </w:r>
    </w:p>
    <w:p>
      <w:pPr>
        <w:spacing w:before="0" w:after="200" w:lineRule="auto" w:line="276"/>
      </w:pPr>
      <w:r>
        <w:rPr>
          <w:b/>
        </w:rPr>
        <w:t xml:space="preserve">Abstract (EN): </w:t>
      </w:r>
      <w:r>
        <w:t>Controlling light emission at the nanoscale has important applications in solid-state lighting, displays, and quantum light sources. Achieving this control requires both enhanced local electromagnetic fields to boost emission intensity and engineered radiation patterns to direct photons efficiently. Mie voids, consisting of an air cavity surrounded by a high-index semiconductor, are particularly suited for this purpose because they expose their strongest fields in an accessible region for nearby emitters while supporting resonances that shape directional emission through interference. Here, we demonstrate an all-van der Waals nanophotonic platform that couples excitons in atomically thin WS2 to Mie void resonators formed in WSe2. Guided by electromagnetic simulations, we identify void geometries that maximize photoluminescence through synergistic enhancement of excitation and emission processes. We also introduce a two-step fabrication approach that leverages van der Waals assembly to independently control the void diameter and depth. Experimentally, we observe up to a 600-fold increase in photoluminescence intensity from monolayer WS2 placed on individual voids compared to unstructured WSe2, along with pronounced out-of-plane beaming of light that yields a forward-to-off-axis enhancement of 2.6 dB. These results establish Mie voids in van der Waals semiconductors as a versatile platform for controlling light-matter interactions at the nanoscale.</w:t>
      </w:r>
    </w:p>
    <w:p>
      <w:pPr>
        <w:spacing w:before="120" w:after="120"/>
      </w:pPr>
      <w:r>
        <w:rPr>
          <w:sz w:val="18"/>
        </w:rPr>
        <w:t>——————————————————————————————————————————————————————————————————————</w:t>
      </w:r>
    </w:p>
    <w:p>
      <w:pPr>
        <w:spacing w:before="160" w:after="40" w:line="240" w:lineRule="auto"/>
      </w:pPr>
      <w:r>
        <w:rPr>
          <w:b/>
        </w:rPr>
        <w:t xml:space="preserve">[476] </w:t>
      </w:r>
      <w:hyperlink r:id="rId1417">
        <w:r>
          <w:rPr>
            <w:color w:val="1155CC"/>
            <w:u w:val="single"/>
          </w:rPr>
          <w:t>金属玻璃中淬火剪切转变区和类施密德粘弹性蠕变</w:t>
        </w:r>
      </w:hyperlink>
    </w:p>
    <w:p>
      <w:pPr>
        <w:spacing w:before="0" w:after="80"/>
      </w:pPr>
      <w:r>
        <w:rPr>
          <w:i/>
          <w:sz w:val="20"/>
        </w:rPr>
        <w:t>EN: Quenched-in shear transformation zones and Schmid-like visco-elastic creep in metallic glass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由于缺乏周期性原子排列，因此很难检测金属玻璃中的微观缺陷，但它们在宏观形状变化中的作用却很突出。在机械探测缺陷的推动下，我们在环境温度下对初纺金属玻璃带进行逐步拉伸蠕变，这些金属玻璃带在选定区域的电子衍射中显示出结构各向异性。主要发现是非线性应变响应，其中分段添加的应力导致蠕变应变在增加之前最初减小。当进行循环蠕变时，一些应变分量在应力消除后很快恢复，但其他应变分量则不然。只有第一个周期表现出这种比蠕变慢的反转；随后的循环具有可逆应变分量。退火后消除了非线性和慢反转。在目前的快速差示扫描量热法灵敏度内没有检测到可测量的松弛-焓变化，这表明低应激反应并非由储存的恢复主导。分子动力学模拟复制了逐步和循环蠕变下的应变响应，揭示了原子在低应力和高应力下的不同非仿射响应。观察到的行为可以在一个统一的框架内解释，该框架涉及有限淬火剪切转变区总体的耗尽以及应力激活剪切转变区的贡献不断增加。这些结果支持了对金属玻璃带中低应力粘弹性蠕变的依赖于方向的施密德式解释。</w:t>
      </w:r>
    </w:p>
    <w:p>
      <w:pPr>
        <w:spacing w:before="0" w:after="200" w:lineRule="auto" w:line="276"/>
      </w:pPr>
      <w:r>
        <w:rPr>
          <w:b/>
        </w:rPr>
        <w:t xml:space="preserve">Abstract (EN): </w:t>
      </w:r>
      <w:r>
        <w:t>The absence of periodic atomic arrangement makes it difficult to detect microscopic defects in metallic glasses, yet their roles in macroscopic shape change are prominent. Motivated by probing defects mechanically, we perform stepwise tensile creep at ambient temperature on as-spun metallic-glass ribbons that show structural anisotropy in selected area electron diffraction. The main discovery is a non-linear strain response in which the segmentally added stress causes the creep strain to initially decrease before increasing. Some strain components quickly revert after stress removal when cyclic creep is conducted, but others do not. Only the first cycle exhibits this slower-than-creep reversal; subsequent cycles have reversible strain components. The non-linearity and slow reversal are eliminated after annealing. No measurable relaxation-enthalpy change is detected within the present fast-differential-scanning-calorimetry sensitivity, suggesting that the low-stress response is not dominated by stored rejuvenation. Molecular-dynamics simulation replicates the strain responses under stepwise and cyclic creep, revealing different non-affine responses of atoms at low and high stresses. The observed behavior can be interpreted within a unified framework involving the depletion of a finite quenched-in shear-transformation-zone population together with the increasing contribution of stress-activated shear-transformation-zones. These results support an orientation-dependent, Schmid-like interpretation of low-stress visco-elastic creep in metallic glass ribbons.</w:t>
      </w:r>
    </w:p>
    <w:p>
      <w:pPr>
        <w:spacing w:before="120" w:after="120"/>
      </w:pPr>
      <w:r>
        <w:rPr>
          <w:sz w:val="18"/>
        </w:rPr>
        <w:t>——————————————————————————————————————————————————————————————————————</w:t>
      </w:r>
    </w:p>
    <w:p>
      <w:pPr>
        <w:spacing w:before="160" w:after="40" w:line="240" w:lineRule="auto"/>
      </w:pPr>
      <w:r>
        <w:rPr>
          <w:b/>
        </w:rPr>
        <w:t xml:space="preserve">[477] </w:t>
      </w:r>
      <w:hyperlink r:id="rId1418">
        <w:r>
          <w:rPr>
            <w:color w:val="1155CC"/>
            <w:u w:val="single"/>
          </w:rPr>
          <w:t>人工智能时代的计算质谱成像</w:t>
        </w:r>
      </w:hyperlink>
    </w:p>
    <w:p>
      <w:pPr>
        <w:spacing w:before="0" w:after="80"/>
      </w:pPr>
      <w:r>
        <w:rPr>
          <w:i/>
          <w:sz w:val="20"/>
        </w:rPr>
        <w:t>EN: Computational Mass Spectrometry Imaging in the Era of AI</w:t>
      </w:r>
    </w:p>
    <w:p>
      <w:pPr>
        <w:spacing w:before="0" w:after="120"/>
      </w:pPr>
      <w:r>
        <w:rPr>
          <w:b/>
        </w:rPr>
        <w:t xml:space="preserve">Source: </w:t>
      </w:r>
      <w:r>
        <w:t>Chemical Reviews: Latest Articles (ACS Publications)</w:t>
      </w:r>
      <w:r>
        <w:t xml:space="preserve">    </w:t>
      </w:r>
      <w:r>
        <w:rPr>
          <w:b/>
        </w:rPr>
        <w:t xml:space="preserve">Pub date: </w:t>
      </w:r>
      <w:r>
        <w:t>2026-08-05 00:00:00+00:00</w:t>
      </w:r>
      <w:r>
        <w:t xml:space="preserve">    </w:t>
      </w:r>
      <w:r>
        <w:rPr>
          <w:b/>
        </w:rPr>
        <w:t xml:space="preserve">DOI: </w:t>
      </w:r>
      <w:hyperlink r:id="rId1419">
        <w:r>
          <w:rPr>
            <w:color w:val="1155CC"/>
            <w:u w:val="single"/>
          </w:rPr>
          <w:t>10.1021/acs.chemrev.6c00098</w:t>
        </w:r>
      </w:hyperlink>
    </w:p>
    <w:p>
      <w:pPr>
        <w:spacing w:before="0" w:after="120"/>
      </w:pPr>
      <w:r>
        <w:rPr>
          <w:b/>
        </w:rPr>
        <w:t xml:space="preserve">Notes: </w:t>
      </w:r>
      <w:r>
        <w:t>abstract_source=crossref</w:t>
      </w:r>
    </w:p>
    <w:p>
      <w:pPr>
        <w:spacing w:before="0" w:after="80" w:lineRule="auto" w:line="276"/>
      </w:pPr>
      <w:r>
        <w:rPr>
          <w:b/>
        </w:rPr>
        <w:t xml:space="preserve">摘要（ZH）: </w:t>
      </w:r>
      <w:r>
        <w:t>摘要 质谱成像 (MSI) 是绘制和理解生物分子空间组织的首选工具，包括小代谢物、脂质、肽等。随着 MSI 仪器和空间生物学研究的发展，研究人员和从业人员受到空间分辨率、化学细节和采集时间固有权衡的限制。在这里，我们回顾了 MSI 和机器学习/人工智能 (ML/AI) 支持的计算方法之间快速增长的相互作用如何解决这些问题。我们首先强调 MSI 实验中的关键步骤，并总结 MSI 数据背景下的主要 ML/AI 范式，为回顾 ML/AI 如何影响 MSI 工作流程中的每个步骤提供基础，从加速数据采集的方法开始。然后，我们讨论降维、分割和各种监督/无监督学习方法的新兴应用，以从高维 MSI 数据中提取有用的化学见解。讨论了利用多模态成像来指导采集过程或提供信息更丰富的综合分析的方法。最后，我们对计算和 MSI 的状态进行了前瞻性讨论，涵盖支持 ML 的仪器、将测量扩展到 3D 和大型队列，以及 MSI 与其他空间组学数据的集成。</w:t>
      </w:r>
    </w:p>
    <w:p>
      <w:pPr>
        <w:spacing w:before="0" w:after="200" w:lineRule="auto" w:line="276"/>
      </w:pPr>
      <w:r>
        <w:rPr>
          <w:b/>
        </w:rPr>
        <w:t xml:space="preserve">Abstract (EN): </w:t>
      </w:r>
      <w:r>
        <w:t>Mass spectrometry imaging (MSI) is a tool-of-choice for mapping and understanding the spatial organization of biomolecules, including small metabolites, lipids, peptides, and many others. As the MSI instrument and spatial biology inquiries evolve, researchers and practitioners are constrained by the inherent trade-offs in spatial resolution, chemical detail, and acquisition time. Here, we review how the rapidly growing interplay between MSI and machine learning/artificial intelligence (ML/AI)-powered computational approaches is addressing these issues. We begin by highlighting key steps in MSI experiments and summarizing major ML/AI paradigms in the context of MSI data, providing a foundation to review how ML/AI impact each step in the MSI workflow, starting with methods to accelerate data acquisition. We then discuss emerging applications of dimensionality reduction, segmentation, and various supervised/unsupervised learning approaches to extract useful chemical insights from high-dimensional MSI data. Approaches to leverage multimodal imaging to guide the acquisition process or provide a more informative integrated analysis are discussed. We conclude with a forward-looking discussion on the state of computation and MSI, spanning ML-enabled instrumentation, scaling measurements to 3D and large cohorts, and the integration of MSI with other spatial omic data.</w:t>
      </w:r>
    </w:p>
    <w:p>
      <w:pPr>
        <w:spacing w:before="120" w:after="120"/>
      </w:pPr>
      <w:r>
        <w:rPr>
          <w:sz w:val="18"/>
        </w:rPr>
        <w:t>——————————————————————————————————————————————————————————————————————</w:t>
      </w:r>
    </w:p>
    <w:p>
      <w:pPr>
        <w:spacing w:before="160" w:after="40" w:line="240" w:lineRule="auto"/>
      </w:pPr>
      <w:r>
        <w:rPr>
          <w:b/>
        </w:rPr>
        <w:t xml:space="preserve">[478] </w:t>
      </w:r>
      <w:hyperlink r:id="rId1420">
        <w:r>
          <w:rPr>
            <w:color w:val="1155CC"/>
            <w:u w:val="single"/>
          </w:rPr>
          <w:t>神经元学习顺序关系和支持抽象推理的固有能力</w:t>
        </w:r>
      </w:hyperlink>
    </w:p>
    <w:p>
      <w:pPr>
        <w:spacing w:before="0" w:after="80"/>
      </w:pPr>
      <w:r>
        <w:rPr>
          <w:i/>
          <w:sz w:val="20"/>
        </w:rPr>
        <w:t>EN: The inherent capacity of neurons to learn order relations and support abstract reasoning</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大脑提取物体和概念之间的关系，并将它们整合到认知地图中以进行决策。但目前尚不清楚他们如何实现这一目标。在这里，我们提出了一个严格的理论，表明单个神经元已经可以学习使用简单的突触可塑性局部规则以线性顺序提取项目的等级。由此产生的模型解释了关于从线性顺序出现认知图的人脑数据，解释了传递推理中的终端项目效应，并在新证据出现时能够快速重新配置内部表示。我们还对大脑中线性顺序的神经表征的二维投影是弯曲的而不是线性的这一令人惊讶的事实提出了理论解释。由于该模型仅需要浅层网络中的局部突触可塑性，因此它适合低能量边缘设备上的关系学习和快速推理。我们在神经形态芯片 Loihi 2 上演示了这一点。</w:t>
      </w:r>
    </w:p>
    <w:p>
      <w:pPr>
        <w:spacing w:before="0" w:after="200" w:lineRule="auto" w:line="276"/>
      </w:pPr>
      <w:r>
        <w:rPr>
          <w:b/>
        </w:rPr>
        <w:t xml:space="preserve">Abstract (EN): </w:t>
      </w:r>
      <w:r>
        <w:t>Brains extract relations between objects and concepts and integrate them into cognitive maps for decision-making. But it remains unclear how they achieve that. Here we present a rigorous theory showing that single neurons can already learn to extract ranks of items in a linear order with a simple local rule for synaptic plasticity. The resulting model explains human brain data on the emergence of cognitive maps from linear orders, accounts for the terminal item effect in transitive inference, and enables rapid reconfiguration of internal representations when new evidence appears. We also present a theoretical explanation for the surprising fact that 2D projections of neural representations of linear orders in the brain are curved rather than linear. Since the model requires only local synaptic plasticity in shallow networks, it is suited for relational learning and fast inference on low-energy edge devices. We demonstrate this on the neuromorphic chip Loihi 2.</w:t>
      </w:r>
    </w:p>
    <w:p>
      <w:pPr>
        <w:spacing w:before="120" w:after="120"/>
      </w:pPr>
      <w:r>
        <w:rPr>
          <w:sz w:val="18"/>
        </w:rPr>
        <w:t>——————————————————————————————————————————————————————————————————————</w:t>
      </w:r>
    </w:p>
    <w:p>
      <w:pPr>
        <w:spacing w:before="160" w:after="40" w:line="240" w:lineRule="auto"/>
      </w:pPr>
      <w:r>
        <w:rPr>
          <w:b/>
        </w:rPr>
        <w:t xml:space="preserve">[479] </w:t>
      </w:r>
      <w:hyperlink r:id="rId1421">
        <w:r>
          <w:rPr>
            <w:color w:val="1155CC"/>
            <w:u w:val="single"/>
          </w:rPr>
          <w:t>用于单目传感器内 3D 运动感知和定位系统的宽视场各向异性光电电阻存储器</w:t>
        </w:r>
      </w:hyperlink>
    </w:p>
    <w:p>
      <w:pPr>
        <w:spacing w:before="0" w:after="80"/>
      </w:pPr>
      <w:r>
        <w:rPr>
          <w:i/>
          <w:sz w:val="20"/>
        </w:rPr>
        <w:t>EN: Wide field-of-view anisotropic optoelectronic resistive memory for monocular in-sensor 3D motion perception and localization system</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具有宽视场 (FOV) 三维 (3D) 运动感知的紧凑型机器视觉对于与环境动态交互的智能自主系统至关重要。传统系统将宽视场和双目相机与复杂的 3D 处理硬件相结合，但存在体积庞大、能耗高和延迟等问题。虽然新兴的神经拟态传感器内计算方法前景广阔，但当前的神经拟态视觉设备本质上是有限的：它们在 3D 到 2D 投影过程中会丢失深度信息，检测角度狭窄，并且缺乏 3D 运动处理能力。在这里，我们提出了一种基于具有工程轴向缺陷梯度的 ZnO 纳米线阵列的平面各向异性光电电阻随机存取存储器 (AORRAM) 器件。它实现了宽视场（高达 140°）、各向异性、多级非易失性光阻开关。利用其固有的各向异性，我们构建了一个硬件系统，用于稳健的传感器内单目运动深度感知和定位。该系统与门控循环单元集成，可实现紧凑、低功耗的 3D 运动识别，在噪声条件下实现 95.41% 的准确度。</w:t>
      </w:r>
    </w:p>
    <w:p>
      <w:pPr>
        <w:spacing w:before="0" w:after="200" w:lineRule="auto" w:line="276"/>
      </w:pPr>
      <w:r>
        <w:rPr>
          <w:b/>
        </w:rPr>
        <w:t xml:space="preserve">Abstract (EN): </w:t>
      </w:r>
      <w:r>
        <w:t>Compact machine vision with wide-field-of-view (FOV) three-dimensional (3D) motion perception is critical for intelligent, autonomous systems that interact dynamically with environments. Conventional systems, which combine wide-FOV and binocular cameras with complex 3D processing hardware, suffer from bulkiness, high energy consumption, and latency. While emerging neuromorphic in‑sensor computing approaches hold great promise, current neuromorphic vision devices are inherently limited: they lose depth information during 3D‑to‑2D projection, suffer from narrow detection angles, and lack 3D motion-processing capability. Here, we present a planar anisotropic optoelectronic resistive random-access memory (AORRAM) device based on a ZnO nanowire array with an engineered axial defect gradient. It achieves wide-FOV (up to 140°), anisotropic, multilevel non-volatile optical resistive switching. Using its intrinsic anisotropy, we construct a hardware system for robust in-sensor monocular motion depth perception and localization. Integrated with a gated recurrent unit, the system enables compact, low-power 3D motion recognition, achieving 95.41% accuracy under noisy conditions.</w:t>
      </w:r>
    </w:p>
    <w:p>
      <w:pPr>
        <w:spacing w:before="120" w:after="120"/>
      </w:pPr>
      <w:r>
        <w:rPr>
          <w:sz w:val="18"/>
        </w:rPr>
        <w:t>——————————————————————————————————————————————————————————————————————</w:t>
      </w:r>
    </w:p>
    <w:p>
      <w:pPr>
        <w:spacing w:before="160" w:after="40" w:line="240" w:lineRule="auto"/>
      </w:pPr>
      <w:r>
        <w:rPr>
          <w:b/>
        </w:rPr>
        <w:t xml:space="preserve">[480] </w:t>
      </w:r>
      <w:hyperlink r:id="rId1422">
        <w:r>
          <w:rPr>
            <w:color w:val="1155CC"/>
            <w:u w:val="single"/>
          </w:rPr>
          <w:t>通过多羟基季铵化界面解离水簇以增强纳米通道中的水渗透</w:t>
        </w:r>
      </w:hyperlink>
    </w:p>
    <w:p>
      <w:pPr>
        <w:spacing w:before="0" w:after="80"/>
      </w:pPr>
      <w:r>
        <w:rPr>
          <w:i/>
          <w:sz w:val="20"/>
        </w:rPr>
        <w:t>EN: Dissociating water clusters via polyhydroxy quaternized interface for enhanced water permeation in nanochannels</w:t>
      </w:r>
    </w:p>
    <w:p>
      <w:pPr>
        <w:spacing w:before="0" w:after="120"/>
      </w:pPr>
      <w:r>
        <w:rPr>
          <w:b/>
        </w:rPr>
        <w:t xml:space="preserve">Source: </w:t>
      </w:r>
      <w:r>
        <w:t>Earth and environmental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受限纳米通道中具有独特结构的水簇表现出不寻常的传输现象，例如快速渗透，但如何功能化纳米通道来调节这一过程并增强水传输仍然难以捉摸。在此，我们报告了一种基于水簇解离的水跨膜传输机制，并相应地开发了一种具有多羟基季铵化界面的高渗透性纳滤膜。原位液体飞行时间二次离子质谱结合分子动力学模拟观察到的结果表明，膜孔入口的官能团（-OH和季-N⁺）可以通过基于氢键相互作用的水合作用，以熵/熵方式有利地将水簇（即（H2O）5H+）解离成更小的物质，即具有更高传输迁移率的（H2O）3H+竞争，减少了水跨膜运输的能量障碍，扩大了水分子可用的横截面积，从而提高了水的渗透性。多羟基季铵化膜表现出高渗透性，膜通量为43.01 L m−2 h−1 bar−1，同时保持良好的二价盐截留性能和机械性能，有效提高了纳滤膜的选择性渗透率上限。我们的研究结果展示了一种用于调节水簇结构的界面功能化策略，显示了对纳米流体、海水淡化、生物医学和能源技术等各种应用的影响。</w:t>
      </w:r>
    </w:p>
    <w:p>
      <w:pPr>
        <w:spacing w:before="0" w:after="200" w:lineRule="auto" w:line="276"/>
      </w:pPr>
      <w:r>
        <w:rPr>
          <w:b/>
        </w:rPr>
        <w:t xml:space="preserve">Abstract (EN): </w:t>
      </w:r>
      <w:r>
        <w:t>Water clusters with distinct structures in confined nanochannels exhibit unusual transport phenomena such as fast permeation, yet how to functionalize nanochannels to regulate this process and enhance water transport remains elusive. Herein, we report a water transmembrane transport mechanism based on the dissociation of water clusters and, accordingly, develop a highly permeable nanofiltration membrane with polyhydroxy quaternized interface. The results, observed by in situ liquid time-of-flight secondary ion mass spectrometry in combination with molecular dynamics simulation, reveal that the functional groups (-OH and quaternary-N⁺) of membrane pore entrances can enthalpically/entropically favorably dissociate water clusters, i.e., (H2O)5H+, into smaller species, i.e., (H2O)3H+ with higher transport mobility through hydrogen bond interactions based hydration competition, which reduces water transmembrane transport energy barriers and broadens the cross-sectional area available to water molecules, thus improving the water permeance. The polyhydroxy quaternized membrane exhibits high permeability with a membrane flux of 43.01 L m−2 h−1 bar−1, while maintaining favorable divalent salt retention performance and mechanical properties, which effectively improves the selectivity-permeability upper bound of the nanofiltration membrane. Our findings demonstrate an interface-functionalized strategy for regulating the water cluster structure, showing implications for various applications including nanofluidics, desalination, bio-medicine, and energy technology, etc.</w:t>
      </w:r>
    </w:p>
    <w:p>
      <w:pPr>
        <w:spacing w:before="120" w:after="120"/>
      </w:pPr>
      <w:r>
        <w:rPr>
          <w:sz w:val="18"/>
        </w:rPr>
        <w:t>——————————————————————————————————————————————————————————————————————</w:t>
      </w:r>
    </w:p>
    <w:p>
      <w:pPr>
        <w:spacing w:before="160" w:after="40" w:line="240" w:lineRule="auto"/>
      </w:pPr>
      <w:r>
        <w:rPr>
          <w:b/>
        </w:rPr>
        <w:t xml:space="preserve">[481] </w:t>
      </w:r>
      <w:hyperlink r:id="rId1423">
        <w:r>
          <w:rPr>
            <w:color w:val="1155CC"/>
            <w:u w:val="single"/>
          </w:rPr>
          <w:t>人工神经流形</w:t>
        </w:r>
      </w:hyperlink>
    </w:p>
    <w:p>
      <w:pPr>
        <w:spacing w:before="0" w:after="80"/>
      </w:pPr>
      <w:r>
        <w:rPr>
          <w:i/>
          <w:sz w:val="20"/>
        </w:rPr>
        <w:t>EN: Artificial neural manifolds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大脑可以快速执行感知、预测和决策任务。这些能力源于神经元的集体协调。这种集体活动形成了一种自然支持信息表示和预测的流形结构，但大多数神经形态工作都忽略了这种结构。在这里，我们构建了基于莫特忆阻器的人工神经流形，能够实现准确而稳健的预测，同时减少所需样本的数量。通过构建人工神经元电路，获得与生物神经元类似的钟形调谐曲线。调谐曲线将大规模神经元放电汇聚成紧凑的低维流形结构。该结构满足延迟嵌入定理，建立时空信息（STI）方程，能够以小样本量快速预测神经活动。此外，我们引入了记忆因子来修改STI方程，从而提高了预测精度和鲁棒性。我们不仅可以准确地感知不完整的图像，还可以预测癫痫发作。</w:t>
      </w:r>
    </w:p>
    <w:p>
      <w:pPr>
        <w:spacing w:before="0" w:after="200" w:lineRule="auto" w:line="276"/>
      </w:pPr>
      <w:r>
        <w:rPr>
          <w:b/>
        </w:rPr>
        <w:t xml:space="preserve">Abstract (EN): </w:t>
      </w:r>
      <w:r>
        <w:t>The brain can rapidly perform perception, prediction, and decision-making tasks. The capabilities stem from the collective coordination of neurons. This collective activity forms a manifold structure that naturally supports information representation and prediction, yet most neuromorphic work ignores this structure. Here, we construct an artificial neural manifold based on Mott memristors, enabling accurate and robust prediction while reducing the number of required samples. By constructing an artificial neuron circuit, a bell-shaped tuning curve similar to that of biological neurons is obtained. The tuning curve converges the large-scale neuronal firing into a compact, low-dimensional manifold structure. This structure satisfies the delay embedding theorem to establish a spatiotemporal information (STI) equation, enabling rapid prediction of neural activity with small sample sizes. In addition, we introduce a memory factor to modify the STI equation, which improves prediction accuracy and robustness. We not only accurately perceive incomplete images but also predict epileptic seizures.</w:t>
      </w:r>
    </w:p>
    <w:p>
      <w:pPr>
        <w:spacing w:before="120" w:after="120"/>
      </w:pPr>
      <w:r>
        <w:rPr>
          <w:sz w:val="18"/>
        </w:rPr>
        <w:t>——————————————————————————————————————————————————————————————————————</w:t>
      </w:r>
    </w:p>
    <w:p>
      <w:pPr>
        <w:spacing w:before="160" w:after="40" w:line="240" w:lineRule="auto"/>
      </w:pPr>
      <w:r>
        <w:rPr>
          <w:b/>
        </w:rPr>
        <w:t xml:space="preserve">[482] </w:t>
      </w:r>
      <w:hyperlink r:id="rId1424">
        <w:r>
          <w:rPr>
            <w:color w:val="1155CC"/>
            <w:u w:val="single"/>
          </w:rPr>
          <w:t>ecDNA 凝聚物的相分离建立反式接触域，促进选择性 MYC 调控相互作用</w:t>
        </w:r>
      </w:hyperlink>
    </w:p>
    <w:p>
      <w:pPr>
        <w:spacing w:before="0" w:after="80"/>
      </w:pPr>
      <w:r>
        <w:rPr>
          <w:i/>
          <w:sz w:val="20"/>
        </w:rPr>
        <w:t>EN: Phase separation of ecDNA condensates establishes in-trans contact domains that boost selective MYC regulatory interactions</w:t>
      </w:r>
    </w:p>
    <w:p>
      <w:pPr>
        <w:spacing w:before="0" w:after="120"/>
      </w:pPr>
      <w:r>
        <w:rPr>
          <w:b/>
        </w:rPr>
        <w:t xml:space="preserve">Source: </w:t>
      </w:r>
      <w:r>
        <w:t>Biological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染色体外 DNA (ecDNA) 是在许多人类癌症中发现的环状 DNA 元件，通常携带癌基因和调控元件。在 COLO320-DM 结直肠癌细胞中，含有 MYC 的 ecDNA 形成与癌基因过度表达相关的核簇，但其聚集和基因上调的机制仍不清楚。在这里，我们使用最小聚合物物理模型在单分子水平上研究 ecDNA BRD4 结合位点和 BRD4 分子之间的相互作用。该模型表明，BRD4 诱导 ecDNA 凝聚物的相分离，形成反式相关接触域 (I-TAD)，其在特定 ecDNA 区域（特别是 PVT1-MYC 融合体）之间的调控接触中富集，超出拷贝数。这解释了这些融合体优先转录上调的原因，而 ecDNA 上 MYC 的规范拷贝则不受影响。 I-TAD 的形成根据独立的 HiChIP 和 ChIA-PET 数据进行验证。一旦六个 ecDNA 聚集，调控接触就会强烈富集，然后由于空间位阻而饱和，这凸显出即使 ecDNA 很少的细胞也可能经历致病性 MYC 上调。 RT-qPCR 实验证实，BET 抑制剂 JQ1 可逆转 ecDNA 相分离，以类似开关的方式消除 I-TAD 并减少 MYC 转录。这些发现阐明了 ecDNA 凝聚体在基因调控中的作用，并强调了针对 BRD4 介导的相互作用的潜在治疗策略。</w:t>
      </w:r>
    </w:p>
    <w:p>
      <w:pPr>
        <w:spacing w:before="0" w:after="200" w:lineRule="auto" w:line="276"/>
      </w:pPr>
      <w:r>
        <w:rPr>
          <w:b/>
        </w:rPr>
        <w:t xml:space="preserve">Abstract (EN): </w:t>
      </w:r>
      <w:r>
        <w:t>Extrachromosomal DNAs (ecDNAs) are circular DNA elements found in many human cancers, often carrying oncogenes and regulatory elements. In COLO320-DM colorectal cancer cells, MYC-harboring ecDNAs form nuclear clusters associated with oncogene overexpression, but the mechanisms underlying their aggregation and gene upregulation remain unclear. Here, we use a minimal polymer physics model to investigate the interactions between ecDNA BRD4 binding sites and BRD4 molecules at the single-molecule level. The model demonstrates that BRD4 induces phase separation of ecDNAs condensates, forming in-trans associated contact domains (I-TADs) enriched, beyond copy number, in regulatory contacts among specific ecDNA regions, particularly the PVT1-MYC fusions. This explains the preferential transcriptional upregulation of these fusions, while the canonical copy of MYC on the ecDNAs remains unaffected. The formation of I-TADs is validated against independent HiChIP and ChIA-PET data. Regulatory contacts are strongly enriched as soon as half a dozen ecDNAs cluster, then saturate because of steric hindrance, highlighting that even cells with few ecDNAs can experience pathogenic MYC upregulations. The BET inhibitor JQ1 reverses ecDNA phase separation, abolishing I-TADs and reducing MYC transcription in a switch-like manner, as confirmed by RT-qPCR experiments. These findings clarify the role of ecDNA condensates in gene regulation and highlight potential therapeutic strategies targeting BRD4-mediated interactions.</w:t>
      </w:r>
    </w:p>
    <w:p>
      <w:pPr>
        <w:spacing w:before="120" w:after="120"/>
      </w:pPr>
      <w:r>
        <w:rPr>
          <w:sz w:val="18"/>
        </w:rPr>
        <w:t>——————————————————————————————————————————————————————————————————————</w:t>
      </w:r>
    </w:p>
    <w:p>
      <w:pPr>
        <w:spacing w:before="160" w:after="40" w:line="240" w:lineRule="auto"/>
      </w:pPr>
      <w:r>
        <w:rPr>
          <w:b/>
        </w:rPr>
        <w:t xml:space="preserve">[483] </w:t>
      </w:r>
      <w:hyperlink r:id="rId1425">
        <w:r>
          <w:rPr>
            <w:color w:val="1155CC"/>
            <w:u w:val="single"/>
          </w:rPr>
          <w:t>基于原子薄异质结的光电突触器件可在 -190 °C 至 450 °C 温度范围内工作</w:t>
        </w:r>
      </w:hyperlink>
    </w:p>
    <w:p>
      <w:pPr>
        <w:spacing w:before="0" w:after="80"/>
      </w:pPr>
      <w:r>
        <w:rPr>
          <w:i/>
          <w:sz w:val="20"/>
        </w:rPr>
        <w:t>EN: Atomically thin heterojunction-based optoelectronic synaptic devices operable from −190 °C to 450 °C</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极端环境（例如行星表面）中的探索和操作需要能够在原位感知、存储和处理视觉信息的硬件，从而在人类无法到达的条件下实现智能感知。光电突触器件 (OSD) 是此类硬件中很有前途的一类，但现有的 OSD 在极端温度下会失效，使得热生存能力成为极端环境智能视觉的关键瓶颈。在这里，通过二维材料异质结构的界面设计，我们开发了一种基于 MoS2 的 OSD，其工作温度范围为 640 °C（-190 °C 至 450 °C），具有可调的神经形态功能。在 450 °C 下，该设备实现了可见光检测，弥补了高温光学传感器的光谱差距。它表现出高度可调的突触可塑性，其保留可调比超过报道的高温 OSD 1600 倍。该设备利用仿生暗视和明视视觉适应，促进传感器内处理，将多个数据集的低光图像识别精度提高 15% 以上。概念性机器人漫游车演示展示了其潜在应用。这项工作为行星探索和其他极端环境应用提供了一条通往稳健、智能视觉感知的道路。</w:t>
      </w:r>
    </w:p>
    <w:p>
      <w:pPr>
        <w:spacing w:before="0" w:after="200" w:lineRule="auto" w:line="276"/>
      </w:pPr>
      <w:r>
        <w:rPr>
          <w:b/>
        </w:rPr>
        <w:t xml:space="preserve">Abstract (EN): </w:t>
      </w:r>
      <w:r>
        <w:t>Exploration and operation in extreme environments (e.g., planetary surfaces) require hardware capable of sensing, storing, and processing visual information in situ, enabling intelligent perception under conditions inaccessible to humans. Optoelectronic synaptic devices (OSDs) are a promising class of such hardware, but existing OSDs fail under extreme temperatures, making thermal survivability a key bottleneck for extreme environment intelligent vision. Here, via the interface design of 2D-material heterostructures, we develop a MoS2-based OSD operating across a 640 °C range (from −190 °C to 450 °C) with tunable neuromorphic functionality. At 450 °C, the device achieves visible detection, bridging the spectral gap of high-temperature optical sensors. It exhibits highly tunable synaptic plasticity, with a retention tunability ratio exceeding reported high-temperature OSDs by 1600×. Leveraging bio-inspired scotopic and photopic visual adaptation, the device facilitates in-sensor processing, enhancing low-light image recognition accuracy by more than 15% across multiple datasets. A conceptual robotic rover demonstration illustrates its potential applications. This work provides a route toward robust, intelligent vision perception for planetary exploration and other extreme-environmental applications.</w:t>
      </w:r>
    </w:p>
    <w:p>
      <w:pPr>
        <w:spacing w:before="120" w:after="120"/>
      </w:pPr>
      <w:r>
        <w:rPr>
          <w:sz w:val="18"/>
        </w:rPr>
        <w:t>——————————————————————————————————————————————————————————————————————</w:t>
      </w:r>
    </w:p>
    <w:p>
      <w:pPr>
        <w:spacing w:before="160" w:after="40" w:line="240" w:lineRule="auto"/>
      </w:pPr>
      <w:r>
        <w:rPr>
          <w:b/>
        </w:rPr>
        <w:t xml:space="preserve">[484] </w:t>
      </w:r>
      <w:hyperlink r:id="rId1426">
        <w:r>
          <w:rPr>
            <w:color w:val="1155CC"/>
            <w:u w:val="single"/>
          </w:rPr>
          <w:t>利用平移不变的非局部薄膜绕过成像厚度限制</w:t>
        </w:r>
      </w:hyperlink>
    </w:p>
    <w:p>
      <w:pPr>
        <w:spacing w:before="0" w:after="80"/>
      </w:pPr>
      <w:r>
        <w:rPr>
          <w:i/>
          <w:sz w:val="20"/>
        </w:rPr>
        <w:t>EN: Bypassing the imaging thickness limit with a translationally-invariant nonlocal thin film</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传统成像依赖于透镜和自由空间传播。尽管最近取得了进展，但基于图像形成所需的非局域性，传统的平移变化成像系统仍然存在厚度限制。我们通过直接放置在图像传感器上的单个 12.2 µm 厚介电薄膜组成的成像系统绕过了这一限制，消除了镜头和自由空间。通过设计非局域法布里-珀罗共振，使光能够在薄膜表面传播和相长干涉，我们的多层薄膜有效地为每个物点分配一个单独的孔径，绕过了传统光学中规定厚度限制的单孔径假设。我们通过实验证明了具有亚 100 μm 分辨率的确定性、免计算 2D 成像。此外，系统的功能是动态可重新配置的；通过简单地调整照明波长，我们即可实现深度分辨 3D 成像并执行光学衍射断层扫描以重建 3D 折射率分布。该无透镜平台为超紧凑、多功能光学系统建立了新范例，在内窥镜、机器视觉和可穿戴传感器方面具有潜在应用。</w:t>
      </w:r>
    </w:p>
    <w:p>
      <w:pPr>
        <w:spacing w:before="0" w:after="200" w:lineRule="auto" w:line="276"/>
      </w:pPr>
      <w:r>
        <w:rPr>
          <w:b/>
        </w:rPr>
        <w:t xml:space="preserve">Abstract (EN): </w:t>
      </w:r>
      <w:r>
        <w:t>Conventional imaging relies on both lenses and free-space propagation. Despite recent advancements, a thickness limit was established for conventional translationally-variant imaging systems based on the nonlocality required for image formation. We bypass this limit with an imaging system composed of a single, 12.2-µm-thick dielectric film placed directly on an image sensor, eliminating both lenses and free space. By engineering nonlocal Fabry–Pérot resonances, which allows light to spread and interfere constructively across the film’s surface, our multilayer film effectively assigns an individual aperture to each object point, bypassing the single-aperture assumption that dictates the thickness limit in conventional optics. We experimentally demonstrate deterministic, computation-free 2D imaging with sub-100-μm resolution. Furthermore, the system’s functionality is dynamically reconfigurable; by simply tuning the illumination wavelength, we achieve depth-resolved 3D imaging and perform optical diffraction tomography to reconstruct 3D refractive index profiles. This lensless platform establishes a new paradigm for ultracompact, multifunctional optical systems with potential applications in endoscopy, machine vision, and wearable sensors.</w:t>
      </w:r>
    </w:p>
    <w:p>
      <w:pPr>
        <w:spacing w:before="120" w:after="120"/>
      </w:pPr>
      <w:r>
        <w:rPr>
          <w:sz w:val="18"/>
        </w:rPr>
        <w:t>——————————————————————————————————————————————————————————————————————</w:t>
      </w:r>
    </w:p>
    <w:p>
      <w:pPr>
        <w:spacing w:before="160" w:after="40" w:line="240" w:lineRule="auto"/>
      </w:pPr>
      <w:r>
        <w:rPr>
          <w:b/>
        </w:rPr>
        <w:t xml:space="preserve">[485] </w:t>
      </w:r>
      <w:hyperlink r:id="rId1427">
        <w:r>
          <w:rPr>
            <w:color w:val="1155CC"/>
            <w:u w:val="single"/>
          </w:rPr>
          <w:t>基于生物力学的惯性跟踪实现了基于标记的运动学的准确性</w:t>
        </w:r>
      </w:hyperlink>
    </w:p>
    <w:p>
      <w:pPr>
        <w:spacing w:before="0" w:after="80"/>
      </w:pPr>
      <w:r>
        <w:rPr>
          <w:i/>
          <w:sz w:val="20"/>
        </w:rPr>
        <w:t>EN: Biomechanics-informed inertial tracking achieves the accuracy of marker-based kinematics</w:t>
      </w:r>
    </w:p>
    <w:p>
      <w:pPr>
        <w:spacing w:before="0" w:after="120"/>
      </w:pPr>
      <w:r>
        <w:rPr>
          <w:b/>
        </w:rPr>
        <w:t xml:space="preserve">Source: </w:t>
      </w:r>
      <w:r>
        <w:t>Physical sciences : Nature Communications subject feeds</w:t>
      </w:r>
      <w:r>
        <w:t xml:space="preserve">    </w:t>
      </w:r>
      <w:r>
        <w:rPr>
          <w:b/>
        </w:rPr>
        <w:t xml:space="preserve">Pub date: </w:t>
      </w:r>
      <w:r>
        <w:t>2026-08-05 00:00:00+00:00</w:t>
      </w:r>
    </w:p>
    <w:p>
      <w:pPr>
        <w:spacing w:before="0" w:after="120"/>
      </w:pPr>
      <w:r>
        <w:rPr>
          <w:b/>
        </w:rPr>
        <w:t xml:space="preserve">Notes: </w:t>
      </w:r>
      <w:r>
        <w:t>abstract_source=nature_html</w:t>
      </w:r>
    </w:p>
    <w:p>
      <w:pPr>
        <w:spacing w:before="0" w:after="80" w:lineRule="auto" w:line="276"/>
      </w:pPr>
      <w:r>
        <w:rPr>
          <w:b/>
        </w:rPr>
        <w:t xml:space="preserve">摘要（ZH）: </w:t>
      </w:r>
      <w:r>
        <w:t>惯性测量单元 (IMU) 可以通过在实验室外进行运动跟踪来改变人类运动科学。然而，它们的准确性被认为不如基于标记的系统。在这里，我们介绍 IMoveLab，一种将生物力学先验集成到状态估计滤波器中的方法，利用跨自由度的耦合和肌肉肌腱单元的类似弹簧的行为来进行递归状态校正。我们发现，当根据双平面射线照相（骨骼运动的黄金标准）进行评估时，现代状态估计滤波器与基于标记的膝盖跟踪的准确性相匹配。 IMoveLab 进一步提高了准确性，并在长期试验中实现了无漂移的下肢运动学，而其他方法却做不到这一点。运动科学家们一直以谨慎乐观的态度期待着走出实验室。有了支持更自信地采用 IMU 的方法和证据，这一飞跃似乎不再是一种愿望，而更像是在人类运动展开的环境中书写的新篇章的第一行。</w:t>
      </w:r>
    </w:p>
    <w:p>
      <w:pPr>
        <w:spacing w:before="0" w:after="200" w:lineRule="auto" w:line="276"/>
      </w:pPr>
      <w:r>
        <w:rPr>
          <w:b/>
        </w:rPr>
        <w:t xml:space="preserve">Abstract (EN): </w:t>
      </w:r>
      <w:r>
        <w:t>Inertial measurement units (IMUs) could transform human movement science by enabling motion tracking outside the laboratory. Yet, their accuracy is perceived as inferior to that of marker-based systems. Here, we introduce IMoveLab, a method that integrates biomechanical priors into state-estimation filters, harnessing coupling across degrees of freedom and the spring-like behavior of muscle–tendon units for recursive state correction. We found that modern state-estimation filters match the accuracy of marker-based knee tracking when evaluated against biplane radiography, the gold standard for skeletal motion. IMoveLab further improves accuracy and achieves drift-free lower-extremity kinematics in long-duration trials, whereas alternative approaches do not. Movement scientists have been anticipating the leap out of the laboratory with cautious optimism. With methods and evidence that support more confident adoption of IMUs, this leap seems less like an aspiration and more like the first line of a new chapter written in the environments where human movement unfolds.</w:t>
      </w:r>
    </w:p>
    <w:p>
      <w:pPr>
        <w:spacing w:before="120" w:after="120"/>
      </w:pPr>
      <w:r>
        <w:rPr>
          <w:sz w:val="18"/>
        </w:rPr>
        <w:t>——————————————————————————————————————————————————————————————————————</w:t>
      </w:r>
    </w:p>
    <w:p>
      <w:pPr>
        <w:spacing w:before="160" w:after="40" w:line="240" w:lineRule="auto"/>
      </w:pPr>
      <w:r>
        <w:rPr>
          <w:b/>
        </w:rPr>
        <w:t xml:space="preserve">[486] </w:t>
      </w:r>
      <w:hyperlink r:id="rId1428">
        <w:r>
          <w:rPr>
            <w:color w:val="1155CC"/>
            <w:u w:val="single"/>
          </w:rPr>
          <w:t>纳米级粘合剂结构与基质刚度相协调，通过局部粘附介导的染色质重塑和 FOXO1 激活来调节干细胞衰老</w:t>
        </w:r>
      </w:hyperlink>
    </w:p>
    <w:p>
      <w:pPr>
        <w:spacing w:before="0" w:after="80"/>
      </w:pPr>
      <w:r>
        <w:rPr>
          <w:i/>
          <w:sz w:val="20"/>
        </w:rPr>
        <w:t>EN: Nanoscale Adhesive Architecture Coordinates With Matrix Stiffness to Regulate Stem Cell Aging via Focal Adhesion‐Mediated Chromatin Remodeling and FOXO1 Activation</w:t>
      </w:r>
    </w:p>
    <w:p>
      <w:pPr>
        <w:spacing w:before="0" w:after="120"/>
      </w:pPr>
      <w:r>
        <w:rPr>
          <w:b/>
        </w:rPr>
        <w:t xml:space="preserve">Source: </w:t>
      </w:r>
      <w:r>
        <w:t>Wiley: Advanced Materials: Table of Contents</w:t>
      </w:r>
      <w:r>
        <w:t xml:space="preserve">    </w:t>
      </w:r>
      <w:r>
        <w:rPr>
          <w:b/>
        </w:rPr>
        <w:t xml:space="preserve">Pub date: </w:t>
      </w:r>
      <w:r>
        <w:t>2026-08-05 06:36:27+00:00</w:t>
      </w:r>
      <w:r>
        <w:t xml:space="preserve">    </w:t>
      </w:r>
      <w:r>
        <w:rPr>
          <w:b/>
        </w:rPr>
        <w:t xml:space="preserve">DOI: </w:t>
      </w:r>
      <w:hyperlink r:id="rId1429">
        <w:r>
          <w:rPr>
            <w:color w:val="1155CC"/>
            <w:u w:val="single"/>
          </w:rPr>
          <w:t>10.1002/adma.73896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干细胞老化严重限制了再生生物材料的功效，但微环境中的机械线索如何调节这一过程仍不清楚。在这里，我们揭示了粘附配体的纳米级间距对间充质干细胞（MSC）衰老产生了刚度依赖性影响。相对于密集间距（距离 30 nm），较宽的间距（距离 150 nm）会加速硬水凝胶（50 kPa）的老化，但会减轻软水凝胶（5 kPa）的老化。使用基于分子离合器的理论模型，我们证明配体间距和基质刚度通过粘着斑组装协同调节细胞行为。增强的粘着斑形成放大了应力纤维产生的牵引力和核膜张力，导致染色质可及性增加和 FOXO1（细胞衰老的中心调节因子）的转录激活。这些机制见解在体内得到进一步验证。总的来说，这些发现描绘了一种机械转导机制，通过该机制纳米级粘合剂结构和基质刚度协同控制干细胞衰老。</w:t>
      </w:r>
    </w:p>
    <w:p>
      <w:pPr>
        <w:spacing w:before="0" w:after="200" w:lineRule="auto" w:line="276"/>
      </w:pPr>
      <w:r>
        <w:rPr>
          <w:b/>
        </w:rPr>
        <w:t xml:space="preserve">Abstract (EN): </w:t>
      </w:r>
      <w:r>
        <w:t>Stem cell aging critically limits the efficacy of regenerative biomaterials, yet how mechanical cues within the microenvironment modulate this process remains insufficiently understood. Here, we reveal that the nanoscale spacing of adhesive ligands imposes stiffness‐dependent effects on mesenchymal stem cell (MSC) senescence. Wider spacing (distance 150 nm) accelerates aging on stiff hydrogels (50 kPa) but mitigates it on soft hydrogels (5 kPa), relative to dense spacing (distance 30 nm). Using a molecular clutch‐based theoretical model, we demonstrate that ligand spacing and matrix stiffness cooperatively regulate cell behaviors through focal adhesion assembly. Enhanced focal adhesion formation amplifies stress fiber‐generated traction forces and nuclear envelope tension, leading to increased chromatin accessibility and transcriptional activation of FOXO1, a central regulator of cellular senescence. These mechanistic insights are further validated in vivo. Collectively, these findings delineate a mechanotransduction mechanism through which nanoscale adhesive architecture and matrix stiffness cooperatively govern stem cell aging.</w:t>
      </w:r>
    </w:p>
    <w:p>
      <w:pPr>
        <w:spacing w:before="120" w:after="120"/>
      </w:pPr>
      <w:r>
        <w:rPr>
          <w:sz w:val="18"/>
        </w:rPr>
        <w:t>——————————————————————————————————————————————————————————————————————</w:t>
      </w:r>
    </w:p>
    <w:p>
      <w:pPr>
        <w:spacing w:before="160" w:after="40" w:line="240" w:lineRule="auto"/>
      </w:pPr>
      <w:r>
        <w:rPr>
          <w:b/>
        </w:rPr>
        <w:t xml:space="preserve">[487] </w:t>
      </w:r>
      <w:hyperlink r:id="rId1430">
        <w:r>
          <w:rPr>
            <w:color w:val="1155CC"/>
            <w:u w:val="single"/>
          </w:rPr>
          <w:t>将面内有序桥接到宏观各向同性超轻 MXene-石墨烯气凝胶</w:t>
        </w:r>
      </w:hyperlink>
    </w:p>
    <w:p>
      <w:pPr>
        <w:spacing w:before="0" w:after="80"/>
      </w:pPr>
      <w:r>
        <w:rPr>
          <w:i/>
          <w:sz w:val="20"/>
        </w:rPr>
        <w:t>EN: Bridging In‐Plane Order to Macroscopic Isotropic Ultralight MXene–Graphene Aerogels</w:t>
      </w:r>
    </w:p>
    <w:p>
      <w:pPr>
        <w:spacing w:before="0" w:after="120"/>
      </w:pPr>
      <w:r>
        <w:rPr>
          <w:b/>
        </w:rPr>
        <w:t xml:space="preserve">Source: </w:t>
      </w:r>
      <w:r>
        <w:t>Wiley: Advanced Materials: Table of Contents</w:t>
      </w:r>
      <w:r>
        <w:t xml:space="preserve">    </w:t>
      </w:r>
      <w:r>
        <w:rPr>
          <w:b/>
        </w:rPr>
        <w:t xml:space="preserve">Pub date: </w:t>
      </w:r>
      <w:r>
        <w:t>2026-08-05 06:45:36+00:00</w:t>
      </w:r>
      <w:r>
        <w:t xml:space="preserve">    </w:t>
      </w:r>
      <w:r>
        <w:rPr>
          <w:b/>
        </w:rPr>
        <w:t xml:space="preserve">DOI: </w:t>
      </w:r>
      <w:hyperlink r:id="rId1431">
        <w:r>
          <w:rPr>
            <w:color w:val="1155CC"/>
            <w:u w:val="single"/>
          </w:rPr>
          <w:t>10.1002/adma.74492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二维（2D）材料的固有特性转化为宏观多孔结构时，跨长度尺度的精确纳米片组织仍然是一个挑战。将面内纳米片顺序扩展到长距离、三维（3D）框架而不导致结构崩溃一直是难以实现的。在这里，我们报告了一种超轻 MXene-石墨烯气凝胶，它表现出从纳米级到宏观多孔网络的各向同性纳米片组织。这种结构是通过藻酸盐诱导的液晶组装与快速冰成核驱动的压实相结合来实现的。各向同性框架使干燥过程中的毛细管应力均匀化，从而能够在常压下制造超低密度 9.0 mg cm 的气凝胶</w:t>
      </w:r>
      <w:r>
        <w:t xml:space="preserve"> </w:t>
      </w:r>
      <w:r>
        <w:t>-</w:t>
      </w:r>
      <w:r>
        <w:rPr>
          <w:vertAlign w:val="subscript"/>
        </w:rPr>
        <w:t>3</w:t>
      </w:r>
      <w:r>
        <w:t>。纳米片的连续长程、面内各向同性堆叠可实现沿孔壁的有效电子传输，从而增强电磁干扰（EMI）屏蔽性能。这项工作建立了构建多孔多尺度各向同性纳米片结构的总体策略。</w:t>
      </w:r>
    </w:p>
    <w:p>
      <w:pPr>
        <w:spacing w:before="0" w:after="200" w:lineRule="auto" w:line="276"/>
      </w:pPr>
      <w:r>
        <w:rPr>
          <w:b/>
        </w:rPr>
        <w:t xml:space="preserve">Abstract (EN): </w:t>
      </w:r>
      <w:r>
        <w:t>Precise nanosheet organization across length scales remains a challenge in translating the intrinsic properties of two‐dimensional (2D) materials into macroscopic porous architectures. Extending in‐plane nanosheet order to long‐range, three‐dimensional (3D) frameworks without structural collapse has been elusive. Here, we report an ultralight MXene–graphene aerogel that exhibits isotropic nanosheet organization spanning from the nanoscale to macroscopic porous networks. This architecture is realized through alginate‐induced liquid‐crystalline assembly coupled with rapid ice‐nucleation‐driven compaction. The isotropic framework homogenizes capillary stresses during drying, enabling ambient‐pressure fabrication of aerogels with an ultralow density of 9.0 mg cm</w:t>
      </w:r>
      <w:r>
        <w:t xml:space="preserve"> </w:t>
      </w:r>
      <w:r>
        <w:t>−</w:t>
      </w:r>
      <w:r>
        <w:rPr>
          <w:vertAlign w:val="subscript"/>
        </w:rPr>
        <w:t>3</w:t>
      </w:r>
      <w:r>
        <w:t>. Continuous long‐range, in‐plane isotropic stacking of nanosheets enables efficient electron transport along the pore walls, resulting in enhanced electromagnetic interference (EMI) shielding performance. This work establishes a general strategy for constructing porous multiscale isotropic nanosheet architectures.</w:t>
      </w:r>
    </w:p>
    <w:p>
      <w:pPr>
        <w:spacing w:before="120" w:after="120"/>
      </w:pPr>
      <w:r>
        <w:rPr>
          <w:sz w:val="18"/>
        </w:rPr>
        <w:t>——————————————————————————————————————————————————————————————————————</w:t>
      </w:r>
    </w:p>
    <w:p>
      <w:pPr>
        <w:spacing w:before="160" w:after="40" w:line="240" w:lineRule="auto"/>
      </w:pPr>
      <w:r>
        <w:rPr>
          <w:b/>
        </w:rPr>
        <w:t xml:space="preserve">[488] </w:t>
      </w:r>
      <w:hyperlink r:id="rId1432">
        <w:r>
          <w:rPr>
            <w:color w:val="1155CC"/>
            <w:u w:val="single"/>
          </w:rPr>
          <w:t>磷酸化热液喷口新陈代谢起源的中间阶段</w:t>
        </w:r>
      </w:hyperlink>
    </w:p>
    <w:p>
      <w:pPr>
        <w:spacing w:before="0" w:after="80"/>
      </w:pPr>
      <w:r>
        <w:rPr>
          <w:i/>
          <w:sz w:val="20"/>
        </w:rPr>
        <w:t>EN: Intermediate stages in the origin of metabolism at a phosphorylating hydrothermal vent</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33">
        <w:r>
          <w:rPr>
            <w:color w:val="1155CC"/>
            <w:u w:val="single"/>
          </w:rPr>
          <w:t>10.1126/sciadv.aef3128</w:t>
        </w:r>
      </w:hyperlink>
    </w:p>
    <w:p>
      <w:pPr>
        <w:spacing w:before="0" w:after="120"/>
      </w:pPr>
      <w:r>
        <w:rPr>
          <w:b/>
        </w:rPr>
        <w:t xml:space="preserve">Notes: </w:t>
      </w:r>
      <w:r>
        <w:t>abstract_source=crossref</w:t>
      </w:r>
    </w:p>
    <w:p>
      <w:pPr>
        <w:spacing w:before="0" w:after="80" w:lineRule="auto" w:line="276"/>
      </w:pPr>
      <w:r>
        <w:rPr>
          <w:b/>
        </w:rPr>
        <w:t xml:space="preserve">摘要（ZH）: </w:t>
      </w:r>
      <w:r>
        <w:t>生命的起源需要新陈代谢的出现，新陈代谢是合成氨基酸、核苷酸和辅因子的酶反应的自催化网络。新陈代谢的起源并没有酶——它是如何开始的？缺乏针对早期代谢进化的实证研究。利用代谢酶的蛋白质结构，我们识别了原始代谢组装中的中间状态。我们表明，普遍共同祖先中的酶促代谢是不完整的，在导致细菌和古细菌的谱系中独立地进行最终组装。天然过渡金属——铁、钴、镍和钯——在代谢起源时充当酶和辅因子的催化先驱，而亚磷酸盐则提供能量，因为它使用水中的天然金属催化剂将腺苷 5'-单磷酸磷酸化为腺苷 5'-二磷酸，将丝氨酸磷酸化为磷酸丝氨酸。亚磷酸盐和天然金属出现在蛇纹石化热液系统中，确定了代谢起源的供能催化位点。辅因子将新生代谢从天然金属催化剂中释放出来，形成其自催化状态。</w:t>
      </w:r>
    </w:p>
    <w:p>
      <w:pPr>
        <w:spacing w:before="0" w:after="200" w:lineRule="auto" w:line="276"/>
      </w:pPr>
      <w:r>
        <w:rPr>
          <w:b/>
        </w:rPr>
        <w:t xml:space="preserve">Abstract (EN): </w:t>
      </w:r>
      <w:r>
        <w:t>The origin of life required the emergence of metabolism, an autocatalytic network of enzymatic reactions that synthesize amino acids, nucleotides, and cofactors. At the origin of metabolism, there were no enzymes—how did it start? Empirical studies addressing early metabolic evolution are lacking. Harnessing protein structures for metabolic enzymes, we identify intermediate states in primordial metabolic assembly. We show that enzymatic metabolism in the universal common ancestor was incomplete, undergoing final assembly independently in the lineages leading to bacteria and archaea. Native transition metals—iron, cobalt, nickel, and palladium—served as the catalytic forerunners of both enzymes and cofactors at metabolic origin, while phosphite supplied energy, as it phosphorylates adenosine 5′-monophosphate to adenosine 5′-diphosphate and serine to phosphoserine using native metal catalysts in water. Phosphite and native metals occur in serpentinizing hydrothermal systems, identifying an energy-supplying, catalytic site of metabolic origin. Cofactors liberated nascent metabolism from native metal catalysts, engendering its autocatalytic state.</w:t>
      </w:r>
    </w:p>
    <w:p>
      <w:pPr>
        <w:spacing w:before="120" w:after="120"/>
      </w:pPr>
      <w:r>
        <w:rPr>
          <w:sz w:val="18"/>
        </w:rPr>
        <w:t>——————————————————————————————————————————————————————————————————————</w:t>
      </w:r>
    </w:p>
    <w:p>
      <w:pPr>
        <w:spacing w:before="160" w:after="40" w:line="240" w:lineRule="auto"/>
      </w:pPr>
      <w:r>
        <w:rPr>
          <w:b/>
        </w:rPr>
        <w:t xml:space="preserve">[489] </w:t>
      </w:r>
      <w:hyperlink r:id="rId1434">
        <w:r>
          <w:rPr>
            <w:color w:val="1155CC"/>
            <w:u w:val="single"/>
          </w:rPr>
          <w:t>用于脊髓损伤可编程电神经调节的可生物降解压电椎体植入物</w:t>
        </w:r>
      </w:hyperlink>
    </w:p>
    <w:p>
      <w:pPr>
        <w:spacing w:before="0" w:after="80"/>
      </w:pPr>
      <w:r>
        <w:rPr>
          <w:i/>
          <w:sz w:val="20"/>
        </w:rPr>
        <w:t>EN: A biodegradable piezoelectric vertebral implant for programmable electro-neuromodulation in spinal cord injury</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35">
        <w:r>
          <w:rPr>
            <w:color w:val="1155CC"/>
            <w:u w:val="single"/>
          </w:rPr>
          <w:t>10.1126/sciadv.aeg0515</w:t>
        </w:r>
      </w:hyperlink>
    </w:p>
    <w:p>
      <w:pPr>
        <w:spacing w:before="0" w:after="120"/>
      </w:pPr>
      <w:r>
        <w:rPr>
          <w:b/>
        </w:rPr>
        <w:t xml:space="preserve">Notes: </w:t>
      </w:r>
      <w:r>
        <w:t>abstract_source=crossref</w:t>
      </w:r>
    </w:p>
    <w:p>
      <w:pPr>
        <w:spacing w:before="0" w:after="80" w:lineRule="auto" w:line="276"/>
      </w:pPr>
      <w:r>
        <w:rPr>
          <w:b/>
        </w:rPr>
        <w:t xml:space="preserve">摘要（ZH）: </w:t>
      </w:r>
      <w:r>
        <w:t>脊髓刺激已成为脊髓损伤（SCI）的一种有前途的治疗策略，但传统的电子植入物仍然受到手术风险和长期安全问题的限制。我们推出了一种可生物降解的压电冷冻凝胶（Piezo Gel），无需植入电子设备即可实现可编程电神经调节。压电凝胶经过精心设计，可复制脊柱力学，将生理运动转换为局部生物电信号；外部施加的超声波（US）进一步放大了这种输出，从而实现非侵入性、按需的神经调节。在急性严重 SCI 大鼠中，US 激活的 Piezo Gel 显着改善了运动恢复，提高了 Basso-Beattie-Bresnahan (BBB) 评分，并促进了膀胱功能重塑。在轻度挫伤大鼠中，阶段适应性神经调节策略从急性固定阶段的超声触发刺激转变为亚急性康复期间的运动驱动刺激，动态匹配 SCI 后不断变化的病理微环境。这种顺序电刺激模式显着恢复了协调步态。总之，这些发现建立了一个用于可编程电神经调节的无电子平台，该平台整合了 US 和生理运动，为 SCI 修复提供了临床可转化的策略。</w:t>
      </w:r>
    </w:p>
    <w:p>
      <w:pPr>
        <w:spacing w:before="0" w:after="200" w:lineRule="auto" w:line="276"/>
      </w:pPr>
      <w:r>
        <w:rPr>
          <w:b/>
        </w:rPr>
        <w:t xml:space="preserve">Abstract (EN): </w:t>
      </w:r>
      <w:r>
        <w:t>Spinal cord stimulation has emerged as a promising therapeutic strategy for spinal cord injury (SCI), yet conventional electronic implants remain limited by surgical risk and long-term safety concerns. We introduce a biodegradable piezoelectric cryogel (Piezo Gel) that enables programmable electro-neuromodulation without implanted electronics. Engineered to replicate spinal column mechanics, Piezo Gel converts physiological motion into localized bioelectrical signals; externally applied ultrasound (US) further amplifies this output, enabling non-invasive, on-demand neuromodulation. In acute severe SCI rats, US-activated Piezo Gel markedly improved locomotor recovery, elevated Basso–Beattie–Bresnahan (BBB) scores, and promoted bladder functional remodeling. In mild contusion rats, a phase-adaptive neuromodulation strategy shifted from US-triggered stimulation during the acute immobilization phase to motion-driven stimulation during subacute rehabilitation, dynamically matching the evolving pathological microenvironment after SCI. This sequential electrostimulation paradigm produced marked restoration of coordinated gait. Together, these findings establish an electronic-free platform for programmable electro-neuromodulation that integrates US and physiological motion, offering a clinically translatable strategy for SCI repair.</w:t>
      </w:r>
    </w:p>
    <w:p>
      <w:pPr>
        <w:spacing w:before="120" w:after="120"/>
      </w:pPr>
      <w:r>
        <w:rPr>
          <w:sz w:val="18"/>
        </w:rPr>
        <w:t>——————————————————————————————————————————————————————————————————————</w:t>
      </w:r>
    </w:p>
    <w:p>
      <w:pPr>
        <w:spacing w:before="160" w:after="40" w:line="240" w:lineRule="auto"/>
      </w:pPr>
      <w:r>
        <w:rPr>
          <w:b/>
        </w:rPr>
        <w:t xml:space="preserve">[490] </w:t>
      </w:r>
      <w:hyperlink r:id="rId1436">
        <w:r>
          <w:rPr>
            <w:color w:val="1155CC"/>
            <w:u w:val="single"/>
          </w:rPr>
          <w:t>开发结构独特的 TopBP1 抑制剂，增强 PARP 阻断并逆转奥希替尼耐药</w:t>
        </w:r>
      </w:hyperlink>
    </w:p>
    <w:p>
      <w:pPr>
        <w:spacing w:before="0" w:after="80"/>
      </w:pPr>
      <w:r>
        <w:rPr>
          <w:i/>
          <w:sz w:val="20"/>
        </w:rPr>
        <w:t>EN: Development of a structurally distinct TopBP1 inhibitor that enhances PARP blockade and reverses osimertinib resistance</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37">
        <w:r>
          <w:rPr>
            <w:color w:val="1155CC"/>
            <w:u w:val="single"/>
          </w:rPr>
          <w:t>10.1126/sciadv.aeg1996</w:t>
        </w:r>
      </w:hyperlink>
    </w:p>
    <w:p>
      <w:pPr>
        <w:spacing w:before="0" w:after="120"/>
      </w:pPr>
      <w:r>
        <w:rPr>
          <w:b/>
        </w:rPr>
        <w:t xml:space="preserve">Notes: </w:t>
      </w:r>
      <w:r>
        <w:t>abstract_source=crossref</w:t>
      </w:r>
    </w:p>
    <w:p>
      <w:pPr>
        <w:spacing w:before="0" w:after="80" w:lineRule="auto" w:line="276"/>
      </w:pPr>
      <w:r>
        <w:rPr>
          <w:b/>
        </w:rPr>
        <w:t xml:space="preserve">摘要（ZH）: </w:t>
      </w:r>
      <w:r>
        <w:t>治疗耐药仍然是癌症治疗中的一个主要挑战，由维持肿瘤存活的补偿信号和应激反应途径驱动。拓扑异构酶 IIβ 结合蛋白 1 (TopBP1) 是一种具有 9 个 BRCT 结构域的多功能支架蛋白，将复制应激信号与致癌网络整合在一起，并且在侵袭性癌症中经常过度表达。其 BRCT7/8 结构域介导与 E2F1、突变体 p53、MIZ1、PLK1 和 CIP2A 的关键相互作用，使 TopBP1-BRCT7/8 成为有吸引力的治疗靶点。利用对接引导筛选和构效关系驱动优化，我们开发了 CS18 作为一种有效的选择性 BRCT7/8 抑制剂，可破坏致癌 TopBP1 复合物而不干扰 DNA 复制。 CS18 抑制 MYC 转录程序，恢复 E2F1 介导的细胞凋亡，并诱导有丝分裂灾难。它具有广谱抗癌活性，在多种癌症类型中与聚（ADP-核糖）聚合酶（PARP）抑制剂具有协同作用，并增强奥希替尼在多种癌症中的敏感性。</w:t>
      </w:r>
      <w:r>
        <w:t xml:space="preserve"> </w:t>
      </w:r>
      <w:r>
        <w:t>表皮生长因子受体</w:t>
      </w:r>
      <w:r>
        <w:t xml:space="preserve"> </w:t>
      </w:r>
      <w:r>
        <w:t>-突变的非小细胞肺癌（NSCLC）细胞。 CS18 在患者来源的乳腺癌异种移植物中表现出功效，并克服了体内难治性 NSCLC 中的奥希替尼耐药性。这些发现表明 CS18 是一种化学上独特的 TopBP1 抑制剂，具有克服治疗耐药性和推进精准肿瘤学的转化潜力。</w:t>
      </w:r>
    </w:p>
    <w:p>
      <w:pPr>
        <w:spacing w:before="0" w:after="200" w:lineRule="auto" w:line="276"/>
      </w:pPr>
      <w:r>
        <w:rPr>
          <w:b/>
        </w:rPr>
        <w:t xml:space="preserve">Abstract (EN): </w:t>
      </w:r>
      <w:r>
        <w:t>Therapeutic resistance remains a major challenge in cancer treatment, driven by compensatory signaling and stress response pathways that sustain tumor survival. Topoisomerase IIβ-binding protein 1 (TopBP1), a multifunctional scaffold protein with nine BRCT domains, integrates replication stress signaling with oncogenic networks and is frequently overexpressed in aggressive cancers. Its BRCT7/8 domains mediate critical interactions with E2F1, mutant p53, MIZ1, PLK1, and CIP2A, making TopBP1-BRCT7/8 an attractive therapeutic target. Using docking-guided screening and structure-activity relationship–driven optimization, we developed CS18 as a potent and selective BRCT7/8 inhibitor that disrupts oncogenic TopBP1 complexes without interfering with DNA replication. CS18 suppresses MYC transcriptional programs, restores E2F1-mediated apoptosis, and induces mitotic catastrophe. It exhibits broad-spectrum anticancer activity and synergizes with poly(ADP-ribose) polymerase (PARP) inhibitors in multiple cancer types and enhances osimertinib sensitivity in</w:t>
      </w:r>
      <w:r>
        <w:t xml:space="preserve"> </w:t>
      </w:r>
      <w:r>
        <w:t>EGFR</w:t>
      </w:r>
      <w:r>
        <w:t xml:space="preserve"> </w:t>
      </w:r>
      <w:r>
        <w:t>-mutated non–small cell lung cancer (NSCLC) cells. CS18 demonstrates efficacy in patient-derived breast cancer xenografts and overcomes osimertinib resistance in refractory NSCLC in vivo. These findings establish CS18 as a chemically distinct TopBP1 inhibitor with translational potential to overcome therapeutic resistance and advance precision oncology.</w:t>
      </w:r>
    </w:p>
    <w:p>
      <w:pPr>
        <w:spacing w:before="120" w:after="120"/>
      </w:pPr>
      <w:r>
        <w:rPr>
          <w:sz w:val="18"/>
        </w:rPr>
        <w:t>——————————————————————————————————————————————————————————————————————</w:t>
      </w:r>
    </w:p>
    <w:p>
      <w:pPr>
        <w:spacing w:before="160" w:after="40" w:line="240" w:lineRule="auto"/>
      </w:pPr>
      <w:r>
        <w:rPr>
          <w:b/>
        </w:rPr>
        <w:t xml:space="preserve">[491] </w:t>
      </w:r>
      <w:hyperlink r:id="rId1438">
        <w:r>
          <w:rPr>
            <w:color w:val="1155CC"/>
            <w:u w:val="single"/>
          </w:rPr>
          <w:t>V-ATP酶介导的肾小管胰高血糖素受体激活的肾脏保护作用</w:t>
        </w:r>
      </w:hyperlink>
    </w:p>
    <w:p>
      <w:pPr>
        <w:spacing w:before="0" w:after="80"/>
      </w:pPr>
      <w:r>
        <w:rPr>
          <w:i/>
          <w:sz w:val="20"/>
        </w:rPr>
        <w:t>EN: Renoprotective effects of tubular glucagon receptor activation mediated by V-ATPase</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39">
        <w:r>
          <w:rPr>
            <w:color w:val="1155CC"/>
            <w:u w:val="single"/>
          </w:rPr>
          <w:t>10.1126/sciadv.aeg2534</w:t>
        </w:r>
      </w:hyperlink>
    </w:p>
    <w:p>
      <w:pPr>
        <w:spacing w:before="0" w:after="120"/>
      </w:pPr>
      <w:r>
        <w:rPr>
          <w:b/>
        </w:rPr>
        <w:t xml:space="preserve">Notes: </w:t>
      </w:r>
      <w:r>
        <w:t>abstract_source=crossref</w:t>
      </w:r>
    </w:p>
    <w:p>
      <w:pPr>
        <w:spacing w:before="0" w:after="80" w:lineRule="auto" w:line="276"/>
      </w:pPr>
      <w:r>
        <w:rPr>
          <w:b/>
        </w:rPr>
        <w:t xml:space="preserve">摘要（ZH）: </w:t>
      </w:r>
      <w:r>
        <w:t>最近的临床试验表明，GLP-1R/GCGR 双重激动剂（包括马兹度肽和科他度肽）可为 2 型糖尿病和 CKD 患者提供肾脏益处，这表明 GCGR 激活对这些肾脏影响可能有贡献。然而，GCGR 是否直接赋予肾脏保护作用及其潜在机制仍不清楚。在这里，我们使用肾小管特异性 GCGR 功能丧失和获得功能小鼠模型和人类肾脏样本，证明肾小管 GCGR 信号在 DKD 中发挥重要的肾脏保护作用。患有 DKD 的人和小鼠的肾小管 GCGR 表达降低，并与肾功能恶化和肾损伤增加相关。肾小管 GCGR 的基因消融显着加剧 DKD 并诱导扩大的溶酶体内明显的磷脂积累。从机制上讲，GCGR 损失会破坏其与 V-ATPase V1A 亚基 ATP6V1A 的关联，损害 V1-V0 组装，从而损害溶酶体酸化。这种缺陷导致磷脂水解和蛋白酶成熟受损、自噬流受阻，并最终导致肾小管细胞损伤。在体内，ATP6V1A 过表达可显着逆转 GCGR 缺乏引起的溶酶体功能障碍和 DKD 进展。一致地，通过 AAV9 重新表达肾小管 GCGR 可恢复溶酶体功能，减少磷脂积累，并减轻 DKD 的肾损伤。总之，这些发现为肾小管 GCGR 在 DKD 中的肾脏保护作用提供了遗传证据，描绘了保护肾小管完整性的肾脏固有 GCGR-ATP6V1A-溶酶体轴，并扩展了先前的肾脏 GCGR 观察</w:t>
      </w:r>
    </w:p>
    <w:p>
      <w:pPr>
        <w:spacing w:before="0" w:after="200" w:lineRule="auto" w:line="276"/>
      </w:pPr>
      <w:r>
        <w:rPr>
          <w:b/>
        </w:rPr>
        <w:t xml:space="preserve">Abstract (EN): </w:t>
      </w:r>
      <w:r>
        <w:t>Recent clinical trials have shown that dual GLP-1R/GCGR agonists, including mazdutide and cotadutide, provide kidney benefits in patients with type 2 diabetes and CKD, suggesting a potential contribution of GCGR activation to these renal effects. However, whether GCGR directly confers renoprotection and the underlying mechanisms remain unclear. Here, using tubule-specific GCGR loss- and gain-of-function mouse models and human kidney samples, we show that tubular GCGR signaling exerts an important renoprotective role in DKD. Tubular GCGR expression is reduced in humans and mice with DKD and correlates with worse kidney function and increased renal injury. Genetic ablation of tubular GCGR markedly exacerbates DKD and induces pronounced phospholipid accumulation within enlarged lysosomes. Mechanistically, GCGR loss disrupts its association with the V-ATPase V1A subunit ATP6V1A, compromises V1-V0 assembly, and thereby impairs lysosomal acidification. This defect leads to impaired phospholipid hydrolysis and protease maturation, blockade of autophagic flux, and ultimately tubular cell injury. In vivo, ATP6V1A overexpression markedly reverses GCGR deficiency-induced lysosomal dysfunction and DKD progression. Consistently, re-expression of tubular GCGR via AAV9 restores lysosomal function, reduces phospholipid accumulation, and mitigates renal injury in DKD. Together, these findings provide genetic evidence for the renoprotective role of tubular GCGR in DKD, delineate a kidney-intrinsic GCGR-ATP6V1A-lysosome axis that protects tubular integrity, and extend prior GCGR-in-kidney observations into a more concrete GCGR-lysosome mechanism.</w:t>
      </w:r>
    </w:p>
    <w:p>
      <w:pPr>
        <w:spacing w:before="120" w:after="120"/>
      </w:pPr>
      <w:r>
        <w:rPr>
          <w:sz w:val="18"/>
        </w:rPr>
        <w:t>——————————————————————————————————————————————————————————————————————</w:t>
      </w:r>
    </w:p>
    <w:p>
      <w:pPr>
        <w:spacing w:before="160" w:after="40" w:line="240" w:lineRule="auto"/>
      </w:pPr>
      <w:r>
        <w:rPr>
          <w:b/>
        </w:rPr>
        <w:t xml:space="preserve">[492] </w:t>
      </w:r>
      <w:hyperlink r:id="rId1440">
        <w:r>
          <w:rPr>
            <w:color w:val="1155CC"/>
            <w:u w:val="single"/>
          </w:rPr>
          <w:t>具有多重发射功能的原子级精确 Au24(SR)20 纳米团簇</w:t>
        </w:r>
      </w:hyperlink>
    </w:p>
    <w:p>
      <w:pPr>
        <w:spacing w:before="0" w:after="80"/>
      </w:pPr>
      <w:r>
        <w:rPr>
          <w:i/>
          <w:sz w:val="20"/>
        </w:rPr>
        <w:t>EN: Atomically precise Au24(SR)20 nanoclusters with multiemission</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41">
        <w:r>
          <w:rPr>
            <w:color w:val="1155CC"/>
            <w:u w:val="single"/>
          </w:rPr>
          <w:t>10.1126/sciadv.aeg4730</w:t>
        </w:r>
      </w:hyperlink>
    </w:p>
    <w:p>
      <w:pPr>
        <w:spacing w:before="0" w:after="120"/>
      </w:pPr>
      <w:r>
        <w:rPr>
          <w:b/>
        </w:rPr>
        <w:t xml:space="preserve">Notes: </w:t>
      </w:r>
      <w:r>
        <w:t>abstract_source=crossref</w:t>
      </w:r>
    </w:p>
    <w:p>
      <w:pPr>
        <w:spacing w:before="0" w:after="80" w:lineRule="auto" w:line="276"/>
      </w:pPr>
      <w:r>
        <w:rPr>
          <w:b/>
        </w:rPr>
        <w:t xml:space="preserve">摘要（ZH）: </w:t>
      </w:r>
      <w:r>
        <w:t>原子精确的金属纳米团簇（NC）为精确控制光物理提供了独特的平台，但其复杂的光致发光（PL）机制仍然难以捉摸。在这里，我们研究了一系列相关的 Au</w:t>
      </w:r>
      <w:r>
        <w:rPr>
          <w:vertAlign w:val="subscript"/>
        </w:rPr>
        <w:t>24</w:t>
      </w:r>
      <w:r>
        <w:t>(SR)</w:t>
      </w:r>
      <w:r>
        <w:rPr>
          <w:vertAlign w:val="subscript"/>
        </w:rPr>
        <w:t>20</w:t>
      </w:r>
      <w:r>
        <w:t>具有相同的核心但不同的R基团，揭示了由R基团调节的统一的三重发射机制。通过集成低温PL、飞秒瞬态吸收和时间分辨电子顺磁共振，我们提供了第一个短寿命激发三重态（T</w:t>
      </w:r>
      <w:r>
        <w:rPr>
          <w:vertAlign w:val="subscript"/>
        </w:rPr>
        <w:t>1</w:t>
      </w:r>
      <w:r>
        <w:t>）在室温下的寿命约为 350 纳秒，解决了初始单线态（S</w:t>
      </w:r>
      <w:r>
        <w:rPr>
          <w:vertAlign w:val="subscript"/>
        </w:rPr>
        <w:t>1</w:t>
      </w:r>
      <w:r>
        <w:t>）到具有电荷转移特性的扭曲单线态到 T</w:t>
      </w:r>
      <w:r>
        <w:rPr>
          <w:vertAlign w:val="subscript"/>
        </w:rPr>
        <w:t>1</w:t>
      </w:r>
      <w:r>
        <w:t>。这些状态有助于多重发射（600 至 1400 纳米，可见到近红外）。至关重要的是，3,5-二甲基苄基硫醇配体诱导的锁定的 R 基团对称性增加了结构变形的动力学障碍。这种刚性抑制了 S</w:t>
      </w:r>
      <w:r>
        <w:rPr>
          <w:vertAlign w:val="subscript"/>
        </w:rPr>
        <w:t>1</w:t>
      </w:r>
      <w:r>
        <w:t>旋转弛豫并减速系间穿越，产生增强的溶液荧光。这项研究提出了一种通过操纵激发态动力学和自旋特性来设计高效、多发射NC的范例。</w:t>
      </w:r>
    </w:p>
    <w:p>
      <w:pPr>
        <w:spacing w:before="0" w:after="200" w:lineRule="auto" w:line="276"/>
      </w:pPr>
      <w:r>
        <w:rPr>
          <w:b/>
        </w:rPr>
        <w:t xml:space="preserve">Abstract (EN): </w:t>
      </w:r>
      <w:r>
        <w:t>Atomically precise metal nanoclusters (NCs) offer distinct platforms for exquisite control over photophysics, yet their complex photoluminescence (PL) mechanisms remain elusive. Here, we investigate a correlated series of Au</w:t>
      </w:r>
      <w:r>
        <w:rPr>
          <w:vertAlign w:val="subscript"/>
        </w:rPr>
        <w:t>24</w:t>
      </w:r>
      <w:r>
        <w:t>(SR)</w:t>
      </w:r>
      <w:r>
        <w:rPr>
          <w:vertAlign w:val="subscript"/>
        </w:rPr>
        <w:t>20</w:t>
      </w:r>
      <w:r>
        <w:t>with the same core but different R groups, revealing a unified triple-emission mechanism modulated by the R groups. By integrating cryogenic PL, femtosecond transient absorption and time-resolved electron paramagnetic resonance, we provide the first direct experimental “fingerprint” of short-lived excited triplet state (T</w:t>
      </w:r>
      <w:r>
        <w:rPr>
          <w:vertAlign w:val="subscript"/>
        </w:rPr>
        <w:t>1</w:t>
      </w:r>
      <w:r>
        <w:t>) of ∼350-nanosecond lifetime at room temperature, resolving the exciton relaxation cascade from the initial singlet state (S</w:t>
      </w:r>
      <w:r>
        <w:rPr>
          <w:vertAlign w:val="subscript"/>
        </w:rPr>
        <w:t>1</w:t>
      </w:r>
      <w:r>
        <w:t>) to a distorted singlet state with charge-transfer character to a T</w:t>
      </w:r>
      <w:r>
        <w:rPr>
          <w:vertAlign w:val="subscript"/>
        </w:rPr>
        <w:t>1</w:t>
      </w:r>
      <w:r>
        <w:t>. These states contribute to multiemission (600 to 1400 nanometers, visible to near-infrared). Crucially, the R group symmetry of the 3,5-dimethylbenzylthiolate ligand-induced locking increases the kinetic barrier for structural distortion. This rigidity inhibits S</w:t>
      </w:r>
      <w:r>
        <w:rPr>
          <w:vertAlign w:val="subscript"/>
        </w:rPr>
        <w:t>1</w:t>
      </w:r>
      <w:r>
        <w:t>rotational relaxation and decelerates intersystem crossing, yielding enhanced solution fluorescence. This study proposes a paradigm for designing efficient, multiemissive NCs by manipulating the excited-state dynamics and spin character.</w:t>
      </w:r>
    </w:p>
    <w:p>
      <w:pPr>
        <w:spacing w:before="120" w:after="120"/>
      </w:pPr>
      <w:r>
        <w:rPr>
          <w:sz w:val="18"/>
        </w:rPr>
        <w:t>——————————————————————————————————————————————————————————————————————</w:t>
      </w:r>
    </w:p>
    <w:p>
      <w:pPr>
        <w:spacing w:before="160" w:after="40" w:line="240" w:lineRule="auto"/>
      </w:pPr>
      <w:r>
        <w:rPr>
          <w:b/>
        </w:rPr>
        <w:t xml:space="preserve">[493] </w:t>
      </w:r>
      <w:hyperlink r:id="rId1442">
        <w:r>
          <w:rPr>
            <w:color w:val="1155CC"/>
            <w:u w:val="single"/>
          </w:rPr>
          <w:t>通过分子插层超晶格中的有序无序动力学产生的协同超结构</w:t>
        </w:r>
      </w:hyperlink>
    </w:p>
    <w:p>
      <w:pPr>
        <w:spacing w:before="0" w:after="80"/>
      </w:pPr>
      <w:r>
        <w:rPr>
          <w:i/>
          <w:sz w:val="20"/>
        </w:rPr>
        <w:t>EN: Emergent cooperative superstructures via order-disorder kinetics in molecular intercalation superlattices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43">
        <w:r>
          <w:rPr>
            <w:color w:val="1155CC"/>
            <w:u w:val="single"/>
          </w:rPr>
          <w:t>10.1126/sciadv.aeg4785</w:t>
        </w:r>
      </w:hyperlink>
    </w:p>
    <w:p>
      <w:pPr>
        <w:spacing w:before="0" w:after="120"/>
      </w:pPr>
      <w:r>
        <w:rPr>
          <w:b/>
        </w:rPr>
        <w:t xml:space="preserve">Notes: </w:t>
      </w:r>
      <w:r>
        <w:t>abstract_source=crossref</w:t>
      </w:r>
    </w:p>
    <w:p>
      <w:pPr>
        <w:spacing w:before="0" w:after="80" w:lineRule="auto" w:line="276"/>
      </w:pPr>
      <w:r>
        <w:rPr>
          <w:b/>
        </w:rPr>
        <w:t xml:space="preserve">摘要（ZH）: </w:t>
      </w:r>
      <w:r>
        <w:t>通过将有机分子插入范德华晶体中形成分子插层超晶格，形成无机-有机混合界面，从而实现各种涌现现象。传统上，插层分子被认为是非活性间隔基，而它们的集体排序在很大程度上仍未被探索。在这里，我们报告了分子插层二硒化铌（NbSe</w:t>
      </w:r>
      <w:r>
        <w:rPr>
          <w:vertAlign w:val="subscript"/>
        </w:rPr>
        <w:t>2</w:t>
      </w:r>
      <w:r>
        <w:t>），其中客体分子的排序诱导了 NbSe 中的超结构</w:t>
      </w:r>
      <w:r>
        <w:rPr>
          <w:vertAlign w:val="subscript"/>
        </w:rPr>
        <w:t>2</w:t>
      </w:r>
      <w:r>
        <w:t>主晶格，其特征是由于分子和无机晶格之间的不可通约性而产生莫尔结构。热猝灭测量表明，与无机固体中的快速充电或磁有序相比，这种转变是由缓慢的有序-无序动力学控制的。我们的研究结果将分子排序确立为工程异质界面的一种途径，从而实现热可编程超结构。</w:t>
      </w:r>
    </w:p>
    <w:p>
      <w:pPr>
        <w:spacing w:before="0" w:after="200" w:lineRule="auto" w:line="276"/>
      </w:pPr>
      <w:r>
        <w:rPr>
          <w:b/>
        </w:rPr>
        <w:t xml:space="preserve">Abstract (EN): </w:t>
      </w:r>
      <w:r>
        <w:t>Molecular intercalation superlattices, formed by inserting organic molecules into van der Waals crystals, create inorganic-organic hybrid interfaces that have enabled a variety of emergent phenomena. Traditionally, the intercalated molecules have been regarded as inactive spacers, while their collective ordering have remained largely unexplored. Here, we report the discovery of a cooperative superstructure phase in molecule-intercalated niobium diselenide (NbSe</w:t>
      </w:r>
      <w:r>
        <w:rPr>
          <w:vertAlign w:val="subscript"/>
        </w:rPr>
        <w:t>2</w:t>
      </w:r>
      <w:r>
        <w:t>), where ordering of the guest molecules induce a superstructure in the NbSe</w:t>
      </w:r>
      <w:r>
        <w:rPr>
          <w:vertAlign w:val="subscript"/>
        </w:rPr>
        <w:t>2</w:t>
      </w:r>
      <w:r>
        <w:t>host lattice, characterized by a moiré structure due to incommensurability between molecular and inorganic lattices. Thermal-quench measurements show that the transition is governed by slow order-disorder kinetics, contrasting with fast charge or magnetic ordering in inorganic solids. Our findings establish molecular ordering as a route for engineering heterointerfaces, enabling thermally programmable superstructures.</w:t>
      </w:r>
    </w:p>
    <w:p>
      <w:pPr>
        <w:spacing w:before="120" w:after="120"/>
      </w:pPr>
      <w:r>
        <w:rPr>
          <w:sz w:val="18"/>
        </w:rPr>
        <w:t>——————————————————————————————————————————————————————————————————————</w:t>
      </w:r>
    </w:p>
    <w:p>
      <w:pPr>
        <w:spacing w:before="160" w:after="40" w:line="240" w:lineRule="auto"/>
      </w:pPr>
      <w:r>
        <w:rPr>
          <w:b/>
        </w:rPr>
        <w:t xml:space="preserve">[494] </w:t>
      </w:r>
      <w:hyperlink r:id="rId1444">
        <w:r>
          <w:rPr>
            <w:color w:val="1155CC"/>
            <w:u w:val="single"/>
          </w:rPr>
          <w:t>用于检测临床尿液样本中生物标志物的核酸探针功能化自供电传感器</w:t>
        </w:r>
      </w:hyperlink>
    </w:p>
    <w:p>
      <w:pPr>
        <w:spacing w:before="0" w:after="80"/>
      </w:pPr>
      <w:r>
        <w:rPr>
          <w:i/>
          <w:sz w:val="20"/>
        </w:rPr>
        <w:t>EN: Nucleic acid probe-functionalized self-powered sensor for detection of biomarkers in clinical urine samples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45">
        <w:r>
          <w:rPr>
            <w:color w:val="1155CC"/>
            <w:u w:val="single"/>
          </w:rPr>
          <w:t>10.1126/sciadv.aeg5086</w:t>
        </w:r>
      </w:hyperlink>
    </w:p>
    <w:p>
      <w:pPr>
        <w:spacing w:before="0" w:after="120"/>
      </w:pPr>
      <w:r>
        <w:rPr>
          <w:b/>
        </w:rPr>
        <w:t xml:space="preserve">Notes: </w:t>
      </w:r>
      <w:r>
        <w:t>abstract_source=crossref</w:t>
      </w:r>
    </w:p>
    <w:p>
      <w:pPr>
        <w:spacing w:before="0" w:after="80" w:lineRule="auto" w:line="276"/>
      </w:pPr>
      <w:r>
        <w:rPr>
          <w:b/>
        </w:rPr>
        <w:t xml:space="preserve">摘要（ZH）: </w:t>
      </w:r>
      <w:r>
        <w:t>基于摩擦纳米发电机 (TENG) 的自供电生物传感器可以降低储能设备处置和复杂电子产品制造带来的生态风险，提供经济高效且环保的诊断方法。然而，在尿液复杂的电荷环境中，现有设备难以特异性捕获目标并产生可识别的表面电荷变化以及由此产生的电信号，导致检测特异性和灵敏度不足。在此，该问题首次通过用于临床尿液检测的基于 TENG 的自供电传感器得到解决。自带电核酸探针修饰和靶向构象变化诱导特定表面电荷变化；调节系统离子强度将德拜长度与探针构象尺度相匹配，以最大化这种变化。双电极器件可有效地将表面电荷变化转换为不同的输出信号，从而提高复杂带电环境中的传感性能。该传感器实现了人工尿液中ATP（269 pM）和miR-21（328 pM）的灵敏检测，有效监测膀胱炎患者尿ATP升高情况，显示出低成本、易于操作的家庭健康监测的潜力，促进健康公平。</w:t>
      </w:r>
    </w:p>
    <w:p>
      <w:pPr>
        <w:spacing w:before="0" w:after="200" w:lineRule="auto" w:line="276"/>
      </w:pPr>
      <w:r>
        <w:rPr>
          <w:b/>
        </w:rPr>
        <w:t xml:space="preserve">Abstract (EN): </w:t>
      </w:r>
      <w:r>
        <w:t>Triboelectric nanogenerator (TENG)-based self-powered biosensors can reduce ecological risks from energy storage device disposal and complex electronics manufacturing, offering cost-effective and eco-friendly diagnostic methods. However, in the intricate charge environment of urine, existing devices are difficult to specifically capture targets and produce recognizable changes in surface charge and the resulting electrical signals, leading to insufficient detection specificity and sensitivity. Herein, for the first time, the problem is addressed by a TENG-based self-powered sensor for clinical urine detection. Self-charged nucleic acid probe modification and targeted conformational change induce specific surface charge variation; regulating system ionic strength matches Debye length with probe conformational scale to maximize this variation. A double-electrode device efficiently converts surface charge changes into distinct output signals, boosting sensing performance in intricate charged environments. This sensor achieves sensitive detection of ATP (269 pM) and miR-21 (328 pM) in artificial urine, effectively monitors urinary ATP elevation in cystitis patients, showing potential for low-cost, easy-to-operate home health monitoring, promoting health equity.</w:t>
      </w:r>
    </w:p>
    <w:p>
      <w:pPr>
        <w:spacing w:before="120" w:after="120"/>
      </w:pPr>
      <w:r>
        <w:rPr>
          <w:sz w:val="18"/>
        </w:rPr>
        <w:t>——————————————————————————————————————————————————————————————————————</w:t>
      </w:r>
    </w:p>
    <w:p>
      <w:pPr>
        <w:spacing w:before="160" w:after="40" w:line="240" w:lineRule="auto"/>
      </w:pPr>
      <w:r>
        <w:rPr>
          <w:b/>
        </w:rPr>
        <w:t xml:space="preserve">[495] </w:t>
      </w:r>
      <w:hyperlink r:id="rId1446">
        <w:r>
          <w:rPr>
            <w:color w:val="1155CC"/>
            <w:u w:val="single"/>
          </w:rPr>
          <w:t>人类视网膜色素上皮的 3D 表观基因组景观</w:t>
        </w:r>
      </w:hyperlink>
    </w:p>
    <w:p>
      <w:pPr>
        <w:spacing w:before="0" w:after="80"/>
      </w:pPr>
      <w:r>
        <w:rPr>
          <w:i/>
          <w:sz w:val="20"/>
        </w:rPr>
        <w:t>EN: 3D epigenomic landscape of the human retinal pigment epithelium</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447">
        <w:r>
          <w:rPr>
            <w:color w:val="1155CC"/>
            <w:u w:val="single"/>
          </w:rPr>
          <w:t>10.1073/pnas.2526200123</w:t>
        </w:r>
      </w:hyperlink>
    </w:p>
    <w:p>
      <w:pPr>
        <w:spacing w:before="0" w:after="120"/>
      </w:pPr>
      <w:r>
        <w:rPr>
          <w:b/>
        </w:rPr>
        <w:t xml:space="preserve">Notes: </w:t>
      </w:r>
      <w:r>
        <w:t>abstract_source=crossref</w:t>
      </w:r>
    </w:p>
    <w:p>
      <w:pPr>
        <w:spacing w:before="0" w:after="80" w:lineRule="auto" w:line="276"/>
      </w:pPr>
      <w:r>
        <w:rPr>
          <w:b/>
        </w:rPr>
        <w:t xml:space="preserve">摘要（ZH）: </w:t>
      </w:r>
      <w:r>
        <w:t>视网膜色素上皮（RPE）对于视觉功能至关重要，其功能障碍会导致年龄相关性黄斑变性等视网膜疾病。尽管 iPSC 衍生的 RPE (iPSC-RPE) 在细胞替代疗法中具有转化潜力，但迄今为止所实现的功能性视觉增益有限。一个关键的挑战是功能性 RPE 的分子和表观基因组特征尚未完全阐明。通过整合多组学数据，我们系统地对原代人类 RPE (hRPE)、iPSC-RPE 和永生化 ARPE-19 细胞系的 3D 表观基因组景观进行了基准测试。我们的分析表明 iPSC-RPE 表现出混合分子状态。 iPSC-RPE 重现了 hRPE 样转录和染色质环，但其组蛋白修饰状态仍未完全成熟，并且其染色质可及性和高阶染色质组织未完全趋于 hRPE。此外，我们发现 hRPE 表现出由增强子介导的长程染色质相互作用和丰富的 RUNX1 基序驱动的强大的细胞外基质（ECM）组织，而 iPSC-RPE 保留了关键的发育相关转录特征，以 HAND1、OTX2 和 PAX6 等因子为标志。这些发现为 RPE 成熟度建立了多组学基准，查明了 ECM 组织和 RUNX1 等治疗靶向的关键调控节点，并为优化视网膜再生医学中的分化方案和支架设计提供了路线图。</w:t>
      </w:r>
    </w:p>
    <w:p>
      <w:pPr>
        <w:spacing w:before="0" w:after="200" w:lineRule="auto" w:line="276"/>
      </w:pPr>
      <w:r>
        <w:rPr>
          <w:b/>
        </w:rPr>
        <w:t xml:space="preserve">Abstract (EN): </w:t>
      </w:r>
      <w:r>
        <w:t>The retinal pigment epithelium (RPE) is crucial for visual function, and its dysfunction contributes to retinal diseases such as age-related macular degeneration. Despite the translational potential of iPSC-derived RPE (iPSC-RPE) in cell replacement therapy, the functional visual gains achieved to date are modest. A key challenge is that the molecular and epigenomic signatures underlying functional RPE are yet to be fully elucidated. By integrating multiomics data, we systematically benchmarked the 3D epigenomic landscapes of primary human RPE (hRPE), iPSC-RPE, and the immortalized ARPE-19 cell line. Our analysis reveals that iPSC-RPE exhibits a mixed molecular state. iPSC-RPE recapitulates hRPE-like transcription and chromatin looping, but its histone modification states remain incompletely matured, and its chromatin accessibility and higher-order chromatin organization do not fully converge to hRPE. Furthermore, we found that hRPE exhibits strong extracellular matrix (ECM) organization driven by enhancer-mediated long-range chromatin interactions and enriched RUNX1 motifs, while iPSC-RPE retains key developmental-related transcriptional signatures, marked by factors such as HAND1, OTX2, and PAX6. These findings establish a multiomics benchmark for RPE maturity, pinpoint key regulatory nodes like ECM organization and RUNX1 for therapeutic targeting, and provide a roadmap for optimizing differentiation protocols and scaffold design in retinal regenerative medicine.</w:t>
      </w:r>
    </w:p>
    <w:p>
      <w:pPr>
        <w:spacing w:before="120" w:after="120"/>
      </w:pPr>
      <w:r>
        <w:rPr>
          <w:sz w:val="18"/>
        </w:rPr>
        <w:t>——————————————————————————————————————————————————————————————————————</w:t>
      </w:r>
    </w:p>
    <w:p>
      <w:pPr>
        <w:spacing w:before="160" w:after="40" w:line="240" w:lineRule="auto"/>
      </w:pPr>
      <w:r>
        <w:rPr>
          <w:b/>
        </w:rPr>
        <w:t xml:space="preserve">[496] </w:t>
      </w:r>
      <w:hyperlink r:id="rId1448">
        <w:r>
          <w:rPr>
            <w:color w:val="1155CC"/>
            <w:u w:val="single"/>
          </w:rPr>
          <w:t>西北义乌侏罗纪森林的定量重建与中侏罗世高森林生产力</w:t>
        </w:r>
      </w:hyperlink>
    </w:p>
    <w:p>
      <w:pPr>
        <w:spacing w:before="0" w:after="80"/>
      </w:pPr>
      <w:r>
        <w:rPr>
          <w:i/>
          <w:sz w:val="20"/>
        </w:rPr>
        <w:t>EN: Quantitative reconstruction of the Yiwu Jurassic Forest in Northwest China and high forest productivity in the Middle Jurassic</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49">
        <w:r>
          <w:rPr>
            <w:color w:val="1155CC"/>
            <w:u w:val="single"/>
          </w:rPr>
          <w:t>10.1126/sciadv.aeh1682</w:t>
        </w:r>
      </w:hyperlink>
    </w:p>
    <w:p>
      <w:pPr>
        <w:spacing w:before="0" w:after="120"/>
      </w:pPr>
      <w:r>
        <w:rPr>
          <w:b/>
        </w:rPr>
        <w:t xml:space="preserve">Notes: </w:t>
      </w:r>
      <w:r>
        <w:t>abstract_source=crossref</w:t>
      </w:r>
    </w:p>
    <w:p>
      <w:pPr>
        <w:spacing w:before="0" w:after="80" w:lineRule="auto" w:line="276"/>
      </w:pPr>
      <w:r>
        <w:rPr>
          <w:b/>
        </w:rPr>
        <w:t xml:space="preserve">摘要（ZH）: </w:t>
      </w:r>
      <w:r>
        <w:t>森林构成了主要的陆地生态系统，在全球碳循环中发挥着关键作用。然而，由于缺乏保存详细且重要的生理解剖特征的原位化石森林，人们对森林在地质时期结构和功能的变化仍知之甚少。我们以中国新疆义乌侏罗纪森林中的 78 个原位非矿化针叶树桩为基础，利用古植物学观察和生态分析对森林进行了定量重建。我们发现，这片化石森林的树木分布是随机的，平均密度为每公顷 126 棵树，显示出有限的建群后竞争性疏伐；估计树冠高度为 10.47 至 43.95 米，林分生物量为每公顷 276,192 至 386,946 公斤，净初级生产力高达 21.11 至 31.9 吨/小时米</w:t>
      </w:r>
      <w:r>
        <w:rPr>
          <w:vertAlign w:val="subscript"/>
        </w:rPr>
        <w:t>2</w:t>
      </w:r>
      <w:r>
        <w:t>·a，比现代温带针叶林高出三倍。温度和大气升高</w:t>
      </w:r>
      <w:r>
        <w:t xml:space="preserve"> </w:t>
      </w:r>
      <w:r>
        <w:t>p</w:t>
      </w:r>
      <w:r>
        <w:t xml:space="preserve"> </w:t>
      </w:r>
      <w:r>
        <w:t>一氧化碳</w:t>
      </w:r>
      <w:r>
        <w:rPr>
          <w:vertAlign w:val="subscript"/>
        </w:rPr>
        <w:t>2</w:t>
      </w:r>
      <w:r>
        <w:t>中侏罗世可能促成了如此高的生产力。我们的研究表明，在中侏罗世，与现代森林相当的树木密度、树冠高度和生物量已经出现，森林正在发挥主要的陆地碳汇的作用。</w:t>
      </w:r>
    </w:p>
    <w:p>
      <w:pPr>
        <w:spacing w:before="0" w:after="200" w:lineRule="auto" w:line="276"/>
      </w:pPr>
      <w:r>
        <w:rPr>
          <w:b/>
        </w:rPr>
        <w:t xml:space="preserve">Abstract (EN): </w:t>
      </w:r>
      <w:r>
        <w:t>Forests constitute the dominant terrestrial ecosystems and play a critical role in global carbon cycling. However, the changing structure and function of forests through geological time remain poorly understood due to the scarcity of in situ fossil forests preserving detailed and physiologically important anatomical characters. On the basis of 78 in situ permineralized conifer stumps in the Yiwu Jurassic Forest of Xinjiang, China, we quantitatively reconstruct the forest using paleobotanical observations and ecological analyses. We found that this fossil forest has a random tree distribution with an average density of 126 trees per hectare, showing limited postestablishment competitive thinning; its estimated canopy height ranged from 10.47 to 43.95 meters, stand-level biomass was 276,192 to 386,946 kilograms per hectare, and a notable net primary productivity of 21.11 to 31.9 t/hm</w:t>
      </w:r>
      <w:r>
        <w:rPr>
          <w:vertAlign w:val="subscript"/>
        </w:rPr>
        <w:t>2</w:t>
      </w:r>
      <w:r>
        <w:t>·a, which is three times higher than that of modern temperate conifer forests. Elevated temperature and atmospheric</w:t>
      </w:r>
      <w:r>
        <w:t xml:space="preserve"> </w:t>
      </w:r>
      <w:r>
        <w:t>p</w:t>
      </w:r>
      <w:r>
        <w:t xml:space="preserve"> </w:t>
      </w:r>
      <w:r>
        <w:t>CO</w:t>
      </w:r>
      <w:r>
        <w:rPr>
          <w:vertAlign w:val="subscript"/>
        </w:rPr>
        <w:t>2</w:t>
      </w:r>
      <w:r>
        <w:t>in the Middle Jurassic probably contributed to this high productivity. Our study indicates that tree density, canopy height, and biomass equivalent to modern forests had already emerged by the Middle Jurassic and that forests were functioning as major terrestrial carbon sinks.</w:t>
      </w:r>
    </w:p>
    <w:p>
      <w:pPr>
        <w:spacing w:before="120" w:after="120"/>
      </w:pPr>
      <w:r>
        <w:rPr>
          <w:sz w:val="18"/>
        </w:rPr>
        <w:t>——————————————————————————————————————————————————————————————————————</w:t>
      </w:r>
    </w:p>
    <w:p>
      <w:pPr>
        <w:spacing w:before="160" w:after="40" w:line="240" w:lineRule="auto"/>
      </w:pPr>
      <w:r>
        <w:rPr>
          <w:b/>
        </w:rPr>
        <w:t xml:space="preserve">[497] </w:t>
      </w:r>
      <w:hyperlink r:id="rId1450">
        <w:r>
          <w:rPr>
            <w:color w:val="1155CC"/>
            <w:u w:val="single"/>
          </w:rPr>
          <w:t>分级氧化态磷酸钙氧化石墨烯调节骨基质的机械和生物行为</w:t>
        </w:r>
      </w:hyperlink>
    </w:p>
    <w:p>
      <w:pPr>
        <w:spacing w:before="0" w:after="80"/>
      </w:pPr>
      <w:r>
        <w:rPr>
          <w:i/>
          <w:sz w:val="20"/>
        </w:rPr>
        <w:t>EN: Graded oxidation state calcium phosphate graphene oxide modulates the mechanical and biological behavior of bone matrices</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451">
        <w:r>
          <w:rPr>
            <w:color w:val="1155CC"/>
            <w:u w:val="single"/>
          </w:rPr>
          <w:t>10.1073/pnas.2537761123</w:t>
        </w:r>
      </w:hyperlink>
    </w:p>
    <w:p>
      <w:pPr>
        <w:spacing w:before="0" w:after="120"/>
      </w:pPr>
      <w:r>
        <w:rPr>
          <w:b/>
        </w:rPr>
        <w:t xml:space="preserve">Notes: </w:t>
      </w:r>
      <w:r>
        <w:t>abstract_source=crossref</w:t>
      </w:r>
    </w:p>
    <w:p>
      <w:pPr>
        <w:spacing w:before="0" w:after="80" w:lineRule="auto" w:line="276"/>
      </w:pPr>
      <w:r>
        <w:rPr>
          <w:b/>
        </w:rPr>
        <w:t xml:space="preserve">摘要（ZH）: </w:t>
      </w:r>
      <w:r>
        <w:t>磷酸钙石墨烯 (CaPG) 是一种很有前景的聚合物骨基质增强材料，但氧化石墨烯 (GO) 氧化对 CaPG 化学和基质性能的影响仍不清楚。我们之前的工作表明，5 wt% CaPG 可为聚乳酸-乙醇酸 (PLGA) 基质提供最佳的机械和生物性能。本研究将 GO 氧化作为唯一变量，同时保持固定的 5 wt% CaPG 负载量。 CaPG 在三种氧化条件下合成：50 °C 低磷酸盐-高氧、100 °C 高磷酸盐-高氧和 156 °C 高磷酸盐-低氧，并掺入 PLGA 微球中。我们的结果表明，氧化态调节氧官能团密度、磷酸钙掺入、亲水性和水合行为，这些共同调节基质的机械性能和成骨活性。这些发现表明，氧化可以作为产生独特的物理化学和生物学特征的关键可调因素，将氧化编程确立为一种实用方法，用于创建适应性强的 CaPG 增强 PLGA 基质，以满足不同的骨再生需求。</w:t>
      </w:r>
    </w:p>
    <w:p>
      <w:pPr>
        <w:spacing w:before="0" w:after="200" w:lineRule="auto" w:line="276"/>
      </w:pPr>
      <w:r>
        <w:rPr>
          <w:b/>
        </w:rPr>
        <w:t xml:space="preserve">Abstract (EN): </w:t>
      </w:r>
      <w:r>
        <w:t>Calcium phosphate graphene (CaPG) is a promising reinforcement for polymeric bone matrices, yet the impact of graphene oxide (GO) oxidation on CaPG chemistry and matrix performance remains unclear. Our previous work demonstrated that 5 wt% CaPG provides optimal mechanical and biological performance of poly (lactic-co-glycolic acid) (PLGA) matrix. The present study isolates GO oxidation as the sole variable while maintaining a fixed 5 wt% CaPG loading. CaPG was synthesized under three oxidation conditions: Low Phosphate-High Oxygen at 50 °C, High Phosphate-High Oxygen at 100 °C, and High Phosphate-Low Oxygen at 156 °C and incorporated into the PLGA microspheres. Our results have shown that oxidation state regulates oxygen functional group density, calcium phosphate incorporation, hydrophilicity, and hydration behavior, which collectively modulate mechanical properties and osteogenic activity of the matrix. These findings demonstrate that oxidation can serve as a key tunable factor that generates distinct physicochemical and biological profiles, establishing oxidation programming as a practical approach for creating adaptable CaPG-reinforced PLGA matrices for diverse bone regeneration needs.</w:t>
      </w:r>
    </w:p>
    <w:p>
      <w:pPr>
        <w:spacing w:before="120" w:after="120"/>
      </w:pPr>
      <w:r>
        <w:rPr>
          <w:sz w:val="18"/>
        </w:rPr>
        <w:t>——————————————————————————————————————————————————————————————————————</w:t>
      </w:r>
    </w:p>
    <w:p>
      <w:pPr>
        <w:spacing w:before="160" w:after="40" w:line="240" w:lineRule="auto"/>
      </w:pPr>
      <w:r>
        <w:rPr>
          <w:b/>
        </w:rPr>
        <w:t xml:space="preserve">[498] </w:t>
      </w:r>
      <w:hyperlink r:id="rId1452">
        <w:r>
          <w:rPr>
            <w:color w:val="1155CC"/>
            <w:u w:val="single"/>
          </w:rPr>
          <w:t>莫尔晶体的动态扭曲和成像</w:t>
        </w:r>
      </w:hyperlink>
    </w:p>
    <w:p>
      <w:pPr>
        <w:spacing w:before="0" w:after="80"/>
      </w:pPr>
      <w:r>
        <w:rPr>
          <w:i/>
          <w:sz w:val="20"/>
        </w:rPr>
        <w:t>EN: Dynamic twisting and imaging of moiré crystals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53">
        <w:r>
          <w:rPr>
            <w:color w:val="1155CC"/>
            <w:u w:val="single"/>
          </w:rPr>
          <w:t>10.1126/sciadv.aeg5362</w:t>
        </w:r>
      </w:hyperlink>
    </w:p>
    <w:p>
      <w:pPr>
        <w:spacing w:before="0" w:after="120"/>
      </w:pPr>
      <w:r>
        <w:rPr>
          <w:b/>
        </w:rPr>
        <w:t xml:space="preserve">Notes: </w:t>
      </w:r>
      <w:r>
        <w:t>abstract_source=crossref</w:t>
      </w:r>
    </w:p>
    <w:p>
      <w:pPr>
        <w:spacing w:before="0" w:after="80" w:lineRule="auto" w:line="276"/>
      </w:pPr>
      <w:r>
        <w:rPr>
          <w:b/>
        </w:rPr>
        <w:t xml:space="preserve">摘要（ZH）: </w:t>
      </w:r>
      <w:r>
        <w:t>堆叠二维晶体中的莫尔超晶格是工程相关和拓扑量子相的强大平台，其中扭曲的石墨烯和过渡金属二硫属化物就是突出的例子。它们的角度敏感能带结构可实现丰富的可调性；然而，传统的撕裂和堆叠方法在组装时固定角度，限制了对角度相关现象的系统探索。在这里，我们提出了一种基于扫描探针的操纵方案，该方案能够使用纳米结构金属转子进行原位、连续的制造后扭转控制。我们在三个平台上展示了可重复的角度调谐和直接莫尔成像：石墨烯、六方氮化硼和封装的空气敏感 MoTe</w:t>
      </w:r>
      <w:r>
        <w:rPr>
          <w:vertAlign w:val="subscript"/>
        </w:rPr>
        <w:t>2</w:t>
      </w:r>
      <w:r>
        <w:t>。定量压电响应力显微镜分析证实了亚度精度和最小的诱导异质应变，即使在轻微扭曲的情况下也能保持样品质量。至关重要的是，该器件架构保持对有源区域的开放访问，允许光学、扫描探针和传输测量。这项工作实现了莫尔材料角相图的单设备映射，包括最小扭曲状态。</w:t>
      </w:r>
    </w:p>
    <w:p>
      <w:pPr>
        <w:spacing w:before="0" w:after="200" w:lineRule="auto" w:line="276"/>
      </w:pPr>
      <w:r>
        <w:rPr>
          <w:b/>
        </w:rPr>
        <w:t xml:space="preserve">Abstract (EN): </w:t>
      </w:r>
      <w:r>
        <w:t>Moiré superlattices in stacked two-dimensional crystals are powerful platforms for engineering correlated and topological quantum phases, with twisted graphene and transition metal dichalcogenides as prominent examples. Their angle-sensitive band structures enable rich tunability; however, conventional tear-and-stack methods fix the angle at assembly, limiting systematic exploration of angle-dependent phenomena. Here, we present a scanning probe–based manipulation scheme that enables in situ, continuous postfabrication twist control using nanostructured metal rotors. We demonstrate reproducible angle tuning and direct moiré imaging across three platforms: graphene, hexagonal boron nitride, and encapsulated, air-sensitive MoTe</w:t>
      </w:r>
      <w:r>
        <w:rPr>
          <w:vertAlign w:val="subscript"/>
        </w:rPr>
        <w:t>2</w:t>
      </w:r>
      <w:r>
        <w:t>. Quantitative piezoresponse force microscopy analysis confirms subdegree precision with minimal induced heterostrain, preserving sample quality even in the marginally twisted regime. Crucially, the device architecture maintains open access to the active region, allowing optical, scanning probe, and transport measurements. This work enables single-device mapping of the angular phase diagram of moiré material including the minimally twisted regime.</w:t>
      </w:r>
    </w:p>
    <w:p>
      <w:pPr>
        <w:spacing w:before="120" w:after="120"/>
      </w:pPr>
      <w:r>
        <w:rPr>
          <w:sz w:val="18"/>
        </w:rPr>
        <w:t>——————————————————————————————————————————————————————————————————————</w:t>
      </w:r>
    </w:p>
    <w:p>
      <w:pPr>
        <w:spacing w:before="160" w:after="40" w:line="240" w:lineRule="auto"/>
      </w:pPr>
      <w:r>
        <w:rPr>
          <w:b/>
        </w:rPr>
        <w:t xml:space="preserve">[499] </w:t>
      </w:r>
      <w:hyperlink r:id="rId1454">
        <w:r>
          <w:rPr>
            <w:color w:val="1155CC"/>
            <w:u w:val="single"/>
          </w:rPr>
          <w:t>TPC1 依赖的内体 pH 值和转铁蛋白摄取控制决定细胞铁状态</w:t>
        </w:r>
      </w:hyperlink>
    </w:p>
    <w:p>
      <w:pPr>
        <w:spacing w:before="0" w:after="80"/>
      </w:pPr>
      <w:r>
        <w:rPr>
          <w:i/>
          <w:sz w:val="20"/>
        </w:rPr>
        <w:t>EN: TPC1-dependent control of endosomal pH and transferrin uptake determines cellular iron status</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455">
        <w:r>
          <w:rPr>
            <w:color w:val="1155CC"/>
            <w:u w:val="single"/>
          </w:rPr>
          <w:t>10.1073/pnas.2602941123</w:t>
        </w:r>
      </w:hyperlink>
    </w:p>
    <w:p>
      <w:pPr>
        <w:spacing w:before="0" w:after="120"/>
      </w:pPr>
      <w:r>
        <w:rPr>
          <w:b/>
        </w:rPr>
        <w:t xml:space="preserve">Notes: </w:t>
      </w:r>
      <w:r>
        <w:t>abstract_source=crossref</w:t>
      </w:r>
    </w:p>
    <w:p>
      <w:pPr>
        <w:spacing w:before="0" w:after="80" w:lineRule="auto" w:line="276"/>
      </w:pPr>
      <w:r>
        <w:rPr>
          <w:b/>
        </w:rPr>
        <w:t xml:space="preserve">摘要（ZH）: </w:t>
      </w:r>
      <w:r>
        <w:t>铁超载是一种危及生命的疾病。如果不及早诊断和治疗，它可能会因不可逆地损害心脏、胰腺、脾脏或肝脏等器官而导致严重的器官损伤，甚至过早死亡。我们在此报告内溶酶体双孔通道 TPC1 中的功能获得性突变（TPC1</w:t>
      </w:r>
      <w:r>
        <w:t xml:space="preserve"> </w:t>
      </w:r>
      <w:r>
        <w:t>I486T</w:t>
      </w:r>
      <w:r>
        <w:t xml:space="preserve"> </w:t>
      </w:r>
      <w:r>
        <w:t>）会导致小鼠铁超载，而缺乏 TPC1 的小鼠表现出相反的表型，即缺铁。内溶酶体膜片钳实验表明，与野生型相比，在用早期内体 (EE) 相关的内源配体磷脂酰肌醇 3-磷酸激活后，人和小鼠 TPC1 突变通道活性均显着增强。从机制上讲，我们发现，铁从质膜和 EE 中的 pH 值与转铁蛋白/转铁蛋白受体结合，其中 Fe</w:t>
      </w:r>
      <w:r>
        <w:t xml:space="preserve"> </w:t>
      </w:r>
      <w:r>
        <w:t>2+</w:t>
      </w:r>
      <w:r>
        <w:t xml:space="preserve"> </w:t>
      </w:r>
      <w:r>
        <w:t>正在通过 DMT1 以 H 形式发布</w:t>
      </w:r>
      <w:r>
        <w:t xml:space="preserve"> </w:t>
      </w:r>
      <w:r>
        <w:t>+</w:t>
      </w:r>
      <w:r>
        <w:t xml:space="preserve"> </w:t>
      </w:r>
      <w:r>
        <w:t>依赖方式强烈依赖于 TPC1 活性。</w:t>
      </w:r>
    </w:p>
    <w:p>
      <w:pPr>
        <w:spacing w:before="0" w:after="200" w:lineRule="auto" w:line="276"/>
      </w:pPr>
      <w:r>
        <w:rPr>
          <w:b/>
        </w:rPr>
        <w:t xml:space="preserve">Abstract (EN): </w:t>
      </w:r>
      <w:r>
        <w:t>Iron overload is a life-threatening disease. Without early diagnosis and treatment, it can cause severe organ damage and even premature death by irreversibly damaging organs such as the heart, pancreas, spleen, or liver. We report here that a gain-of-function mutation in the endolysosomal two-pore channel TPC1 (TPC1</w:t>
      </w:r>
      <w:r>
        <w:t xml:space="preserve"> </w:t>
      </w:r>
      <w:r>
        <w:t>I486T</w:t>
      </w:r>
      <w:r>
        <w:t xml:space="preserve"> </w:t>
      </w:r>
      <w:r>
        <w:t>) causes iron overload in mice, whereas mice lacking TPC1 exhibit the opposite phenotype, iron deficiency. Endolysosomal patch-clamp experiments demonstrated a strong gain in both human and mouse TPC1 mutant channel activity compared to wild-type upon activation with the early endosome (EE) associated endogenous ligand phosphatidylinositol 3-phosphate. Mechanistically, it was found that uptake of iron bound to transferrin/transferrin receptor from the plasma membrane as well as the pH in EE, from where Fe</w:t>
      </w:r>
      <w:r>
        <w:t xml:space="preserve"> </w:t>
      </w:r>
      <w:r>
        <w:t>2+</w:t>
      </w:r>
      <w:r>
        <w:t xml:space="preserve"> </w:t>
      </w:r>
      <w:r>
        <w:t>is being released via DMT1 in a H</w:t>
      </w:r>
      <w:r>
        <w:t xml:space="preserve"> </w:t>
      </w:r>
      <w:r>
        <w:t>+</w:t>
      </w:r>
      <w:r>
        <w:t xml:space="preserve"> </w:t>
      </w:r>
      <w:r>
        <w:t>dependent manner strongly depend on TPC1 activity.</w:t>
      </w:r>
    </w:p>
    <w:p>
      <w:pPr>
        <w:spacing w:before="120" w:after="120"/>
      </w:pPr>
      <w:r>
        <w:rPr>
          <w:sz w:val="18"/>
        </w:rPr>
        <w:t>——————————————————————————————————————————————————————————————————————</w:t>
      </w:r>
    </w:p>
    <w:p>
      <w:pPr>
        <w:spacing w:before="160" w:after="40" w:line="240" w:lineRule="auto"/>
      </w:pPr>
      <w:r>
        <w:rPr>
          <w:b/>
        </w:rPr>
        <w:t xml:space="preserve">[500] </w:t>
      </w:r>
      <w:hyperlink r:id="rId1456">
        <w:r>
          <w:rPr>
            <w:color w:val="1155CC"/>
            <w:u w:val="single"/>
          </w:rPr>
          <w:t>配备锋利纳米刺的离子凝胶微型机器人用于牙周炎靶向治疗</w:t>
        </w:r>
      </w:hyperlink>
    </w:p>
    <w:p>
      <w:pPr>
        <w:spacing w:before="0" w:after="80"/>
      </w:pPr>
      <w:r>
        <w:rPr>
          <w:i/>
          <w:sz w:val="20"/>
        </w:rPr>
        <w:t>EN: Sharp nanothorn-equipped ionogel microrobots for targeted periodontitis therapy</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57">
        <w:r>
          <w:rPr>
            <w:color w:val="1155CC"/>
            <w:u w:val="single"/>
          </w:rPr>
          <w:t>10.1126/sciadv.aeb6882</w:t>
        </w:r>
      </w:hyperlink>
    </w:p>
    <w:p>
      <w:pPr>
        <w:spacing w:before="0" w:after="120"/>
      </w:pPr>
      <w:r>
        <w:rPr>
          <w:b/>
        </w:rPr>
        <w:t xml:space="preserve">Notes: </w:t>
      </w:r>
      <w:r>
        <w:t>abstract_source=crossref</w:t>
      </w:r>
    </w:p>
    <w:p>
      <w:pPr>
        <w:spacing w:before="0" w:after="80" w:lineRule="auto" w:line="276"/>
      </w:pPr>
      <w:r>
        <w:rPr>
          <w:b/>
        </w:rPr>
        <w:t xml:space="preserve">摘要（ZH）: </w:t>
      </w:r>
      <w:r>
        <w:t>牙周炎由于其高患病率、进行性组织破坏以及与全身性疾病的联系而需要靶向治疗。传统的机械清创和药物治疗受到复杂的牙周屏障的限制，包括粘性的牙缝液和有弹性的生物膜，这阻碍了细菌的根除和药物的输送。在这里，我们设计了带有金纳米刺的磁驱动微型机器人，用于破坏生物膜和穿透粘液屏障。这些微型机器人通过将姜黄素封装在具有不对称磁性沉积和纳米刺功能化的抗菌离子凝胶微球中而制成，能够在粘性介质中进行精确的磁导航，同时穿透仿生粘液类似物，增强牙周保留，并以机械方式去除生物膜。此外，姜黄素的乙醇反应性释放增强了其生物利用度，从而清除自由基并调节巨噬细胞表型以减轻炎症。在受刷牙启发的手持式磁控制器的引导下，使用体内小鼠模型进行评估的微型机器人显示出减少炎症、抑制骨吸收、改善组织健康以及口腔微生物群重塑以实现生态平衡，显示出有针对性的牙周炎治疗的前景。</w:t>
      </w:r>
    </w:p>
    <w:p>
      <w:pPr>
        <w:spacing w:before="0" w:after="200" w:lineRule="auto" w:line="276"/>
      </w:pPr>
      <w:r>
        <w:rPr>
          <w:b/>
        </w:rPr>
        <w:t xml:space="preserve">Abstract (EN): </w:t>
      </w:r>
      <w:r>
        <w:t>Periodontitis necessitates targeted therapy due to its high prevalence, progressive tissue destruction, and systemic disease links. Conventional mechanical debridement and pharmacological treatments are limited by complex periodontal barriers, including viscous crevicular fluid and resilient biofilms, which impede bacterial eradication and drug delivery. Here, we engineered magnetically actuated microrobots with gold nanothorns for disrupting biofilms and penetrating mucus barriers. Fabricated by encapsulating curcumin in antibacterial ionogel microspheres with asymmetric magnetic deposition and nanothorn functionalization, these microrobots enabled precise magnetic navigation in viscous media, while penetrating a biomimetic mucus analog, enhancing periodontal retention, and mechanically dislodging biofilms. Furthermore, ethanol-responsive release of curcumin enhanced its bioavailability, thereby scavenging free radicals and modulating macrophage phenotypes to alleviate inflammation. Guided by a toothbrushing-inspired handheld magnetic controller, microrobots evaluated using in vivo murine models demonstrated reduced inflammation, inhibited bone resorption, improved tissue health, and oral microbiota remodeling toward ecological balance, showing promise for targeted periodontitis therapy.</w:t>
      </w:r>
    </w:p>
    <w:p>
      <w:pPr>
        <w:spacing w:before="120" w:after="120"/>
      </w:pPr>
      <w:r>
        <w:rPr>
          <w:sz w:val="18"/>
        </w:rPr>
        <w:t>——————————————————————————————————————————————————————————————————————</w:t>
      </w:r>
    </w:p>
    <w:p>
      <w:pPr>
        <w:spacing w:before="160" w:after="40" w:line="240" w:lineRule="auto"/>
      </w:pPr>
      <w:r>
        <w:rPr>
          <w:b/>
        </w:rPr>
        <w:t xml:space="preserve">[501] </w:t>
      </w:r>
      <w:hyperlink r:id="rId1458">
        <w:r>
          <w:rPr>
            <w:color w:val="1155CC"/>
            <w:u w:val="single"/>
          </w:rPr>
          <w:t>骨骼肌 H3K18 乳酰化通过 IL-6 介导的器官间通讯抑制肝脏糖异生</w:t>
        </w:r>
      </w:hyperlink>
    </w:p>
    <w:p>
      <w:pPr>
        <w:spacing w:before="0" w:after="80"/>
      </w:pPr>
      <w:r>
        <w:rPr>
          <w:i/>
          <w:sz w:val="20"/>
        </w:rPr>
        <w:t>EN: Skeletal muscle H3K18 lactylation inhibits hepatic gluconeogenesis through IL-6 mediated interorgan communication</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59">
        <w:r>
          <w:rPr>
            <w:color w:val="1155CC"/>
            <w:u w:val="single"/>
          </w:rPr>
          <w:t>10.1126/sciadv.aed5600</w:t>
        </w:r>
      </w:hyperlink>
    </w:p>
    <w:p>
      <w:pPr>
        <w:spacing w:before="0" w:after="120"/>
      </w:pPr>
      <w:r>
        <w:rPr>
          <w:b/>
        </w:rPr>
        <w:t xml:space="preserve">Notes: </w:t>
      </w:r>
      <w:r>
        <w:t>abstract_source=crossref</w:t>
      </w:r>
    </w:p>
    <w:p>
      <w:pPr>
        <w:spacing w:before="0" w:after="80" w:lineRule="auto" w:line="276"/>
      </w:pPr>
      <w:r>
        <w:rPr>
          <w:b/>
        </w:rPr>
        <w:t xml:space="preserve">摘要（ZH）: </w:t>
      </w:r>
      <w:r>
        <w:t>2 型糖尿病中骨骼肌和全身葡萄糖稳态之间动态相互作用的机制仍然难以捉摸。长期以来，人们一直注意到糖尿病中乳酸水平升高，然而，乳酸升高是否是葡萄糖代谢受损的原因或结果尚不清楚。在这里，我们发现循环乳酸水平升高源自乳酸脱氢酶 A 高表达的骨骼肌（</w:t>
      </w:r>
      <w:r>
        <w:t xml:space="preserve"> </w:t>
      </w:r>
      <w:r>
        <w:t>拉达</w:t>
      </w:r>
      <w:r>
        <w:t xml:space="preserve"> </w:t>
      </w:r>
      <w:r>
        <w:t>），并且这两个指标与高血糖小鼠模型和人类受试者的高血糖密切相关。矛盾的是，消融</w:t>
      </w:r>
      <w:r>
        <w:t xml:space="preserve"> </w:t>
      </w:r>
      <w:r>
        <w:t>拉达</w:t>
      </w:r>
      <w:r>
        <w:t xml:space="preserve"> </w:t>
      </w:r>
      <w:r>
        <w:t>骨骼肌中的 LDHA mKO 破坏了全身葡萄糖稳态，主要是通过增强肝脏糖异生作用。从机制上讲，肌肉中的乳酸缺乏通过 H3K18 乳酰化 (H3K18la) 介导的 IκBα 转录控制来表观遗传激活 NF-κB 信号传导，然后促进 IL-6 的转录，从而重塑肝脏糖异生。最后，我们证明了损失</w:t>
      </w:r>
      <w:r>
        <w:t xml:space="preserve"> </w:t>
      </w:r>
      <w:r>
        <w:t>拉达</w:t>
      </w:r>
      <w:r>
        <w:t xml:space="preserve"> </w:t>
      </w:r>
      <w:r>
        <w:t>在骨骼肌中，高脂肪高蔗糖饮食喂养的小鼠会增强肝脏糖异生并加剧高血糖。总的来说，我们的研究提供的证据表明，在葡萄糖中毒情况下，骨骼肌衍生的乳酸充当信号，为肝糖异生提供负反馈，从而诱导骨骼肌 H3K18la 充当 IL-6 的负调节因子，以维持肝糖异生的抑制，同时该网络的失调</w:t>
      </w:r>
    </w:p>
    <w:p>
      <w:pPr>
        <w:spacing w:before="0" w:after="200" w:lineRule="auto" w:line="276"/>
      </w:pPr>
      <w:r>
        <w:rPr>
          <w:b/>
        </w:rPr>
        <w:t xml:space="preserve">Abstract (EN): </w:t>
      </w:r>
      <w:r>
        <w:t>The mechanisms underlying the dynamic interplay between skeletal muscle and systemic glucose homeostasis in type 2 diabetes remain elusive. Increased lactate level has long been noticed in diabetes, however, whether the elevated lactate is a cause or consequence of impaired glucose metabolism is unclear. Here, we found that elevated circulating lactate levels originated from skeletal muscle with high expression of lactate dehydrogenase A (</w:t>
      </w:r>
      <w:r>
        <w:t xml:space="preserve"> </w:t>
      </w:r>
      <w:r>
        <w:t>Ldha</w:t>
      </w:r>
      <w:r>
        <w:t xml:space="preserve"> </w:t>
      </w:r>
      <w:r>
        <w:t>), and both metrics correlated strongly with hyperglycemia in both hyperglycemic mouse models and human subjects. Paradoxically, ablation of</w:t>
      </w:r>
      <w:r>
        <w:t xml:space="preserve"> </w:t>
      </w:r>
      <w:r>
        <w:t>Ldha</w:t>
      </w:r>
      <w:r>
        <w:t xml:space="preserve"> </w:t>
      </w:r>
      <w:r>
        <w:t>in skeletal muscle (LDHA mKO) disrupted whole-body glucose homeostasis, primarily via augmented hepatic gluconeogenesis. Mechanistically, lactate deficiency in muscle epigenetically activated NF-κB signaling through H3K18 lactylation (H3K18la)-mediated transcriptional control of IκBα, which then promoted the transcription of IL-6, thereby reshaping hepatic gluconeogenesis. Lastly, we showed that loss of</w:t>
      </w:r>
      <w:r>
        <w:t xml:space="preserve"> </w:t>
      </w:r>
      <w:r>
        <w:t>Ldha</w:t>
      </w:r>
      <w:r>
        <w:t xml:space="preserve"> </w:t>
      </w:r>
      <w:r>
        <w:t>in skeletal muscle enhanced hepatic gluconeogenesis and aggravated hyperglycemia in high-fat high-sucrose diet-fed mice. Collectively, our study provides evidence that in glucose intoxication contexts, skeletal muscle-derived lactate acts as the signal to provide negative feedback for hepatic gluconeogenesis, which induces skeletal muscle H3K18la acting as a negative regulator of IL-6 to sustain suppression of hepatic gluconeogenesis, while dysregulation of this network contributes to unrestrained gluconeogenesis in diabetes.</w:t>
      </w:r>
    </w:p>
    <w:p>
      <w:pPr>
        <w:spacing w:before="120" w:after="120"/>
      </w:pPr>
      <w:r>
        <w:rPr>
          <w:sz w:val="18"/>
        </w:rPr>
        <w:t>——————————————————————————————————————————————————————————————————————</w:t>
      </w:r>
    </w:p>
    <w:p>
      <w:pPr>
        <w:spacing w:before="160" w:after="40" w:line="240" w:lineRule="auto"/>
      </w:pPr>
      <w:r>
        <w:rPr>
          <w:b/>
        </w:rPr>
        <w:t xml:space="preserve">[502] </w:t>
      </w:r>
      <w:hyperlink r:id="rId1460">
        <w:r>
          <w:rPr>
            <w:color w:val="1155CC"/>
            <w:u w:val="single"/>
          </w:rPr>
          <w:t>美国西部的食雪热浪</w:t>
        </w:r>
      </w:hyperlink>
    </w:p>
    <w:p>
      <w:pPr>
        <w:spacing w:before="0" w:after="80"/>
      </w:pPr>
      <w:r>
        <w:rPr>
          <w:i/>
          <w:sz w:val="20"/>
        </w:rPr>
        <w:t>EN: Snow-eater heat waves of the western United States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61">
        <w:r>
          <w:rPr>
            <w:color w:val="1155CC"/>
            <w:u w:val="single"/>
          </w:rPr>
          <w:t>10.1126/sciadv.aeb3361</w:t>
        </w:r>
      </w:hyperlink>
    </w:p>
    <w:p>
      <w:pPr>
        <w:spacing w:before="0" w:after="120"/>
      </w:pPr>
      <w:r>
        <w:rPr>
          <w:b/>
        </w:rPr>
        <w:t xml:space="preserve">Notes: </w:t>
      </w:r>
      <w:r>
        <w:t>abstract_source=crossref</w:t>
      </w:r>
    </w:p>
    <w:p>
      <w:pPr>
        <w:spacing w:before="0" w:after="80" w:lineRule="auto" w:line="276"/>
      </w:pPr>
      <w:r>
        <w:rPr>
          <w:b/>
        </w:rPr>
        <w:t xml:space="preserve">摘要（ZH）: </w:t>
      </w:r>
      <w:r>
        <w:t>由雨雪事件或“食雪热浪”引发的突然融雪可能导致洪水，引发或加速雪旱，并影响水的供应。然而，食雪热浪的特征（如面积、持续时间和频率）、影响和趋势却很少受到关注。为了解决这一差距，我们开发了一种方法来识别食雪热浪，并使用 20 世纪再分析版本 3 气温数据、TempestExtremes 算法和 1850 年至 2015 年的可操作融雪模型 (SNOW-17) 来估计其融化潜力。融雪季节的食雪热浪通常持续 3 到 5 天，发生三到五次事件，使融雪速度加倍。 11 次春季超级洪水中有 7 次与食雪热浪同时发生。自 1850 年代以来，食雪热浪的面积和频率有所增加，持续时间缩短，并且在融化季节提前转移。将食雪热浪影响纳入 SNOW-17 可以增强极端融化估计，改进水管理支持工具。</w:t>
      </w:r>
    </w:p>
    <w:p>
      <w:pPr>
        <w:spacing w:before="0" w:after="200" w:lineRule="auto" w:line="276"/>
      </w:pPr>
      <w:r>
        <w:rPr>
          <w:b/>
        </w:rPr>
        <w:t xml:space="preserve">Abstract (EN): </w:t>
      </w:r>
      <w:r>
        <w:t>Abrupt snowmelt, triggered by rain-on-snow events or “snow-eater heat waves,” can cause flooding, initiate or accelerate snow drought, and affect water availability. However, the characteristics (e.g., area, duration, and frequency), impacts, and trends of snow-eater heat waves have received little attention. To address this gap, we developed a method to identify snow-eater heat waves and estimate their melt potential using 20th Century Reanalysis version 3 air temperature data, the TempestExtremes algorithm, and an operational snowmelt model (SNOW-17) across 1850–2015. Melt season snow-eater heat waves typically last 3 to 5 days, with three to five events, doubling snowmelt rates. Seven of 11 spring superfloods are shown to coincide with snow-eater heat waves. Since the 1850s, snow-eater heat waves have increased in area and frequency, decreased in duration, and shifted earlier in the melt season. Incorporating snow-eater heat-wave impacts into SNOW-17 enhances extreme melt estimates, improving water management support tools.</w:t>
      </w:r>
    </w:p>
    <w:p>
      <w:pPr>
        <w:spacing w:before="120" w:after="120"/>
      </w:pPr>
      <w:r>
        <w:rPr>
          <w:sz w:val="18"/>
        </w:rPr>
        <w:t>——————————————————————————————————————————————————————————————————————</w:t>
      </w:r>
    </w:p>
    <w:p>
      <w:pPr>
        <w:spacing w:before="160" w:after="40" w:line="240" w:lineRule="auto"/>
      </w:pPr>
      <w:r>
        <w:rPr>
          <w:b/>
        </w:rPr>
        <w:t xml:space="preserve">[503] </w:t>
      </w:r>
      <w:hyperlink r:id="rId1462">
        <w:r>
          <w:rPr>
            <w:color w:val="1155CC"/>
            <w:u w:val="single"/>
          </w:rPr>
          <w:t>HIV相关不完全免疫重建的动态预测：使用先进联合模型的多中心、大型队列研究</w:t>
        </w:r>
      </w:hyperlink>
    </w:p>
    <w:p>
      <w:pPr>
        <w:spacing w:before="0" w:after="80"/>
      </w:pPr>
      <w:r>
        <w:rPr>
          <w:i/>
          <w:sz w:val="20"/>
        </w:rPr>
        <w:t>EN: Dynamic prediction of HIV-related incomplete immune reconstitution: A multicenter, large cohort study using advanced joint modeling</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63">
        <w:r>
          <w:rPr>
            <w:color w:val="1155CC"/>
            <w:u w:val="single"/>
          </w:rPr>
          <w:t>10.1126/sciadv.aeb2781</w:t>
        </w:r>
      </w:hyperlink>
    </w:p>
    <w:p>
      <w:pPr>
        <w:spacing w:before="0" w:after="120"/>
      </w:pPr>
      <w:r>
        <w:rPr>
          <w:b/>
        </w:rPr>
        <w:t xml:space="preserve">Notes: </w:t>
      </w:r>
      <w:r>
        <w:t>abstract_source=crossref</w:t>
      </w:r>
    </w:p>
    <w:p>
      <w:pPr>
        <w:spacing w:before="0" w:after="80" w:lineRule="auto" w:line="276"/>
      </w:pPr>
      <w:r>
        <w:rPr>
          <w:b/>
        </w:rPr>
        <w:t xml:space="preserve">摘要（ZH）: </w:t>
      </w:r>
      <w:r>
        <w:t>尽管抗逆转录病毒治疗有效，但不完全免疫重建 (IIR) 是一种严重并发症，影响着 10% 至 40% 的艾滋病毒感染者 (PLWH)，导致发病率和死亡率增加。目前的风险预测模型依赖于单时间点测量，缺乏动态评估能力。我们使用贝叶斯联合模型开发了 IIR 风险动态联合预测系统 (DJPSIIR)，以分析中国 31 个省份 (2003-2024 年) 21,862 名艾滋病感染者的纵向数据。系统集成连续CD4</w:t>
      </w:r>
      <w:r>
        <w:t xml:space="preserve"> </w:t>
      </w:r>
      <w:r>
        <w:t>+</w:t>
      </w:r>
      <w:r>
        <w:t xml:space="preserve"> </w:t>
      </w:r>
      <w:r>
        <w:t>T 细胞计数和 CD4/CD8 比率与临床参数可生成实时风险预测。 DJPSIIR 表现出强大的区分性能，5 至 7 年预测的接收者操作特征曲线下面积为 0.890 至 0.912，在多个验证队列中始终优于专家评估和 19 种机器学习算法。我们的动态预测系统能够精确识别高危个体，并可以通过促进及时干预来改变临床决策，以防止艾滋病毒护理中的 IIR 进展。</w:t>
      </w:r>
    </w:p>
    <w:p>
      <w:pPr>
        <w:spacing w:before="0" w:after="200" w:lineRule="auto" w:line="276"/>
      </w:pPr>
      <w:r>
        <w:rPr>
          <w:b/>
        </w:rPr>
        <w:t xml:space="preserve">Abstract (EN): </w:t>
      </w:r>
      <w:r>
        <w:t>Incomplete immune reconstitution (IIR) is a serious complication affecting 10 to 40% of people living with HIV (PLWH) despite effective antiretroviral therapy, leading to increased morbidity and mortality. Current risk prediction models rely on single–time point measurements and lack dynamic assessment capabilities. We developed a dynamic joint prediction system for IIR risk (DJPSIIR) using Bayesian joint modeling to analyze longitudinal data from 21,862 PLWH across 31 Chinese provinces (2003–2024). The system integrates continuous CD4</w:t>
      </w:r>
      <w:r>
        <w:t xml:space="preserve"> </w:t>
      </w:r>
      <w:r>
        <w:t>+</w:t>
      </w:r>
      <w:r>
        <w:t xml:space="preserve"> </w:t>
      </w:r>
      <w:r>
        <w:t>T cell counts and CD4/CD8 ratios with clinical parameters to generate real-time risk predictions. DJPSIIR demonstrated strong discriminatory performance with area under receiver operating characteristic curves of 0.890 to 0.912 for 5- to 7-year predictions, consistently outperforming expert assessments and 19 machine learning algorithms across multiple validation cohorts. Our dynamic prediction system enables precise identification of high-risk individuals and could transform clinical decision-making by facilitating timely interventions to prevent IIR progression in HIV care.</w:t>
      </w:r>
    </w:p>
    <w:p>
      <w:pPr>
        <w:spacing w:before="120" w:after="120"/>
      </w:pPr>
      <w:r>
        <w:rPr>
          <w:sz w:val="18"/>
        </w:rPr>
        <w:t>——————————————————————————————————————————————————————————————————————</w:t>
      </w:r>
    </w:p>
    <w:p>
      <w:pPr>
        <w:spacing w:before="160" w:after="40" w:line="240" w:lineRule="auto"/>
      </w:pPr>
      <w:r>
        <w:rPr>
          <w:b/>
        </w:rPr>
        <w:t xml:space="preserve">[504] </w:t>
      </w:r>
      <w:hyperlink r:id="rId1464">
        <w:r>
          <w:rPr>
            <w:color w:val="1155CC"/>
            <w:u w:val="single"/>
          </w:rPr>
          <w:t>升级动态和战争的严重性</w:t>
        </w:r>
      </w:hyperlink>
    </w:p>
    <w:p>
      <w:pPr>
        <w:spacing w:before="0" w:after="80"/>
      </w:pPr>
      <w:r>
        <w:rPr>
          <w:i/>
          <w:sz w:val="20"/>
        </w:rPr>
        <w:t>EN: Escalation dynamics and the severity of wars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65">
        <w:r>
          <w:rPr>
            <w:color w:val="1155CC"/>
            <w:u w:val="single"/>
          </w:rPr>
          <w:t>10.1126/sciadv.aeb1705</w:t>
        </w:r>
      </w:hyperlink>
    </w:p>
    <w:p>
      <w:pPr>
        <w:spacing w:before="0" w:after="120"/>
      </w:pPr>
      <w:r>
        <w:rPr>
          <w:b/>
        </w:rPr>
        <w:t xml:space="preserve">Notes: </w:t>
      </w:r>
      <w:r>
        <w:t>abstract_source=crossref</w:t>
      </w:r>
    </w:p>
    <w:p>
      <w:pPr>
        <w:spacing w:before="0" w:after="80" w:lineRule="auto" w:line="276"/>
      </w:pPr>
      <w:r>
        <w:rPr>
          <w:b/>
        </w:rPr>
        <w:t xml:space="preserve">摘要（ZH）: </w:t>
      </w:r>
      <w:r>
        <w:t>尽管大规模战争仍然是全球政治中的持久威胁，但我们对有些战争如何变得大规模且代价高昂，而大多数战争却并非如此，我们缺乏清晰的认识。存在三种可能性：大型冲突以激烈的战斗开始，长期累积严重性，或随着时间的推移强度不断升级。利用有关内战和国家间战争（1946-2008）的详细冲突内数据，我们表明，升级动态（武装冲突中战斗强度的变化）是产生大规模冲突的主要机制。然而，内战一旦规模变得非常大，往往就会降级，从而限制其总体严重性，而州际战争则表现出持续升级的持续风险。冲突内部严重性动态的简单模型表明，这种区别简洁地解释了内战和州际战争的历史规模分布，而无条件升级是理查森定律的一个合理机制——州际冲突频率和严重性的幂律模式。冲突升级的动态对冲突理论和风险评估具有广泛的影响。</w:t>
      </w:r>
    </w:p>
    <w:p>
      <w:pPr>
        <w:spacing w:before="0" w:after="200" w:lineRule="auto" w:line="276"/>
      </w:pPr>
      <w:r>
        <w:rPr>
          <w:b/>
        </w:rPr>
        <w:t xml:space="preserve">Abstract (EN): </w:t>
      </w:r>
      <w:r>
        <w:t>Although very large wars remain an enduring threat in global politics, we lack a clear understanding of how some wars become large and costly, while most do not. There are three possibilities: Large conflicts begin with intense fighting, accumulate severity over a long duration, or escalate in intensity over time. Using detailed within-conflict data on civil and interstate wars (1946–2008), we show that escalation dynamics—variations in fighting intensity within an armed conflict—are the primary mechanism for producing large conflicts. Civil wars, however, tend to deescalate once they become very large, limiting their overall severity, while interstate wars exhibit a persistent risk of continual escalation. Simple models of within-conflict severity dynamics show that this distinction compactly explains the historical size distributions of civil and interstate wars, and unconditioned escalation is a plausible mechanism for Richardson’s law—the power law pattern in the frequency and severity of interstate conflicts. The dynamics of escalation within conflicts have broad implications for conflict theory and risk assessment.</w:t>
      </w:r>
    </w:p>
    <w:p>
      <w:pPr>
        <w:spacing w:before="120" w:after="120"/>
      </w:pPr>
      <w:r>
        <w:rPr>
          <w:sz w:val="18"/>
        </w:rPr>
        <w:t>——————————————————————————————————————————————————————————————————————</w:t>
      </w:r>
    </w:p>
    <w:p>
      <w:pPr>
        <w:spacing w:before="160" w:after="40" w:line="240" w:lineRule="auto"/>
      </w:pPr>
      <w:r>
        <w:rPr>
          <w:b/>
        </w:rPr>
        <w:t xml:space="preserve">[505] </w:t>
      </w:r>
      <w:hyperlink r:id="rId1466">
        <w:r>
          <w:rPr>
            <w:color w:val="1155CC"/>
            <w:u w:val="single"/>
          </w:rPr>
          <w:t>通过表面余弦波实现单粒子水平的双参数手性检测</w:t>
        </w:r>
      </w:hyperlink>
    </w:p>
    <w:p>
      <w:pPr>
        <w:spacing w:before="0" w:after="80"/>
      </w:pPr>
      <w:r>
        <w:rPr>
          <w:i/>
          <w:sz w:val="20"/>
        </w:rPr>
        <w:t>EN: Dual-parameter chiral detection at the single-particle level enabled by surface cosine waves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67">
        <w:r>
          <w:rPr>
            <w:color w:val="1155CC"/>
            <w:u w:val="single"/>
          </w:rPr>
          <w:t>10.1126/sciadv.aeb0500</w:t>
        </w:r>
      </w:hyperlink>
    </w:p>
    <w:p>
      <w:pPr>
        <w:spacing w:before="0" w:after="120"/>
      </w:pPr>
      <w:r>
        <w:rPr>
          <w:b/>
        </w:rPr>
        <w:t xml:space="preserve">Notes: </w:t>
      </w:r>
      <w:r>
        <w:t>abstract_source=crossref</w:t>
      </w:r>
    </w:p>
    <w:p>
      <w:pPr>
        <w:spacing w:before="0" w:after="80" w:lineRule="auto" w:line="276"/>
      </w:pPr>
      <w:r>
        <w:rPr>
          <w:b/>
        </w:rPr>
        <w:t xml:space="preserve">摘要（ZH）: </w:t>
      </w:r>
      <w:r>
        <w:t>在单粒子水平上准确探测光学手性对于手性分子传感、量子光学和对映选择性纳米光子技术至关重要。然而，传统的手性光学技术依赖于整体平均测量，模糊了粒子间的异质性。尽管单粒子圆二色光谱已经实现了纳米级分辨率，但它仍然仅限于仅强度检测，忽略了必要的相位信息。在这里，我们提出了一种基于表面余弦波（SCW）的双参数手性传感平台，可同时捕获单粒子水平的振幅和相位不对称性。 SCW 创建一个偏振平衡的干涉场，包括具有内置 π 相位偏移的等幅左右圆形分量。当与手性散射体相互作用时，这种对称性被打破，将结构旋向性编码为两个不同的度量：圆形散射二色性（CSD）和圆形散射延迟（CSR）。这些指标共同提供了单粒子手性的全面电磁表征。该方法为高灵敏度、单粒子手性传感提供了一个强大的、可推广的框架，为下一代手性光学计量和设备开发铺平了道路。</w:t>
      </w:r>
    </w:p>
    <w:p>
      <w:pPr>
        <w:spacing w:before="0" w:after="200" w:lineRule="auto" w:line="276"/>
      </w:pPr>
      <w:r>
        <w:rPr>
          <w:b/>
        </w:rPr>
        <w:t xml:space="preserve">Abstract (EN): </w:t>
      </w:r>
      <w:r>
        <w:t>Accurately probing optical chirality at the single-particle level is essential for chiral molecular sensing, quantum optics, and enantioselective nanophotonic technologies. However, conventional chiroptical techniques rely on ensemble-averaged measurements, obscuring particle-to-particle heterogeneity. Although single-particle circular dichroism spectroscopy has achieved nanoscale resolution, it remains limited to intensity-only detection, omitting essential phase information. Here, we present a dual-parameter chiral sensing platform based on surface cosine waves (SCWs) that simultaneously captures amplitude and phase asymmetries at the single-particle level. SCWs create a polarization-balanced interferometric field comprising equal-amplitude left and right circular components with a built-in π phase offset. When interacting with a chiral scatterer, this symmetry is broken, encoding the structural handedness into two distinct metrics: circular scattering dichroism (CSD) and circular scattering retardance (CSR). Together, these metrics provide a comprehensive electromagnetic characterization of single-particle chirality. This method provides a robust, generalizable framework for high-sensitivity, single-particle chiral sensing, paving the way toward next-generation chiroptical metrology and device development.</w:t>
      </w:r>
    </w:p>
    <w:p>
      <w:pPr>
        <w:spacing w:before="120" w:after="120"/>
      </w:pPr>
      <w:r>
        <w:rPr>
          <w:sz w:val="18"/>
        </w:rPr>
        <w:t>——————————————————————————————————————————————————————————————————————</w:t>
      </w:r>
    </w:p>
    <w:p>
      <w:pPr>
        <w:spacing w:before="160" w:after="40" w:line="240" w:lineRule="auto"/>
      </w:pPr>
      <w:r>
        <w:rPr>
          <w:b/>
        </w:rPr>
        <w:t xml:space="preserve">[506] </w:t>
      </w:r>
      <w:hyperlink r:id="rId1468">
        <w:r>
          <w:rPr>
            <w:color w:val="1155CC"/>
            <w:u w:val="single"/>
          </w:rPr>
          <w:t>利用 IGF 信号传导改善 iPSC 衍生的血管化肝类器官的空间组织和再生潜力</w:t>
        </w:r>
      </w:hyperlink>
    </w:p>
    <w:p>
      <w:pPr>
        <w:spacing w:before="0" w:after="80"/>
      </w:pPr>
      <w:r>
        <w:rPr>
          <w:i/>
          <w:sz w:val="20"/>
        </w:rPr>
        <w:t>EN: Leveraging IGF signaling to improve the spatial organization and regenerative potential of iPSC-derived vascularized liver organoids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69">
        <w:r>
          <w:rPr>
            <w:color w:val="1155CC"/>
            <w:u w:val="single"/>
          </w:rPr>
          <w:t>10.1126/sciadv.aea3814</w:t>
        </w:r>
      </w:hyperlink>
    </w:p>
    <w:p>
      <w:pPr>
        <w:spacing w:before="0" w:after="120"/>
      </w:pPr>
      <w:r>
        <w:rPr>
          <w:b/>
        </w:rPr>
        <w:t xml:space="preserve">Notes: </w:t>
      </w:r>
      <w:r>
        <w:t>abstract_source=crossref</w:t>
      </w:r>
    </w:p>
    <w:p>
      <w:pPr>
        <w:spacing w:before="0" w:after="80" w:lineRule="auto" w:line="276"/>
      </w:pPr>
      <w:r>
        <w:rPr>
          <w:b/>
        </w:rPr>
        <w:t xml:space="preserve">摘要（ZH）: </w:t>
      </w:r>
      <w:r>
        <w:t>肝组织工程为终末期肝病提供了一种有前景的替代方案，但功能性脉管系统的重建仍然是临床转化的主要瓶颈。在这里，我们通过将人诱导多能干细胞 (iPSC) 来源的肝母细胞和内皮细胞整合到用抗 CD31 适体血管涂层剂 (VCA) 功能化的去细胞支架中，开发了血管化肝脏类器官。这促进了脉管系统和实质的空间协调组织。空间转录组分析和随后的功能扰动证明 IGF2-IGF1R-AKT/MAPK 信号传导是控制肝脏类器官空间组织和功能成熟的关键轴。此外，外源性 IGF2 与 VCA 协同作用，增强肝脏类器官的结构和功能细化，这转化为移植到慢性肝衰竭小鼠模型后显着改善的治疗结果。总的来说，这些发现建立了一个从 iPSC 生成生理相关肝组织的综合框架，并证明了空间转录组学在揭示再生机制方面的效用。这种方法提高了自体可移植肝移植用于个性化再生治疗的可行性。</w:t>
      </w:r>
    </w:p>
    <w:p>
      <w:pPr>
        <w:spacing w:before="0" w:after="200" w:lineRule="auto" w:line="276"/>
      </w:pPr>
      <w:r>
        <w:rPr>
          <w:b/>
        </w:rPr>
        <w:t xml:space="preserve">Abstract (EN): </w:t>
      </w:r>
      <w:r>
        <w:t>Liver tissue engineering offers a promising alternative for end-stage liver disease, yet the recreation of functional vasculature remains a major bottleneck to clinical translation. Here, we developed vascularized liver organoids by integrating human induced pluripotent stem cell (iPSC)–derived hepatoblasts and endothelial cells into decellularized scaffolds functionalized with an anti-CD31 aptamer–based vascular coating agent (VCA). This facilitated spatially coordinated organization of vasculature and parenchyma. Spatial transcriptomic profiling and subsequent functional perturbation demonstrated IGF2-IGF1R-AKT/MAPK signaling as a key axis governing spatial organization and functional maturation of the liver organoids. Furthermore, exogenous IGF2 synergized with the VCA to augment the structural and functional refinement of liver organoids, which translated into markedly improved therapeutic outcomes following transplantation into a chronic liver failure mouse model. Collectively, these findings establish a comprehensive framework for generating physiologically relevant liver tissues from iPSCs and demonstrate the utility of spatial transcriptomics for uncovering regenerative mechanisms. This approach advances the feasibility of autologous, transplantable liver grafts for personalized regenerative therapy.</w:t>
      </w:r>
    </w:p>
    <w:p>
      <w:pPr>
        <w:spacing w:before="120" w:after="120"/>
      </w:pPr>
      <w:r>
        <w:rPr>
          <w:sz w:val="18"/>
        </w:rPr>
        <w:t>——————————————————————————————————————————————————————————————————————</w:t>
      </w:r>
    </w:p>
    <w:p>
      <w:pPr>
        <w:spacing w:before="160" w:after="40" w:line="240" w:lineRule="auto"/>
      </w:pPr>
      <w:r>
        <w:rPr>
          <w:b/>
        </w:rPr>
        <w:t xml:space="preserve">[507] </w:t>
      </w:r>
      <w:hyperlink r:id="rId1470">
        <w:r>
          <w:rPr>
            <w:color w:val="1155CC"/>
            <w:u w:val="single"/>
          </w:rPr>
          <w:t>SARS-CoV-2核衣壳通过巨噬细胞中的Toll样受体信号轴诱导过度炎症和血管渗漏</w:t>
        </w:r>
      </w:hyperlink>
    </w:p>
    <w:p>
      <w:pPr>
        <w:spacing w:before="0" w:after="80"/>
      </w:pPr>
      <w:r>
        <w:rPr>
          <w:i/>
          <w:sz w:val="20"/>
        </w:rPr>
        <w:t>EN: SARS-CoV-2 nucleocapsid induces hyperinflammation and vascular leakage through the Toll-like receptor signaling axis in macrophages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71">
        <w:r>
          <w:rPr>
            <w:color w:val="1155CC"/>
            <w:u w:val="single"/>
          </w:rPr>
          <w:t>10.1126/sciadv.aea2780</w:t>
        </w:r>
      </w:hyperlink>
    </w:p>
    <w:p>
      <w:pPr>
        <w:spacing w:before="0" w:after="120"/>
      </w:pPr>
      <w:r>
        <w:rPr>
          <w:b/>
        </w:rPr>
        <w:t xml:space="preserve">Notes: </w:t>
      </w:r>
      <w:r>
        <w:t>abstract_source=crossref</w:t>
      </w:r>
    </w:p>
    <w:p>
      <w:pPr>
        <w:spacing w:before="0" w:after="80" w:lineRule="auto" w:line="276"/>
      </w:pPr>
      <w:r>
        <w:rPr>
          <w:b/>
        </w:rPr>
        <w:t xml:space="preserve">摘要（ZH）: </w:t>
      </w:r>
      <w:r>
        <w:t>很大一部分住院的 COVID-19 患者需要入住 ICU，这通常与抗病毒反应和炎症信号之间的不平衡导致细胞因子分泌不受控制有关。 SARS-CoV-2 核衣壳 (N) 蛋白是一种已知的免疫拮抗剂，但其在巨噬细胞驱动的细胞因子风暴中的作用尚不清楚。我们证明 N 以刺激特异性方式发挥作用，特别是放大细胞外 RNA 传感并抑制细胞内 RNA 传感。此外，我们通过不同的机制证明这是致病性β冠状病毒的保守特征。我们与 SARS-CoV-2 变体 N 蛋白的相互作用网络表明，Delta 变体 N 通过与多种蛋白质（尤其是 cGAS）相互作用来驱动炎症。对分泌细胞因子的分析表明，N 以变异特异性方式破坏分泌组。最值得注意的是，我们发现表达 Delta 变体 N 的巨噬细胞的上清液会显着破坏心脏内皮屏障，表明 N 与 COVID-19 相关的心脏并发症有关。我们的研究结果强调 N 介导的免疫失衡是严重 COVID-19 的驱动因素，并将 N 确定为减轻过度炎症的有希望的治疗靶点。</w:t>
      </w:r>
    </w:p>
    <w:p>
      <w:pPr>
        <w:spacing w:before="0" w:after="200" w:lineRule="auto" w:line="276"/>
      </w:pPr>
      <w:r>
        <w:rPr>
          <w:b/>
        </w:rPr>
        <w:t xml:space="preserve">Abstract (EN): </w:t>
      </w:r>
      <w:r>
        <w:t>A substantial proportion of hospitalized COVID-19 patients require ICU admission, often associated with an imbalance between antiviral responses and inflammatory signaling leading to uncontrolled cytokine secretion. The SARS-CoV-2 nucleocapsid (N) protein is a known immune antagonist, but its role in macrophage-driven cytokine storms is unclear. We demonstrate that N functions in a stimulus-specific manner, specifically amplifying extracellular and dampening intracellular RNA sensing. Moreover, we show that this is a conserved feature of pathogenic betacoronaviruses through distinct mechanisms. Our interaction networks with SARS-CoV-2 variant N proteins suggest that the Delta variant N drives inflammation through interactions with several proteins, most notably, cGAS. Profiling of secreted cytokines revealed that N disrupts the secretome in a variant-specific manner. Most notably, we found that supernatants from the Delta variant N–expressing macrophages dramatically disrupt heart endothelial barriers, implicating N in COVID-19–associated cardiac complications. Our findings highlight N-mediated immune imbalance as a driver of severe COVID-19 and identify N as a promising therapeutic target to mitigate hyperinflammation.</w:t>
      </w:r>
    </w:p>
    <w:p>
      <w:pPr>
        <w:spacing w:before="120" w:after="120"/>
      </w:pPr>
      <w:r>
        <w:rPr>
          <w:sz w:val="18"/>
        </w:rPr>
        <w:t>——————————————————————————————————————————————————————————————————————</w:t>
      </w:r>
    </w:p>
    <w:p>
      <w:pPr>
        <w:spacing w:before="160" w:after="40" w:line="240" w:lineRule="auto"/>
      </w:pPr>
      <w:r>
        <w:rPr>
          <w:b/>
        </w:rPr>
        <w:t xml:space="preserve">[508] </w:t>
      </w:r>
      <w:hyperlink r:id="rId1472">
        <w:r>
          <w:rPr>
            <w:color w:val="1155CC"/>
            <w:u w:val="single"/>
          </w:rPr>
          <w:t>皮质发生过程中放射状胶质祖细胞的早期命运多样化</w:t>
        </w:r>
      </w:hyperlink>
    </w:p>
    <w:p>
      <w:pPr>
        <w:spacing w:before="0" w:after="80"/>
      </w:pPr>
      <w:r>
        <w:rPr>
          <w:i/>
          <w:sz w:val="20"/>
        </w:rPr>
        <w:t>EN: Early fate diversification of radial glial progenitors during corticogenesis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73">
        <w:r>
          <w:rPr>
            <w:color w:val="1155CC"/>
            <w:u w:val="single"/>
          </w:rPr>
          <w:t>10.1126/sciadv.adw5487</w:t>
        </w:r>
      </w:hyperlink>
    </w:p>
    <w:p>
      <w:pPr>
        <w:spacing w:before="0" w:after="120"/>
      </w:pPr>
      <w:r>
        <w:rPr>
          <w:b/>
        </w:rPr>
        <w:t xml:space="preserve">Notes: </w:t>
      </w:r>
      <w:r>
        <w:t>abstract_source=crossref</w:t>
      </w:r>
    </w:p>
    <w:p>
      <w:pPr>
        <w:spacing w:before="0" w:after="80" w:lineRule="auto" w:line="276"/>
      </w:pPr>
      <w:r>
        <w:rPr>
          <w:b/>
        </w:rPr>
        <w:t xml:space="preserve">摘要（ZH）: </w:t>
      </w:r>
      <w:r>
        <w:t>放射状胶质祖细胞（RGP）通过不完全了解的过程产生大脑皮层中的所有投射神经元（PN）。我们将胚胎阶段 (E)12.5 和 E13.5 的双标记马赛克分析与出生后早期胼胝体追踪相结合，以剖析 RGP 谱系进展。我们发现，多能 RGP 通过在神经发生开始时同时出现的平行亚系产生所有端脑外 (ET) 和端脑内 (IT) PN。 ET-PN 的生产仅通过小型、自我消耗的谱系进行； IT-PN 谱系以 RGP 为特征，可产生大量跨层输出。 IT-PN 注定的 RGP 的早期出现，与直接神经发生的转变同时发生，有助于多能谱系的定型群体水平进展。我们还通过非规范的有丝分裂染色质结合将 POU3F 转录因子确定为 IT-PN 命运的候选调节因子。结果支持一个模型，其中 IT-PN 和 ET-PN 源于多能 RGP 谱系内的早期分叉和并行规范。</w:t>
      </w:r>
    </w:p>
    <w:p>
      <w:pPr>
        <w:spacing w:before="0" w:after="200" w:lineRule="auto" w:line="276"/>
      </w:pPr>
      <w:r>
        <w:rPr>
          <w:b/>
        </w:rPr>
        <w:t xml:space="preserve">Abstract (EN): </w:t>
      </w:r>
      <w:r>
        <w:t>Radial glial progenitors (RGPs) generate all projection neurons (PNs) in the cerebral cortex through incompletely understood processes. We combined Mosaic Analysis with Double Markers at embryonic stages (E)12.5 and E13.5 with early postnatal callosal tracing to dissect RGP lineage progression. We find that multipotent RGPs generate all extra-telencephalic (ET) and intra-telencephalic (IT) PNs via parallel sublineages that emerge simultaneously at neurogenesis onset. ET-PN production progresses exclusively via small, self-consuming lineages; IT-PN lineages feature RGPs generating large translaminar outputs. The early emergence of IT-PN–fated RGPs, coinciding with a switch to direct neurogenesis, contributes to the stereotyped population-level progression of the multipotent lineage. We also identify POU3F transcription factors as candidate regulators of IT-PN fate via noncanonical mitotic chromatin binding. The results support a model whereby IT- and ET-PNs arise from an early bifurcation and parallel specification within the multipotent RGP lineage.</w:t>
      </w:r>
    </w:p>
    <w:p>
      <w:pPr>
        <w:spacing w:before="120" w:after="120"/>
      </w:pPr>
      <w:r>
        <w:rPr>
          <w:sz w:val="18"/>
        </w:rPr>
        <w:t>——————————————————————————————————————————————————————————————————————</w:t>
      </w:r>
    </w:p>
    <w:p>
      <w:pPr>
        <w:spacing w:before="160" w:after="40" w:line="240" w:lineRule="auto"/>
      </w:pPr>
      <w:r>
        <w:rPr>
          <w:b/>
        </w:rPr>
        <w:t xml:space="preserve">[509] </w:t>
      </w:r>
      <w:hyperlink r:id="rId1474">
        <w:r>
          <w:rPr>
            <w:color w:val="1155CC"/>
            <w:u w:val="single"/>
          </w:rPr>
          <w:t>高阶网络随机过程的超边近似</w:t>
        </w:r>
      </w:hyperlink>
    </w:p>
    <w:p>
      <w:pPr>
        <w:spacing w:before="0" w:after="80"/>
      </w:pPr>
      <w:r>
        <w:rPr>
          <w:i/>
          <w:sz w:val="20"/>
        </w:rPr>
        <w:t>EN: Hyperedge approximation for stochastic processes on higher-order networks</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475">
        <w:r>
          <w:rPr>
            <w:color w:val="1155CC"/>
            <w:u w:val="single"/>
          </w:rPr>
          <w:t>10.1073/pnas.2619078123</w:t>
        </w:r>
      </w:hyperlink>
    </w:p>
    <w:p>
      <w:pPr>
        <w:spacing w:before="0" w:after="120"/>
      </w:pPr>
      <w:r>
        <w:rPr>
          <w:b/>
        </w:rPr>
        <w:t xml:space="preserve">Notes: </w:t>
      </w:r>
      <w:r>
        <w:t>abstract_source=crossref</w:t>
      </w:r>
    </w:p>
    <w:p>
      <w:pPr>
        <w:spacing w:before="0" w:after="80" w:lineRule="auto" w:line="276"/>
      </w:pPr>
      <w:r>
        <w:rPr>
          <w:b/>
        </w:rPr>
        <w:t xml:space="preserve">摘要（ZH）: </w:t>
      </w:r>
      <w:r>
        <w:t>图提供了一个自然的框架来描述由代理之间的成对交互形成的过程。但许多动力系统涉及三个或更多主体之间的相互作用。在这里，我们开发了“</w:t>
      </w:r>
      <w:r>
        <w:t xml:space="preserve"> </w:t>
      </w:r>
      <w:r>
        <w:t>ℓ</w:t>
      </w:r>
      <w:r>
        <w:t xml:space="preserve"> </w:t>
      </w:r>
      <w:r>
        <w:t>-超边近似，正则超图上随机过程的分析框架，其中每个个体属于</w:t>
      </w:r>
      <w:r>
        <w:t xml:space="preserve"> </w:t>
      </w:r>
      <w:r>
        <w:t>k</w:t>
      </w:r>
      <w:r>
        <w:t xml:space="preserve"> </w:t>
      </w:r>
      <w:r>
        <w:t>大小组</w:t>
      </w:r>
      <w:r>
        <w:t xml:space="preserve"> </w:t>
      </w:r>
      <w:r>
        <w:t>ℓ</w:t>
      </w:r>
      <w:r>
        <w:t xml:space="preserve"> </w:t>
      </w:r>
      <w:r>
        <w:t>。该框架既容纳了确定收益的高阶交互，也容纳了根据收益更新状态的高阶过程。对于超图上的进化博弈，我们的分析概括了经典</w:t>
      </w:r>
      <w:r>
        <w:t xml:space="preserve"> </w:t>
      </w:r>
      <w:r>
        <w:t>乙</w:t>
      </w:r>
      <w:r>
        <w:t xml:space="preserve"> </w:t>
      </w:r>
      <w:r>
        <w:t>/</w:t>
      </w:r>
      <w:r>
        <w:t>c</w:t>
      </w:r>
      <w:r>
        <w:t xml:space="preserve"> </w:t>
      </w:r>
      <w:r>
        <w:t>&gt;</w:t>
      </w:r>
      <w:r>
        <w:t xml:space="preserve"> </w:t>
      </w:r>
      <w:r>
        <w:t>k</w:t>
      </w:r>
      <w:r>
        <w:t xml:space="preserve"> </w:t>
      </w:r>
      <w:r>
        <w:t>合作规则</w:t>
      </w:r>
      <w:r>
        <w:t xml:space="preserve"> </w:t>
      </w:r>
      <w:r>
        <w:t>ℓ</w:t>
      </w:r>
      <w:r>
        <w:t xml:space="preserve"> </w:t>
      </w:r>
      <w:r>
        <w:t>-玩家捐款游戏；它为非线性产生了关键的效益成本比</w:t>
      </w:r>
    </w:p>
    <w:p>
      <w:pPr>
        <w:spacing w:before="0" w:after="200" w:lineRule="auto" w:line="276"/>
      </w:pPr>
      <w:r>
        <w:rPr>
          <w:b/>
        </w:rPr>
        <w:t xml:space="preserve">Abstract (EN): </w:t>
      </w:r>
      <w:r>
        <w:t>Graphs provide a natural framework to describe processes shaped by pairwise interactions among agents. But many dynamical systems involve interactions within groups of three or more agents. Here, we develop the “</w:t>
      </w:r>
      <w:r>
        <w:t xml:space="preserve"> </w:t>
      </w:r>
      <w:r>
        <w:t>ℓ</w:t>
      </w:r>
      <w:r>
        <w:t xml:space="preserve"> </w:t>
      </w:r>
      <w:r>
        <w:t>-hyperedge approximation,” an analytical framework for stochastic processes on regular hypergraphs, in which each individual belongs to</w:t>
      </w:r>
      <w:r>
        <w:t xml:space="preserve"> </w:t>
      </w:r>
      <w:r>
        <w:t>k</w:t>
      </w:r>
      <w:r>
        <w:t xml:space="preserve"> </w:t>
      </w:r>
      <w:r>
        <w:t>groups of size</w:t>
      </w:r>
      <w:r>
        <w:t xml:space="preserve"> </w:t>
      </w:r>
      <w:r>
        <w:t>ℓ</w:t>
      </w:r>
      <w:r>
        <w:t xml:space="preserve"> </w:t>
      </w:r>
      <w:r>
        <w:t>. The framework accommodates both higher-order interactions that determine payoffs and higher-order processes for updating states in response to payoffs. For evolutionary games on hypergraphs, our analysis generalizes the classical</w:t>
      </w:r>
      <w:r>
        <w:t xml:space="preserve"> </w:t>
      </w:r>
      <w:r>
        <w:t>b</w:t>
      </w:r>
      <w:r>
        <w:t xml:space="preserve"> </w:t>
      </w:r>
      <w:r>
        <w:t>/</w:t>
      </w:r>
      <w:r>
        <w:t>c</w:t>
      </w:r>
      <w:r>
        <w:t xml:space="preserve"> </w:t>
      </w:r>
      <w:r>
        <w:t>&amp;gt;</w:t>
      </w:r>
      <w:r>
        <w:t xml:space="preserve"> </w:t>
      </w:r>
      <w:r>
        <w:t>k</w:t>
      </w:r>
      <w:r>
        <w:t xml:space="preserve"> </w:t>
      </w:r>
      <w:r>
        <w:t>rule for cooperation to the</w:t>
      </w:r>
      <w:r>
        <w:t xml:space="preserve"> </w:t>
      </w:r>
      <w:r>
        <w:t>ℓ</w:t>
      </w:r>
      <w:r>
        <w:t xml:space="preserve"> </w:t>
      </w:r>
      <w:r>
        <w:t>-player donation game; and it yields critical benefit-to-cost ratios for the nonlinear</w:t>
      </w:r>
      <w:r>
        <w:t xml:space="preserve"> </w:t>
      </w:r>
      <w:r>
        <w:t>ℓ</w:t>
      </w:r>
      <w:r>
        <w:t xml:space="preserve"> </w:t>
      </w:r>
      <w:r>
        <w:t>-player public goods game, which remains bounded as the degree grows. Applied to neutral complex contagions, where inheritance of states occurs within hyperedges rather than along parent–offspring edges, the framework gives a closed-form fixation probability, showing how a single complexity parameter governs the spread of rare types. Coupling the two processes produces a unified stochastic model of payoff-biased complex contagions in structured populations. Together, these results extend pair approximation from graphs to hypergraphs, accommodating multiway interactions and group-level inheritance with no pairwise analog.</w:t>
      </w:r>
    </w:p>
    <w:p>
      <w:pPr>
        <w:spacing w:before="120" w:after="120"/>
      </w:pPr>
      <w:r>
        <w:rPr>
          <w:sz w:val="18"/>
        </w:rPr>
        <w:t>——————————————————————————————————————————————————————————————————————</w:t>
      </w:r>
    </w:p>
    <w:p>
      <w:pPr>
        <w:spacing w:before="160" w:after="40" w:line="240" w:lineRule="auto"/>
      </w:pPr>
      <w:r>
        <w:rPr>
          <w:b/>
        </w:rPr>
        <w:t xml:space="preserve">[510] </w:t>
      </w:r>
      <w:hyperlink r:id="rId1476">
        <w:r>
          <w:rPr>
            <w:color w:val="1155CC"/>
            <w:u w:val="single"/>
          </w:rPr>
          <w:t>为什么会出现更年期呢？</w:t>
        </w:r>
      </w:hyperlink>
    </w:p>
    <w:p>
      <w:pPr>
        <w:spacing w:before="0" w:after="80"/>
      </w:pPr>
      <w:r>
        <w:rPr>
          <w:i/>
          <w:sz w:val="20"/>
        </w:rPr>
        <w:t>EN: Why did menopause evolve?</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477">
        <w:r>
          <w:rPr>
            <w:color w:val="1155CC"/>
            <w:u w:val="single"/>
          </w:rPr>
          <w:t>10.1073/pnas.2625473123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[511] </w:t>
      </w:r>
      <w:hyperlink r:id="rId1478">
        <w:r>
          <w:rPr>
            <w:color w:val="1155CC"/>
            <w:u w:val="single"/>
          </w:rPr>
          <w:t>SCHEPHERD：用于控制细胞行为的模块化、可编程、直流平台</w:t>
        </w:r>
      </w:hyperlink>
    </w:p>
    <w:p>
      <w:pPr>
        <w:spacing w:before="0" w:after="80"/>
      </w:pPr>
      <w:r>
        <w:rPr>
          <w:i/>
          <w:sz w:val="20"/>
        </w:rPr>
        <w:t>EN: SCHEPHERD: A modular, programmable, direct current platform to control cell behavior</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79">
        <w:r>
          <w:rPr>
            <w:color w:val="1155CC"/>
            <w:u w:val="single"/>
          </w:rPr>
          <w:t>10.1126/sciadv.aed5802</w:t>
        </w:r>
      </w:hyperlink>
    </w:p>
    <w:p>
      <w:pPr>
        <w:spacing w:before="0" w:after="120"/>
      </w:pPr>
      <w:r>
        <w:rPr>
          <w:b/>
        </w:rPr>
        <w:t xml:space="preserve">Notes: </w:t>
      </w:r>
      <w:r>
        <w:t>abstract_source=crossref</w:t>
      </w:r>
    </w:p>
    <w:p>
      <w:pPr>
        <w:spacing w:before="0" w:after="80" w:lineRule="auto" w:line="276"/>
      </w:pPr>
      <w:r>
        <w:rPr>
          <w:b/>
        </w:rPr>
        <w:t xml:space="preserve">摘要（ZH）: </w:t>
      </w:r>
      <w:r>
        <w:t>对于青蛙、鱼类和人类来说，直流 (dc) 生物电信号在神经肌肉功能之外发挥着重要作用，例如调节形态发生、免疫反应以及通过趋电（电引导的细胞迁移）进行愈合。利用这种潜力需要专用的多功能工具。然而，能够进行直流刺激的标准化、可访问且可重复的基础设施仍然是一个挑战。我们推出 SCHEPHERD：一种通用的电生物反应器，集成了八个刺激通道和模块化插入件，可在一个设备（细胞、单层和 3D 球体）中实现大多数趋电分析，同时实现强大的扩展功能。 SCHEPHERD 通过参数扫描揭示，直流场对于细胞迁移来说就像“方向盘和油门踏板”。然后，我们使用实时共焦成像来观察电重编程的 F-肌动蛋白动力学。最后，我们的多极插入物产生了复杂的空间电模式，可以重组工程组织动力学。通过模块化和开源、图形编程的独立刺激器大幅提高可访问性，我们希望 SCHEPHERD 能够帮助扩大研究这些重要直流生物电现象的社区。</w:t>
      </w:r>
    </w:p>
    <w:p>
      <w:pPr>
        <w:spacing w:before="0" w:after="200" w:lineRule="auto" w:line="276"/>
      </w:pPr>
      <w:r>
        <w:rPr>
          <w:b/>
        </w:rPr>
        <w:t xml:space="preserve">Abstract (EN): </w:t>
      </w:r>
      <w:r>
        <w:t>Spanning frogs, fish, and humans, direct current (dc) bioelectric cues play critical roles beyond neuromuscular function, such as modulating morphogenesis, immune response, and healing through electrotaxis—electrically directed cell migration. Harnessing this potential requires dedicated, versatile tools. However, standardized, accessible, and reproducible infrastructure capable of dc stimulation remains a challenge. We present SCHEPHERD: a universal, electrobioreactor integrating eight stimulation channels and modular inserts to enable most electrotaxis assays in one device (cells, monolayers, and 3D spheroids) while enabling powerful, expanded capabilities. SCHEPHERD revealed through parameter sweeps that dc fields act like a “steering wheel and gas pedal” for cell migration. We then used live confocal imaging to observe electrically reprogrammed F-actin dynamics. Last, our multipolar inserts generated complex spatial electrical patterns that reorganize engineered tissue dynamics. By substantially improving accessibility through modularity and an open-source, graphically programmed, stand-alone stimulator, we hope that SCHEPHERD can help broaden the community studying these important dc bioelectric phenomena.</w:t>
      </w:r>
    </w:p>
    <w:p>
      <w:pPr>
        <w:spacing w:before="120" w:after="120"/>
      </w:pPr>
      <w:r>
        <w:rPr>
          <w:sz w:val="18"/>
        </w:rPr>
        <w:t>——————————————————————————————————————————————————————————————————————</w:t>
      </w:r>
    </w:p>
    <w:p>
      <w:pPr>
        <w:spacing w:before="160" w:after="40" w:line="240" w:lineRule="auto"/>
      </w:pPr>
      <w:r>
        <w:rPr>
          <w:b/>
        </w:rPr>
        <w:t xml:space="preserve">[512] </w:t>
      </w:r>
      <w:hyperlink r:id="rId1480">
        <w:r>
          <w:rPr>
            <w:color w:val="1155CC"/>
            <w:u w:val="single"/>
          </w:rPr>
          <w:t>草原生产力下降导致天花爆发和 1750 年代最后一个游牧帝国的崩溃</w:t>
        </w:r>
      </w:hyperlink>
    </w:p>
    <w:p>
      <w:pPr>
        <w:spacing w:before="0" w:after="80"/>
      </w:pPr>
      <w:r>
        <w:rPr>
          <w:i/>
          <w:sz w:val="20"/>
        </w:rPr>
        <w:t>EN: Steppe productivity decline contributed to smallpox outbreak and the collapse of the last nomadic empire in the 1750s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81">
        <w:r>
          <w:rPr>
            <w:color w:val="1155CC"/>
            <w:u w:val="single"/>
          </w:rPr>
          <w:t>10.1126/sciadv.aee4285</w:t>
        </w:r>
      </w:hyperlink>
    </w:p>
    <w:p>
      <w:pPr>
        <w:spacing w:before="0" w:after="120"/>
      </w:pPr>
      <w:r>
        <w:rPr>
          <w:b/>
        </w:rPr>
        <w:t xml:space="preserve">Notes: </w:t>
      </w:r>
      <w:r>
        <w:t>abstract_source=crossref</w:t>
      </w:r>
    </w:p>
    <w:p>
      <w:pPr>
        <w:spacing w:before="0" w:after="80" w:lineRule="auto" w:line="276"/>
      </w:pPr>
      <w:r>
        <w:rPr>
          <w:b/>
        </w:rPr>
        <w:t xml:space="preserve">摘要（ZH）: </w:t>
      </w:r>
      <w:r>
        <w:t>1750 年代准噶尔汗国的崩溃标志着世界上最后一个游牧帝国的终结，并重塑了欧亚地缘政治。然而，环境和社会因素是否相互作用并导致其崩溃仍不清楚。在这里，我们使用基于极端生长率的 441 个树木年轮系列重建了自 1625 年以来整个准噶尔中心地带的草原生产力变异性。我们的记录显示，汗国的崩溃恰逢 1751 年至 1761 年过去四个世纪以来草原生产力最低的时期。社会复原力的减弱接近临界点，加剧了草原生产力迅速下降的影响，进而引发饥荒、冲突和贸易崩溃。随后天花再次出现并升级为灾难性流行病，将环境危机转化为准噶尔汗国的崩溃。我们的研究结果强调，随着气候压力加剧和跨境流行病威胁升级，迫切需要加强草原地区的牧区恢复力和流行病监测。</w:t>
      </w:r>
    </w:p>
    <w:p>
      <w:pPr>
        <w:spacing w:before="0" w:after="200" w:lineRule="auto" w:line="276"/>
      </w:pPr>
      <w:r>
        <w:rPr>
          <w:b/>
        </w:rPr>
        <w:t xml:space="preserve">Abstract (EN): </w:t>
      </w:r>
      <w:r>
        <w:t>The collapse of the Dzungar Khanate in the 1750s marked the end of the world’s last nomadic empire and reshaped Eurasian geopolitics. However, whether environmental and societal factors interplayed and contributed to its collapse remains unclear. Here, we reconstructed steppe productivity variability across the Dzungar heartland since 1625 using 441 tree-ring series based on an extreme growth ratio. Our record shows that the Khanate’s collapse coincided with the lowest steppe productivity in the past four centuries during 1751–1761. The weakening societal resilience approaching a tipping point intensified the effects of the rapid steppe productivity decline, which cascaded into famine, conflict, and trade breakdown. Smallpox then reemerged and escalated into a catastrophic epidemic, transforming the environmental crisis into the collapse of the Dzungar Khanate. Our findings underscore the urgent need to strengthen pastoral resilience and epidemic surveillance in steppe regions as climate stress intensifies and cross-border epidemic threats escalate.</w:t>
      </w:r>
    </w:p>
    <w:p>
      <w:pPr>
        <w:spacing w:before="120" w:after="120"/>
      </w:pPr>
      <w:r>
        <w:rPr>
          <w:sz w:val="18"/>
        </w:rPr>
        <w:t>——————————————————————————————————————————————————————————————————————</w:t>
      </w:r>
    </w:p>
    <w:p>
      <w:pPr>
        <w:spacing w:before="160" w:after="40" w:line="240" w:lineRule="auto"/>
      </w:pPr>
      <w:r>
        <w:rPr>
          <w:b/>
        </w:rPr>
        <w:t xml:space="preserve">[513] </w:t>
      </w:r>
      <w:hyperlink r:id="rId1482">
        <w:r>
          <w:rPr>
            <w:color w:val="1155CC"/>
            <w:u w:val="single"/>
          </w:rPr>
          <w:t>评估行人在拥挤的公共场所对自主和个人移动机器人的反应</w:t>
        </w:r>
      </w:hyperlink>
    </w:p>
    <w:p>
      <w:pPr>
        <w:spacing w:before="0" w:after="80"/>
      </w:pPr>
      <w:r>
        <w:rPr>
          <w:i/>
          <w:sz w:val="20"/>
        </w:rPr>
        <w:t>EN: Assessing pedestrian responses to autonomous and personal mobility robots in crowded public spaces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83">
        <w:r>
          <w:rPr>
            <w:color w:val="1155CC"/>
            <w:u w:val="single"/>
          </w:rPr>
          <w:t>10.1126/sciadv.aef2576</w:t>
        </w:r>
      </w:hyperlink>
    </w:p>
    <w:p>
      <w:pPr>
        <w:spacing w:before="0" w:after="120"/>
      </w:pPr>
      <w:r>
        <w:rPr>
          <w:b/>
        </w:rPr>
        <w:t xml:space="preserve">Notes: </w:t>
      </w:r>
      <w:r>
        <w:t>abstract_source=crossref</w:t>
      </w:r>
    </w:p>
    <w:p>
      <w:pPr>
        <w:spacing w:before="0" w:after="80" w:lineRule="auto" w:line="276"/>
      </w:pPr>
      <w:r>
        <w:rPr>
          <w:b/>
        </w:rPr>
        <w:t xml:space="preserve">摘要（ZH）: </w:t>
      </w:r>
      <w:r>
        <w:t>机器人越来越多地与人们共享空间，支持老年人口的送货服务和流动性，但设计师和政策制定者缺乏对它们舒适地共享空间的能力的理解和基准。我们比较了跨越欧洲、北美和亚洲的四个现实世界人群数据集的人与机器人 (HRI) 和人与人 (HHI) 交互，使用统一的管道来检测交互、按人群密度进行分层并建模行人行为。在所有密度下，HRI 和 HHI 之间的局部运动模式（速度、加速度和加加速度）保持密切匹配。相比之下，空间关系却出现了分歧，其影响随着机器人速度近似线性增长，并在拥挤度较高的情况下减弱：在导航速度更快的机器人的数据集中，在不太拥挤的条件下，行人在机器人周围的间隙比其他行人周围的间隙多出约 0.23 米，在更拥挤的条件下则多出约 0.05 米，而在以静止机器人为主的数据集中，相应的差异很小，并且在拥挤水平上不一致。主要结论对于参数变化是稳健的，并且在广泛的运动处理和交互标记设置中保持稳定。我们的研究结果为社交机器人导航中的空间关系学提供了密度和速度感知基准，并为机器人和城市交通的设计、评估和建模提供了基于经验的目标。</w:t>
      </w:r>
    </w:p>
    <w:p>
      <w:pPr>
        <w:spacing w:before="0" w:after="200" w:lineRule="auto" w:line="276"/>
      </w:pPr>
      <w:r>
        <w:rPr>
          <w:b/>
        </w:rPr>
        <w:t xml:space="preserve">Abstract (EN): </w:t>
      </w:r>
      <w:r>
        <w:t>Robots increasingly share spaces with people, supporting delivery services and mobility for the aging populations, yet their ability to share space comfortably lacks understanding and benchmarks for designers and policy-makers. We compared human-robot (HRI) and human-human (HHI) interactions across four real-world crowd datasets spanning Europe, North America, and Asia, using a unified pipeline to detect interactions, stratify by crowd density, and model pedestrian behavior. Local motion patterns (speed, acceleration, and jerk) remained closely matched between HRI and HHI across all densities. In contrast, proxemics diverged, with effects that grew approximately linearly with robot speed and weakened under higher crowding: In the dataset with the faster navigating robot, pedestrians maintained about 0.23 meters more clearance around the robot than around other pedestrians under less crowded conditions and about 0.05 meters more under more crowded conditions, while in the dataset with the predominantly stationary robot, the corresponding differences were small and inconsistent across crowding levels. The main conclusions were robust to parameter variations and remained stable across a broad range of motion-processing and interaction-labeling settings. Our findings provide density- and speed-aware benchmarks for proxemics in social robot navigation and empirically grounded targets for design, evaluation, and modeling across robotics and urban mobility.</w:t>
      </w:r>
    </w:p>
    <w:p>
      <w:pPr>
        <w:spacing w:before="120" w:after="120"/>
      </w:pPr>
      <w:r>
        <w:rPr>
          <w:sz w:val="18"/>
        </w:rPr>
        <w:t>——————————————————————————————————————————————————————————————————————</w:t>
      </w:r>
    </w:p>
    <w:p>
      <w:pPr>
        <w:spacing w:before="160" w:after="40" w:line="240" w:lineRule="auto"/>
      </w:pPr>
      <w:r>
        <w:rPr>
          <w:b/>
        </w:rPr>
        <w:t xml:space="preserve">[514] </w:t>
      </w:r>
      <w:hyperlink r:id="rId1484">
        <w:r>
          <w:rPr>
            <w:color w:val="1155CC"/>
            <w:u w:val="single"/>
          </w:rPr>
          <w:t>波形蛋白对氧化剂和亲电子试剂的响应受 pH 调节</w:t>
        </w:r>
      </w:hyperlink>
    </w:p>
    <w:p>
      <w:pPr>
        <w:spacing w:before="0" w:after="80"/>
      </w:pPr>
      <w:r>
        <w:rPr>
          <w:i/>
          <w:sz w:val="20"/>
        </w:rPr>
        <w:t>EN: Vimentin remodeling in response to oxidants and electrophiles is modulated by pH</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85">
        <w:r>
          <w:rPr>
            <w:color w:val="1155CC"/>
            <w:u w:val="single"/>
          </w:rPr>
          <w:t>10.1126/sciadv.aed9655</w:t>
        </w:r>
      </w:hyperlink>
    </w:p>
    <w:p>
      <w:pPr>
        <w:spacing w:before="0" w:after="120"/>
      </w:pPr>
      <w:r>
        <w:rPr>
          <w:b/>
        </w:rPr>
        <w:t xml:space="preserve">Notes: </w:t>
      </w:r>
      <w:r>
        <w:t>abstract_source=crossref</w:t>
      </w:r>
    </w:p>
    <w:p>
      <w:pPr>
        <w:spacing w:before="0" w:after="80" w:lineRule="auto" w:line="276"/>
      </w:pPr>
      <w:r>
        <w:rPr>
          <w:b/>
        </w:rPr>
        <w:t xml:space="preserve">摘要（ZH）: </w:t>
      </w:r>
      <w:r>
        <w:t>波形蛋白对于细胞机械传感、细胞骨架串扰和应激反应至关重要，并且可以通过翻译后修饰进行微调。波形蛋白单半胱氨酸 C328 是一个修饰热点，对于氧化剂和亲电子试剂进行的丝重塑至关重要。带有 p</w:t>
      </w:r>
      <w:r>
        <w:t xml:space="preserve"> </w:t>
      </w:r>
      <w:r>
        <w:t>K</w:t>
      </w:r>
      <w:r>
        <w:t xml:space="preserve"> </w:t>
      </w:r>
      <w:r>
        <w:t>一个</w:t>
      </w:r>
      <w:r>
        <w:t xml:space="preserve"> </w:t>
      </w:r>
      <w:r>
        <w:t>在接近生理 pH 值时，C328 反应性可能取决于细胞 pH 值波动。在这里，我们证明硫醇反应剂对 C328 的修饰和波形蛋白重组受到体外和细胞内 pH 变化的调节。细胞内酸化可以防止氧化和亲电子物质对波形蛋白网络的破坏，而碱化会加剧这种破坏，而这需要 C328。化学遗传学和光遗传学 pH 调节允许氧化剂对波形蛋白重塑进行时空控制。此外，在细胞内酸化或波形蛋白 C328H 突变体表达时，迁移成纤维细胞细胞边缘的波形蛋白分解和板状伪足形成减弱，从而减弱细胞迁移。因此，C328 充当同时的 pH 和氧化还原响应元件，微调波形蛋白组装，并支持半胱氨酸介导的氧化还原信号传导的 pH 依赖性。</w:t>
      </w:r>
    </w:p>
    <w:p>
      <w:pPr>
        <w:spacing w:before="0" w:after="200" w:lineRule="auto" w:line="276"/>
      </w:pPr>
      <w:r>
        <w:rPr>
          <w:b/>
        </w:rPr>
        <w:t xml:space="preserve">Abstract (EN): </w:t>
      </w:r>
      <w:r>
        <w:t>Vimentin is critical for cell mechanosensing, cytoskeletal cross-talk, and stress responses and is finely tuned by posttranslational modifications. Vimentin single cysteine, C328, is a modification hotspot, essential for filament remodeling by oxidants and electrophiles. With a p</w:t>
      </w:r>
      <w:r>
        <w:t xml:space="preserve"> </w:t>
      </w:r>
      <w:r>
        <w:t>K</w:t>
      </w:r>
      <w:r>
        <w:t xml:space="preserve"> </w:t>
      </w:r>
      <w:r>
        <w:t>a</w:t>
      </w:r>
      <w:r>
        <w:t xml:space="preserve"> </w:t>
      </w:r>
      <w:r>
        <w:t>near physiological pH, C328 reactivity could depend on cellular pH fluctuations. Here, we show that C328 modifications and vimentin reorganization by thiol-reactive agents are modulated by pH variations in vitro and in cells. Intracellular acidification prevents, whereas alkalinization aggravates, vimentin network disruption by oxidative and electrophilic species, which requires C328. Chemogenetic and optogenetic pH modulation allow spatiotemporal control of vimentin remodeling by oxidants. Moreover, vimentin disassembly at cell edges of migrating fibroblasts and lamellipodia formation are attenuated upon intracellular acidification or expression of a vimentin C328H mutant, which blunts cell migration. Thus, C328 behaves as a coincidental pH- and redox-responsive element, finely tuning vimentin assembly, and supporting the pH dependence of cysteine-mediated redox signaling.</w:t>
      </w:r>
    </w:p>
    <w:p>
      <w:pPr>
        <w:spacing w:before="120" w:after="120"/>
      </w:pPr>
      <w:r>
        <w:rPr>
          <w:sz w:val="18"/>
        </w:rPr>
        <w:t>——————————————————————————————————————————————————————————————————————</w:t>
      </w:r>
    </w:p>
    <w:p>
      <w:pPr>
        <w:spacing w:before="160" w:after="40" w:line="240" w:lineRule="auto"/>
      </w:pPr>
      <w:r>
        <w:rPr>
          <w:b/>
        </w:rPr>
        <w:t xml:space="preserve">[515] </w:t>
      </w:r>
      <w:hyperlink r:id="rId1486">
        <w:r>
          <w:rPr>
            <w:color w:val="1155CC"/>
            <w:u w:val="single"/>
          </w:rPr>
          <w:t>粘连蛋白通过转录因子促进核小体侵袭</w:t>
        </w:r>
      </w:hyperlink>
    </w:p>
    <w:p>
      <w:pPr>
        <w:spacing w:before="0" w:after="80"/>
      </w:pPr>
      <w:r>
        <w:rPr>
          <w:i/>
          <w:sz w:val="20"/>
        </w:rPr>
        <w:t>EN: Cohesin facilitates nucleosome invasion by transcription factors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87">
        <w:r>
          <w:rPr>
            <w:color w:val="1155CC"/>
            <w:u w:val="single"/>
          </w:rPr>
          <w:t>10.1126/sciadv.aef1603</w:t>
        </w:r>
      </w:hyperlink>
    </w:p>
    <w:p>
      <w:pPr>
        <w:spacing w:before="0" w:after="120"/>
      </w:pPr>
      <w:r>
        <w:rPr>
          <w:b/>
        </w:rPr>
        <w:t xml:space="preserve">Notes: </w:t>
      </w:r>
      <w:r>
        <w:t>abstract_source=crossref</w:t>
      </w:r>
    </w:p>
    <w:p>
      <w:pPr>
        <w:spacing w:before="0" w:after="80" w:lineRule="auto" w:line="276"/>
      </w:pPr>
      <w:r>
        <w:rPr>
          <w:b/>
        </w:rPr>
        <w:t xml:space="preserve">摘要（ZH）: </w:t>
      </w:r>
      <w:r>
        <w:t>核小体是转录因子 (TF) 结合的主要障碍。然而，称为先锋因子 (PF) 的 TF 亚组可以识别核小体覆盖的基序并启动染色质打开。 PFs还在体外以高亲和力结合核小体底物，这可能促进它们在体内的核小体侵袭。在这里，我们表明，LexA（一种体外核小体结合能力较差的细菌 TF）在酵母中异位表达时，可以从位于二元组的基序快速侵入到位置良好的核小体中。 LexA 体外和体内结合之间的显着对比提出了 TF 可以利用体内核小体动力学来访问封闭位点的可能性。出乎意料的是，我们发现 LexA 介导的染色质打开可以在没有 DNA 复制、染色质重塑、组蛋白更新和一些组蛋白伴侣的情况下发生。相反，LexA 和天然 PF Cbf1 的核小体入侵是由粘连蛋白复合物促进的，这说明粘连蛋白和 TF 结合之间存在有趣的联系。总之，我们的结果表明，即使像 LexA 这样的非先锋 TF 也可以通过粘连蛋白促进的过程在体内结合并取代核小体。</w:t>
      </w:r>
    </w:p>
    <w:p>
      <w:pPr>
        <w:spacing w:before="0" w:after="200" w:lineRule="auto" w:line="276"/>
      </w:pPr>
      <w:r>
        <w:rPr>
          <w:b/>
        </w:rPr>
        <w:t xml:space="preserve">Abstract (EN): </w:t>
      </w:r>
      <w:r>
        <w:t>Nucleosomes present a major barrier to transcription factor (TF) binding. However, a subgroup of TFs known as pioneer factors (PFs) can recognize motifs covered by nucleosomes and initiate chromatin opening. PFs also bind nucleosomal substrates with high affinity in vitro, which may facilitate their nucleosome invasion in vivo. Here, we show that LexA, a bacterial TF with poor nucleosome binding in vitro, can rapidly invade into a well-positioned nucleosome from a motif positioned at the dyad when expressed ectopically in yeast. This notable contrast between LexA binding in vitro and in vivo raises the possibility that TFs can exploit nucleosome dynamics in vivo to access occluded sites. Unexpectedly, we find that LexA-mediated chromatin opening can occur in the absence of DNA replication, chromatin remodeling, histone turnover, and a few histone chaperones. Instead, nucleosome invasion by LexA and a native PF, Cbf1, is promoted by the cohesin complex, illustrating an intriguing connection between cohesin and TF binding. Together, our results demonstrate that even nonpioneer TFs like LexA can bind and displace nucleosomes in vivo, through a process facilitated by cohesin.</w:t>
      </w:r>
    </w:p>
    <w:p>
      <w:pPr>
        <w:spacing w:before="120" w:after="120"/>
      </w:pPr>
      <w:r>
        <w:rPr>
          <w:sz w:val="18"/>
        </w:rPr>
        <w:t>——————————————————————————————————————————————————————————————————————</w:t>
      </w:r>
    </w:p>
    <w:p>
      <w:pPr>
        <w:spacing w:before="160" w:after="40" w:line="240" w:lineRule="auto"/>
      </w:pPr>
      <w:r>
        <w:rPr>
          <w:b/>
        </w:rPr>
        <w:t xml:space="preserve">[516] </w:t>
      </w:r>
      <w:hyperlink r:id="rId1488">
        <w:r>
          <w:rPr>
            <w:color w:val="1155CC"/>
            <w:u w:val="single"/>
          </w:rPr>
          <w:t>出生后的时间分化程序描绘了 γδ T 细胞免疫</w:t>
        </w:r>
      </w:hyperlink>
    </w:p>
    <w:p>
      <w:pPr>
        <w:spacing w:before="0" w:after="80"/>
      </w:pPr>
      <w:r>
        <w:rPr>
          <w:i/>
          <w:sz w:val="20"/>
        </w:rPr>
        <w:t>EN: A temporal differentiation program after birth delineates γδ T cell immunity</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89">
        <w:r>
          <w:rPr>
            <w:color w:val="1155CC"/>
            <w:u w:val="single"/>
          </w:rPr>
          <w:t>10.1126/sciadv.aee6790</w:t>
        </w:r>
      </w:hyperlink>
    </w:p>
    <w:p>
      <w:pPr>
        <w:spacing w:before="0" w:after="120"/>
      </w:pPr>
      <w:r>
        <w:rPr>
          <w:b/>
        </w:rPr>
        <w:t xml:space="preserve">Notes: </w:t>
      </w:r>
      <w:r>
        <w:t>abstract_source=crossref</w:t>
      </w:r>
    </w:p>
    <w:p>
      <w:pPr>
        <w:spacing w:before="0" w:after="80" w:lineRule="auto" w:line="276"/>
      </w:pPr>
      <w:r>
        <w:rPr>
          <w:b/>
        </w:rPr>
        <w:t xml:space="preserve">摘要（ZH）: </w:t>
      </w:r>
      <w:r>
        <w:t>1 型和 3 型 γδ T 细胞在胚胎胸腺中发育，但尚不清楚它们出生后是否在组织中继续分化。在这里，我们发现，在生命的第一周，肠道γδ T细胞上调了许多T细胞活化和3型基因，而断奶后时期主要是诱导与效应功能、1型免疫和细胞毒性相关的基因。在此期间，γδ T 细胞保护肠道免受真菌感染。在成人肠道中，产生 3 型白细胞介素 17 的 γδ T 细胞（γδT17 细胞）具有独特的表型、Tbet 依赖性 1 型免疫特征和增强的 T 细胞受体 (TCR) 信号传导。最后，我们在新生儿肠道中发现了类似 γδT17 细胞的群体。总的来说，我们的数据表明，γδ T 细胞在离开胸腺后继续成熟，并且在定位到肠道后，动态时间分化程序将 3 型细胞重塑为 Tbet</w:t>
      </w:r>
      <w:r>
        <w:t xml:space="preserve"> </w:t>
      </w:r>
      <w:r>
        <w:t>+</w:t>
      </w:r>
      <w:r>
        <w:t xml:space="preserve"> </w:t>
      </w:r>
      <w:r>
        <w:t>TCR 活性增强的 1 型效应子。</w:t>
      </w:r>
    </w:p>
    <w:p>
      <w:pPr>
        <w:spacing w:before="0" w:after="200" w:lineRule="auto" w:line="276"/>
      </w:pPr>
      <w:r>
        <w:rPr>
          <w:b/>
        </w:rPr>
        <w:t xml:space="preserve">Abstract (EN): </w:t>
      </w:r>
      <w:r>
        <w:t>Type 1 and type 3 γδ T cells develop in the embryonic thymus, yet it is not known whether they continue to differentiate after birth in tissues. Here, we show that in the first week of life, intestinal γδ T cells up-regulated many T cell activation and type 3 genes, while the postweaning period was dominated by induction of genes related to effector function, type 1 immunity, and cytotoxicity. During this period, γδ T cells protected the gut from fungal infection. In the adult intestine, type 3 interleukin-17–producing γδ T cells (γδT17 cells) had a distinct phenotype, a Tbet-dependent type 1 immune profile and enhanced T cell receptor (TCR) signaling. Last, we found a γδT17 cell–like population in the neonatal human gut. Collectively, our data suggest that γδ T cells continue to mature after they leave the thymus and, upon localization to the gut, a dynamic temporal differentiation program reshapes type 3 cells into Tbet</w:t>
      </w:r>
      <w:r>
        <w:t xml:space="preserve"> </w:t>
      </w:r>
      <w:r>
        <w:t>+</w:t>
      </w:r>
      <w:r>
        <w:t xml:space="preserve"> </w:t>
      </w:r>
      <w:r>
        <w:t>type 1 effectors with heightened TCR activity.</w:t>
      </w:r>
    </w:p>
    <w:p>
      <w:pPr>
        <w:spacing w:before="120" w:after="120"/>
      </w:pPr>
      <w:r>
        <w:rPr>
          <w:sz w:val="18"/>
        </w:rPr>
        <w:t>——————————————————————————————————————————————————————————————————————</w:t>
      </w:r>
    </w:p>
    <w:p>
      <w:pPr>
        <w:spacing w:before="160" w:after="40" w:line="240" w:lineRule="auto"/>
      </w:pPr>
      <w:r>
        <w:rPr>
          <w:b/>
        </w:rPr>
        <w:t xml:space="preserve">[517] </w:t>
      </w:r>
      <w:hyperlink r:id="rId1490">
        <w:r>
          <w:rPr>
            <w:color w:val="1155CC"/>
            <w:u w:val="single"/>
          </w:rPr>
          <w:t>对压力的代谢适应失败导致达里尔病的表皮细胞粘附缺陷</w:t>
        </w:r>
      </w:hyperlink>
    </w:p>
    <w:p>
      <w:pPr>
        <w:spacing w:before="0" w:after="80"/>
      </w:pPr>
      <w:r>
        <w:rPr>
          <w:i/>
          <w:sz w:val="20"/>
        </w:rPr>
        <w:t>EN: Failed metabolic adaptation to stress contributes to epidermal cell adhesion defects in Darier disease</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91">
        <w:r>
          <w:rPr>
            <w:color w:val="1155CC"/>
            <w:u w:val="single"/>
          </w:rPr>
          <w:t>10.1126/sciadv.aee1599</w:t>
        </w:r>
      </w:hyperlink>
    </w:p>
    <w:p>
      <w:pPr>
        <w:spacing w:before="0" w:after="120"/>
      </w:pPr>
      <w:r>
        <w:rPr>
          <w:b/>
        </w:rPr>
        <w:t xml:space="preserve">Notes: </w:t>
      </w:r>
      <w:r>
        <w:t>abstract_source=crossref</w:t>
      </w:r>
    </w:p>
    <w:p>
      <w:pPr>
        <w:spacing w:before="0" w:after="80" w:lineRule="auto" w:line="276"/>
      </w:pPr>
      <w:r>
        <w:rPr>
          <w:b/>
        </w:rPr>
        <w:t xml:space="preserve">摘要（ZH）: </w:t>
      </w:r>
      <w:r>
        <w:t>先天性致病基因变异可能直到晚年才会引发症状，这凸显了识别影响遗传性疾病发病和严重程度的遗传外因素的重要性。我们在 Darier 病（DD 或</w:t>
      </w:r>
      <w:r>
        <w:t xml:space="preserve"> </w:t>
      </w:r>
      <w:r>
        <w:t>ATP2A2</w:t>
      </w:r>
      <w:r>
        <w:t xml:space="preserve"> </w:t>
      </w:r>
      <w:r>
        <w:t>-nEDD），一种由杂合子引起的常染色体显性皮肤病</w:t>
      </w:r>
      <w:r>
        <w:t xml:space="preserve"> </w:t>
      </w:r>
      <w:r>
        <w:t>ATP2A2</w:t>
      </w:r>
      <w:r>
        <w:t xml:space="preserve"> </w:t>
      </w:r>
      <w:r>
        <w:t>导致内质网 (ER) 钙泵 SERCA2 单倍体不足的变异。对确诊 DD 患者的表皮角质形成细胞的代谢分析显示，负责再生谷胱甘肽等抗氧化剂的磷酸戊糖途径存在异常，并伴有游离谷胱甘肽减少和 SERCA2 基于谷胱甘肽的氧化修饰增加。氧化应激的诱导削弱了细胞间粘附，这是 DD 的一个决定性特征，抗氧化治疗可改善细胞间粘附。用抗氧化剂或 SERCA 激活剂治疗也会减少谷胱甘肽化，这与 SERCA2 单倍体不足导致氧化应激并使残留 SERCA2 面临氧化风险一致。我们假设，蛋白质活性的部分丧失会导致细胞因应激而导致剩余活性丧失，这种机制可能会导致其他单倍体不足的疾病爆发。</w:t>
      </w:r>
    </w:p>
    <w:p>
      <w:pPr>
        <w:spacing w:before="0" w:after="200" w:lineRule="auto" w:line="276"/>
      </w:pPr>
      <w:r>
        <w:rPr>
          <w:b/>
        </w:rPr>
        <w:t xml:space="preserve">Abstract (EN): </w:t>
      </w:r>
      <w:r>
        <w:t>Congenital pathogenic gene variants may not elicit symptoms until later in life, highlighting the importance of identifying extra-genetic factors influencing the onset and severity of heritable diseases. We explored this in Darier disease (DD or</w:t>
      </w:r>
      <w:r>
        <w:t xml:space="preserve"> </w:t>
      </w:r>
      <w:r>
        <w:t>ATP2A2</w:t>
      </w:r>
      <w:r>
        <w:t xml:space="preserve"> </w:t>
      </w:r>
      <w:r>
        <w:t>-nEDD), an autosomal dominant skin disorder arising from heterozygous</w:t>
      </w:r>
      <w:r>
        <w:t xml:space="preserve"> </w:t>
      </w:r>
      <w:r>
        <w:t>ATP2A2</w:t>
      </w:r>
      <w:r>
        <w:t xml:space="preserve"> </w:t>
      </w:r>
      <w:r>
        <w:t>variants leading to haploinsufficiency of the endoplasmic reticulum (ER) calcium pump, SERCA2. Metabolic analysis of epidermal keratinocytes from confirmed patients with DD revealed abnormalities in the pentose phosphate pathway responsible for regenerating antioxidants like glutathione, accompanied by diminished free glutathione and increased glutathione-based, oxidative modifications of SERCA2. Induction of oxidative stress weakened intercellular adhesion, a defining characteristic of DD, which antioxidant treatment improved. Treatment with antioxidants or SERCA activators also diminished glutathionylation, consistent with SERCA2 haploinsufficiency giving rise to oxidative stress and placing residual SERCA2 at risk of oxidation. We posit that partial loss of protein activity primes cells for stress-induced loss of the remaining activity, a mechanism that may drive disease flares in other haploinsufficiencies.</w:t>
      </w:r>
    </w:p>
    <w:p>
      <w:pPr>
        <w:spacing w:before="120" w:after="120"/>
      </w:pPr>
      <w:r>
        <w:rPr>
          <w:sz w:val="18"/>
        </w:rPr>
        <w:t>——————————————————————————————————————————————————————————————————————</w:t>
      </w:r>
    </w:p>
    <w:p>
      <w:pPr>
        <w:spacing w:before="160" w:after="40" w:line="240" w:lineRule="auto"/>
      </w:pPr>
      <w:r>
        <w:rPr>
          <w:b/>
        </w:rPr>
        <w:t xml:space="preserve">[518] </w:t>
      </w:r>
      <w:hyperlink r:id="rId1492">
        <w:r>
          <w:rPr>
            <w:color w:val="1155CC"/>
            <w:u w:val="single"/>
          </w:rPr>
          <w:t>冷大气等离子体对免疫抑制性中性粒细胞的生物物理重编程可重振抗肿瘤免疫力</w:t>
        </w:r>
      </w:hyperlink>
    </w:p>
    <w:p>
      <w:pPr>
        <w:spacing w:before="0" w:after="80"/>
      </w:pPr>
      <w:r>
        <w:rPr>
          <w:i/>
          <w:sz w:val="20"/>
        </w:rPr>
        <w:t>EN: Biophysical reprogramming of immunosuppressive neutrophils by cold atmospheric plasma reinvigorates antitumor immunity</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93">
        <w:r>
          <w:rPr>
            <w:color w:val="1155CC"/>
            <w:u w:val="single"/>
          </w:rPr>
          <w:t>10.1126/sciadv.aee2483</w:t>
        </w:r>
      </w:hyperlink>
    </w:p>
    <w:p>
      <w:pPr>
        <w:spacing w:before="0" w:after="120"/>
      </w:pPr>
      <w:r>
        <w:rPr>
          <w:b/>
        </w:rPr>
        <w:t xml:space="preserve">Notes: </w:t>
      </w:r>
      <w:r>
        <w:t>abstract_source=crossref</w:t>
      </w:r>
    </w:p>
    <w:p>
      <w:pPr>
        <w:spacing w:before="0" w:after="80" w:lineRule="auto" w:line="276"/>
      </w:pPr>
      <w:r>
        <w:rPr>
          <w:b/>
        </w:rPr>
        <w:t xml:space="preserve">摘要（ZH）: </w:t>
      </w:r>
      <w:r>
        <w:t>中性粒细胞越来越被认为是免疫抑制肿瘤微环境的关键协调者，但其固有的可塑性、较短的寿命和对基因操纵的抵抗力阻碍了治疗靶向。在这里，我们报告了一种基于冷大气等离子体（CAP）的非药理学、生物物理免疫调节策略，以重新编程肿瘤相关中性粒细胞并恢复抗肿瘤免疫力。我们发现，CAP 同时传递活性氧和氧化还原信号，抑制线粒体自噬，从而恢复中性粒细胞的线粒体膜电位和氧化代谢。这种代谢恢复推动了从免疫抑制表型向免疫刺激表型的转变。在同基因和人源化膀胱癌模型中，膀胱内 CAP 重塑了骨髓景观，增强了 T 细胞浸润，抑制肿瘤进展，并使肿瘤对 PD-1 阻断敏感。这些发现确立了 CAP 作为一种局部、无药物的生物物理方式，能够克服中性粒细胞介导的免疫抑制，并为调节实体瘤的先天免疫提供基于材料的框架。</w:t>
      </w:r>
    </w:p>
    <w:p>
      <w:pPr>
        <w:spacing w:before="0" w:after="200" w:lineRule="auto" w:line="276"/>
      </w:pPr>
      <w:r>
        <w:rPr>
          <w:b/>
        </w:rPr>
        <w:t xml:space="preserve">Abstract (EN): </w:t>
      </w:r>
      <w:r>
        <w:t>Neutrophils are increasingly recognized as key orchestrators of the immunosuppressive tumor microenvironment, yet their intrinsic plasticity, short lifespan and resistance to genetic manipulation have impeded therapeutic targeting. Here, we report a non-pharmacological, biophysical immunomodulatory strategy based on cold atmospheric plasma (CAP) to reprogram tumor-associated neutrophils and restore antitumor immunity. We show that CAP simultaneously delivers reactive oxygen species and redox cues that inhibit mitophagy, thereby restoring mitochondrial membrane potential and oxidative metabolism in neutrophils. This metabolic reinstatement drives a shift from immunosuppressive to immunostimulatory phenotypes. In both syngeneic and humanized bladder cancer models, intravesical CAP reshapes the myeloid landscape, enhances T cell infiltration, suppresses tumor progression, and sensitizes tumors to PD-1 blockade. These findings establish CAP as a locoregional, drug-free biophysical modality capable of overcoming neutrophil-mediated immune suppression and provide a materials-based framework for modulating innate immunity in solid tumors.</w:t>
      </w:r>
    </w:p>
    <w:p>
      <w:pPr>
        <w:spacing w:before="120" w:after="120"/>
      </w:pPr>
      <w:r>
        <w:rPr>
          <w:sz w:val="18"/>
        </w:rPr>
        <w:t>——————————————————————————————————————————————————————————————————————</w:t>
      </w:r>
    </w:p>
    <w:p>
      <w:pPr>
        <w:spacing w:before="160" w:after="40" w:line="240" w:lineRule="auto"/>
      </w:pPr>
      <w:r>
        <w:rPr>
          <w:b/>
        </w:rPr>
        <w:t xml:space="preserve">[519] </w:t>
      </w:r>
      <w:hyperlink r:id="rId1494">
        <w:r>
          <w:rPr>
            <w:color w:val="1155CC"/>
            <w:u w:val="single"/>
          </w:rPr>
          <w:t>代谢物形态发生素协调枯草芽孢杆菌的多细胞发育</w:t>
        </w:r>
      </w:hyperlink>
    </w:p>
    <w:p>
      <w:pPr>
        <w:spacing w:before="0" w:after="80"/>
      </w:pPr>
      <w:r>
        <w:rPr>
          <w:i/>
          <w:sz w:val="20"/>
        </w:rPr>
        <w:t>EN: A metabolite morphogen coordinates multicellular development in Bacillus subtilis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95">
        <w:r>
          <w:rPr>
            <w:color w:val="1155CC"/>
            <w:u w:val="single"/>
          </w:rPr>
          <w:t>10.1126/sciadv.aee6610</w:t>
        </w:r>
      </w:hyperlink>
    </w:p>
    <w:p>
      <w:pPr>
        <w:spacing w:before="0" w:after="120"/>
      </w:pPr>
      <w:r>
        <w:rPr>
          <w:b/>
        </w:rPr>
        <w:t xml:space="preserve">Notes: </w:t>
      </w:r>
      <w:r>
        <w:t>abstract_source=crossref</w:t>
      </w:r>
    </w:p>
    <w:p>
      <w:pPr>
        <w:spacing w:before="0" w:after="80" w:lineRule="auto" w:line="276"/>
      </w:pPr>
      <w:r>
        <w:rPr>
          <w:b/>
        </w:rPr>
        <w:t xml:space="preserve">摘要（ZH）: </w:t>
      </w:r>
      <w:r>
        <w:t>从单细胞生长到多细胞生长的转变需要遗传相同的群体内细胞功能的多样化。在</w:t>
      </w:r>
      <w:r>
        <w:t xml:space="preserve"> </w:t>
      </w:r>
      <w:r>
        <w:t>枯草芽孢杆菌</w:t>
      </w:r>
      <w:r>
        <w:t xml:space="preserve"> </w:t>
      </w:r>
      <w:r>
        <w:t>历史上，生物膜的形成被视为沿着线性途径形成孢子的发育前体。在这里，我们表明生物膜形成和孢子形成沿着分支途径分开。首先启动孢子形成的亚群通过ShfP（孢子异质性因子Poison）和PhoA（碱性磷酸酶A）酶的连续作用分解脂磷壁酸，从而释放毫摩尔浓度的甘油。这种甘油通过破坏细胞壁合成和细胞质 p​​H 值来阻碍孢子形成，从而需要另一种蛋白质 ShfA（孢子异质性因子解毒剂）的抵消作用。然而，细胞外甘油充当形态发生素，引导邻近细胞启动生物膜形成，我们在发育中的细胞群中直接观察到生物膜的形成。因此，</w:t>
      </w:r>
      <w:r>
        <w:t xml:space="preserve"> </w:t>
      </w:r>
      <w:r>
        <w:t>枯草芽孢杆菌</w:t>
      </w:r>
      <w:r>
        <w:t xml:space="preserve"> </w:t>
      </w:r>
      <w:r>
        <w:t>多细胞性是通过分支发育程序出现的，其中孢子细胞产生线索，通过细胞间通讯通过重新利用典型的细胞内代谢物来创建生物膜产生谱系。</w:t>
      </w:r>
    </w:p>
    <w:p>
      <w:pPr>
        <w:spacing w:before="0" w:after="200" w:lineRule="auto" w:line="276"/>
      </w:pPr>
      <w:r>
        <w:rPr>
          <w:b/>
        </w:rPr>
        <w:t xml:space="preserve">Abstract (EN): </w:t>
      </w:r>
      <w:r>
        <w:t>The transition from unicellular to multicellular growth requires diversification of cellular functions within genetically identical populations. In</w:t>
      </w:r>
      <w:r>
        <w:t xml:space="preserve"> </w:t>
      </w:r>
      <w:r>
        <w:t>Bacillus subtilis</w:t>
      </w:r>
      <w:r>
        <w:t xml:space="preserve"> </w:t>
      </w:r>
      <w:r>
        <w:t>, biofilm formation is historically viewed as a developmental precursor to sporulation along a linear pathway. Here, we show that biofilm formation and sporulation instead diverge along a branched pathway. A subpopulation that first initiates sporulation catabolizes lipoteichoic acid through the sequential action of the enzymes ShfP (Sporulation heterogeneity factor Poison) and PhoA (alkaline phosphatase A), leading to the release of millimolar concentrations of glycerol. This glycerol impedes sporulation by disrupting cell wall synthesis and cytoplasmic pH, necessitating counteraction by another protein, ShfA (Sporulation heterogeneity factor Antidote). The extracellular glycerol, however, acts as a morphogen that directs neighboring cells to initiate biofilm formation, which we directly visualize in developing populations of cells. Thus,</w:t>
      </w:r>
      <w:r>
        <w:t xml:space="preserve"> </w:t>
      </w:r>
      <w:r>
        <w:t>B. subtilis</w:t>
      </w:r>
      <w:r>
        <w:t xml:space="preserve"> </w:t>
      </w:r>
      <w:r>
        <w:t>multicellularity emerges through a branched developmental program in which sporulating cells generate the cue that creates the biofilm-producing lineage via cell-cell communication through repurposing of a canonical intracellular metabolite.</w:t>
      </w:r>
    </w:p>
    <w:p>
      <w:pPr>
        <w:spacing w:before="120" w:after="120"/>
      </w:pPr>
      <w:r>
        <w:rPr>
          <w:sz w:val="18"/>
        </w:rPr>
        <w:t>——————————————————————————————————————————————————————————————————————</w:t>
      </w:r>
    </w:p>
    <w:p>
      <w:pPr>
        <w:spacing w:before="160" w:after="40" w:line="240" w:lineRule="auto"/>
      </w:pPr>
      <w:r>
        <w:rPr>
          <w:b/>
        </w:rPr>
        <w:t xml:space="preserve">[520] </w:t>
      </w:r>
      <w:hyperlink r:id="rId1496">
        <w:r>
          <w:rPr>
            <w:color w:val="1155CC"/>
            <w:u w:val="single"/>
          </w:rPr>
          <w:t>帕金森病中的多巴胺消耗增加是定向而非随机探索</w:t>
        </w:r>
      </w:hyperlink>
    </w:p>
    <w:p>
      <w:pPr>
        <w:spacing w:before="0" w:after="80"/>
      </w:pPr>
      <w:r>
        <w:rPr>
          <w:i/>
          <w:sz w:val="20"/>
        </w:rPr>
        <w:t>EN: Dopamine depletion in Parkinson’s increases directed but not random exploration</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97">
        <w:r>
          <w:rPr>
            <w:color w:val="1155CC"/>
            <w:u w:val="single"/>
          </w:rPr>
          <w:t>10.1126/sciadv.aee6556</w:t>
        </w:r>
      </w:hyperlink>
    </w:p>
    <w:p>
      <w:pPr>
        <w:spacing w:before="0" w:after="120"/>
      </w:pPr>
      <w:r>
        <w:rPr>
          <w:b/>
        </w:rPr>
        <w:t xml:space="preserve">Notes: </w:t>
      </w:r>
      <w:r>
        <w:t>abstract_source=crossref</w:t>
      </w:r>
    </w:p>
    <w:p>
      <w:pPr>
        <w:spacing w:before="0" w:after="80" w:lineRule="auto" w:line="276"/>
      </w:pPr>
      <w:r>
        <w:rPr>
          <w:b/>
        </w:rPr>
        <w:t xml:space="preserve">摘要（ZH）: </w:t>
      </w:r>
      <w:r>
        <w:t>我们研究了帕金森病 (PD) 患者如何在结构化奖励学习任务中管理探索与利用的权衡。患者接受了测试（</w:t>
      </w:r>
      <w:r>
        <w:t xml:space="preserve"> </w:t>
      </w:r>
      <w:r>
        <w:t>n</w:t>
      </w:r>
      <w:r>
        <w:t xml:space="preserve"> </w:t>
      </w:r>
      <w:r>
        <w:t>= 34) 或关闭 (</w:t>
      </w:r>
      <w:r>
        <w:t xml:space="preserve"> </w:t>
      </w:r>
      <w:r>
        <w:t>n</w:t>
      </w:r>
      <w:r>
        <w:t xml:space="preserve"> </w:t>
      </w:r>
      <w:r>
        <w:t>= 34) 多巴胺能药物（左旋多巴），年龄匹配的多发性神经病患者作为对照（</w:t>
      </w:r>
      <w:r>
        <w:t xml:space="preserve"> </w:t>
      </w:r>
      <w:r>
        <w:t>n</w:t>
      </w:r>
      <w:r>
        <w:t xml:space="preserve"> </w:t>
      </w:r>
      <w:r>
        <w:t>= 35）。在行为上，停止服药的患者表现出明显的学习和决策缺陷，其特点是过度探索（对新选项的过度采样）和利用不足（重新选择以前有益的选项）。为了阐明潜在机制，我们应用了高斯过程置信上限（GP-UCB）模型，该模型将空间相似选项的泛化与不确定性定向探索（不确定选项的目标抽样）和随机探索（无向选择变异性）相结合。建模结果显示，与对照组和接受药物治疗的 PD 患者相比，停止用药的患者表现出更多的不确定性导向探索，而随机探索在各组之间没有差异。与对照组相比，停止用药的患者也表现出普遍性下降。相比之下，接受药物治疗的患者的定向探索和概括与对照组相当。我们的研究结果强调了 PD 中的多巴胺耗竭如何影响不确定性下的奖励学习，表明多巴胺在探索和泛化中发挥着关键作用。</w:t>
      </w:r>
    </w:p>
    <w:p>
      <w:pPr>
        <w:spacing w:before="0" w:after="200" w:lineRule="auto" w:line="276"/>
      </w:pPr>
      <w:r>
        <w:rPr>
          <w:b/>
        </w:rPr>
        <w:t xml:space="preserve">Abstract (EN): </w:t>
      </w:r>
      <w:r>
        <w:t>We investigated how patients with Parkinson’s disease (PD) manage the explore-exploit trade-off in a structured reward-learning task. Patients were tested either on (</w:t>
      </w:r>
      <w:r>
        <w:t xml:space="preserve"> </w:t>
      </w:r>
      <w:r>
        <w:t>n</w:t>
      </w:r>
      <w:r>
        <w:t xml:space="preserve"> </w:t>
      </w:r>
      <w:r>
        <w:t>= 34) or off (</w:t>
      </w:r>
      <w:r>
        <w:t xml:space="preserve"> </w:t>
      </w:r>
      <w:r>
        <w:t>n</w:t>
      </w:r>
      <w:r>
        <w:t xml:space="preserve"> </w:t>
      </w:r>
      <w:r>
        <w:t>= 34) dopaminergic medication (levodopa), with age-matched polyneuropathy patients serving as controls (</w:t>
      </w:r>
      <w:r>
        <w:t xml:space="preserve"> </w:t>
      </w:r>
      <w:r>
        <w:t>n</w:t>
      </w:r>
      <w:r>
        <w:t xml:space="preserve"> </w:t>
      </w:r>
      <w:r>
        <w:t>= 35). Behaviorally, patients off medication showed marked learning and decision-making deficits, characterized by overexploration (excessive sampling of novel options) and insufficient exploitation (re-selection of previously rewarding options). To clarify the underlying mechanisms, we applied a Gaussian process–upper confidence bound (GP-UCB) model that combines generalization across spatially similar options with uncertainty-directed exploration (targeted sampling of uncertain options) and random exploration (undirected choice variability). Modeling results showed that patients off medication exhibited increased uncertainty-directed exploration compared to both controls and patients with PD on medication, whereas random exploration did not differ across groups. Relative to controls, patients off medication also showed reduced generalization. In contrast, directed exploration and generalization in patients on medication were comparable to the control group. Our findings highlight how dopamine depletion in PD affects reward learning under uncertainty, suggesting a key role of dopamine in exploration and generalization.</w:t>
      </w:r>
    </w:p>
    <w:p>
      <w:pPr>
        <w:spacing w:before="120" w:after="120"/>
      </w:pPr>
      <w:r>
        <w:rPr>
          <w:sz w:val="18"/>
        </w:rPr>
        <w:t>——————————————————————————————————————————————————————————————————————</w:t>
      </w:r>
    </w:p>
    <w:p>
      <w:pPr>
        <w:spacing w:before="160" w:after="40" w:line="240" w:lineRule="auto"/>
      </w:pPr>
      <w:r>
        <w:rPr>
          <w:b/>
        </w:rPr>
        <w:t xml:space="preserve">[521] </w:t>
      </w:r>
      <w:hyperlink r:id="rId1498">
        <w:r>
          <w:rPr>
            <w:color w:val="1155CC"/>
            <w:u w:val="single"/>
          </w:rPr>
          <w:t>通过调节 ns2 孤对解锁二维金属卤化物钙钛矿中的激光</w:t>
        </w:r>
      </w:hyperlink>
    </w:p>
    <w:p>
      <w:pPr>
        <w:spacing w:before="0" w:after="80"/>
      </w:pPr>
      <w:r>
        <w:rPr>
          <w:i/>
          <w:sz w:val="20"/>
        </w:rPr>
        <w:t>EN: Unlock lasing in two-dimensional metal halide perovskites by tuning ns2 lone pairs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499">
        <w:r>
          <w:rPr>
            <w:color w:val="1155CC"/>
            <w:u w:val="single"/>
          </w:rPr>
          <w:t>10.1126/sciadv.aee5631</w:t>
        </w:r>
      </w:hyperlink>
    </w:p>
    <w:p>
      <w:pPr>
        <w:spacing w:before="0" w:after="120"/>
      </w:pPr>
      <w:r>
        <w:rPr>
          <w:b/>
        </w:rPr>
        <w:t xml:space="preserve">Notes: </w:t>
      </w:r>
      <w:r>
        <w:t>abstract_source=crossref</w:t>
      </w:r>
    </w:p>
    <w:p>
      <w:pPr>
        <w:spacing w:before="0" w:after="80" w:lineRule="auto" w:line="276"/>
      </w:pPr>
      <w:r>
        <w:rPr>
          <w:b/>
        </w:rPr>
        <w:t xml:space="preserve">摘要（ZH）: </w:t>
      </w:r>
      <w:r>
        <w:t>尽管三维（3D）卤化铅钙钛矿中的激光发射报告不断增加，但单层二维（2D）对应物中的激光发射却很强劲，（LA）</w:t>
      </w:r>
      <w:r>
        <w:rPr>
          <w:vertAlign w:val="subscript"/>
        </w:rPr>
        <w:t>2</w:t>
      </w:r>
      <w:r>
        <w:t>铅X</w:t>
      </w:r>
      <w:r>
        <w:rPr>
          <w:vertAlign w:val="subscript"/>
        </w:rPr>
        <w:t>4</w:t>
      </w:r>
      <w:r>
        <w:t>（LA = 间隔阳离子；X = 卤化物），仍然难以捉摸。在这里，我们揭示了金属纳米粒子的关键作用</w:t>
      </w:r>
      <w:r>
        <w:rPr>
          <w:vertAlign w:val="subscript"/>
        </w:rPr>
        <w:t>2</w:t>
      </w:r>
      <w:r>
        <w:t>-孤对立体化学可调节激子特性并在这些材料中产生激光。使用 (LA) 的图书馆</w:t>
      </w:r>
      <w:r>
        <w:rPr>
          <w:vertAlign w:val="subscript"/>
        </w:rPr>
        <w:t>2</w:t>
      </w:r>
      <w:r>
        <w:t>商业智能</w:t>
      </w:r>
      <w:r>
        <w:rPr>
          <w:vertAlign w:val="subscript"/>
        </w:rPr>
        <w:t>4</w:t>
      </w:r>
      <w:r>
        <w:t>[B = Pb（铅）、Sn（锡）或 Ge（锗）]，我们确定了将孤对电子活动与激子-声子耦合和激子-激子湮灭联系起来的关键结构描述符。在给定的 B-阳离子系列中，具有较短 B─I 键的刚性框架会抑制孤对电子活性并有利于自由激子​​发射，而增强的孤对电子活性（由间隔基和 B-阳离子调节）可以使激子局域化，增加介电屏蔽，并在高激发通量下抑制激子-激子湮灭。通过阳离子选择来平衡这些效应，我们在新合成的 Pb 基 (2FBMZ) 中展示了激光发射</w:t>
      </w:r>
      <w:r>
        <w:rPr>
          <w:vertAlign w:val="subscript"/>
        </w:rPr>
        <w:t>2</w:t>
      </w:r>
      <w:r>
        <w:t>碘化铅</w:t>
      </w:r>
      <w:r>
        <w:rPr>
          <w:vertAlign w:val="subscript"/>
        </w:rPr>
        <w:t>4</w:t>
      </w:r>
      <w:r>
        <w:t>(2FBMZ = 5,6-二氟-1</w:t>
      </w:r>
      <w:r>
        <w:t xml:space="preserve"> </w:t>
      </w:r>
      <w:r>
        <w:t>H</w:t>
      </w:r>
      <w:r>
        <w:t xml:space="preserve"> </w:t>
      </w:r>
      <w:r>
        <w:t>-苯并咪唑阳离子）并在其锡基类似物中实现最热稳定的激光。这些见解为高亮度二维钙钛矿光子器件提供了设计原理。</w:t>
      </w:r>
    </w:p>
    <w:p>
      <w:pPr>
        <w:spacing w:before="0" w:after="200" w:lineRule="auto" w:line="276"/>
      </w:pPr>
      <w:r>
        <w:rPr>
          <w:b/>
        </w:rPr>
        <w:t xml:space="preserve">Abstract (EN): </w:t>
      </w:r>
      <w:r>
        <w:t>Despite the proliferation of lasing reports in three-dimensional (3D) lead halide perovskites, robust lasing in their single-layer two-dimensional (2D) counterparts, (LA)</w:t>
      </w:r>
      <w:r>
        <w:rPr>
          <w:vertAlign w:val="subscript"/>
        </w:rPr>
        <w:t>2</w:t>
      </w:r>
      <w:r>
        <w:t>PbX</w:t>
      </w:r>
      <w:r>
        <w:rPr>
          <w:vertAlign w:val="subscript"/>
        </w:rPr>
        <w:t>4</w:t>
      </w:r>
      <w:r>
        <w:t>(LA = spacer cation; X = halide), has remained elusive. Here, we uncover the critical role of metal ns</w:t>
      </w:r>
      <w:r>
        <w:rPr>
          <w:vertAlign w:val="subscript"/>
        </w:rPr>
        <w:t>2</w:t>
      </w:r>
      <w:r>
        <w:t>-lone-pair stereochemistry in modulating excitonic properties and enabling lasing in these materials. Using a library of (LA)</w:t>
      </w:r>
      <w:r>
        <w:rPr>
          <w:vertAlign w:val="subscript"/>
        </w:rPr>
        <w:t>2</w:t>
      </w:r>
      <w:r>
        <w:t>BI</w:t>
      </w:r>
      <w:r>
        <w:rPr>
          <w:vertAlign w:val="subscript"/>
        </w:rPr>
        <w:t>4</w:t>
      </w:r>
      <w:r>
        <w:t>[B = Pb (lead), Sn (tin), or Ge (germanium)], we identify key structural descriptors that link lone pair activity to exciton-phonon coupling and exciton-exciton annihilation. Within a given B-cation series, rigid frameworks with shorter B─I bonds suppress lone pair activity and favor free exciton emission, while enhanced lone pair activity—tuned by the spacer and B-cation—can localize excitons, increase dielectric screening, and suppress exciton-exciton annihilation at high excitation fluences. By balancing these effects through cation selection, we demonstrate lasing in a newly synthesized Pb-based (2FBMZ)</w:t>
      </w:r>
      <w:r>
        <w:rPr>
          <w:vertAlign w:val="subscript"/>
        </w:rPr>
        <w:t>2</w:t>
      </w:r>
      <w:r>
        <w:t>PbI</w:t>
      </w:r>
      <w:r>
        <w:rPr>
          <w:vertAlign w:val="subscript"/>
        </w:rPr>
        <w:t>4</w:t>
      </w:r>
      <w:r>
        <w:t>(2FBMZ = 5,6-difluoro-1</w:t>
      </w:r>
      <w:r>
        <w:t xml:space="preserve"> </w:t>
      </w:r>
      <w:r>
        <w:t>H</w:t>
      </w:r>
      <w:r>
        <w:t xml:space="preserve"> </w:t>
      </w:r>
      <w:r>
        <w:t>-benzimidazole cation) and achieve the most thermally stable lasing in its Sn-based analog. These insights provide design principles for high-brightness 2D perovskite photonic devices.</w:t>
      </w:r>
    </w:p>
    <w:p>
      <w:pPr>
        <w:spacing w:before="120" w:after="120"/>
      </w:pPr>
      <w:r>
        <w:rPr>
          <w:sz w:val="18"/>
        </w:rPr>
        <w:t>——————————————————————————————————————————————————————————————————————</w:t>
      </w:r>
    </w:p>
    <w:p>
      <w:pPr>
        <w:spacing w:before="160" w:after="40" w:line="240" w:lineRule="auto"/>
      </w:pPr>
      <w:r>
        <w:rPr>
          <w:b/>
        </w:rPr>
        <w:t xml:space="preserve">[522] </w:t>
      </w:r>
      <w:hyperlink r:id="rId1500">
        <w:r>
          <w:rPr>
            <w:color w:val="1155CC"/>
            <w:u w:val="single"/>
          </w:rPr>
          <w:t>RTF2 和 CLASPIN 将 CHK1 定位于复制叉以控制 S 期进展</w:t>
        </w:r>
      </w:hyperlink>
    </w:p>
    <w:p>
      <w:pPr>
        <w:spacing w:before="0" w:after="80"/>
      </w:pPr>
      <w:r>
        <w:rPr>
          <w:i/>
          <w:sz w:val="20"/>
        </w:rPr>
        <w:t>EN: RTF2 and CLASPIN localize CHK1 to the replication fork to control S-phase progression</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01">
        <w:r>
          <w:rPr>
            <w:color w:val="1155CC"/>
            <w:u w:val="single"/>
          </w:rPr>
          <w:t>10.1126/sciadv.aec3174</w:t>
        </w:r>
      </w:hyperlink>
    </w:p>
    <w:p>
      <w:pPr>
        <w:spacing w:before="0" w:after="120"/>
      </w:pPr>
      <w:r>
        <w:rPr>
          <w:b/>
        </w:rPr>
        <w:t xml:space="preserve">Notes: </w:t>
      </w:r>
      <w:r>
        <w:t>abstract_source=crossref</w:t>
      </w:r>
    </w:p>
    <w:p>
      <w:pPr>
        <w:spacing w:before="0" w:after="80" w:lineRule="auto" w:line="276"/>
      </w:pPr>
      <w:r>
        <w:rPr>
          <w:b/>
        </w:rPr>
        <w:t xml:space="preserve">摘要（ZH）: </w:t>
      </w:r>
      <w:r>
        <w:t>毛细血管扩张共济失调和 Rad3 相关 (ATR) 必需激酶监测细胞周期的复制 (S) 阶段，以确保遗传物质的忠实传播。虽然人们对复制叉上 ATR 活性的控制机制了解甚多，但如何调节其效应检查点激酶 1 (CHK1) 以在复制位点创建 CHK1 活性的局部中枢仍知之甚少。在这里，我们报告复制终止因子 2 (RTF2)，一种必需的复制体相关蛋白，对于维持复制叉处的 CHK1 信号传导是必需的。 RTF2 与 CHK1 相互作用，并与核心复制解旋酶复合体相互作用蛋白 CLASPIN 一起发挥作用，将 CHK1 束缚在 DNA 复制位点，控制复制速率并防止过早进入有丝分裂。这些发现揭示了 RTF2 和 CLASPIN 如何在复制叉处平衡 CHK1，以促进其被 ATR 激活，从而产生复制叉定位的 CHK1 活性，从而促进不受干扰的 S 期进展，并通过维持内在的 S-G 来促进基因组稳定性</w:t>
      </w:r>
      <w:r>
        <w:rPr>
          <w:vertAlign w:val="subscript"/>
        </w:rPr>
        <w:t>2</w:t>
      </w:r>
      <w:r>
        <w:t>检查站。</w:t>
      </w:r>
    </w:p>
    <w:p>
      <w:pPr>
        <w:spacing w:before="0" w:after="200" w:lineRule="auto" w:line="276"/>
      </w:pPr>
      <w:r>
        <w:rPr>
          <w:b/>
        </w:rPr>
        <w:t xml:space="preserve">Abstract (EN): </w:t>
      </w:r>
      <w:r>
        <w:t>The essential kinase ataxia telangiectasia and Rad3-related (ATR) monitors the replicative (S) phase of the cell cycle to ensure faithful propagation of genetic material. While much is known about the mechanisms governing ATR activity at replication forks, how its effector checkpoint kinase 1 (CHK1) is regulated to create a localized hub of CHK1 activity at sites of replication remains poorly understood. Here, we report that replication termination factor 2 (RTF2), an essential replisome-associated protein, is necessary for maintaining CHK1 signaling at replication forks. RTF2 interacts with CHK1 and functions alongside the core replicative helicase complex-interacting protein CLASPIN to tether CHK1 to sites of DNA replication, controlling replication rates and preventing premature mitotic entry. These findings uncover how RTF2 and CLASPIN poise CHK1 at replication forks to facilitate its activation by ATR, creating fork-localized CHK1 activity that fuels unperturbed S-phase progression and promotes genome stability by maintaining the intrinsic S-G</w:t>
      </w:r>
      <w:r>
        <w:rPr>
          <w:vertAlign w:val="subscript"/>
        </w:rPr>
        <w:t>2</w:t>
      </w:r>
      <w:r>
        <w:t>checkpoint.</w:t>
      </w:r>
    </w:p>
    <w:p>
      <w:pPr>
        <w:spacing w:before="120" w:after="120"/>
      </w:pPr>
      <w:r>
        <w:rPr>
          <w:sz w:val="18"/>
        </w:rPr>
        <w:t>——————————————————————————————————————————————————————————————————————</w:t>
      </w:r>
    </w:p>
    <w:p>
      <w:pPr>
        <w:spacing w:before="160" w:after="40" w:line="240" w:lineRule="auto"/>
      </w:pPr>
      <w:r>
        <w:rPr>
          <w:b/>
        </w:rPr>
        <w:t xml:space="preserve">[523] </w:t>
      </w:r>
      <w:hyperlink r:id="rId1502">
        <w:r>
          <w:rPr>
            <w:color w:val="1155CC"/>
            <w:u w:val="single"/>
          </w:rPr>
          <w:t>组装形成的生物正交嵌合人工受体能够实现肿瘤的高对比度荧光成像</w:t>
        </w:r>
      </w:hyperlink>
    </w:p>
    <w:p>
      <w:pPr>
        <w:spacing w:before="0" w:after="80"/>
      </w:pPr>
      <w:r>
        <w:rPr>
          <w:i/>
          <w:sz w:val="20"/>
        </w:rPr>
        <w:t>EN: Assembly-formed bioorthogonal chimeric artificial receptors enable high-contrast fluorescence imaging of tumors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03">
        <w:r>
          <w:rPr>
            <w:color w:val="1155CC"/>
            <w:u w:val="single"/>
          </w:rPr>
          <w:t>10.1126/sciadv.aed9403</w:t>
        </w:r>
      </w:hyperlink>
    </w:p>
    <w:p>
      <w:pPr>
        <w:spacing w:before="0" w:after="120"/>
      </w:pPr>
      <w:r>
        <w:rPr>
          <w:b/>
        </w:rPr>
        <w:t xml:space="preserve">Notes: </w:t>
      </w:r>
      <w:r>
        <w:t>abstract_source=crossref</w:t>
      </w:r>
    </w:p>
    <w:p>
      <w:pPr>
        <w:spacing w:before="0" w:after="80" w:lineRule="auto" w:line="276"/>
      </w:pPr>
      <w:r>
        <w:rPr>
          <w:b/>
        </w:rPr>
        <w:t xml:space="preserve">摘要（ZH）: </w:t>
      </w:r>
      <w:r>
        <w:t>传统的受体靶向荧光探针在肿瘤成像中显示出良好的前景，但由于肿瘤细胞膜上的生物标志物密度有限，在体内实现高肿瘤与正常（T/N）组织比率仍然具有挑战性。在这里，我们提出了一种生物正交功能化嵌合人工受体（BCAR）的原位组装策略，该策略在肿瘤表面局部构建 BCAR，从而放大荧光信号并实现高对比度成像。生理条件下快速、选择性的膜工程可增加有效受体密度，增强荧光团结合和肿瘤可视化。机理研究表明，BCAR 表现出卓越的膜保留和空间精度，可在异质肿瘤微环境中维持信号放大。在气囊和原位膀胱癌模型中，BCAR 显着改善了 T/N 成像比和肿瘤边界描绘。对 14 名膀胱癌患者的手术标本进行的转化验证证实了临床可行性。这项工作建立了一个用于现场受体重编程和信号放大的多功能平台，为高对比度肿瘤边缘检测提供了强大的工具。</w:t>
      </w:r>
    </w:p>
    <w:p>
      <w:pPr>
        <w:spacing w:before="0" w:after="200" w:lineRule="auto" w:line="276"/>
      </w:pPr>
      <w:r>
        <w:rPr>
          <w:b/>
        </w:rPr>
        <w:t xml:space="preserve">Abstract (EN): </w:t>
      </w:r>
      <w:r>
        <w:t>Conventional receptor-targeted fluorescent probes have shown promise in tumor imaging, yet achieving a high tumor-to-normal (T/N) tissue ratio in vivo remains challenging due to limited biomarker density on tumor cell membranes. Here, we present an in situ assembly strategy of bioorthogonal-functionalized chimeric artificial receptors (BCARs) that locally constructs BCARs on tumor surfaces, which amplify fluorescence signals and enable high-contrast imaging. Rapid, selective membrane engineering under physiological conditions increases effective receptor density, enhancing fluorophore binding and tumor visualization. Mechanistic studies reveal that BCARs exhibit exceptional membrane retention and spatial precision, sustaining signal amplification in heterogeneous tumor microenvironments. In air-pouch and orthotopic bladder cancer models, BCARs notably improve the T/N imaging ratio and tumor boundary delineation. Translational validation with surgical specimens from 14 patients with bladder cancer confirms clinical feasibility. This work establishes a versatile platform for on-site receptor reprogramming and signal amplification, offering a powerful tool for high-contrast tumor margin detection.</w:t>
      </w:r>
    </w:p>
    <w:p>
      <w:pPr>
        <w:spacing w:before="120" w:after="120"/>
      </w:pPr>
      <w:r>
        <w:rPr>
          <w:sz w:val="18"/>
        </w:rPr>
        <w:t>——————————————————————————————————————————————————————————————————————</w:t>
      </w:r>
    </w:p>
    <w:p>
      <w:pPr>
        <w:spacing w:before="160" w:after="40" w:line="240" w:lineRule="auto"/>
      </w:pPr>
      <w:r>
        <w:rPr>
          <w:b/>
        </w:rPr>
        <w:t xml:space="preserve">[524] </w:t>
      </w:r>
      <w:hyperlink r:id="rId1504">
        <w:r>
          <w:rPr>
            <w:color w:val="1155CC"/>
            <w:u w:val="single"/>
          </w:rPr>
          <w:t>达沙替尼可逆性破坏淋巴结中的 T 细胞运动和激活</w:t>
        </w:r>
      </w:hyperlink>
    </w:p>
    <w:p>
      <w:pPr>
        <w:spacing w:before="0" w:after="80"/>
      </w:pPr>
      <w:r>
        <w:rPr>
          <w:i/>
          <w:sz w:val="20"/>
        </w:rPr>
        <w:t>EN: Dasatinib reversibly disrupts T cell motility and activation in lymph nodes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05">
        <w:r>
          <w:rPr>
            <w:color w:val="1155CC"/>
            <w:u w:val="single"/>
          </w:rPr>
          <w:t>10.1126/sciadv.aec5951</w:t>
        </w:r>
      </w:hyperlink>
    </w:p>
    <w:p>
      <w:pPr>
        <w:spacing w:before="0" w:after="120"/>
      </w:pPr>
      <w:r>
        <w:rPr>
          <w:b/>
        </w:rPr>
        <w:t xml:space="preserve">Notes: </w:t>
      </w:r>
      <w:r>
        <w:t>abstract_source=crossref</w:t>
      </w:r>
    </w:p>
    <w:p>
      <w:pPr>
        <w:spacing w:before="0" w:after="80" w:lineRule="auto" w:line="276"/>
      </w:pPr>
      <w:r>
        <w:rPr>
          <w:b/>
        </w:rPr>
        <w:t xml:space="preserve">摘要（ZH）: </w:t>
      </w:r>
      <w:r>
        <w:t>酪氨酸激酶抑制剂达沙替尼被规定为费城染色体阳性白血病的一线治疗药物，并越来越多地用于其他临床环境。虽然达沙替尼有效且通常耐受性良好，但正如我们最近在小鼠模型和人类患者中所证明的那样，患者经常会因达沙替尼诱导的脾收缩和脾细胞的急性动员而出现短暂的淋巴细胞增多。相比之下，达沙替尼对其他次级淋巴器官（例如外周淋巴结（LN））淋巴细胞监测的影响仍不清楚。在这里，我们报告说，虽然达沙替尼治疗选择性地破坏了 B 细胞的体外趋化性，但没有破坏 T 细胞的趋化性，但它导致两个亚群体内间质运动的显着、短暂的减少。 T 细胞和 B 细胞运动的广泛体内抑制与达沙替尼诱导的血管收缩和 LN 内缺氧增加相关。收缩促进因子 Rho 相关卷曲螺旋激酶 (ROCK) 的药理学抑制可逆转达沙替尼诱导的 LN 缺氧并挽救 CD8</w:t>
      </w:r>
      <w:r>
        <w:t xml:space="preserve"> </w:t>
      </w:r>
      <w:r>
        <w:t>+</w:t>
      </w:r>
      <w:r>
        <w:t xml:space="preserve"> </w:t>
      </w:r>
      <w:r>
        <w:t>T 细胞运动。最后，达沙替尼治疗延迟但不抑制树突状细胞介导的 CD8</w:t>
      </w:r>
      <w:r>
        <w:t xml:space="preserve"> </w:t>
      </w:r>
      <w:r>
        <w:t>+</w:t>
      </w:r>
      <w:r>
        <w:t xml:space="preserve"> </w:t>
      </w:r>
      <w:r>
        <w:t>LN 内 T 细胞的激活和增殖。总体而言，我们的研究结果揭示了达沙替尼诱导的局部适应性免疫系统的短暂破坏，这与之前观察到的脾收缩不同。从临床角度来看，破坏-恢复</w:t>
      </w:r>
    </w:p>
    <w:p>
      <w:pPr>
        <w:spacing w:before="0" w:after="200" w:lineRule="auto" w:line="276"/>
      </w:pPr>
      <w:r>
        <w:rPr>
          <w:b/>
        </w:rPr>
        <w:t xml:space="preserve">Abstract (EN): </w:t>
      </w:r>
      <w:r>
        <w:t>The tyrosine kinase inhibitor dasatinib is prescribed as a first-line treatment for Philadelphia chromosome–positive leukemias and is increasingly used in other clinical settings. While dasatinib is effective and generally well tolerated, patients often experience a transient lymphocytosis attributable to a dasatinib-induced spleen contraction and an acute mobilization of splenocytes, as we have recently demonstrated in murine models and human patients. In contrast, the impact of dasatinib on lymphocyte surveillance of other secondary lymphoid organs, such as peripheral lymph nodes (LNs), has remained unclear. Here, we report that while dasatinib treatment selectively disrupted in vitro chemotaxis of B but not T cells, it caused a substantial, transient reduction of the in vivo interstitial motility in both subsets. The broad in vivo inhibition of T and B cell motility correlated with dasatinib-induced vasoconstriction of blood vessels and increased hypoxia within LNs. Pharmacological inhibition of the contraction-promoting factor Rho-associated coiled-coil kinase (ROCK) reversed dasatinib-induced LN hypoxia and rescued CD8</w:t>
      </w:r>
      <w:r>
        <w:t xml:space="preserve"> </w:t>
      </w:r>
      <w:r>
        <w:t>+</w:t>
      </w:r>
      <w:r>
        <w:t xml:space="preserve"> </w:t>
      </w:r>
      <w:r>
        <w:t>T cell motility. Last, dasatinib treatment delayed but did not inhibit dendritic cell–mediated CD8</w:t>
      </w:r>
      <w:r>
        <w:t xml:space="preserve"> </w:t>
      </w:r>
      <w:r>
        <w:t>+</w:t>
      </w:r>
      <w:r>
        <w:t xml:space="preserve"> </w:t>
      </w:r>
      <w:r>
        <w:t>T cell activation and proliferation within LNs. Overall, our findings uncover a dasatinib-induced transient disruption of the local adaptive immune system, which is distinct from the previously observed spleen contraction. From a clinical point of view, the disruption-recovery cycle of physiological immune surveillance induced by daily dasatinib treatment does not appear to cause a substantial impairment of key pathways underpinning CD8</w:t>
      </w:r>
      <w:r>
        <w:t xml:space="preserve"> </w:t>
      </w:r>
      <w:r>
        <w:t>+</w:t>
      </w:r>
      <w:r>
        <w:t xml:space="preserve"> </w:t>
      </w:r>
      <w:r>
        <w:t>T cell activation.</w:t>
      </w:r>
    </w:p>
    <w:p>
      <w:pPr>
        <w:spacing w:before="120" w:after="120"/>
      </w:pPr>
      <w:r>
        <w:rPr>
          <w:sz w:val="18"/>
        </w:rPr>
        <w:t>——————————————————————————————————————————————————————————————————————</w:t>
      </w:r>
    </w:p>
    <w:p>
      <w:pPr>
        <w:spacing w:before="160" w:after="40" w:line="240" w:lineRule="auto"/>
      </w:pPr>
      <w:r>
        <w:rPr>
          <w:b/>
        </w:rPr>
        <w:t xml:space="preserve">[525] </w:t>
      </w:r>
      <w:hyperlink r:id="rId1506">
        <w:r>
          <w:rPr>
            <w:color w:val="1155CC"/>
            <w:u w:val="single"/>
          </w:rPr>
          <w:t>通过基于 TurboID 的拟南芥 LWD1 相互作用组分析，揭示之前未描述的生物钟调节因子和作用机制</w:t>
        </w:r>
      </w:hyperlink>
    </w:p>
    <w:p>
      <w:pPr>
        <w:spacing w:before="0" w:after="80"/>
      </w:pPr>
      <w:r>
        <w:rPr>
          <w:i/>
          <w:sz w:val="20"/>
        </w:rPr>
        <w:t>EN: Unveiling previously undescribed circadian clock regulators and action mechanisms via TurboID-based profiling of the LWD1 interactome in Arabidopsis thaliana</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07">
        <w:r>
          <w:rPr>
            <w:color w:val="1155CC"/>
            <w:u w:val="single"/>
          </w:rPr>
          <w:t>10.1073/pnas.2618203123</w:t>
        </w:r>
      </w:hyperlink>
    </w:p>
    <w:p>
      <w:pPr>
        <w:spacing w:before="0" w:after="120"/>
      </w:pPr>
      <w:r>
        <w:rPr>
          <w:b/>
        </w:rPr>
        <w:t xml:space="preserve">Notes: </w:t>
      </w:r>
      <w:r>
        <w:t>abstract_source=crossref</w:t>
      </w:r>
    </w:p>
    <w:p>
      <w:pPr>
        <w:spacing w:before="0" w:after="80" w:lineRule="auto" w:line="276"/>
      </w:pPr>
      <w:r>
        <w:rPr>
          <w:b/>
        </w:rPr>
        <w:t xml:space="preserve">摘要（ZH）: </w:t>
      </w:r>
      <w:r>
        <w:t>内部生物钟与外部 24 小时昼夜周期的同步对于植物生长和健康至关重要。光调节 WD 蛋白 (LWD) 对于维持精确而稳健的生物钟至关重要</w:t>
      </w:r>
      <w:r>
        <w:t xml:space="preserve"> </w:t>
      </w:r>
      <w:r>
        <w:t>拟南芥</w:t>
      </w:r>
      <w:r>
        <w:t xml:space="preserve"> </w:t>
      </w:r>
      <w:r>
        <w:t>[Y。王</w:t>
      </w:r>
      <w:r>
        <w:t xml:space="preserve"> </w:t>
      </w:r>
      <w:r>
        <w:t>等人。</w:t>
      </w:r>
      <w:r>
        <w:t xml:space="preserve"> </w:t>
      </w:r>
      <w:r>
        <w:t>,</w:t>
      </w:r>
      <w:r>
        <w:t xml:space="preserve"> </w:t>
      </w:r>
      <w:r>
        <w:t>植物细胞</w:t>
      </w:r>
      <w:r>
        <w:rPr>
          <w:vertAlign w:val="subscript"/>
        </w:rPr>
        <w:t>23</w:t>
      </w:r>
      <w:r>
        <w:t>，486–498（2011）；吴建峰</w:t>
      </w:r>
      <w:r>
        <w:t xml:space="preserve"> </w:t>
      </w:r>
      <w:r>
        <w:t>等人。</w:t>
      </w:r>
      <w:r>
        <w:t xml:space="preserve"> </w:t>
      </w:r>
      <w:r>
        <w:t>,</w:t>
      </w:r>
      <w:r>
        <w:t xml:space="preserve"> </w:t>
      </w:r>
      <w:r>
        <w:t>纳特·康姆.</w:t>
      </w:r>
      <w:r>
        <w:rPr>
          <w:vertAlign w:val="subscript"/>
        </w:rPr>
        <w:t>7</w:t>
      </w:r>
      <w:r>
        <w:t>，13181（2016）]。然而，LWD 协调时钟基因表达的作用机制在很大程度上仍然难以捉摸。我们使用 TurboID 介导的邻近标记方法在三个 Zeitgeber 时间 (ZT) 系统地鉴定了 219 个 LWD1 相互作用蛋白伴侣。选定的相互作用蛋白经过实验验证为新的调节剂</w:t>
      </w:r>
      <w:r>
        <w:t xml:space="preserve"> </w:t>
      </w:r>
      <w:r>
        <w:t>拟南芥</w:t>
      </w:r>
      <w:r>
        <w:t xml:space="preserve"> </w:t>
      </w:r>
      <w:r>
        <w:t>生物钟。我们的数据还支持 LWD1-伪响应调节器 (PRR)-TOPLESS (TPL) 复合物抑制早晨基因</w:t>
      </w:r>
      <w:r>
        <w:t xml:space="preserve"> </w:t>
      </w:r>
      <w:r>
        <w:t>昼夜节律时钟相关</w:t>
      </w:r>
      <w:r>
        <w:t xml:space="preserve"> </w:t>
      </w:r>
      <w:r>
        <w:t>（</w:t>
      </w:r>
      <w:r>
        <w:t xml:space="preserve"> </w:t>
      </w:r>
      <w:r>
        <w:t>CCA1</w:t>
      </w:r>
      <w:r>
        <w:t xml:space="preserve"> </w:t>
      </w:r>
      <w:r>
        <w:t>），塑造表达槽</w:t>
      </w:r>
      <w:r>
        <w:t xml:space="preserve"> </w:t>
      </w:r>
      <w:r>
        <w:t>CCA1</w:t>
      </w:r>
      <w:r>
        <w:t xml:space="preserve"> </w:t>
      </w:r>
      <w:r>
        <w:t>在昼夜周期的下午晚些时候/傍晚。我们的结果揭示了 LWD1 的新辅抑制作用，它与表观遗传调节因子和转录因子协同作用，支持生物钟的精确运行。</w:t>
      </w:r>
    </w:p>
    <w:p>
      <w:pPr>
        <w:spacing w:before="0" w:after="200" w:lineRule="auto" w:line="276"/>
      </w:pPr>
      <w:r>
        <w:rPr>
          <w:b/>
        </w:rPr>
        <w:t xml:space="preserve">Abstract (EN): </w:t>
      </w:r>
      <w:r>
        <w:t>The synchronization of the internal circadian clock with the external 24-h diel cycle is critical for plant growth and fitness. LIGHT-REGULATED WD proteins (LWDs) are essential for sustaining a precise and robust circadian clock in</w:t>
      </w:r>
      <w:r>
        <w:t xml:space="preserve"> </w:t>
      </w:r>
      <w:r>
        <w:t>Arabidopsis</w:t>
      </w:r>
      <w:r>
        <w:t xml:space="preserve"> </w:t>
      </w:r>
      <w:r>
        <w:t>[Y. Wang</w:t>
      </w:r>
      <w:r>
        <w:t xml:space="preserve"> </w:t>
      </w:r>
      <w:r>
        <w:t>et al.</w:t>
      </w:r>
      <w:r>
        <w:t xml:space="preserve"> </w:t>
      </w:r>
      <w:r>
        <w:t>,</w:t>
      </w:r>
      <w:r>
        <w:t xml:space="preserve"> </w:t>
      </w:r>
      <w:r>
        <w:t>Plant Cell</w:t>
      </w:r>
      <w:r>
        <w:rPr>
          <w:vertAlign w:val="subscript"/>
        </w:rPr>
        <w:t>23</w:t>
      </w:r>
      <w:r>
        <w:t>, 486–498 (2011); J. F. Wu</w:t>
      </w:r>
      <w:r>
        <w:t xml:space="preserve"> </w:t>
      </w:r>
      <w:r>
        <w:t>et al.</w:t>
      </w:r>
      <w:r>
        <w:t xml:space="preserve"> </w:t>
      </w:r>
      <w:r>
        <w:t>,</w:t>
      </w:r>
      <w:r>
        <w:t xml:space="preserve"> </w:t>
      </w:r>
      <w:r>
        <w:t>Nat Commun.</w:t>
      </w:r>
      <w:r>
        <w:rPr>
          <w:vertAlign w:val="subscript"/>
        </w:rPr>
        <w:t>7</w:t>
      </w:r>
      <w:r>
        <w:t>, 13181 (2016)]. However, the action mechanisms by which LWDs orchestrate the expression of clock genes remain largely elusive. We systematically identified 219 LWD1-interacting protein partners at three Zeitgeber times (ZTs) using a TurboID-mediated proximity labeling approach. Selected interacting proteins were experimentally verified as new regulators of the</w:t>
      </w:r>
      <w:r>
        <w:t xml:space="preserve"> </w:t>
      </w:r>
      <w:r>
        <w:t>Arabidopsis</w:t>
      </w:r>
      <w:r>
        <w:t xml:space="preserve"> </w:t>
      </w:r>
      <w:r>
        <w:t>circadian clock. Our data also support that LWD1-PSEUDO RESPONSE REGULATORS (PRRs)-TOPLESS (TPL) complex represses the morning gene</w:t>
      </w:r>
      <w:r>
        <w:t xml:space="preserve"> </w:t>
      </w:r>
      <w:r>
        <w:t>CIRCADIAN CLOCK ASSOCIATED</w:t>
      </w:r>
      <w:r>
        <w:t xml:space="preserve"> </w:t>
      </w:r>
      <w:r>
        <w:t>(</w:t>
      </w:r>
      <w:r>
        <w:t xml:space="preserve"> </w:t>
      </w:r>
      <w:r>
        <w:t>CCA1</w:t>
      </w:r>
      <w:r>
        <w:t xml:space="preserve"> </w:t>
      </w:r>
      <w:r>
        <w:t>), shaping the expression trough of</w:t>
      </w:r>
      <w:r>
        <w:t xml:space="preserve"> </w:t>
      </w:r>
      <w:r>
        <w:t>CCA1</w:t>
      </w:r>
      <w:r>
        <w:t xml:space="preserve"> </w:t>
      </w:r>
      <w:r>
        <w:t>in the late afternoon/early evening under diel cycles. Our results revealed a new corepressor role of LWD1, working in conjunction with epigenetic regulators and transcription factors to underpin the precise operation of the circadian clock.</w:t>
      </w:r>
    </w:p>
    <w:p>
      <w:pPr>
        <w:spacing w:before="120" w:after="120"/>
      </w:pPr>
      <w:r>
        <w:rPr>
          <w:sz w:val="18"/>
        </w:rPr>
        <w:t>——————————————————————————————————————————————————————————————————————</w:t>
      </w:r>
    </w:p>
    <w:p>
      <w:pPr>
        <w:spacing w:before="160" w:after="40" w:line="240" w:lineRule="auto"/>
      </w:pPr>
      <w:r>
        <w:rPr>
          <w:b/>
        </w:rPr>
        <w:t xml:space="preserve">[526] </w:t>
      </w:r>
      <w:hyperlink r:id="rId1508">
        <w:r>
          <w:rPr>
            <w:color w:val="1155CC"/>
            <w:u w:val="single"/>
          </w:rPr>
          <w:t>用于高效水净化的仿生催化剂：桥接反应性、可重复使用性和催化成分利用</w:t>
        </w:r>
      </w:hyperlink>
    </w:p>
    <w:p>
      <w:pPr>
        <w:spacing w:before="0" w:after="80"/>
      </w:pPr>
      <w:r>
        <w:rPr>
          <w:i/>
          <w:sz w:val="20"/>
        </w:rPr>
        <w:t>EN: Bioinspired architected catalyst for efficient water purification: Bridging reactivity, reusability, and catalytic component utilization</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09">
        <w:r>
          <w:rPr>
            <w:color w:val="1155CC"/>
            <w:u w:val="single"/>
          </w:rPr>
          <w:t>10.1126/sciadv.aeb0624</w:t>
        </w:r>
      </w:hyperlink>
    </w:p>
    <w:p>
      <w:pPr>
        <w:spacing w:before="0" w:after="120"/>
      </w:pPr>
      <w:r>
        <w:rPr>
          <w:b/>
        </w:rPr>
        <w:t xml:space="preserve">Notes: </w:t>
      </w:r>
      <w:r>
        <w:t>abstract_source=crossref</w:t>
      </w:r>
    </w:p>
    <w:p>
      <w:pPr>
        <w:spacing w:before="0" w:after="80" w:lineRule="auto" w:line="276"/>
      </w:pPr>
      <w:r>
        <w:rPr>
          <w:b/>
        </w:rPr>
        <w:t xml:space="preserve">摘要（ZH）: </w:t>
      </w:r>
      <w:r>
        <w:t>由于催化效率、机械稳健性和传质之间错综复杂的耦合，实现高效水净化仍然是一项艰巨的挑战。在这里，我们创建了一种仿生架构催化剂，具有微型壳基框架和原子分散的 Mn-N</w:t>
      </w:r>
      <w:r>
        <w:rPr>
          <w:vertAlign w:val="subscript"/>
        </w:rPr>
        <w:t>4</w:t>
      </w:r>
      <w:r>
        <w:t>通过数字光处理和超声波装饰制作的网站。它们的协同作用——受海星和骨骼启发的结构最大限度地减少了可重复使用性的应力集中，并增强了污染物与大众运输的接触点，而锰-氮</w:t>
      </w:r>
      <w:r>
        <w:rPr>
          <w:vertAlign w:val="subscript"/>
        </w:rPr>
        <w:t>4</w:t>
      </w:r>
      <w:r>
        <w:t>位点促进•OH介导的氧化——共同增强整体性能，超越任一组分单独的贡献。与传统的颗粒催化剂相比，该催化剂的强度提高了22.1倍，标准化反应动力学提高了4.56倍，导致降解率超过95%，活性组分消耗量为0.08%。它占据了催化效率之前未达到的区域（</w:t>
      </w:r>
      <w:r>
        <w:t xml:space="preserve"> </w:t>
      </w:r>
      <w:r>
        <w:t>K</w:t>
      </w:r>
      <w:r>
        <w:t xml:space="preserve"> </w:t>
      </w:r>
      <w:r>
        <w:t>所报道的粉末和负载型催化剂的金属利用率（活性成分含量）图。这项工作展示了一种设计催化剂的通用策略，将反应性、可重复使用性和催化组分利用率结合起来。</w:t>
      </w:r>
    </w:p>
    <w:p>
      <w:pPr>
        <w:spacing w:before="0" w:after="200" w:lineRule="auto" w:line="276"/>
      </w:pPr>
      <w:r>
        <w:rPr>
          <w:b/>
        </w:rPr>
        <w:t xml:space="preserve">Abstract (EN): </w:t>
      </w:r>
      <w:r>
        <w:t>Achieving highly efficient water purification remains a formidable challenge due to intricate coupling among catalytic efficiency, mechanical robustness, and mass transport. Here, we create a bioinspired architected catalyst featuring microscale shell-based frameworks with atomically dispersed Mn-N</w:t>
      </w:r>
      <w:r>
        <w:rPr>
          <w:vertAlign w:val="subscript"/>
        </w:rPr>
        <w:t>4</w:t>
      </w:r>
      <w:r>
        <w:t>sites, fabricated by digital light processing and ultrasonic decoration. Their synergy—where the starfish- and bone-inspired architecture minimizes stress concentration for reusability and enhances pollutant-site contact for mass transport, while the Mn-N</w:t>
      </w:r>
      <w:r>
        <w:rPr>
          <w:vertAlign w:val="subscript"/>
        </w:rPr>
        <w:t>4</w:t>
      </w:r>
      <w:r>
        <w:t>sites facilitate •OH-mediated oxidation—collectively amplifies overall performance beyond the contributions of either component alone. Compared with conventional pellet catalysts, the architected catalyst exhibits a 22.1-fold increase in strength and a 4.56-fold increase in normalized reaction kinetics, resulting in more than 95% degradation with 0.08% active component consumption. It occupies the previously unattained region in the catalytic efficiency (</w:t>
      </w:r>
      <w:r>
        <w:t xml:space="preserve"> </w:t>
      </w:r>
      <w:r>
        <w:t>K</w:t>
      </w:r>
      <w:r>
        <w:t xml:space="preserve"> </w:t>
      </w:r>
      <w:r>
        <w:t>value) versus metal utilization (active component content) diagram of reported powder and supported catalysts. This work demonstrates a generalizable strategy for designing catalysts that unite reactivity, reusability, and catalytic component utilization.</w:t>
      </w:r>
    </w:p>
    <w:p>
      <w:pPr>
        <w:spacing w:before="120" w:after="120"/>
      </w:pPr>
      <w:r>
        <w:rPr>
          <w:sz w:val="18"/>
        </w:rPr>
        <w:t>——————————————————————————————————————————————————————————————————————</w:t>
      </w:r>
    </w:p>
    <w:p>
      <w:pPr>
        <w:spacing w:before="160" w:after="40" w:line="240" w:lineRule="auto"/>
      </w:pPr>
      <w:r>
        <w:rPr>
          <w:b/>
        </w:rPr>
        <w:t xml:space="preserve">[527] </w:t>
      </w:r>
      <w:hyperlink r:id="rId1510">
        <w:r>
          <w:rPr>
            <w:color w:val="1155CC"/>
            <w:u w:val="single"/>
          </w:rPr>
          <w:t>群体基因组学揭示人参驯化和人参皂苷生物合成</w:t>
        </w:r>
      </w:hyperlink>
    </w:p>
    <w:p>
      <w:pPr>
        <w:spacing w:before="0" w:after="80"/>
      </w:pPr>
      <w:r>
        <w:rPr>
          <w:i/>
          <w:sz w:val="20"/>
        </w:rPr>
        <w:t>EN: Population genomics reveals ginseng domestication and ginsenoside biosynthesis</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11">
        <w:r>
          <w:rPr>
            <w:color w:val="1155CC"/>
            <w:u w:val="single"/>
          </w:rPr>
          <w:t>10.1073/pnas.2535250123</w:t>
        </w:r>
      </w:hyperlink>
    </w:p>
    <w:p>
      <w:pPr>
        <w:spacing w:before="0" w:after="120"/>
      </w:pPr>
      <w:r>
        <w:rPr>
          <w:b/>
        </w:rPr>
        <w:t xml:space="preserve">Notes: </w:t>
      </w:r>
      <w:r>
        <w:t>abstract_source=crossref</w:t>
      </w:r>
    </w:p>
    <w:p>
      <w:pPr>
        <w:spacing w:before="0" w:after="80" w:lineRule="auto" w:line="276"/>
      </w:pPr>
      <w:r>
        <w:rPr>
          <w:b/>
        </w:rPr>
        <w:t xml:space="preserve">摘要（ZH）: </w:t>
      </w:r>
      <w:r>
        <w:t>人参（</w:t>
      </w:r>
      <w:r>
        <w:t xml:space="preserve"> </w:t>
      </w:r>
      <w:r>
        <w:t>人参</w:t>
      </w:r>
      <w:r>
        <w:t xml:space="preserve"> </w:t>
      </w:r>
      <w:r>
        <w:t>) 是一种珍贵的药用植物，其根部富含生物活性人参皂苷，具有心血管保护作用。然而，其驯化和人参皂苷变异的遗传基础尚不完全清楚。在这项研究中，我们对 287 个人参种质进行了重新测序，并通过群体遗传分析，确定了与地理区域和果实颜色相关的 5 个进化枝。选择性扫描分析揭示了与适应和生长以及三萜生物合成相关的基因。对这些品种中 169 种人参皂苷的分析揭示了驯化驱动的群体之间人参皂苷丰度的变化。一项代谢物全基因组关联研究确定了 12,676 个与人参皂苷相关的显着单核苷酸多态性。基于这些位点，我们鉴定并功能分析了两种关键的糖基转移酶 PgUXT 和 PgURT，它们控制多糖人参皂苷的木糖基化和鼠李糖基化，并显着影响群体内一半以上人参皂苷的积累。这两种糖基转移酶的基因型分布及其相关的人参皂苷在群体中的差异表明它们是人参皂苷群体水平多样化的关键候选分支点调节因子。考虑到已识别的遗传变异，我们应用基于机器学习的基因组预测模型来预测个体植物中的人参皂苷丰度，以进行种质资源评估。总体而言，本研究 eluc</w:t>
      </w:r>
    </w:p>
    <w:p>
      <w:pPr>
        <w:spacing w:before="0" w:after="200" w:lineRule="auto" w:line="276"/>
      </w:pPr>
      <w:r>
        <w:rPr>
          <w:b/>
        </w:rPr>
        <w:t xml:space="preserve">Abstract (EN): </w:t>
      </w:r>
      <w:r>
        <w:t>Ginseng (</w:t>
      </w:r>
      <w:r>
        <w:t xml:space="preserve"> </w:t>
      </w:r>
      <w:r>
        <w:t>Panax ginseng</w:t>
      </w:r>
      <w:r>
        <w:t xml:space="preserve"> </w:t>
      </w:r>
      <w:r>
        <w:t>), a valuable medicinal plant, is cultivated for the bioactive ginsenosides with cardiovascular protective effects that are abundant in its roots. However, the genetic basis of its domestication and ginsenoside variation is not fully understood. In this study, we resequenced 287 ginseng accessions and, through population genetic analyses, identified five clades associated with geographic regions and fruit color. Selective sweep analysis revealed genes related to adaptation and growth as well as triterpene biosynthesis. The profiling of 169 ginsenosides across these accessions revealed domestication-driven shifts in ginsenoside abundance between groups. A metabolite genome-wide association study identified 12,676 significant single nucleotide polymorphisms associated with ginsenosides. Based on these loci, we identified and functionally analyzed two key glycosyltransferases, PgUXT and PgURT, that govern xylosylation and rhamnosylation of polysaccharidic ginsenosides and significantly influence the accumulation of over half of the ginsenosides within the population. The genotype distribution of these two glycosyltransferases and their related ginsenoside divergence among the groups suggest that they are key candidate branch-point regulators for the population-level diversification of ginsenosides. Considering the identified genetic variants, we applied a machine learning–based genomic predictive model to predict ginsenoside abundance in individual plants for germplasm resource evaluation. Overall, this study elucidates the genomic foundations of domestication and ginsenoside diversification in ginseng and lays a foundation for the metabolite-directed improvement of this important medicinal plant.</w:t>
      </w:r>
    </w:p>
    <w:p>
      <w:pPr>
        <w:spacing w:before="120" w:after="120"/>
      </w:pPr>
      <w:r>
        <w:rPr>
          <w:sz w:val="18"/>
        </w:rPr>
        <w:t>——————————————————————————————————————————————————————————————————————</w:t>
      </w:r>
    </w:p>
    <w:p>
      <w:pPr>
        <w:spacing w:before="160" w:after="40" w:line="240" w:lineRule="auto"/>
      </w:pPr>
      <w:r>
        <w:rPr>
          <w:b/>
        </w:rPr>
        <w:t xml:space="preserve">[528] </w:t>
      </w:r>
      <w:hyperlink r:id="rId1512">
        <w:r>
          <w:rPr>
            <w:color w:val="1155CC"/>
            <w:u w:val="single"/>
          </w:rPr>
          <w:t>水动力相夹带驱动精子鞭毛的同步</w:t>
        </w:r>
      </w:hyperlink>
    </w:p>
    <w:p>
      <w:pPr>
        <w:spacing w:before="0" w:after="80"/>
      </w:pPr>
      <w:r>
        <w:rPr>
          <w:i/>
          <w:sz w:val="20"/>
        </w:rPr>
        <w:t>EN: Hydrodynamic phase entrainment drives synchronization of sperm flagella</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13">
        <w:r>
          <w:rPr>
            <w:color w:val="1155CC"/>
            <w:u w:val="single"/>
          </w:rPr>
          <w:t>10.1073/pnas.2614989123</w:t>
        </w:r>
      </w:hyperlink>
    </w:p>
    <w:p>
      <w:pPr>
        <w:spacing w:before="0" w:after="120"/>
      </w:pPr>
      <w:r>
        <w:rPr>
          <w:b/>
        </w:rPr>
        <w:t xml:space="preserve">Notes: </w:t>
      </w:r>
      <w:r>
        <w:t>abstract_source=crossref</w:t>
      </w:r>
    </w:p>
    <w:p>
      <w:pPr>
        <w:spacing w:before="0" w:after="80" w:lineRule="auto" w:line="276"/>
      </w:pPr>
      <w:r>
        <w:rPr>
          <w:b/>
        </w:rPr>
        <w:t xml:space="preserve">摘要（ZH）: </w:t>
      </w:r>
      <w:r>
        <w:t>精子鞭毛的同步可以增强生殖适应性，并为研究生物协调提供一个可行的模型。然而，一个基本的争论仍然存在：虽然流体动力学模型预测单独的流体耦合可以同步相邻的鞭毛，但自由游动的精子的实验表明需要直接的机械接触。这种差异可能反映了忽略生理异质性的理想化理论假设和排除流体动力学贡献的实验限制。为了解决这个问题，我们开发了一种微流体陷阱阵列，可以固定成对的精子细胞，同时保留其自然鞭毛跳动，从而能够在受控的流体动力学条件下对相动力学进行长时间、高精度的测量。通过阿德勒方程（适应生物振荡器的固有频率失谐）分析同步动力学，我们揭示了在头部固定条件下，纯流体动力耦合足以驱动稳健的鞭毛同步。此外，我们发现耦合强度在生理相关尺度上随鞭毛间距离近似线性衰减，并且鞭毛相位波动由低频有色噪声主导，这对活性物质模型中普遍存在的白噪声近似提出了挑战。超越阿德勒方程的传统唯象应用，我们推导了一个相位响应函数，该函数将其耦合项直接追踪到测量的流体动力流场，从而</w:t>
      </w:r>
    </w:p>
    <w:p>
      <w:pPr>
        <w:spacing w:before="0" w:after="200" w:lineRule="auto" w:line="276"/>
      </w:pPr>
      <w:r>
        <w:rPr>
          <w:b/>
        </w:rPr>
        <w:t xml:space="preserve">Abstract (EN): </w:t>
      </w:r>
      <w:r>
        <w:t>Synchronization of sperm flagella may enhance reproductive fitness and offers an accessible model for studying biological coordination. However, a fundamental debate persists: while hydrodynamic models predict that fluid coupling alone can synchronize adjacent flagella, experiments on freely swimming sperm suggest that direct mechanical contact is required. This discrepancy likely reflects both idealized theoretical assumptions that neglect physiological heterogeneity and experimental limitations that preclude isolation of the hydrodynamic contribution. To resolve this, we developed a microfluidic trap array that immobilizes pairs of sperm cells while preserving their natural flagellar beating, enabling long-duration, high-precision measurements of phase dynamics under controlled hydrodynamic conditions. By analyzing the synchronization dynamics through the Adler equation—which accommodates the intrinsic frequency detuning of biological oscillators—we reveal that under head-fixed conditions, pure hydrodynamic coupling is sufficient to drive robust flagellar synchronization. Furthermore, we find that the coupling strength decays approximately linearly with interflagellar distance over physiologically relevant scales, and that flagellar phase fluctuations are dominated by low-frequency colored noise, challenging the ubiquitous white-noise approximation in active matter models. Going beyond the conventional phenomenological use of the Adler equation, we derive a phase–response function that traces its coupling term directly to the measured hydrodynamic flow field, thereby grounding the abstract phase dynamics in its physical basis in fluid mechanics. These results reconcile the theoretical–experimental divide regarding flagellar synchronization and establish a transferable framework for investigating collective behavior in diverse systems of nonidentical biological oscillators.</w:t>
      </w:r>
    </w:p>
    <w:p>
      <w:pPr>
        <w:spacing w:before="120" w:after="120"/>
      </w:pPr>
      <w:r>
        <w:rPr>
          <w:sz w:val="18"/>
        </w:rPr>
        <w:t>——————————————————————————————————————————————————————————————————————</w:t>
      </w:r>
    </w:p>
    <w:p>
      <w:pPr>
        <w:spacing w:before="160" w:after="40" w:line="240" w:lineRule="auto"/>
      </w:pPr>
      <w:r>
        <w:rPr>
          <w:b/>
        </w:rPr>
        <w:t xml:space="preserve">[529] </w:t>
      </w:r>
      <w:hyperlink r:id="rId1514">
        <w:r>
          <w:rPr>
            <w:color w:val="1155CC"/>
            <w:u w:val="single"/>
          </w:rPr>
          <w:t>地球表面铁循环的演变</w:t>
        </w:r>
      </w:hyperlink>
    </w:p>
    <w:p>
      <w:pPr>
        <w:spacing w:before="0" w:after="80"/>
      </w:pPr>
      <w:r>
        <w:rPr>
          <w:i/>
          <w:sz w:val="20"/>
        </w:rPr>
        <w:t>EN: The evolution of the Earth’s surface iron cycle</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15">
        <w:r>
          <w:rPr>
            <w:color w:val="1155CC"/>
            <w:u w:val="single"/>
          </w:rPr>
          <w:t>10.1073/pnas.2608784123</w:t>
        </w:r>
      </w:hyperlink>
    </w:p>
    <w:p>
      <w:pPr>
        <w:spacing w:before="0" w:after="120"/>
      </w:pPr>
      <w:r>
        <w:rPr>
          <w:b/>
        </w:rPr>
        <w:t xml:space="preserve">Notes: </w:t>
      </w:r>
      <w:r>
        <w:t>abstract_source=crossref</w:t>
      </w:r>
    </w:p>
    <w:p>
      <w:pPr>
        <w:spacing w:before="0" w:after="80" w:lineRule="auto" w:line="276"/>
      </w:pPr>
      <w:r>
        <w:rPr>
          <w:b/>
        </w:rPr>
        <w:t xml:space="preserve">摘要（ZH）: </w:t>
      </w:r>
      <w:r>
        <w:t>海洋沉积物中黄铁矿（硫化铁）的形成和埋藏对地质时间尺度上的大气氧化和海水缓冲发挥着根本性的控制作用。然而，人们对其前体活性氧化铁 (Fe) 氧化物矿物的形成和输送在整个地球历史中是如何演变的却知之甚少。海洋沉积物中保存的活性铁（包括铁氧化物和黄铁矿）的长期变化通常仅归因于氧化还原变化。在这里，我们开发了一种方法来区分氧化还原驱动的影响与沉积活性铁的其他控制，包括大陆硅酸盐风化的强度和陆源颗粒向海洋的转移。我们将此框架应用于跨越 1,200 My 地球历史的活性铁数据的汇编。我们的研究结果表明，从中元古代到寒武纪，活性铁的比例持续较低，随后古生代中晚期显着上升，随后在新生代晚期下降。这种时间模式与纯氧化还原驱动的控制不一致。与大陆风化和陆地-海洋沉积物和溶质通量的独立代理进行比较表明，反应性铁埋藏、氧化硅酸盐风化和构造驱动的侵蚀之间存在很强的耦合性。值得注意的是，古生代中晚期活性铁的上升与陆地植物的增殖和大气中氧气的增加同时发生。我们提出了一个正反馈，其中地球表面铁循环既被大气氧化放大，又通过其影响来促进它。</w:t>
      </w:r>
    </w:p>
    <w:p>
      <w:pPr>
        <w:spacing w:before="0" w:after="200" w:lineRule="auto" w:line="276"/>
      </w:pPr>
      <w:r>
        <w:rPr>
          <w:b/>
        </w:rPr>
        <w:t xml:space="preserve">Abstract (EN): </w:t>
      </w:r>
      <w:r>
        <w:t>Formation and burial of pyrite (iron sulfide) in marine sediments exert a fundamental control on atmospheric oxygenation and seawater buffering over geological timescales. However, little is known about how the formation and delivery of its precursor, reactive iron (Fe) oxide minerals, have evolved throughout Earth history. Secular variability in reactive Fe (including Fe oxides and pyrite) preserved in marine sediments is commonly attributed solely to redox changes. Here, we develop an approach to distinguish redox-driven influences from other controls on sedimentary reactive Fe, including the intensity of continental silicate weathering and the transfer of terrigenous particles to the ocean. We apply this framework to a compilation of reactive Fe data spanning 1,200 My of Earth history. Our results reveal persistently low proportions of reactive Fe from the Mesoproterozoic through the Cambrian, followed by a pronounced mid- to late Paleozoic rise and a subsequent decline in the late Cenozoic. This temporal pattern is inconsistent with a purely redox-driven control. Comparison with independent proxies for continental weathering and land-ocean sediment and solute fluxes suggests a strong coupling between reactive Fe burial, oxidative silicate weathering, and tectonically driven erosion. Notably, the mid- to late Paleozoic rise in reactive Fe coincided with the proliferation of land plants and increasing atmospheric oxygen. We propose a positive feedback where Earth-surface Fe cycling was both amplified by atmospheric oxygenation and contributed to it through its influence on pyrite burial in marine sediments.</w:t>
      </w:r>
    </w:p>
    <w:p>
      <w:pPr>
        <w:spacing w:before="120" w:after="120"/>
      </w:pPr>
      <w:r>
        <w:rPr>
          <w:sz w:val="18"/>
        </w:rPr>
        <w:t>——————————————————————————————————————————————————————————————————————</w:t>
      </w:r>
    </w:p>
    <w:p>
      <w:pPr>
        <w:spacing w:before="160" w:after="40" w:line="240" w:lineRule="auto"/>
      </w:pPr>
      <w:r>
        <w:rPr>
          <w:b/>
        </w:rPr>
        <w:t xml:space="preserve">[530] </w:t>
      </w:r>
      <w:hyperlink r:id="rId1516">
        <w:r>
          <w:rPr>
            <w:color w:val="1155CC"/>
            <w:u w:val="single"/>
          </w:rPr>
          <w:t>北美葡萄品种基因渗入和平行适应的动态</w:t>
        </w:r>
      </w:hyperlink>
    </w:p>
    <w:p>
      <w:pPr>
        <w:spacing w:before="0" w:after="80"/>
      </w:pPr>
      <w:r>
        <w:rPr>
          <w:i/>
          <w:sz w:val="20"/>
        </w:rPr>
        <w:t>EN: The dynamics of introgression and parallel adaptation across North American Vitis species</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17">
        <w:r>
          <w:rPr>
            <w:color w:val="1155CC"/>
            <w:u w:val="single"/>
          </w:rPr>
          <w:t>10.1073/pnas.2607754123</w:t>
        </w:r>
      </w:hyperlink>
    </w:p>
    <w:p>
      <w:pPr>
        <w:spacing w:before="0" w:after="120"/>
      </w:pPr>
      <w:r>
        <w:rPr>
          <w:b/>
        </w:rPr>
        <w:t xml:space="preserve">Notes: </w:t>
      </w:r>
      <w:r>
        <w:t>abstract_source=crossref</w:t>
      </w:r>
    </w:p>
    <w:p>
      <w:pPr>
        <w:spacing w:before="0" w:after="80" w:lineRule="auto" w:line="276"/>
      </w:pPr>
      <w:r>
        <w:rPr>
          <w:b/>
        </w:rPr>
        <w:t xml:space="preserve">摘要（ZH）: </w:t>
      </w:r>
      <w:r>
        <w:t>物种之间的杂交可以促成平行的适应性事件。然而，基因渗入的流行程度很少在多个物种中进行测量，这意味着它很少与景观尺度过程相结合或与适应性重复性相关。在这里，我们分析了 639 个种质的全基因组重测序数据，代表 48 个种质。</w:t>
      </w:r>
      <w:r>
        <w:t xml:space="preserve"> </w:t>
      </w:r>
      <w:r>
        <w:t>葡萄属</w:t>
      </w:r>
      <w:r>
        <w:t xml:space="preserve"> </w:t>
      </w:r>
      <w:r>
        <w:t>种。</w:t>
      </w:r>
      <w:r>
        <w:t xml:space="preserve"> </w:t>
      </w:r>
      <w:r>
        <w:t>葡萄属</w:t>
      </w:r>
      <w:r>
        <w:t xml:space="preserve"> </w:t>
      </w:r>
      <w:r>
        <w:t>以驯化葡萄树而闻名（</w:t>
      </w:r>
      <w:r>
        <w:t xml:space="preserve"> </w:t>
      </w:r>
      <w:r>
        <w:t>葡萄</w:t>
      </w:r>
      <w:r>
        <w:t xml:space="preserve"> </w:t>
      </w:r>
      <w:r>
        <w:t>），多个经济上重要的北美物种，并作为温带适应性辐射的一个例子。我们重建了该属的个体和物种水平的系统发育框架，并对 19 个物种进行了群体遗传分析。分析发现了广泛的渗入证据，约占平均渗入的 14%</w:t>
      </w:r>
      <w:r>
        <w:t xml:space="preserve"> </w:t>
      </w:r>
      <w:r>
        <w:t>葡萄属</w:t>
      </w:r>
      <w:r>
        <w:t xml:space="preserve"> </w:t>
      </w:r>
      <w:r>
        <w:t>基因组。基因渗入与物种之间的地理分布有关，高度混合的个体更常见于生态位边缘附近。遗传分析进一步表明，先前认识的混合类群，</w:t>
      </w:r>
      <w:r>
        <w:t xml:space="preserve"> </w:t>
      </w:r>
      <w:r>
        <w:t>葡萄×杜阿尼亚纳</w:t>
      </w:r>
      <w:r>
        <w:t xml:space="preserve"> </w:t>
      </w:r>
      <w:r>
        <w:t>和</w:t>
      </w:r>
      <w:r>
        <w:t xml:space="preserve"> </w:t>
      </w:r>
      <w:r>
        <w:t>香皮葡萄</w:t>
      </w:r>
      <w:r>
        <w:t xml:space="preserve"> </w:t>
      </w:r>
      <w:r>
        <w:t>，可能代表正在进行的混合群而不是不同的谱系。我们通过更密集的种群采样评估了八个物种的适应性重复性模式。对于八个物种中的六个，大多数检测到的选择性扫描与其他物种的扫描重叠；平均而言，更</w:t>
      </w:r>
    </w:p>
    <w:p>
      <w:pPr>
        <w:spacing w:before="0" w:after="200" w:lineRule="auto" w:line="276"/>
      </w:pPr>
      <w:r>
        <w:rPr>
          <w:b/>
        </w:rPr>
        <w:t xml:space="preserve">Abstract (EN): </w:t>
      </w:r>
      <w:r>
        <w:t>Hybridization between species can contribute to parallel adaptive events. However, the prevalence of introgression is rarely measured across multiple species, meaning that it is rarely integrated with landscape-scale processes or connected to adaptive repeatability. Here we analyzed whole-genome resequencing data from 639 accessions representing 48</w:t>
      </w:r>
      <w:r>
        <w:t xml:space="preserve"> </w:t>
      </w:r>
      <w:r>
        <w:t>Vitis</w:t>
      </w:r>
      <w:r>
        <w:t xml:space="preserve"> </w:t>
      </w:r>
      <w:r>
        <w:t>species.</w:t>
      </w:r>
      <w:r>
        <w:t xml:space="preserve"> </w:t>
      </w:r>
      <w:r>
        <w:t>Vitis</w:t>
      </w:r>
      <w:r>
        <w:t xml:space="preserve"> </w:t>
      </w:r>
      <w:r>
        <w:t>is notable for the domesticated grapevine (</w:t>
      </w:r>
      <w:r>
        <w:t xml:space="preserve"> </w:t>
      </w:r>
      <w:r>
        <w:t>Vitis vinifera</w:t>
      </w:r>
      <w:r>
        <w:t xml:space="preserve"> </w:t>
      </w:r>
      <w:r>
        <w:t>), multiple economically important North American species, and as an example of a temperate adaptive radiation. We reconstructed individual- and species-level phylogenetic frameworks for the genus and performed population genetic analyses for 19 species. The analyses uncovered widespread evidence of introgression, comprising ~14% of the average</w:t>
      </w:r>
      <w:r>
        <w:t xml:space="preserve"> </w:t>
      </w:r>
      <w:r>
        <w:t>Vitis</w:t>
      </w:r>
      <w:r>
        <w:t xml:space="preserve"> </w:t>
      </w:r>
      <w:r>
        <w:t>genome. Introgression was associated with the geographic distribution between species, and highly admixed individuals were more frequently found near ecological niche margins. Genetic analyses further indicated that previously recognized hybrid taxa,</w:t>
      </w:r>
      <w:r>
        <w:t xml:space="preserve"> </w:t>
      </w:r>
      <w:r>
        <w:t>Vitis x doaniana</w:t>
      </w:r>
      <w:r>
        <w:t xml:space="preserve"> </w:t>
      </w:r>
      <w:r>
        <w:t>and</w:t>
      </w:r>
      <w:r>
        <w:t xml:space="preserve"> </w:t>
      </w:r>
      <w:r>
        <w:t>Vitis x champinii</w:t>
      </w:r>
      <w:r>
        <w:t xml:space="preserve"> </w:t>
      </w:r>
      <w:r>
        <w:t>, likely represent ongoing hybrid swarms rather than distinct lineages. We assessed patterns of adaptive repeatability across eight species with denser population sampling. For six of eight species, most detected selective sweeps overlapped with sweeps in other species; on average, more recently diverged species shared more overlapping sweeps. A coalescence-based composite likelihood approach inferred that parallel sweep events were driven mostly by introgression, although a substantial fraction (~40%) was attributed to selection on ancestral standing variation. By integrating population genomic data across many species, this study highlights the central role of shared genetic variation—and the driving force of hybridization—across an adaptive radiation.</w:t>
      </w:r>
    </w:p>
    <w:p>
      <w:pPr>
        <w:spacing w:before="120" w:after="120"/>
      </w:pPr>
      <w:r>
        <w:rPr>
          <w:sz w:val="18"/>
        </w:rPr>
        <w:t>——————————————————————————————————————————————————————————————————————</w:t>
      </w:r>
    </w:p>
    <w:p>
      <w:pPr>
        <w:spacing w:before="160" w:after="40" w:line="240" w:lineRule="auto"/>
      </w:pPr>
      <w:r>
        <w:rPr>
          <w:b/>
        </w:rPr>
        <w:t xml:space="preserve">[531] </w:t>
      </w:r>
      <w:hyperlink r:id="rId1518">
        <w:r>
          <w:rPr>
            <w:color w:val="1155CC"/>
            <w:u w:val="single"/>
          </w:rPr>
          <w:t>对异质信息源的关注影响流行病结果</w:t>
        </w:r>
      </w:hyperlink>
    </w:p>
    <w:p>
      <w:pPr>
        <w:spacing w:before="0" w:after="80"/>
      </w:pPr>
      <w:r>
        <w:rPr>
          <w:i/>
          <w:sz w:val="20"/>
        </w:rPr>
        <w:t>EN: Attention to heterogeneous information sources affects epidemic outcomes</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19">
        <w:r>
          <w:rPr>
            <w:color w:val="1155CC"/>
            <w:u w:val="single"/>
          </w:rPr>
          <w:t>10.1073/pnas.2604207123</w:t>
        </w:r>
      </w:hyperlink>
    </w:p>
    <w:p>
      <w:pPr>
        <w:spacing w:before="0" w:after="120"/>
      </w:pPr>
      <w:r>
        <w:rPr>
          <w:b/>
        </w:rPr>
        <w:t xml:space="preserve">Notes: </w:t>
      </w:r>
      <w:r>
        <w:t>abstract_source=crossref</w:t>
      </w:r>
    </w:p>
    <w:p>
      <w:pPr>
        <w:spacing w:before="0" w:after="80" w:lineRule="auto" w:line="276"/>
      </w:pPr>
      <w:r>
        <w:rPr>
          <w:b/>
        </w:rPr>
        <w:t xml:space="preserve">摘要（ZH）: </w:t>
      </w:r>
      <w:r>
        <w:t>流行病期间，疾病传播与人类行为密切相关：高感染水平会引发风险意识和预防行为，从而抑制疾病传播。虽然这些耦合动态在混合良好的人群和网络化人群中都得到了深入研究，但在探索建立疾病意识的不同方法如何影响感染水平方面却做得很少。本研究提出了两个相互作用的群体（群体）的数学模型，以研究流行病结果如何受到信息源（即自己群体和/或其他群体）选择的影响。我们证明，对于不同的物理接触模式，系统可能会经历从统一流行平衡到非均匀流行平衡的分歧，导致各组之间持续存在感染水平差异，这是由每个组对其信息源的选择驱动的。我们的结果揭示了最大限度减少感染的策略：1）感染水平低的群体通过优先考虑感染水平高的群体的信息从而高估风险而受益；2）感染水平高的群体通过仅访问有关其自身感染水平的信息从而避免低估风险而受益。这些结果强调，除了观察抗疫措施外，还需要提高对疾病水平的认识。我们强调在哪些情况下，有利于某一群体的策略可能与有利于两组总体感染水平的策略发生冲突。</w:t>
      </w:r>
    </w:p>
    <w:p>
      <w:pPr>
        <w:spacing w:before="0" w:after="200" w:lineRule="auto" w:line="276"/>
      </w:pPr>
      <w:r>
        <w:rPr>
          <w:b/>
        </w:rPr>
        <w:t xml:space="preserve">Abstract (EN): </w:t>
      </w:r>
      <w:r>
        <w:t>During an epidemic, disease transmission and human behavior are closely related: High infection levels trigger risk awareness and preventive behaviors, which suppress the transmission of disease. While these coupled dynamics have been heavily investigated, both in well-mixed populations and networked populations, less has been done to explore how different ways to establish the awareness of disease affect infection levels. This study presents a mathematical model of two interacting groups (populations) to investigate how epidemic outcomes are affected by the choice of information source, i.e., one’s own group and/or the other group. We demonstrate that for different physical contact patterns the system can undergo a bifurcation from a uniform endemic equilibrium to a nonuniform endemic equilibrium, resulting in a persistent infection level difference between groups that is driven by each group’s choice of its information source. Our results reveal strategies to minimize infection: 1) a group with low infection level benefits by prioritizing information from a group with high infection level thereby overestimating risk and 2) a group with high infection level benefits by accessing information only about its own infection level thereby avoiding underestimation of risk. These results emphasize the need to promote awareness of disease levels in addition to observation of antiepidemic measures. We highlight conditions under which strategies that benefit one group may conflict with strategies that benefit the total infection level of both groups.</w:t>
      </w:r>
    </w:p>
    <w:p>
      <w:pPr>
        <w:spacing w:before="120" w:after="120"/>
      </w:pPr>
      <w:r>
        <w:rPr>
          <w:sz w:val="18"/>
        </w:rPr>
        <w:t>——————————————————————————————————————————————————————————————————————</w:t>
      </w:r>
    </w:p>
    <w:p>
      <w:pPr>
        <w:spacing w:before="160" w:after="40" w:line="240" w:lineRule="auto"/>
      </w:pPr>
      <w:r>
        <w:rPr>
          <w:b/>
        </w:rPr>
        <w:t xml:space="preserve">[532] </w:t>
      </w:r>
      <w:hyperlink r:id="rId1520">
        <w:r>
          <w:rPr>
            <w:color w:val="1155CC"/>
            <w:u w:val="single"/>
          </w:rPr>
          <w:t>检查点绝缘的三信号人工抗原呈递细胞驱动抗原中继和全身抗肿瘤免疫</w:t>
        </w:r>
      </w:hyperlink>
    </w:p>
    <w:p>
      <w:pPr>
        <w:spacing w:before="0" w:after="80"/>
      </w:pPr>
      <w:r>
        <w:rPr>
          <w:i/>
          <w:sz w:val="20"/>
        </w:rPr>
        <w:t>EN: Checkpoint-insulated triple-signal artificial antigen-presenting cells drive antigen relay and systemic antitumor immunity</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21">
        <w:r>
          <w:rPr>
            <w:color w:val="1155CC"/>
            <w:u w:val="single"/>
          </w:rPr>
          <w:t>10.1073/pnas.2604171123</w:t>
        </w:r>
      </w:hyperlink>
    </w:p>
    <w:p>
      <w:pPr>
        <w:spacing w:before="0" w:after="120"/>
      </w:pPr>
      <w:r>
        <w:rPr>
          <w:b/>
        </w:rPr>
        <w:t xml:space="preserve">Notes: </w:t>
      </w:r>
      <w:r>
        <w:t>abstract_source=crossref</w:t>
      </w:r>
    </w:p>
    <w:p>
      <w:pPr>
        <w:spacing w:before="0" w:after="80" w:lineRule="auto" w:line="276"/>
      </w:pPr>
      <w:r>
        <w:rPr>
          <w:b/>
        </w:rPr>
        <w:t xml:space="preserve">摘要（ZH）: </w:t>
      </w:r>
      <w:r>
        <w:t>树突状细胞 (DC) 疫苗提供专业的抗原呈递，但通常受到淋巴组织运输不理想的限制，而全肿瘤细胞疫苗保留抗原多样性，但经常缺乏有效 T 细胞启动的协调激活线索。在这里，我们报告了 OncoAPC，一种灭活的人工抗原呈递细胞，围绕三信号启动逻辑设计：MHC-I 介导的抗原呈递（信号 1）、具有检查点绝缘能力的 CD80 介导的共刺激（信号 2）以及掺入的 IL-12（信号 3）。从机制上讲，OncoAPC 直接激活 T 细胞，同时通过以下方式部分隔离 PD-1 抑制：</w:t>
      </w:r>
      <w:r>
        <w:t xml:space="preserve"> </w:t>
      </w:r>
      <w:r>
        <w:t>顺式</w:t>
      </w:r>
      <w:r>
        <w:t xml:space="preserve"> </w:t>
      </w:r>
      <w:r>
        <w:t>CD80:PD-L1 相互作用，同时与内源性 DC 相互作用，通过变装传递肿瘤抗原并放大淋巴启动。在多种肿瘤模型中，OncoAPC 显示出广泛的治疗活性，包括显着抑制转移性肿瘤负荷和实质性控制已形成的肿瘤，优于传统的 DC 疫苗接种。它进一步保留了 MC38 主链之外的功效，并且当从人类肿瘤细胞或切除的肿瘤衍生材料产生时仍保持活性。这些发现使 OncoAPC 成为一个可扩展的广谱癌症疫苗平台，将抗原多样性与 DC 样功能精度相结合。</w:t>
      </w:r>
    </w:p>
    <w:p>
      <w:pPr>
        <w:spacing w:before="0" w:after="200" w:lineRule="auto" w:line="276"/>
      </w:pPr>
      <w:r>
        <w:rPr>
          <w:b/>
        </w:rPr>
        <w:t xml:space="preserve">Abstract (EN): </w:t>
      </w:r>
      <w:r>
        <w:t>Dendritic cell (DC) vaccines offer professional antigen presentation but are often limited by suboptimal trafficking to lymphoid tissues, whereas whole tumor cell vaccines preserve antigenic diversity yet frequently lack coordinated activation cues for efficient T cell priming. Here, we report OncoAPC, an inactivated artificial antigen-presenting cell designed around a triple-signal priming logic: MHC-I-mediated antigen presentation (signal 1), CD80-mediated costimulation (signal 2) with checkpoint-insulating capacity, and incorporated IL-12 (signal 3). Mechanistically, OncoAPC directly activated T cells while partially insulating against PD-1 suppression through</w:t>
      </w:r>
      <w:r>
        <w:t xml:space="preserve"> </w:t>
      </w:r>
      <w:r>
        <w:t>cis</w:t>
      </w:r>
      <w:r>
        <w:t xml:space="preserve"> </w:t>
      </w:r>
      <w:r>
        <w:t>CD80:PD-L1 interactions and simultaneously engaged endogenous DCs to relay tumor antigens via cross-dressing and amplify lymphoid priming. Across multiple tumor models, OncoAPC showed broad therapeutic activity, including marked suppression of metastatic tumor burden and substantial control of established tumors, outperforming conventional DC vaccination. It further retained efficacy beyond the MC38 backbone and remained active when generated from human tumor cells or excised tumor-derived material. These findings establish OncoAPC as a scalable, broad-spectrum cancer vaccine platform that integrates antigenic diversity with DC-like functional precision.</w:t>
      </w:r>
    </w:p>
    <w:p>
      <w:pPr>
        <w:spacing w:before="120" w:after="120"/>
      </w:pPr>
      <w:r>
        <w:rPr>
          <w:sz w:val="18"/>
        </w:rPr>
        <w:t>——————————————————————————————————————————————————————————————————————</w:t>
      </w:r>
    </w:p>
    <w:p>
      <w:pPr>
        <w:spacing w:before="160" w:after="40" w:line="240" w:lineRule="auto"/>
      </w:pPr>
      <w:r>
        <w:rPr>
          <w:b/>
        </w:rPr>
        <w:t xml:space="preserve">[533] </w:t>
      </w:r>
      <w:hyperlink r:id="rId1522">
        <w:r>
          <w:rPr>
            <w:color w:val="1155CC"/>
            <w:u w:val="single"/>
          </w:rPr>
          <w:t>SARS-CoV-2 原型及其（亚）变体的 NTD 抗体中和和免疫逃逸的结构和机制图谱</w:t>
        </w:r>
      </w:hyperlink>
    </w:p>
    <w:p>
      <w:pPr>
        <w:spacing w:before="0" w:after="80"/>
      </w:pPr>
      <w:r>
        <w:rPr>
          <w:i/>
          <w:sz w:val="20"/>
        </w:rPr>
        <w:t>EN: A structural and mechanistic atlas of NTD antibody neutralization and immune escape across SARS-CoV-2 prototype and its (sub-)variants</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23">
        <w:r>
          <w:rPr>
            <w:color w:val="1155CC"/>
            <w:u w:val="single"/>
          </w:rPr>
          <w:t>10.1073/pnas.2535385123</w:t>
        </w:r>
      </w:hyperlink>
    </w:p>
    <w:p>
      <w:pPr>
        <w:spacing w:before="0" w:after="120"/>
      </w:pPr>
      <w:r>
        <w:rPr>
          <w:b/>
        </w:rPr>
        <w:t xml:space="preserve">Notes: </w:t>
      </w:r>
      <w:r>
        <w:t>abstract_source=crossref</w:t>
      </w:r>
    </w:p>
    <w:p>
      <w:pPr>
        <w:spacing w:before="0" w:after="80" w:lineRule="auto" w:line="276"/>
      </w:pPr>
      <w:r>
        <w:rPr>
          <w:b/>
        </w:rPr>
        <w:t xml:space="preserve">摘要（ZH）: </w:t>
      </w:r>
      <w:r>
        <w:t>SARS-CoV-2 刺突 (S) 的 N 末端结构域 (NTD) 是一个关键的抗体靶点，但其表位组织、中和机制和免疫逃避策略仍未完全解决。在这里，我们将 NTD 抗体分为九个空间不同的类别（指定为 NTD-1 至 NTD-9），包括此处定义的神秘表位 (NTD-8)。机制研究表明，NTD-5 和 NTD-9 抗体通过诱导 S1 脱落来中和，从而将该机制扩展到选定的 NTD 定向抗体。格式分析显示，虽然大多数 NTD 抗体需要二价，但来自 NTD-3、NTD-5 和 NTD-9 的选定抗体保留了 Fab 形式的中和活性。对原型、Delta 和 17 个 Omicron 亚变体的 41 种抗体进行分析，定义了表位解析的逃逸景观，并能够剖析三种聚合逃逸策略：接触残基破坏、聚糖屏蔽和构象重塑。值得注意的是，KP.3.1.1 亚变体使用双重逃逸机制，其中 ΔS31 引入 N30 糖基化并显着重塑 S27-R34 区域，从而破坏 NTD-5 和 NTD-9 抗体的识别。这些发现为抗抗原漂移的合理疫苗和抗体设计提供了结构和机制框架。</w:t>
      </w:r>
    </w:p>
    <w:p>
      <w:pPr>
        <w:spacing w:before="0" w:after="200" w:lineRule="auto" w:line="276"/>
      </w:pPr>
      <w:r>
        <w:rPr>
          <w:b/>
        </w:rPr>
        <w:t xml:space="preserve">Abstract (EN): </w:t>
      </w:r>
      <w:r>
        <w:t>The N-terminal domain (NTD) of the SARS-CoV-2 spike (S) is a critical antibody target, yet its epitope organization, neutralization mechanisms, and immune evasion strategies remain incompletely resolved. Here, we classify NTD antibodies into nine spatially distinct classes (designated as NTD-1 to NTD-9), including a cryptic epitope defined here (NTD-8). Mechanistic studies reveal that NTD-5 and NTD-9 antibodies neutralize by inducing S1 shedding, thereby extending this mechanism to selected NTD-directed antibodies. Format profiling shows that while most NTD antibodies require bivalency, selected antibodies from NTD-3, NTD-5, and NTD-9 retain neutralizing activity in Fab form. Profiling 41 antibodies across prototype, Delta, and 17 Omicron subvariants defines an epitope-resolved escape landscape and enables dissection of three convergent evasion strategies: contact residue disruption, glycan shielding, and conformational remodeling. Notably, the KP.3.1.1 subvariant uses a dual escape mechanism in which ∆S31 introduces N30 glycosylation and substantially remodels the S27-R34 region, undermining recognition by both NTD-5 and NTD-9 antibodies. These findings provide a structural and mechanistic framework for rational vaccine and antibody design resilient to antigenic drift.</w:t>
      </w:r>
    </w:p>
    <w:p>
      <w:pPr>
        <w:spacing w:before="120" w:after="120"/>
      </w:pPr>
      <w:r>
        <w:rPr>
          <w:sz w:val="18"/>
        </w:rPr>
        <w:t>——————————————————————————————————————————————————————————————————————</w:t>
      </w:r>
    </w:p>
    <w:p>
      <w:pPr>
        <w:spacing w:before="160" w:after="40" w:line="240" w:lineRule="auto"/>
      </w:pPr>
      <w:r>
        <w:rPr>
          <w:b/>
        </w:rPr>
        <w:t xml:space="preserve">[534] </w:t>
      </w:r>
      <w:hyperlink r:id="rId1524">
        <w:r>
          <w:rPr>
            <w:color w:val="1155CC"/>
            <w:u w:val="single"/>
          </w:rPr>
          <w:t>直接可视化单个带电杂质周围的载流子密度调制效应</w:t>
        </w:r>
      </w:hyperlink>
    </w:p>
    <w:p>
      <w:pPr>
        <w:spacing w:before="0" w:after="80"/>
      </w:pPr>
      <w:r>
        <w:rPr>
          <w:i/>
          <w:sz w:val="20"/>
        </w:rPr>
        <w:t>EN: Direct visualization of carrier density modulation effect around individual charged impurities</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25">
        <w:r>
          <w:rPr>
            <w:color w:val="1155CC"/>
            <w:u w:val="single"/>
          </w:rPr>
          <w:t>10.1073/pnas.2536207123</w:t>
        </w:r>
      </w:hyperlink>
    </w:p>
    <w:p>
      <w:pPr>
        <w:spacing w:before="0" w:after="120"/>
      </w:pPr>
      <w:r>
        <w:rPr>
          <w:b/>
        </w:rPr>
        <w:t xml:space="preserve">Notes: </w:t>
      </w:r>
      <w:r>
        <w:t>abstract_source=crossref</w:t>
      </w:r>
    </w:p>
    <w:p>
      <w:pPr>
        <w:spacing w:before="0" w:after="80" w:lineRule="auto" w:line="276"/>
      </w:pPr>
      <w:r>
        <w:rPr>
          <w:b/>
        </w:rPr>
        <w:t xml:space="preserve">摘要（ZH）: </w:t>
      </w:r>
      <w:r>
        <w:t>带电杂质是现代电子器件中载流子散射的主要来源之一，随着器件尺寸接近原子极限，它们的影响显着增加，因此了解载流子如何在原子水平上散射杂质至关重要。尽管很重要，但带电杂质周围的电子传输行为，尤其是电流引起的局部电化学电位分布，在实验上仍然难以捉摸。在这里，通过使用多探针扫描隧道电位法，我们直接可视化外延双层石墨烯中单个带电杂质周围几纳米区域内的偶极电位分布。这些偶极子的方向（与局部电流对齐或反对齐）由​​杂质的电荷极性决定，这为 Landauer 在 1976 年提出的载流子密度调制效应提供了直接证据。通过原位调整局部电流方向，我们演示了对这些偶极子方向的主动控制。我们的研究推进了对带电杂质散射从整体平均水平到单一杂质水平的理解，并为探索原子尺度上更多的量子输运现象铺平了道路。</w:t>
      </w:r>
    </w:p>
    <w:p>
      <w:pPr>
        <w:spacing w:before="0" w:after="200" w:lineRule="auto" w:line="276"/>
      </w:pPr>
      <w:r>
        <w:rPr>
          <w:b/>
        </w:rPr>
        <w:t xml:space="preserve">Abstract (EN): </w:t>
      </w:r>
      <w:r>
        <w:t>Charged impurities are one of the dominant sources for carrier scattering in modern electronic devices, and their impact significantly increases as the size of devices approaches atomic limitation, making it essential to understand how carriers scatter off impurities at the atomic level. Despite the importance, the electronic transport behaviors, especially the local electrochemical potential distribution induced by electrical current, around charged impurities have remained experimentally elusive. Here, by using multiprobe scanning tunneling potentiometry, we directly visualize the dipolar potential distribution over a region of several nanometers around individual charged impurities in epitaxial bilayer graphene. The orientations of those dipoles, aligning or antialigning with local current, are dictated by charge polarities of impurities, providing direct evidence of the carrier density modulation effect proposed by Landauer in 1976. By in situ tuning local current directions, we demonstrate the active control of the orientations of these dipoles. Our studies advance the understanding of charged-impurity scattering from ensemble average to the single-impurity level and paves the way to explore more quantum transport phenomena at atomic scale.</w:t>
      </w:r>
    </w:p>
    <w:p>
      <w:pPr>
        <w:spacing w:before="120" w:after="120"/>
      </w:pPr>
      <w:r>
        <w:rPr>
          <w:sz w:val="18"/>
        </w:rPr>
        <w:t>——————————————————————————————————————————————————————————————————————</w:t>
      </w:r>
    </w:p>
    <w:p>
      <w:pPr>
        <w:spacing w:before="160" w:after="40" w:line="240" w:lineRule="auto"/>
      </w:pPr>
      <w:r>
        <w:rPr>
          <w:b/>
        </w:rPr>
        <w:t xml:space="preserve">[535] </w:t>
      </w:r>
      <w:hyperlink r:id="rId1526">
        <w:r>
          <w:rPr>
            <w:color w:val="1155CC"/>
            <w:u w:val="single"/>
          </w:rPr>
          <w:t>对导致磷酸盐失调疾病的突变的机制见解</w:t>
        </w:r>
      </w:hyperlink>
    </w:p>
    <w:p>
      <w:pPr>
        <w:spacing w:before="0" w:after="80"/>
      </w:pPr>
      <w:r>
        <w:rPr>
          <w:i/>
          <w:sz w:val="20"/>
        </w:rPr>
        <w:t>EN: Mechanistic insights into mutations that cause diseases of phosphate dysregulation</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27">
        <w:r>
          <w:rPr>
            <w:color w:val="1155CC"/>
            <w:u w:val="single"/>
          </w:rPr>
          <w:t>10.1073/pnas.2603453123</w:t>
        </w:r>
      </w:hyperlink>
    </w:p>
    <w:p>
      <w:pPr>
        <w:spacing w:before="0" w:after="120"/>
      </w:pPr>
      <w:r>
        <w:rPr>
          <w:b/>
        </w:rPr>
        <w:t xml:space="preserve">Notes: </w:t>
      </w:r>
      <w:r>
        <w:t>abstract_source=crossref</w:t>
      </w:r>
    </w:p>
    <w:p>
      <w:pPr>
        <w:spacing w:before="0" w:after="80" w:lineRule="auto" w:line="276"/>
      </w:pPr>
      <w:r>
        <w:rPr>
          <w:b/>
        </w:rPr>
        <w:t xml:space="preserve">摘要（ZH）: </w:t>
      </w:r>
      <w:r>
        <w:t>磷酸盐在人体内发挥着重要作用，其水平通过保守的反馈回路受到严格控制。 FGF23 是骨骼中产生的磷酸盐调节激素，受糖基转移酶 GALNT3 调节，其表达对循环磷酸盐水平敏感。 GALNT3 介导的 FGF23 糖基化可防止弗林蛋白酶裂解失活，从而允许完整的 FGF23 调节肾脏中的磷酸盐重吸收。 FGF23 或 GALNT3 的突变会导致磷酸盐调节疾病，从而导致生长缺陷、骨骼畸形、软组织钙化、肾衰竭和死亡。然而，许多这些突变的具体影响仍然知之甚少，并且缺乏有效的治疗方法。在这里，我们采用重现 FGF23/GALNT3 轴的体内系统来证明 11 个 GALNT3 患者突变的功能后果。我们确定了某些影响稳定性但保留催化活性的 GALNT3 突变，因此可能是增强折叠/稳定性的治疗方法的目标。我们提供的证据表明，先前报道的一种致病突变不是致病性的。我们还证明 GALNT 家族的另外两个成员可以糖基化 FGF23 并保护其免受细胞中弗林蛋白酶的裂解。最后，我们检查了三种源自患者的 FGF23 突变，并表明它们对稳定性或分泌具有独特的影响。这项研究提供了有关导致疾病的患者 GALNT3 和 FGF23 突变的详细机制信息和功能平台</w:t>
      </w:r>
    </w:p>
    <w:p>
      <w:pPr>
        <w:spacing w:before="0" w:after="200" w:lineRule="auto" w:line="276"/>
      </w:pPr>
      <w:r>
        <w:rPr>
          <w:b/>
        </w:rPr>
        <w:t xml:space="preserve">Abstract (EN): </w:t>
      </w:r>
      <w:r>
        <w:t>Phosphate plays essential roles within the human body and levels are tightly controlled through conserved feedback loops. FGF23, a phosphate-regulating hormone produced in the bone, is regulated by the glycosyltransferase, GALNT3, whose expression is sensitive to circulating phosphate levels. GALNT3-mediated glycosylation of FGF23 confers protection from inactivating furin cleavage, thus allowing intact FGF23 to modulate phosphate reabsorption in the kidneys. Mutations in either FGF23 or GALNT3 are responsible for diseases of phosphate regulation, which can lead to growth defects, skeletal malformations, soft-tissue calcification, kidney failure, and death. However, the specific effects of many of these mutations remain poorly understood and effective treatments are lacking. Here, we employ an in vivo system that recapitulates the FGF23/GALNT3 axis to demonstrate the functional consequences of 11 GALNT3 patient mutations. We identify certain GALNT3 mutations that affect stability yet retain catalytic activity and thus may be targets for therapeutic approaches that enhance folding/stability. We present evidence that one previously reported pathogenic mutation is not pathogenic. We also demonstrate that two additional members of the GALNT family can glycosylate FGF23 and protect it from furin cleavage in cells. Finally, we examine three patient-derived FGF23 mutations and show they have unique effects on stability or secretion. This study provides detailed mechanistic information regarding patient mutations in both GALNT3 and FGF23 that result in disease and a functional platform for developing new approaches to treat diseases of phosphate dysregulation.</w:t>
      </w:r>
    </w:p>
    <w:p>
      <w:pPr>
        <w:spacing w:before="120" w:after="120"/>
      </w:pPr>
      <w:r>
        <w:rPr>
          <w:sz w:val="18"/>
        </w:rPr>
        <w:t>——————————————————————————————————————————————————————————————————————</w:t>
      </w:r>
    </w:p>
    <w:p>
      <w:pPr>
        <w:spacing w:before="160" w:after="40" w:line="240" w:lineRule="auto"/>
      </w:pPr>
      <w:r>
        <w:rPr>
          <w:b/>
        </w:rPr>
        <w:t xml:space="preserve">[536] </w:t>
      </w:r>
      <w:hyperlink r:id="rId1528">
        <w:r>
          <w:rPr>
            <w:color w:val="1155CC"/>
            <w:u w:val="single"/>
          </w:rPr>
          <w:t>岛屿特有陆生脊椎动物灭绝风险的全球模式和驱动因素</w:t>
        </w:r>
      </w:hyperlink>
    </w:p>
    <w:p>
      <w:pPr>
        <w:spacing w:before="0" w:after="80"/>
      </w:pPr>
      <w:r>
        <w:rPr>
          <w:i/>
          <w:sz w:val="20"/>
        </w:rPr>
        <w:t>EN: Global patterns and drivers of extinction risk in island endemic terrestrial vertebrates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29">
        <w:r>
          <w:rPr>
            <w:color w:val="1155CC"/>
            <w:u w:val="single"/>
          </w:rPr>
          <w:t>10.1126/sciadv.aef9781</w:t>
        </w:r>
      </w:hyperlink>
    </w:p>
    <w:p>
      <w:pPr>
        <w:spacing w:before="0" w:after="120"/>
      </w:pPr>
      <w:r>
        <w:rPr>
          <w:b/>
        </w:rPr>
        <w:t xml:space="preserve">Notes: </w:t>
      </w:r>
      <w:r>
        <w:t>abstract_source=crossref</w:t>
      </w:r>
    </w:p>
    <w:p>
      <w:pPr>
        <w:spacing w:before="0" w:after="80" w:lineRule="auto" w:line="276"/>
      </w:pPr>
      <w:r>
        <w:rPr>
          <w:b/>
        </w:rPr>
        <w:t xml:space="preserve">摘要（ZH）: </w:t>
      </w:r>
      <w:r>
        <w:t>岛屿特有的陆生脊椎动物由于长期隔离和生态专业化而形成，在人类世特别容易受到灭绝压力的影响。然而，跨类群灭绝模式及其驱动因素仍然知之甚少。在这里，我们编制了 31,865 种陆地脊椎动物（包括 7500 多种岛屿特有物种）的全球数据集，以与大陆特有物种和双范围物种进行比较，评估岛屿特有物种灭绝风险的模式和驱动因素。我们发现，岛屿特有物种比非岛屿特有物种面临更高的灭绝风险，自公元 1500 年以来，3.1% 的物种已灭绝，34% 的物种目前受到威胁。岛屿特有物种的灭绝风险分布不均，分类结构也不同，与入侵物种、过度开发和气候变化密切相关。与大陆特有物种和双范围物种相比，它们的高风险与小范围规模和栖息地专业化密切相关，而生物特征、气候和人为压力也产生了分类群特异性的影响。这些发现解释了岛屿特有脊椎动物的独特脆弱性，并为整个岛屿生态系统的保护优先事项提供了信息。</w:t>
      </w:r>
    </w:p>
    <w:p>
      <w:pPr>
        <w:spacing w:before="0" w:after="200" w:lineRule="auto" w:line="276"/>
      </w:pPr>
      <w:r>
        <w:rPr>
          <w:b/>
        </w:rPr>
        <w:t xml:space="preserve">Abstract (EN): </w:t>
      </w:r>
      <w:r>
        <w:t>Island endemic terrestrial vertebrates, shaped by long-term isolation and ecological specialization, are particularly vulnerable to extinction pressure in the Anthropocene. However, cross-taxon extinction patterns and their drivers remain poorly understood. Here, we compiled a global dataset of 31,865 terrestrial vertebrates, including more than 7500 island endemic species, to evaluate the patterns and drivers of extinction risk in island endemics, in comparison with continent endemics and dual-range species. We found that island endemics face significantly higher extinction risk than non-island endemics, with 3.1% extinct and 34% currently threatened since 1500 CE. Extinction risk among island endemics is unevenly distributed and taxonomically structured, tightly linked to invasive species, overexploitation, and climate change. Compared with continent endemics and dual-range species, their elevated risk is closely associated with small range size and habitat specialization, while biological traits, climate, and anthropogenic pressures also exert taxon-specific effects. These findings explain the unique vulnerability of island endemic vertebrates and inform conservation priorities across island ecosystems.</w:t>
      </w:r>
    </w:p>
    <w:p>
      <w:pPr>
        <w:spacing w:before="120" w:after="120"/>
      </w:pPr>
      <w:r>
        <w:rPr>
          <w:sz w:val="18"/>
        </w:rPr>
        <w:t>——————————————————————————————————————————————————————————————————————</w:t>
      </w:r>
    </w:p>
    <w:p>
      <w:pPr>
        <w:spacing w:before="160" w:after="40" w:line="240" w:lineRule="auto"/>
      </w:pPr>
      <w:r>
        <w:rPr>
          <w:b/>
        </w:rPr>
        <w:t xml:space="preserve">[537] </w:t>
      </w:r>
      <w:hyperlink r:id="rId1530">
        <w:r>
          <w:rPr>
            <w:color w:val="1155CC"/>
            <w:u w:val="single"/>
          </w:rPr>
          <w:t>N-乙酰化达肽调节线虫发育</w:t>
        </w:r>
      </w:hyperlink>
    </w:p>
    <w:p>
      <w:pPr>
        <w:spacing w:before="0" w:after="80"/>
      </w:pPr>
      <w:r>
        <w:rPr>
          <w:i/>
          <w:sz w:val="20"/>
        </w:rPr>
        <w:t>EN: An N-acetylated daropeptide modulates nematode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31">
        <w:r>
          <w:rPr>
            <w:color w:val="1155CC"/>
            <w:u w:val="single"/>
          </w:rPr>
          <w:t>10.1073/pnas.2617449123</w:t>
        </w:r>
      </w:hyperlink>
    </w:p>
    <w:p>
      <w:pPr>
        <w:spacing w:before="0" w:after="120"/>
      </w:pPr>
      <w:r>
        <w:rPr>
          <w:b/>
        </w:rPr>
        <w:t xml:space="preserve">Notes: </w:t>
      </w:r>
      <w:r>
        <w:t>abstract_source=crossref</w:t>
      </w:r>
    </w:p>
    <w:p>
      <w:pPr>
        <w:spacing w:before="0" w:after="80" w:lineRule="auto" w:line="276"/>
      </w:pPr>
      <w:r>
        <w:rPr>
          <w:b/>
        </w:rPr>
        <w:t xml:space="preserve">摘要（ZH）: </w:t>
      </w:r>
      <w:r>
        <w:t>共生细菌</w:t>
      </w:r>
      <w:r>
        <w:t xml:space="preserve"> </w:t>
      </w:r>
      <w:r>
        <w:t>光杆菌属</w:t>
      </w:r>
      <w:r>
        <w:t xml:space="preserve"> </w:t>
      </w:r>
      <w:r>
        <w:t>是生物活性次生代谢物的丰富来源，介导与线虫和昆虫宿主的三方相互作用。然而，在这个生态位中，核糖体来源的天然产物在很大程度上仍未得到充分探索。在这里，我们报告了 aphotorhaptin A 的鉴定，这是一种来自 darobactin 的类肽（daropeptide）天然产物</w:t>
      </w:r>
      <w:r>
        <w:t xml:space="preserve"> </w:t>
      </w:r>
      <w:r>
        <w:t>共生光杆菌</w:t>
      </w:r>
      <w:r>
        <w:t xml:space="preserve"> </w:t>
      </w:r>
      <w:r>
        <w:t>，其结构具有醚交联和 N 末端乙酰基单元。生物合成研究发现 aphotorhaptin A 通过意外的前导序列裂解步骤成熟，随后的 N 末端乙酰化赋予代谢稳定性，从而维持六肽支架的完整性。生化和结构研究表明，乙酰转移酶 PasC 表现出显着的底物混杂性，这得益于可容纳不同酰基辅酶 A 供体和肽底物的广阔活性位点空腔。与抗菌darobactin不同，aphotorhaptin A似乎缺乏抗菌活性，但可以调节线虫的发育，并且这种活性需要醚交联和六肽支架中的N端乙酰基。这些发现扩大了核糖体肽家族的化学和生物合成空间，并建立了其与线虫发育和繁殖的联系。</w:t>
      </w:r>
    </w:p>
    <w:p>
      <w:pPr>
        <w:spacing w:before="0" w:after="200" w:lineRule="auto" w:line="276"/>
      </w:pPr>
      <w:r>
        <w:rPr>
          <w:b/>
        </w:rPr>
        <w:t xml:space="preserve">Abstract (EN): </w:t>
      </w:r>
      <w:r>
        <w:t>The symbiotic bacterium</w:t>
      </w:r>
      <w:r>
        <w:t xml:space="preserve"> </w:t>
      </w:r>
      <w:r>
        <w:t>Photorhabdus</w:t>
      </w:r>
      <w:r>
        <w:t xml:space="preserve"> </w:t>
      </w:r>
      <w:r>
        <w:t>is a rich source of bioactive secondary metabolites that mediate tripartite interactions with nematodes and insect hosts. However, natural products of ribosomal origin remain largely underexplored within this ecological niche. Here, we report the identification of aphotorhaptin A, a darobactin-like peptide (daropeptide) natural product from</w:t>
      </w:r>
      <w:r>
        <w:t xml:space="preserve"> </w:t>
      </w:r>
      <w:r>
        <w:t>Photorhabdus asymbiotica</w:t>
      </w:r>
      <w:r>
        <w:t xml:space="preserve"> </w:t>
      </w:r>
      <w:r>
        <w:t>, which structurally features an ether crosslink and an N-terminal acetyl unit. Biosynthetic investigation uncovers aphotorhaptin A is matured via an unexpected leader cleavage step, and the subsequent N-terminal acetylation confers metabolic stability that maintains the hexapeptide scaffold integrity. Biochemical and structural studies demonstrate the acetyltransferase PasC exhibits remarkable substrate promiscuity, facilitated by an expansive active-site cavity that accommodates diverse acyl-CoA donors and peptide substrates. Unlike the antimicrobial darobactin, aphotorhaptin A appears to lack antibacterial activity but modulates nematode development, and this activity requires the ether crosslink and the N-terminal acetyl group in the hexapeptide scaffold. These findings expand the chemical and biosynthetic space of ribosomal peptide family and establish its link with nematode development and reproduction.</w:t>
      </w:r>
    </w:p>
    <w:p>
      <w:pPr>
        <w:spacing w:before="120" w:after="120"/>
      </w:pPr>
      <w:r>
        <w:rPr>
          <w:sz w:val="18"/>
        </w:rPr>
        <w:t>——————————————————————————————————————————————————————————————————————</w:t>
      </w:r>
    </w:p>
    <w:p>
      <w:pPr>
        <w:spacing w:before="160" w:after="40" w:line="240" w:lineRule="auto"/>
      </w:pPr>
      <w:r>
        <w:rPr>
          <w:b/>
        </w:rPr>
        <w:t xml:space="preserve">[538] </w:t>
      </w:r>
      <w:hyperlink r:id="rId1532">
        <w:r>
          <w:rPr>
            <w:color w:val="1155CC"/>
            <w:u w:val="single"/>
          </w:rPr>
          <w:t>句子生成过程中语言信息的大小无关神经编码的混合空间组织和证据</w:t>
        </w:r>
      </w:hyperlink>
    </w:p>
    <w:p>
      <w:pPr>
        <w:spacing w:before="0" w:after="80"/>
      </w:pPr>
      <w:r>
        <w:rPr>
          <w:i/>
          <w:sz w:val="20"/>
        </w:rPr>
        <w:t>EN: Hybrid spatial organization and evidence for magnitude-independent neural coding of linguistic information during sentence production</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33">
        <w:r>
          <w:rPr>
            <w:color w:val="1155CC"/>
            <w:u w:val="single"/>
          </w:rPr>
          <w:t>10.1126/sciadv.aec0518</w:t>
        </w:r>
      </w:hyperlink>
    </w:p>
    <w:p>
      <w:pPr>
        <w:spacing w:before="0" w:after="120"/>
      </w:pPr>
      <w:r>
        <w:rPr>
          <w:b/>
        </w:rPr>
        <w:t xml:space="preserve">Notes: </w:t>
      </w:r>
      <w:r>
        <w:t>abstract_source=crossref</w:t>
      </w:r>
    </w:p>
    <w:p>
      <w:pPr>
        <w:spacing w:before="0" w:after="80" w:lineRule="auto" w:line="276"/>
      </w:pPr>
      <w:r>
        <w:rPr>
          <w:b/>
        </w:rPr>
        <w:t xml:space="preserve">摘要（ZH）: </w:t>
      </w:r>
      <w:r>
        <w:t>人类是唯一能够系统地组合单词来传达无限数量的复杂含义的物种。这一过程是由组合过程引导的，其潜在的神经机制仍然被非侵入性大脑测量的固有局限性和几乎完全关注理解范式所掩盖。在这里，我们通过高分辨率神经外科记录（皮质电图）和受控句子生成实验来解决这些限制。我们发现了编码单词级和高阶信息的不同皮质网络。这些网络表现出混合的空间组织：广泛分布在传统语言区域，但集中关注规范语言区域的语义和结构对比的敏感性。与之前基于理解的发现相比，我们发现这些网络在很大程度上是不重叠的。最值得注意的是，高阶语言信息显示出与局部活动强度的意外分离。这一结果在活动强度和信息内容之间建立了操作上的分离，指出了高阶语言潜在独特的神经编码方案，对语言的神经生物学具有重要意义。</w:t>
      </w:r>
    </w:p>
    <w:p>
      <w:pPr>
        <w:spacing w:before="0" w:after="200" w:lineRule="auto" w:line="276"/>
      </w:pPr>
      <w:r>
        <w:rPr>
          <w:b/>
        </w:rPr>
        <w:t xml:space="preserve">Abstract (EN): </w:t>
      </w:r>
      <w:r>
        <w:t>Humans are the only species with the ability to systematically combine words to convey an unbounded number of complex meanings. This process is guided by combinatorial processes whose underlying neural mechanisms remain obscured by inherent limitations of noninvasive brain measures and a near-total focus on comprehension paradigms. Here, we address these limitations with high-resolution neurosurgical recordings (electrocorticography) and a controlled sentence production experiment. We uncover distinct cortical networks encoding word-level and higher-order information. These networks exhibited a hybrid spatial organization: broadly distributed across traditional language areas but with focal concentrations of sensitivity to semantic and structural contrasts in canonical language regions. In contrast to previous comprehension-based findings, we find that these networks are largely nonoverlapping. Most notably, higher-order linguistic information showed an unexpected dissociation from local activity magnitude. This result establishes an operational dissociation between activity magnitude and information content, pointing toward a potentially distinct neural coding scheme for higher-order language, with important implications for the neurobiology of language.</w:t>
      </w:r>
    </w:p>
    <w:p>
      <w:pPr>
        <w:spacing w:before="120" w:after="120"/>
      </w:pPr>
      <w:r>
        <w:rPr>
          <w:sz w:val="18"/>
        </w:rPr>
        <w:t>——————————————————————————————————————————————————————————————————————</w:t>
      </w:r>
    </w:p>
    <w:p>
      <w:pPr>
        <w:spacing w:before="160" w:after="40" w:line="240" w:lineRule="auto"/>
      </w:pPr>
      <w:r>
        <w:rPr>
          <w:b/>
        </w:rPr>
        <w:t xml:space="preserve">[539] </w:t>
      </w:r>
      <w:hyperlink r:id="rId1534">
        <w:r>
          <w:rPr>
            <w:color w:val="1155CC"/>
            <w:u w:val="single"/>
          </w:rPr>
          <w:t>二维范德华材料中的中红外长程表面极化激元</w:t>
        </w:r>
      </w:hyperlink>
    </w:p>
    <w:p>
      <w:pPr>
        <w:spacing w:before="0" w:after="80"/>
      </w:pPr>
      <w:r>
        <w:rPr>
          <w:i/>
          <w:sz w:val="20"/>
        </w:rPr>
        <w:t>EN: Mid-infrared long-range surface polaritons in two-dimensional van der Waals materials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35">
        <w:r>
          <w:rPr>
            <w:color w:val="1155CC"/>
            <w:u w:val="single"/>
          </w:rPr>
          <w:t>10.1126/sciadv.aed2198</w:t>
        </w:r>
      </w:hyperlink>
    </w:p>
    <w:p>
      <w:pPr>
        <w:spacing w:before="0" w:after="120"/>
      </w:pPr>
      <w:r>
        <w:rPr>
          <w:b/>
        </w:rPr>
        <w:t xml:space="preserve">Notes: </w:t>
      </w:r>
      <w:r>
        <w:t>abstract_source=crossref</w:t>
      </w:r>
    </w:p>
    <w:p>
      <w:pPr>
        <w:spacing w:before="0" w:after="80" w:lineRule="auto" w:line="276"/>
      </w:pPr>
      <w:r>
        <w:rPr>
          <w:b/>
        </w:rPr>
        <w:t xml:space="preserve">摘要（ZH）: </w:t>
      </w:r>
      <w:r>
        <w:t>二维 (2D) 范德华 (vdW) 材料中石墨烯等离激元 (GP) 和双曲声子极化激元 (HPhP) 的发现实现了极端的光限制并增强了光与物质的相互作用，为小型化中红外 (mid-IR) 光子器件带来了希望。然而，GP 和 HPhP 的传播长度有限，阻碍了它们在各种应用中的影响。在这里，我们展示了二维 vdW 材料中的长程表面极化子 (LRSP)，具有更长的传播长度和更快的群速度，这可能为中红外区域的高速片上光子应用提供补充机会。所展示的 LRSP 由深亚波长异质结构支撑，该异质结构由六方氮化硼 (h-BN) 薄片、高折射率锗 (Ge) 层和金 (Au) 薄膜组成。在这种几何结构中，我们通过实验证明了跨越整个 h-BN 薄片的传播距离超过 80 微米，而没有明显的衰减。理论预测的传播长度约为 925 微米。这些极化子可能非常适合实现极化互连，桥接紧凑型平面光子系统的不同组件，从而实现中红外信息传输以及与其他基于 vdW 材料的中红外光子器件的无缝集成。</w:t>
      </w:r>
    </w:p>
    <w:p>
      <w:pPr>
        <w:spacing w:before="0" w:after="200" w:lineRule="auto" w:line="276"/>
      </w:pPr>
      <w:r>
        <w:rPr>
          <w:b/>
        </w:rPr>
        <w:t xml:space="preserve">Abstract (EN): </w:t>
      </w:r>
      <w:r>
        <w:t>The discovery of graphene plasmons (GPs) and hyperbolic phonon polaritons (HPhPs) in two-dimensional (2D) van der Waals (vdW) materials has enabled extreme light confinement and enhanced light-matter interactions, holding the promise for miniaturized mid-infrared (mid-IR) photonic devices. However, GPs and HPhPs suffer from limited propagation lengths, hindering their impact in various applications. Here, we demonstrate long-range surface polaritons (LRSPs) in 2D vdW materials, featuring much longer propagation lengths and faster group velocities, which may offer complementary opportunities for high-speed on-chip photonic applications in the mid-IR regime. The demonstrated LRSPs are supported by deep-subwavelength heterostructures consisting of a hexagonal boron nitride (h-BN) flake, a high-index germanium (Ge) layer, and a gold (Au) film. Within such geometry, we experimentally demonstrate propagation distances exceeding 80 micrometers crossing an entire h-BN flake without substantial decay. A theoretical prediction of ∼925-micrometer propagation length is obtained. These polaritons may be ideally suited for realizing polaritonic interconnects that bridge different components of compact and planar photonic systems, enabling mid-IR information transport and seamless integration with other vdW material–based mid-IR photonic devices.</w:t>
      </w:r>
    </w:p>
    <w:p>
      <w:pPr>
        <w:spacing w:before="120" w:after="120"/>
      </w:pPr>
      <w:r>
        <w:rPr>
          <w:sz w:val="18"/>
        </w:rPr>
        <w:t>——————————————————————————————————————————————————————————————————————</w:t>
      </w:r>
    </w:p>
    <w:p>
      <w:pPr>
        <w:spacing w:before="160" w:after="40" w:line="240" w:lineRule="auto"/>
      </w:pPr>
      <w:r>
        <w:rPr>
          <w:b/>
        </w:rPr>
        <w:t xml:space="preserve">[540] </w:t>
      </w:r>
      <w:hyperlink r:id="rId1536">
        <w:r>
          <w:rPr>
            <w:color w:val="1155CC"/>
            <w:u w:val="single"/>
          </w:rPr>
          <w:t>转座子衍生的转录因子通过相分离感知离子应激来控制植物自噬</w:t>
        </w:r>
      </w:hyperlink>
    </w:p>
    <w:p>
      <w:pPr>
        <w:spacing w:before="0" w:after="80"/>
      </w:pPr>
      <w:r>
        <w:rPr>
          <w:i/>
          <w:sz w:val="20"/>
        </w:rPr>
        <w:t>EN: A transposon-derived transcription factor senses ionic stress through phase separation to govern plant autophagy</w:t>
      </w:r>
    </w:p>
    <w:p>
      <w:pPr>
        <w:spacing w:before="0" w:after="120"/>
      </w:pPr>
      <w:r>
        <w:rPr>
          <w:b/>
        </w:rPr>
        <w:t xml:space="preserve">Source: </w:t>
      </w:r>
      <w:r>
        <w:t>Proceedings of the National Academy of Sciences: Keyword search for query</w:t>
      </w:r>
      <w:r>
        <w:t xml:space="preserve">    </w:t>
      </w:r>
      <w:r>
        <w:rPr>
          <w:b/>
        </w:rPr>
        <w:t xml:space="preserve">Pub date: </w:t>
      </w:r>
      <w:r>
        <w:t>2026-08-05 07:00:00+00:00</w:t>
      </w:r>
      <w:r>
        <w:t xml:space="preserve">    </w:t>
      </w:r>
      <w:r>
        <w:rPr>
          <w:b/>
        </w:rPr>
        <w:t xml:space="preserve">DOI: </w:t>
      </w:r>
      <w:hyperlink r:id="rId1537">
        <w:r>
          <w:rPr>
            <w:color w:val="1155CC"/>
            <w:u w:val="single"/>
          </w:rPr>
          <w:t>10.1073/pnas.2617665123</w:t>
        </w:r>
      </w:hyperlink>
    </w:p>
    <w:p>
      <w:pPr>
        <w:spacing w:before="0" w:after="120"/>
      </w:pPr>
      <w:r>
        <w:rPr>
          <w:b/>
        </w:rPr>
        <w:t xml:space="preserve">Notes: </w:t>
      </w:r>
      <w:r>
        <w:t>abstract_source=crossref</w:t>
      </w:r>
    </w:p>
    <w:p>
      <w:pPr>
        <w:spacing w:before="0" w:after="80" w:lineRule="auto" w:line="276"/>
      </w:pPr>
      <w:r>
        <w:rPr>
          <w:b/>
        </w:rPr>
        <w:t xml:space="preserve">摘要（ZH）: </w:t>
      </w:r>
      <w:r>
        <w:t>盐胁迫通过两种不同的细胞损伤严重损害植物生长：水分限制引起的渗透胁迫和过量钠引起的离子毒性</w:t>
      </w:r>
      <w:r>
        <w:t xml:space="preserve"> </w:t>
      </w:r>
      <w:r>
        <w:t>+</w:t>
      </w:r>
      <w:r>
        <w:t xml:space="preserve"> </w:t>
      </w:r>
      <w:r>
        <w:t>积累。尽管植物渗透传感器已被识别，但离子应激感知的机制仍然难以捉摸。盐胁迫还会激活自噬，这是一种保守的降解途径，可以去除受损的细胞器和蛋白质聚集体，以促进胁迫耐受性。在动物中，转录因子 EB (TFEB) 等主调节因子通过激活整个通路的自噬基因来协调这种反应，但在植物中尚未发现类似的调节因子。在这里，我们发现 MUSTANG4 (MUG4) 是一种源自类突变元件 (MULE) 转座子的转录因子，在细胞中充当离子应激传感器和盐诱导自噬的主要转录驱动因素。</w:t>
      </w:r>
      <w:r>
        <w:t xml:space="preserve"> </w:t>
      </w:r>
      <w:r>
        <w:t>拟南芥</w:t>
      </w:r>
      <w:r>
        <w:t xml:space="preserve"> </w:t>
      </w:r>
      <w:r>
        <w:t>。 MUG4 对升高的单价阳离子浓度做出反应，但对氯阴离子或渗透应激没有反应，从而区分离子应激和渗透应激。 Förster 共振能量转移-荧光寿命成像、体外测定和粗粒度分子动力学模拟证明，离子应力会压缩 MUG4 的本质无序区域 (IDR)，并驱动全长蛋白质的液-液相分离。全基因组体内 CUT&amp;Tag 测序和 RNA 测序表明，MUG4 直接并协调地激活跨越该途径多个功能阶段的自噬基因。 ID</w:t>
      </w:r>
    </w:p>
    <w:p>
      <w:pPr>
        <w:spacing w:before="0" w:after="200" w:lineRule="auto" w:line="276"/>
      </w:pPr>
      <w:r>
        <w:rPr>
          <w:b/>
        </w:rPr>
        <w:t xml:space="preserve">Abstract (EN): </w:t>
      </w:r>
      <w:r>
        <w:t>Salt stress severely impairs plant growth through two distinct cellular insults: osmotic stress caused by water limitation and ionic toxicity resulting from excessive Na</w:t>
      </w:r>
      <w:r>
        <w:t xml:space="preserve"> </w:t>
      </w:r>
      <w:r>
        <w:t>+</w:t>
      </w:r>
      <w:r>
        <w:t xml:space="preserve"> </w:t>
      </w:r>
      <w:r>
        <w:t>accumulation. Although plant osmosensors have been identified, the mechanisms underlying ionic stress perception remain elusive. Salt stress also activates autophagy, a conserved degradation pathway that removes damaged organelles and protein aggregates to promote stress tolerance. In animals, master regulators such as transcription factor EB (TFEB) coordinate this response by activating autophagy genes across the pathway, but no analogous regulator has been identified in plants. Here, we show that MUSTANG4 (MUG4), a transcription factor derived from Mutator-like element (MULE) transposons, functions as an ionic stress sensor and the primary transcriptional driver of salt-induced autophagy in</w:t>
      </w:r>
      <w:r>
        <w:t xml:space="preserve"> </w:t>
      </w:r>
      <w:r>
        <w:t>Arabidopsis</w:t>
      </w:r>
      <w:r>
        <w:t xml:space="preserve"> </w:t>
      </w:r>
      <w:r>
        <w:t>. MUG4 responds to elevated monovalent cation concentrations, but not chloride anions or osmotic stress, thereby distinguishing ionic from osmotic stress. Ionic stress compacts the intrinsically disordered region (IDR) of MUG4 and drives liquid–liquid phase separation of the full-length protein, as demonstrated by Förster resonance energy transfer–fluorescence lifetime imaging, in vitro assays, and coarse-grained molecular dynamics simulations. Genome-wide in vivo CUT&amp;amp;Tag sequencing and RNA sequencing reveal that MUG4 directly and coordinately activates autophagy genes spanning multiple functional stages of the pathway. IDR deletion abolishes phase separation, reduces autophagy gene activation and autophagic flux, and prevents the truncated protein from rescuing the salt-sensitive phenotype of</w:t>
      </w:r>
      <w:r>
        <w:t xml:space="preserve"> </w:t>
      </w:r>
      <w:r>
        <w:t>mug4</w:t>
      </w:r>
      <w:r>
        <w:t xml:space="preserve"> </w:t>
      </w:r>
      <w:r>
        <w:t>mutants. These findings identify a dedicated plant ionic stress sensor and establish a mechanistic link between exapted transposable elements, phase separation, and transcriptional stress responses, thereby integrating ionic stress perception with autophagy activation.</w:t>
      </w:r>
    </w:p>
    <w:p>
      <w:pPr>
        <w:spacing w:before="120" w:after="120"/>
      </w:pPr>
      <w:r>
        <w:rPr>
          <w:sz w:val="18"/>
        </w:rPr>
        <w:t>——————————————————————————————————————————————————————————————————————</w:t>
      </w:r>
    </w:p>
    <w:p>
      <w:pPr>
        <w:spacing w:before="160" w:after="40" w:line="240" w:lineRule="auto"/>
      </w:pPr>
      <w:r>
        <w:rPr>
          <w:b/>
        </w:rPr>
        <w:t xml:space="preserve">[541] </w:t>
      </w:r>
      <w:hyperlink r:id="rId1538">
        <w:r>
          <w:rPr>
            <w:color w:val="1155CC"/>
            <w:u w:val="single"/>
          </w:rPr>
          <w:t>利拉鲁肽对脑肾轴影响的临床和实验研究</w:t>
        </w:r>
      </w:hyperlink>
    </w:p>
    <w:p>
      <w:pPr>
        <w:spacing w:before="0" w:after="80"/>
      </w:pPr>
      <w:r>
        <w:rPr>
          <w:i/>
          <w:sz w:val="20"/>
        </w:rPr>
        <w:t>EN: A clinical and experimental investigation of liraglutide effects on the brain-kidney axis</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39">
        <w:r>
          <w:rPr>
            <w:color w:val="1155CC"/>
            <w:u w:val="single"/>
          </w:rPr>
          <w:t>10.1126/sciadv.aef4951</w:t>
        </w:r>
      </w:hyperlink>
    </w:p>
    <w:p>
      <w:pPr>
        <w:spacing w:before="0" w:after="120"/>
      </w:pPr>
      <w:r>
        <w:rPr>
          <w:b/>
        </w:rPr>
        <w:t xml:space="preserve">Notes: </w:t>
      </w:r>
      <w:r>
        <w:t>abstract_source=crossref</w:t>
      </w:r>
    </w:p>
    <w:p>
      <w:pPr>
        <w:spacing w:before="0" w:after="80" w:lineRule="auto" w:line="276"/>
      </w:pPr>
      <w:r>
        <w:rPr>
          <w:b/>
        </w:rPr>
        <w:t xml:space="preserve">摘要（ZH）: </w:t>
      </w:r>
      <w:r>
        <w:t>胰高血糖素样肽 1 受体激动剂可在人类和啮齿动物中引起利尿和尿钠排泄。然而，人们对它们与控制体液稳态的体内激素系统的相互作用知之甚少。我们进行了一项单中心、开放标签的前后研究，发现利拉鲁肽可降低健康人血浆精氨酸加压素 (AVP) 水平。通过对大鼠垂体的定量蛋白质组学和磷酸化蛋白质组学研究，我们详细描述了利拉鲁肽介导的突触蛋白的时间和性别依赖性修饰。我们开发了体外 AVP 荧光素酶测定法来评估突触蛋白磷酸化对 AVP 分泌的影响。我们使用该测定来识别影响 AVP 释放的突触蛋白磷酸位点以及利拉鲁肽介导的 AVP 释放的性别差异。对肾脏 AVP 下游信号通路的研究揭示了关键的 AVP 调节水通道水通道蛋白 2 的翻译后变化。因此，胰高血糖素样肽 1 受体激动剂对 AVP 释放的调节可能是患者观察到的心血管和肾脏变化的原因。</w:t>
      </w:r>
    </w:p>
    <w:p>
      <w:pPr>
        <w:spacing w:before="0" w:after="200" w:lineRule="auto" w:line="276"/>
      </w:pPr>
      <w:r>
        <w:rPr>
          <w:b/>
        </w:rPr>
        <w:t xml:space="preserve">Abstract (EN): </w:t>
      </w:r>
      <w:r>
        <w:t>Glucagon-like peptide-1 receptor agonists elicit diuresis and natriuresis in humans and rodents. However, little is known about their interactions with the bodies hormonal systems that control fluid homeostasis. We performed a single center, open-label, before-and-after study and discovered that liraglutide reduces plasma arginine vasopressin (AVP) levels in healthy humans. By quantitative proteomic and phosphoproteomic investigation of the rat pituitary gland, we detail time- and sex-dependent modifications to synaptic proteins mediated by liraglutide. We developed an in vitro AVP luciferase assay to assess the impact of synaptic protein phosphorylation on AVP secretion. We used this assay to identify synaptic protein phosphosites that influence AVP release and liraglutide-mediated sex differences in AVP release. Investigation of AVP downstream signaling pathways in the kidney revealed posttranslational changes to the crucial AVP-regulated water channel aquaporin 2. Thus, glucagon-like peptide-1 receptor agonist modulation of AVP release may be responsible for cardiovascular and renal changes observed in patients.</w:t>
      </w:r>
    </w:p>
    <w:p>
      <w:pPr>
        <w:spacing w:before="120" w:after="120"/>
      </w:pPr>
      <w:r>
        <w:rPr>
          <w:sz w:val="18"/>
        </w:rPr>
        <w:t>——————————————————————————————————————————————————————————————————————</w:t>
      </w:r>
    </w:p>
    <w:p>
      <w:pPr>
        <w:spacing w:before="160" w:after="40" w:line="240" w:lineRule="auto"/>
      </w:pPr>
      <w:r>
        <w:rPr>
          <w:b/>
        </w:rPr>
        <w:t xml:space="preserve">[542] </w:t>
      </w:r>
      <w:hyperlink r:id="rId1540">
        <w:r>
          <w:rPr>
            <w:color w:val="1155CC"/>
            <w:u w:val="single"/>
          </w:rPr>
          <w:t>使用产生细胞因子的细胞进行局部免疫调节，以减轻啮齿动物和非人灵长类动物的异物反应</w:t>
        </w:r>
      </w:hyperlink>
    </w:p>
    <w:p>
      <w:pPr>
        <w:spacing w:before="0" w:after="80"/>
      </w:pPr>
      <w:r>
        <w:rPr>
          <w:i/>
          <w:sz w:val="20"/>
        </w:rPr>
        <w:t>EN: Localized immunomodulation with cytokine-producing cells to mitigate foreign body responses in rodents and a nonhuman primate</w:t>
      </w:r>
    </w:p>
    <w:p>
      <w:pPr>
        <w:spacing w:before="0" w:after="120"/>
      </w:pPr>
      <w:r>
        <w:rPr>
          <w:b/>
        </w:rPr>
        <w:t xml:space="preserve">Source: </w:t>
      </w:r>
      <w:r>
        <w:t>AAAS: Science Advances: Table of Contents</w:t>
      </w:r>
      <w:r>
        <w:t xml:space="preserve">    </w:t>
      </w:r>
      <w:r>
        <w:rPr>
          <w:b/>
        </w:rPr>
        <w:t xml:space="preserve">Pub date: </w:t>
      </w:r>
      <w:r>
        <w:t>2026-08-05 07:00:00+00:00</w:t>
      </w:r>
      <w:r>
        <w:t xml:space="preserve">    </w:t>
      </w:r>
      <w:r>
        <w:rPr>
          <w:b/>
        </w:rPr>
        <w:t xml:space="preserve">DOI: </w:t>
      </w:r>
      <w:hyperlink r:id="rId1541">
        <w:r>
          <w:rPr>
            <w:color w:val="1155CC"/>
            <w:u w:val="single"/>
          </w:rPr>
          <w:t>10.1126/sciadv.aec7053</w:t>
        </w:r>
      </w:hyperlink>
    </w:p>
    <w:p>
      <w:pPr>
        <w:spacing w:before="0" w:after="120"/>
      </w:pPr>
      <w:r>
        <w:rPr>
          <w:b/>
        </w:rPr>
        <w:t xml:space="preserve">Notes: </w:t>
      </w:r>
      <w:r>
        <w:t>abstract_source=crossref</w:t>
      </w:r>
    </w:p>
    <w:p>
      <w:pPr>
        <w:spacing w:before="0" w:after="80" w:lineRule="auto" w:line="276"/>
      </w:pPr>
      <w:r>
        <w:rPr>
          <w:b/>
        </w:rPr>
        <w:t xml:space="preserve">摘要（ZH）: </w:t>
      </w:r>
      <w:r>
        <w:t>基于细胞的疗法的功效通常会受到植入细胞和生物材料的宿主免疫识别的影响，导致纤维化包膜和功能丧失。在这里，我们通过基于免疫调节细胞的疗法来应对这一挑战，其中藻酸盐包裹的视网膜色素上皮细胞不断分泌细胞因子以局部调节植入物微环境。在健康的啮齿动物模型中，封装的细胞因子产生细胞局部产生白细胞介素 10 (IL-10) 或 IL-12，可防止藻酸盐胶囊的异物反应。从机制上讲，治疗与促纤维化基因表达减少以及与巨噬细胞和 T 细胞调节一致的免疫变化相关，支持细胞因子介导的异物反应缓解。在糖尿病鼠模型（链脲佐菌素诱导的 C57BL/6J）中，将人类胰岛与产生 IL-10 的细胞共同植入可减轻囊周纤维化，保留胰岛活力，并恢复正常血糖长达 100 天（比单独胰岛长 4.76 倍）。值得注意的是，产生 IL-10 的细胞还可以有效地促进健康非人灵长类动物中封装细胞的耐久性和功能，显示出转化的可行性。总的来说，这些发现表明，局部细胞因子递送可以减少纤维化包膜并支持持久的移植物功能，为减少胰岛移植和其他可植入生物材料疗法中对全身免疫抑制的依赖提供了一条途径。</w:t>
      </w:r>
    </w:p>
    <w:p>
      <w:pPr>
        <w:spacing w:before="0" w:after="200" w:lineRule="auto" w:line="276"/>
      </w:pPr>
      <w:r>
        <w:rPr>
          <w:b/>
        </w:rPr>
        <w:t xml:space="preserve">Abstract (EN): </w:t>
      </w:r>
      <w:r>
        <w:t>The efficacy of cell-based therapeutics is often compromised by host immune recognition of implanted cells and biomaterials, resulting in fibrotic encapsulation and loss of function. Here, we address this challenge with an immunomodulatory cell-based therapy, in which alginate-encapsulated retinal pigment epithelial cells continuously secrete cytokines to locally modulate the implant microenvironment. In a healthy rodent model, the localized production of interleukin-10 (IL-10) or IL-12 from encapsulated cytokine-producing cells prevented foreign body response to alginate capsules. Mechanistically, treatment was associated with reduced expression of profibrotic genes and immune shifts consistent with macrophage and T cell regulation, supporting a cytokine-mediated mitigation of foreign body response. In a diabetic murine model (streptozotocin-induced C57BL/6J), coimplantation of human islets with IL-10–producing cells attenuated pericapsular fibrosis, preserved islet viability, and restored normoglycemia for up to 100 days (4.76 times longer than islets alone). Notably, IL-10–producing cells were also effective in enabling the durability and function of encapsulated cells in a healthy nonhuman primate, showing translational feasibility. Collectively, these findings suggest that localized cytokine delivery can reduce fibrotic encapsulation and support durable graft function, offering a path to lessen reliance on systemic immunosuppression in islets transplantation and other implantable biomaterial therapies.</w:t>
      </w:r>
    </w:p>
    <w:p>
      <w:pPr>
        <w:spacing w:before="120" w:after="120"/>
      </w:pPr>
      <w:r>
        <w:rPr>
          <w:sz w:val="18"/>
        </w:rPr>
        <w:t>——————————————————————————————————————————————————————————————————————</w:t>
      </w:r>
    </w:p>
    <w:p>
      <w:pPr>
        <w:spacing w:before="160" w:after="40" w:line="240" w:lineRule="auto"/>
      </w:pPr>
      <w:r>
        <w:rPr>
          <w:b/>
        </w:rPr>
        <w:t xml:space="preserve">[543] </w:t>
      </w:r>
      <w:hyperlink r:id="rId1542">
        <w:r>
          <w:rPr>
            <w:color w:val="1155CC"/>
            <w:u w:val="single"/>
          </w:rPr>
          <w:t>时空控制的溶酶体膜透化增强前列腺癌中 STING 驱动的抗肿瘤免疫</w:t>
        </w:r>
      </w:hyperlink>
    </w:p>
    <w:p>
      <w:pPr>
        <w:spacing w:before="0" w:after="80"/>
      </w:pPr>
      <w:r>
        <w:rPr>
          <w:i/>
          <w:sz w:val="20"/>
        </w:rPr>
        <w:t>EN: Spatiotemporally Controlled Lysosomal Membrane Permeabilization Amplifies STING‐Driven Antitumor Immunity in Prostate Cancer</w:t>
      </w:r>
    </w:p>
    <w:p>
      <w:pPr>
        <w:spacing w:before="0" w:after="120"/>
      </w:pPr>
      <w:r>
        <w:rPr>
          <w:b/>
        </w:rPr>
        <w:t xml:space="preserve">Source: </w:t>
      </w:r>
      <w:r>
        <w:t>Wiley: Advanced Materials: Table of Contents</w:t>
      </w:r>
      <w:r>
        <w:t xml:space="preserve">    </w:t>
      </w:r>
      <w:r>
        <w:rPr>
          <w:b/>
        </w:rPr>
        <w:t xml:space="preserve">Pub date: </w:t>
      </w:r>
      <w:r>
        <w:t>2026-08-05 09:11:32+00:00</w:t>
      </w:r>
      <w:r>
        <w:t xml:space="preserve">    </w:t>
      </w:r>
      <w:r>
        <w:rPr>
          <w:b/>
        </w:rPr>
        <w:t xml:space="preserve">DOI: </w:t>
      </w:r>
      <w:hyperlink r:id="rId1543">
        <w:r>
          <w:rPr>
            <w:color w:val="1155CC"/>
            <w:u w:val="single"/>
          </w:rPr>
          <w:t>10.1002/adma.74477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治疗耐药性和免疫冷肿瘤微环境，前列腺癌（PCa）仍然是一个重大的临床挑战。溶酶体膜透化（LMP）诱导的溶酶体依赖性细胞死亡提供了消除耐药肿瘤细胞并启动免疫原性细胞死亡的替代途径，但其功效往往因时空控制和免疫激活不足而受到限制。在这里，我们报告了一种时空可编程超分子纳米平台（Cu-P-MSA），它将溶酶体靶向声动力疗法与肿瘤限制的先天免疫激活相结合，用于前列腺癌治疗。 Cu-P-MSA 是一种模块化自组装肽，包含 PSMA 靶向配体、吗啉部分和组织蛋白酶 B 可裂解接头，能够实现肿瘤选择性摄取并在溶酶体内原位形成纤维状声敏剂库。超声波照射后，谷胱甘肽响应性开壳声敏剂诱导受控的 LMP，同时激活铁死亡和细胞焦亡并促进免疫原性细胞死亡。同时，肿瘤特异性释放 STING 激动剂 MSA-2 引发强烈的 I 型干扰素反应，驱动树突状细胞成熟和细胞毒性 T 细胞浸润。这种协调的溶酶体破坏-免疫放大策略有效地重新编程了肿瘤免疫微环境并抑制原发肿瘤和远处肿瘤，抑制率分别达到84.3%和77.5%。总的来说，这项工作建立了一种时空控制的超分子方法，整合了溶酶体</w:t>
      </w:r>
    </w:p>
    <w:p>
      <w:pPr>
        <w:spacing w:before="0" w:after="200" w:lineRule="auto" w:line="276"/>
      </w:pPr>
      <w:r>
        <w:rPr>
          <w:b/>
        </w:rPr>
        <w:t xml:space="preserve">Abstract (EN): </w:t>
      </w:r>
      <w:r>
        <w:t>Prostate cancer (PCa) remains a major clinical challenge due to therapeutic resistance and immunologically cold tumor microenvironment. Lysosomal membrane permeabilization (LMP)–induced lysosome‐dependent cell death offers an alternative route to eliminate resistant tumor cells and initiate immunogenic cell death, yet its efficacy is often limited by insufficient spatiotemporal control and immune activation. Here, we report a spatiotemporally programmable supramolecular nanoplatform (Cu‐P‐MSA) that integrates lysosome‐targeted sonodynamic therapy with tumor‐confined innate immune activation for PCa treatment. Cu‐P‐MSA is a modular self‐assembling peptide incorporating a PSMA‐targeting ligand, morpholine moiety, and cathepsin B–cleavable linker, enabling tumor‐selective uptake and in situ formation of fibrous sonosensitizer depots within lysosomes. Upon ultrasound irradiation, a glutathione‐responsive open‐shell sonosensitizer induces controlled LMP, simultaneously activating ferroptosis and pyroptosis and promoting immunogenic cell death. Meanwhile, tumor‐specific release of a STING agonist MSA‐2 elicits robust type I interferon responses, driving dendritic cell maturation and cytotoxic T‐cell infiltration. This coordinated lysosomal disruption–immune amplification strategy effectively reprograms the tumor immune microenvironment and suppresses both primary and distant tumors, with inhibition rates reaching 84.3% and 77.5%, respectively. Overall, this work establishes a spatiotemporally controlled supramolecular approach that integrates lysosomal disruption with innate immune activation to overcome therapeutic resistance and immunosuppression in PCa.</w:t>
      </w:r>
    </w:p>
    <w:p>
      <w:pPr>
        <w:spacing w:before="120" w:after="120"/>
      </w:pPr>
      <w:r>
        <w:rPr>
          <w:sz w:val="18"/>
        </w:rPr>
        <w:t>——————————————————————————————————————————————————————————————————————</w:t>
      </w:r>
    </w:p>
    <w:p>
      <w:pPr>
        <w:spacing w:before="160" w:after="40" w:line="240" w:lineRule="auto"/>
      </w:pPr>
      <w:r>
        <w:rPr>
          <w:b/>
        </w:rPr>
        <w:t xml:space="preserve">[544] </w:t>
      </w:r>
      <w:hyperlink r:id="rId1544">
        <w:r>
          <w:rPr>
            <w:color w:val="1155CC"/>
            <w:u w:val="single"/>
          </w:rPr>
          <w:t>具有可重新编程顺序变形的机械超材料，用于模数编码和计算</w:t>
        </w:r>
      </w:hyperlink>
    </w:p>
    <w:p>
      <w:pPr>
        <w:spacing w:before="0" w:after="80"/>
      </w:pPr>
      <w:r>
        <w:rPr>
          <w:i/>
          <w:sz w:val="20"/>
        </w:rPr>
        <w:t>EN: Mechanical Metamaterials with Reprogrammable Sequential Deformation for Analog‐to‐Digital Encoding and Computing</w:t>
      </w:r>
    </w:p>
    <w:p>
      <w:pPr>
        <w:spacing w:before="0" w:after="120"/>
      </w:pPr>
      <w:r>
        <w:rPr>
          <w:b/>
        </w:rPr>
        <w:t xml:space="preserve">Source: </w:t>
      </w:r>
      <w:r>
        <w:t>Wiley: Advanced Materials: Table of Contents</w:t>
      </w:r>
      <w:r>
        <w:t xml:space="preserve">    </w:t>
      </w:r>
      <w:r>
        <w:rPr>
          <w:b/>
        </w:rPr>
        <w:t xml:space="preserve">Pub date: </w:t>
      </w:r>
      <w:r>
        <w:t>2026-08-05 09:16:24+00:00</w:t>
      </w:r>
      <w:r>
        <w:t xml:space="preserve">    </w:t>
      </w:r>
      <w:r>
        <w:rPr>
          <w:b/>
        </w:rPr>
        <w:t xml:space="preserve">DOI: </w:t>
      </w:r>
      <w:hyperlink r:id="rId1545">
        <w:r>
          <w:rPr>
            <w:color w:val="1155CC"/>
            <w:u w:val="single"/>
          </w:rPr>
          <w:t>10.1002/adma.74376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计算逻辑集成到机械超材料中，可以开发出具有智能的物质，可以感知并响应环境刺激。虽然最近的进展已经证明了多样化的机械逻辑系统，但弥合连续物理输入和离散数字输出之间的差距是一个挑战。在这项研究中，我们提出了一种机械超材料，能够通过可重新编程的顺序变形进行几乎任意的数字编码和连续刺激的计算。该超材料建立在工程多稳态架构之上，支持单轴压缩下的一系列突弹事件。使用逆向设计策略，可以通过定制组成单元的刚度分布来在广泛的设计空间中调整变形序列。选择性激活或停用超材料中的特定单元可以对序列进行原位重新编程，而无需重新制造。实验表明，逆向设计和重新编程允许单一材料系统执行机械模数转换、信号处理和类似现场可编程门阵列（FPGA）的逻辑操作。这些功能为基于材料的计算开辟了一条新途径，展示了一条通往智能机械超材料的有前途的道路。</w:t>
      </w:r>
    </w:p>
    <w:p>
      <w:pPr>
        <w:spacing w:before="0" w:after="200" w:lineRule="auto" w:line="276"/>
      </w:pPr>
      <w:r>
        <w:rPr>
          <w:b/>
        </w:rPr>
        <w:t xml:space="preserve">Abstract (EN): </w:t>
      </w:r>
      <w:r>
        <w:t>The integration of computational logic into mechanical metamaterials enables the development of matter with intelligence that can sense and respond to environmental stimuli. While recent advances have demonstrated diverse mechanical logic systems, a challenge is bridging the gap between continuous physical inputs and discrete digital outputs. In this study, we propose a mechanical metamaterial capable of nearly arbitrary digital encoding and computing of continuous stimuli through reprogrammable sequential deformation. The metamaterial is built upon an engineered multistable architecture that supports a series of snap‐through events under uniaxial compression. Using an inverse design strategy, the deformation sequence can be tuned across a broad design space by tailoring the stiffness distribution of constituent units. Selective activation or deactivation of specific units in the metamaterial enables in situ reprogramming of the sequence without the need for remanufacturing. Experiments demonstrate that the inverse design and reprogramming allow a single material system to perform mechanical analog‐to‐digital conversion, signal processing, and field‐programmable gate array (FPGA)‐like logic operations. These capabilities open a new way for material‐based computing, showing a promising route toward intelligent mechanical metamaterials.</w:t>
      </w:r>
    </w:p>
    <w:p>
      <w:pPr>
        <w:spacing w:before="120" w:after="120"/>
      </w:pPr>
      <w:r>
        <w:rPr>
          <w:sz w:val="18"/>
        </w:rPr>
        <w:t>——————————————————————————————————————————————————————————————————————</w:t>
      </w:r>
    </w:p>
    <w:p>
      <w:pPr>
        <w:spacing w:before="160" w:after="40" w:line="240" w:lineRule="auto"/>
      </w:pPr>
      <w:r>
        <w:rPr>
          <w:b/>
        </w:rPr>
        <w:t xml:space="preserve">[545] </w:t>
      </w:r>
      <w:hyperlink r:id="rId1546">
        <w:r>
          <w:rPr>
            <w:color w:val="1155CC"/>
            <w:u w:val="single"/>
          </w:rPr>
          <w:t>用不可逆结橡胶有机框架打破渗透性-选择性权衡</w:t>
        </w:r>
      </w:hyperlink>
    </w:p>
    <w:p>
      <w:pPr>
        <w:spacing w:before="0" w:after="80"/>
      </w:pPr>
      <w:r>
        <w:rPr>
          <w:i/>
          <w:sz w:val="20"/>
        </w:rPr>
        <w:t>EN: Breaking the Permeability–Selectivity Trade‐Off With Irreversible‐Knot Rubbery Organic Frameworks</w:t>
      </w:r>
    </w:p>
    <w:p>
      <w:pPr>
        <w:spacing w:before="0" w:after="120"/>
      </w:pPr>
      <w:r>
        <w:rPr>
          <w:b/>
        </w:rPr>
        <w:t xml:space="preserve">Source: </w:t>
      </w:r>
      <w:r>
        <w:t>Wiley: Advanced Materials: Table of Contents</w:t>
      </w:r>
      <w:r>
        <w:t xml:space="preserve">    </w:t>
      </w:r>
      <w:r>
        <w:rPr>
          <w:b/>
        </w:rPr>
        <w:t xml:space="preserve">Pub date: </w:t>
      </w:r>
      <w:r>
        <w:t>2026-08-05 09:18:00+00:00</w:t>
      </w:r>
      <w:r>
        <w:t xml:space="preserve">    </w:t>
      </w:r>
      <w:r>
        <w:rPr>
          <w:b/>
        </w:rPr>
        <w:t xml:space="preserve">DOI: </w:t>
      </w:r>
      <w:hyperlink r:id="rId1547">
        <w:r>
          <w:rPr>
            <w:color w:val="1155CC"/>
            <w:u w:val="single"/>
          </w:rPr>
          <w:t>10.1002/adma.74483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渗透性与选择性的权衡从根本上限制了聚合物膜，其根源在于链柔性和精确分子筛分之间的二分法。新兴的橡胶有机框架（ROF）概念旨在弥合这一差距，但其对可逆共价化学的依赖本质上损害了结构稳定性。在这里，我们通过编程引入了不可逆化学范式</w:t>
      </w:r>
      <w:r>
        <w:t xml:space="preserve"> </w:t>
      </w:r>
      <w:r>
        <w:t>β</w:t>
      </w:r>
      <w:r>
        <w:t xml:space="preserve"> </w:t>
      </w:r>
      <w:r>
        <w:t>‐酮烯胺通过烯醇-酮互变异构化形成柔性聚二甲基硅氧烷（PDMS）网络。这种方法协同编程交联密度和链刚性，产生稳定和优化的微观结构。由此产生的膜超越了经典的权衡，提供了 5.4 kg m 的创纪录高通量</w:t>
      </w:r>
      <w:r>
        <w:t xml:space="preserve"> </w:t>
      </w:r>
      <w:r>
        <w:t>−2</w:t>
      </w:r>
      <w:r>
        <w:t xml:space="preserve"> </w:t>
      </w:r>
      <w:r>
        <w:t>小时</w:t>
      </w:r>
      <w:r>
        <w:t xml:space="preserve"> </w:t>
      </w:r>
      <w:r>
        <w:t>−1</w:t>
      </w:r>
      <w:r>
        <w:t xml:space="preserve"> </w:t>
      </w:r>
      <w:r>
        <w:t>用于乙醇/水分离——比传统 PDMS 高出三倍——同时保持分离因子为 9.2。 “刚性编程”策略展示了卓越的多功能性，在代表性有机/水和气体对系统的不同分离中实现了顶级性能。除了性能之外，这些膜还具有可扩展的制造能力、强大的抗膨胀稳定性和长期的操作耐久性，凸显了其工业部署的实际潜力。这项工作将不可逆化学建立为聚合物网络设计的通用范例，提供了一个强大的平台来克服传统的限制</w:t>
      </w:r>
    </w:p>
    <w:p>
      <w:pPr>
        <w:spacing w:before="0" w:after="200" w:lineRule="auto" w:line="276"/>
      </w:pPr>
      <w:r>
        <w:rPr>
          <w:b/>
        </w:rPr>
        <w:t xml:space="preserve">Abstract (EN): </w:t>
      </w:r>
      <w:r>
        <w:t>The permeability–selectivity trade‐off fundamentally constrains polymeric membranes, rooted in the dichotomy between chain flexibility and precise molecular sieving. The emerging concept of rubbery organic frameworks (ROFs) aims to bridge this gap, yet its reliance on reversible covalent chemistry inherently compromises structural stability. Here, we introduce an irreversible‐chemistry paradigm by programming</w:t>
      </w:r>
      <w:r>
        <w:t xml:space="preserve"> </w:t>
      </w:r>
      <w:r>
        <w:t>β</w:t>
      </w:r>
      <w:r>
        <w:t xml:space="preserve"> </w:t>
      </w:r>
      <w:r>
        <w:t>‐ketoenamine “irreversible knots” into flexible polydimethylsiloxane (PDMS) networks via enol–keto tautomerization. This approach synergistically co‐programs crosslinking density and chain rigidity, yielding a stabilized and optimized microstructure. The resulting membrane transcends the classic trade‐off, delivering a record‐high flux of 5.4 kg m</w:t>
      </w:r>
      <w:r>
        <w:t xml:space="preserve"> </w:t>
      </w:r>
      <w:r>
        <w:t>−2</w:t>
      </w:r>
      <w:r>
        <w:t xml:space="preserve"> </w:t>
      </w:r>
      <w:r>
        <w:t>h</w:t>
      </w:r>
      <w:r>
        <w:t xml:space="preserve"> </w:t>
      </w:r>
      <w:r>
        <w:t>−1</w:t>
      </w:r>
      <w:r>
        <w:t xml:space="preserve"> </w:t>
      </w:r>
      <w:r>
        <w:t>for ethanol/water separation—three times higher than conventional PDMS—while maintaining a separation factor of 9.2. The “rigidity‐programming” strategy demonstrates remarkable versatility, achieving top‐tier performance across diverse separations spanning representative organic/water and gas‐pair systems. Beyond performance, the membranes exhibit scalable fabrication, robust anti‐swelling stability, and long‐term operational durability, highlighting their practical potential for industrial deployment. This work establishes irreversible chemistry as a general paradigm for polymer network design, providing a robust platform to overcome traditional limitations from molecular separation to flexible functional materials.</w:t>
      </w:r>
    </w:p>
    <w:p>
      <w:pPr>
        <w:spacing w:before="120" w:after="120"/>
      </w:pPr>
      <w:r>
        <w:rPr>
          <w:sz w:val="18"/>
        </w:rPr>
        <w:t>——————————————————————————————————————————————————————————————————————</w:t>
      </w:r>
    </w:p>
    <w:p>
      <w:pPr>
        <w:spacing w:before="160" w:after="40" w:line="240" w:lineRule="auto"/>
      </w:pPr>
      <w:r>
        <w:rPr>
          <w:b/>
        </w:rPr>
        <w:t xml:space="preserve">[546] </w:t>
      </w:r>
      <w:hyperlink r:id="rId1548">
        <w:r>
          <w:rPr>
            <w:color w:val="1155CC"/>
            <w:u w:val="single"/>
          </w:rPr>
          <w:t>亚毫米级无束缚磁性执行器可实现按需操纵和原位粘度传感</w:t>
        </w:r>
      </w:hyperlink>
    </w:p>
    <w:p>
      <w:pPr>
        <w:spacing w:before="0" w:after="80"/>
      </w:pPr>
      <w:r>
        <w:rPr>
          <w:i/>
          <w:sz w:val="20"/>
        </w:rPr>
        <w:t>EN: Submillimeter‑Scale Untethered Magnetic Actuators Enabling on‑Demand Manipulation and In Situ Viscosity Sensing</w:t>
      </w:r>
    </w:p>
    <w:p>
      <w:pPr>
        <w:spacing w:before="0" w:after="120"/>
      </w:pPr>
      <w:r>
        <w:rPr>
          <w:b/>
        </w:rPr>
        <w:t xml:space="preserve">Source: </w:t>
      </w:r>
      <w:r>
        <w:t>Wiley: Advanced Materials: Table of Contents</w:t>
      </w:r>
      <w:r>
        <w:t xml:space="preserve">    </w:t>
      </w:r>
      <w:r>
        <w:rPr>
          <w:b/>
        </w:rPr>
        <w:t xml:space="preserve">Pub date: </w:t>
      </w:r>
      <w:r>
        <w:t>2026-08-05 09:22:35+00:00</w:t>
      </w:r>
      <w:r>
        <w:t xml:space="preserve">    </w:t>
      </w:r>
      <w:r>
        <w:rPr>
          <w:b/>
        </w:rPr>
        <w:t xml:space="preserve">DOI: </w:t>
      </w:r>
      <w:hyperlink r:id="rId1549">
        <w:r>
          <w:rPr>
            <w:color w:val="1155CC"/>
            <w:u w:val="single"/>
          </w:rPr>
          <w:t>10.1002/adma.202516790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紧凑的尺寸、机械顺应性、多功能性和远程可控性，无系磁致动器为微创手术提供了一个有前景的平台。然而，当前构建策略所带来的结构简单性限制了它们利用已建立的手术范例的操作多功能性，并且对不同体液粘度的运动的系统研究仍然很少。在此，我们引入了一种过盈配合组装策略，将立体光刻 3D 打印微结构与定制磁性像素结合起来，以制造亚毫米级不受束缚的磁致动器。对跨越生理相关粘度范围的模型流体环境的理论和实验分析表明，一旦超过稳定运动所需的临界磁通密度，运动速度就会与驱动频率成线性比例。速度-频率斜率表现出对环境粘度的双曲线依赖性，从而能够在运动和功能执行的同时进行半定量粘度传感。此外，我们展示了多功能按需操纵能力：通过定性粘度传感增强扩散和定向传输；受旋转粘度计启发的原位定量粘度测量；通过连续旋转进行机械破碎；以及用于有针对性的货物捕获和运送的刚软协同磁性夹具。总的来说，该策略为 de 建立了一个多功能且可扩展的范例</w:t>
      </w:r>
    </w:p>
    <w:p>
      <w:pPr>
        <w:spacing w:before="0" w:after="200" w:lineRule="auto" w:line="276"/>
      </w:pPr>
      <w:r>
        <w:rPr>
          <w:b/>
        </w:rPr>
        <w:t xml:space="preserve">Abstract (EN): </w:t>
      </w:r>
      <w:r>
        <w:t>Untethered magnetic actuators offer a promising platform for minimally invasive surgery due to their compact size, mechanical compliance, multifunctionality, and remote controllability. However, the structural simplicity imposed by current construction strategies limits their operational versatility to leverage established surgical paradigms, and systematic studies of locomotion across the variable viscosities of bodily fluids remain scarce. Herein, we introduce an interference‐fit assembly strategy that couples stereolithographic 3D‐printed microstructures with customized magnetic pixels to fabricate submillimeter‐scale untethered magnetic actuators. Theoretical and experimental analyses in model‐fluid environments spanning physiologically relevant viscosity ranges demonstrate that, once above the critical magnetic flux density required for stable motion, the locomotion velocity scales linearly with the driving frequency. The velocity‐frequency slope exhibits a hyperbolic dependence on ambient viscosity, enabling semi‐quantitative viscosity sensing concurrently with motion and functional execution. Furthermore, we showcase multifunctional on‐demand manipulation capabilities: enhanced diffusion and directional transport with qualitative viscosity sensing; in situ quantitative viscosity measurement inspired by a rotational viscometer; mechanical fragmentation via continuous rotation; and a rigid‐soft synergistic magnetic gripper for targeted cargo capture and delivery. Collectively, this strategy establishes a versatile and scalable paradigm for designing multifunctional, untethered, submillimeter‑scale magnetic actuators with prospective potential for biomedical applications.</w:t>
      </w:r>
    </w:p>
    <w:p>
      <w:pPr>
        <w:spacing w:before="120" w:after="120"/>
      </w:pPr>
      <w:r>
        <w:rPr>
          <w:sz w:val="18"/>
        </w:rPr>
        <w:t>——————————————————————————————————————————————————————————————————————</w:t>
      </w:r>
    </w:p>
    <w:p>
      <w:pPr>
        <w:spacing w:before="160" w:after="40" w:line="240" w:lineRule="auto"/>
      </w:pPr>
      <w:r>
        <w:rPr>
          <w:b/>
        </w:rPr>
        <w:t xml:space="preserve">[547] </w:t>
      </w:r>
      <w:hyperlink r:id="rId1550">
        <w:r>
          <w:rPr>
            <w:color w:val="1155CC"/>
            <w:u w:val="single"/>
          </w:rPr>
          <w:t>声压电/热电肽水凝胶募集基质细胞促进骨肉瘤术后消退后骨再生：一项真实世界匹配研究</w:t>
        </w:r>
      </w:hyperlink>
    </w:p>
    <w:p>
      <w:pPr>
        <w:spacing w:before="0" w:after="80"/>
      </w:pPr>
      <w:r>
        <w:rPr>
          <w:i/>
          <w:sz w:val="20"/>
        </w:rPr>
        <w:t>EN: Stromal Cells Recruitment by Sono‐Piezoelectric/Pyroelectric Peptide Hydrogels Promotes Bone Regeneration After Postsurgical Osteosarcoma Recession: A Real‐World‐Matched Study</w:t>
      </w:r>
    </w:p>
    <w:p>
      <w:pPr>
        <w:spacing w:before="0" w:after="120"/>
      </w:pPr>
      <w:r>
        <w:rPr>
          <w:b/>
        </w:rPr>
        <w:t xml:space="preserve">Source: </w:t>
      </w:r>
      <w:r>
        <w:t>Wiley: Advanced Materials: Table of Contents</w:t>
      </w:r>
      <w:r>
        <w:t xml:space="preserve">    </w:t>
      </w:r>
      <w:r>
        <w:rPr>
          <w:b/>
        </w:rPr>
        <w:t xml:space="preserve">Pub date: </w:t>
      </w:r>
      <w:r>
        <w:t>2026-08-05 09:27:56+00:00</w:t>
      </w:r>
      <w:r>
        <w:t xml:space="preserve">    </w:t>
      </w:r>
      <w:r>
        <w:rPr>
          <w:b/>
        </w:rPr>
        <w:t xml:space="preserve">DOI: </w:t>
      </w:r>
      <w:hyperlink r:id="rId1551">
        <w:r>
          <w:rPr>
            <w:color w:val="1155CC"/>
            <w:u w:val="single"/>
          </w:rPr>
          <w:t>10.1002/adma.74522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目前，术后骨肉瘤（OS）的消除和缺损修复仍在单独探索，这与现实世界的临床情况不同。骨髓基质细胞（BMSC）不足会损害其修复和抗肿瘤效率。此处，PFSSTKT (PFS) 功能化 KLD-12 肽水凝胶 (KLD-PFS) 已被设计并与 2D BiOIO 集成</w:t>
      </w:r>
      <w:r>
        <w:rPr>
          <w:vertAlign w:val="subscript"/>
        </w:rPr>
        <w:t>3</w:t>
      </w:r>
      <w:r>
        <w:t>纳米片以获得可注射的声压电/热释电肽水凝胶（KLD-PFS@BiOIO</w:t>
      </w:r>
      <w:r>
        <w:rPr>
          <w:vertAlign w:val="subscript"/>
        </w:rPr>
        <w:t>3</w:t>
      </w:r>
      <w:r>
        <w:t>）具有超分子肽纳米纤维（SMPNF）结构。与占主导地位的BaTiO不同</w:t>
      </w:r>
      <w:r>
        <w:rPr>
          <w:vertAlign w:val="subscript"/>
        </w:rPr>
        <w:t>3</w:t>
      </w:r>
      <w:r>
        <w:t>BiOIO 在癌症的声压电动力疗法 (SPDT) 中</w:t>
      </w:r>
      <w:r>
        <w:rPr>
          <w:vertAlign w:val="subscript"/>
        </w:rPr>
        <w:t>3</w:t>
      </w:r>
      <w:r>
        <w:t>纳米片可以在超声波照射下通过声压电和热释电催化过程产生ROS，从而能够将SPDT与热释电动力疗法相结合来对抗残留的OS。更重要的是，PFS作为骨髓归巢肽使KLD-PFS能够捕获和招募更多的BMSC，并且固有的SMPNF结构、直接超声诱导的电流刺激、声压电/热电诱导的电流刺激和ROS的产生加速了BMSC的分化和骨再生。这些多方面的作用遵循与钙流动、癌症-神经元通讯中断和代谢功能障碍纠正相关的信号通路。它们已被成功验证可以抑制</w:t>
      </w:r>
    </w:p>
    <w:p>
      <w:pPr>
        <w:spacing w:before="0" w:after="200" w:lineRule="auto" w:line="276"/>
      </w:pPr>
      <w:r>
        <w:rPr>
          <w:b/>
        </w:rPr>
        <w:t xml:space="preserve">Abstract (EN): </w:t>
      </w:r>
      <w:r>
        <w:t>Currently, the elimination of postsurgical osteosarcoma (OS) and defect repair are still separately explored, which is unlike real‐world clinical scenarios. Inadequate bone marrow stromal cells (BMSCs) compromise their repair and antitumor efficiencies. Here, PFSSTKT (PFS)‐functionalized KLD‐12 peptide hydrogels (KLD‐PFS) have been engineered and integrated with 2D BiOIO</w:t>
      </w:r>
      <w:r>
        <w:rPr>
          <w:vertAlign w:val="subscript"/>
        </w:rPr>
        <w:t>3</w:t>
      </w:r>
      <w:r>
        <w:t>nanosheets to obtain the injectable sono‐piezoelectric/pyroelectric peptide hydrogels (KLD‐PFS@BiOIO</w:t>
      </w:r>
      <w:r>
        <w:rPr>
          <w:vertAlign w:val="subscript"/>
        </w:rPr>
        <w:t>3</w:t>
      </w:r>
      <w:r>
        <w:t>) featuring a supramolecular peptide nanofiber (SMPNF) structure. Differing from the dominant BaTiO</w:t>
      </w:r>
      <w:r>
        <w:rPr>
          <w:vertAlign w:val="subscript"/>
        </w:rPr>
        <w:t>3</w:t>
      </w:r>
      <w:r>
        <w:t>in sono‐piezoelectric dynamic therapy (SPDT) of cancer, BiOIO</w:t>
      </w:r>
      <w:r>
        <w:rPr>
          <w:vertAlign w:val="subscript"/>
        </w:rPr>
        <w:t>3</w:t>
      </w:r>
      <w:r>
        <w:t>nanosheets can produce ROS through sono‐piezoelectric and pyroelectric catalytic processes under ultrasound irradiation, thus enabling the combination of SPDT with pyroelectric dynamic therapy against residual OS. More significantly, PFS as a bone marrow homing peptide enables KLD‐PFS to capture and recruit more BMSCs, and the inherent SMPNF structure, direct ultrasound‐induced current stimuli, sono‐piezoelectricity/pyroelectricity‐induced current stimuli and ROS birth expedite BMSCs differentiation and bone regeneration. These multifaceted actions follow the signaling pathways associated with calcium flux and cancer–neuron communication disruptions and metabolic dysfunction rectification. They have been successfully validated to repress residual OS and favor bone regeneration in a clinical scenarios‐matched postsurgical osteosarcoma and bone defect model. This study offers a promising strategy for comprehensive osteosarcoma management.</w:t>
      </w:r>
    </w:p>
    <w:p>
      <w:pPr>
        <w:spacing w:before="120" w:after="120"/>
      </w:pPr>
      <w:r>
        <w:rPr>
          <w:sz w:val="18"/>
        </w:rPr>
        <w:t>——————————————————————————————————————————————————————————————————————</w:t>
      </w:r>
    </w:p>
    <w:p>
      <w:pPr>
        <w:spacing w:before="160" w:after="40" w:line="240" w:lineRule="auto"/>
      </w:pPr>
      <w:r>
        <w:rPr>
          <w:b/>
        </w:rPr>
        <w:t xml:space="preserve">[548] </w:t>
      </w:r>
      <w:hyperlink r:id="rId1552">
        <w:r>
          <w:rPr>
            <w:color w:val="1155CC"/>
            <w:u w:val="single"/>
          </w:rPr>
          <w:t>非平衡级联动力学产生的类平衡产量</w:t>
        </w:r>
      </w:hyperlink>
    </w:p>
    <w:p>
      <w:pPr>
        <w:spacing w:before="0" w:after="80"/>
      </w:pPr>
      <w:r>
        <w:rPr>
          <w:i/>
          <w:sz w:val="20"/>
        </w:rPr>
        <w:t>EN: Emergent equilibrium-like yields from nonequilibrium cascade dynamics</w:t>
      </w:r>
    </w:p>
    <w:p>
      <w:pPr>
        <w:spacing w:before="0" w:after="120"/>
      </w:pPr>
      <w:r>
        <w:rPr>
          <w:b/>
        </w:rPr>
        <w:t xml:space="preserve">Source: </w:t>
      </w:r>
      <w:r>
        <w:t>Recent Articles in Phys. Rev. C</w:t>
      </w:r>
      <w:r>
        <w:t xml:space="preserve">    </w:t>
      </w:r>
      <w:r>
        <w:rPr>
          <w:b/>
        </w:rPr>
        <w:t xml:space="preserve">Pub date: </w:t>
      </w:r>
      <w:r>
        <w:t>2026-08-05 10:00:00+00:00</w:t>
      </w:r>
      <w:r>
        <w:t xml:space="preserve">    </w:t>
      </w:r>
      <w:r>
        <w:rPr>
          <w:b/>
        </w:rPr>
        <w:t xml:space="preserve">DOI: </w:t>
      </w:r>
      <w:hyperlink r:id="rId1553">
        <w:r>
          <w:rPr>
            <w:color w:val="1155CC"/>
            <w:u w:val="single"/>
          </w:rPr>
          <w:t>10.1103/sl9z-4glr</w:t>
        </w:r>
      </w:hyperlink>
    </w:p>
    <w:p>
      <w:pPr>
        <w:spacing w:before="0" w:after="120"/>
      </w:pPr>
      <w:r>
        <w:rPr>
          <w:b/>
        </w:rPr>
        <w:t xml:space="preserve">Notes: </w:t>
      </w:r>
      <w:r>
        <w:t>abstract_source=rss_description</w:t>
      </w:r>
    </w:p>
    <w:p>
      <w:pPr>
        <w:spacing w:before="0" w:after="80" w:lineRule="auto" w:line="276"/>
      </w:pPr>
      <w:r>
        <w:rPr>
          <w:b/>
        </w:rPr>
        <w:t xml:space="preserve">摘要（ZH）: </w:t>
      </w:r>
      <w:r>
        <w:t>作者：Takeshi Fukuyama 我研究非平衡级联，其中脆弱的束缚或相干结构是通过中间态而不是直接平衡形成的。受相对论性重离子碰撞中轻核产生和宇宙学环境中玻色-爱因斯坦凝聚的启发，我分析了…[物理学。 Rev. C 114, 024602] 2026 年 8 月 5 日星期三发布</w:t>
      </w:r>
    </w:p>
    <w:p>
      <w:pPr>
        <w:spacing w:before="0" w:after="200" w:lineRule="auto" w:line="276"/>
      </w:pPr>
      <w:r>
        <w:rPr>
          <w:b/>
        </w:rPr>
        <w:t xml:space="preserve">Abstract (EN): </w:t>
      </w:r>
      <w:r>
        <w:t>Author(s): Takeshi FukuyamaI study nonequilibrium cascades in which fragile bound or coherent structures are formed through intermediate states rather than by direct equilibration. Motivated by light-nuclei production in relativistic heavy-ion collisions and by Bose-Einstein condensation in cosmological settings, I analyze su…[Phys. Rev. C 114, 024602] Published Wed Aug 05, 2026</w:t>
      </w:r>
    </w:p>
    <w:p>
      <w:pPr>
        <w:spacing w:before="120" w:after="120"/>
      </w:pPr>
      <w:r>
        <w:rPr>
          <w:sz w:val="18"/>
        </w:rPr>
        <w:t>——————————————————————————————————————————————————————————————————————</w:t>
      </w:r>
    </w:p>
    <w:p>
      <w:pPr>
        <w:spacing w:before="160" w:after="40" w:line="240" w:lineRule="auto"/>
      </w:pPr>
      <w:r>
        <w:rPr>
          <w:b/>
        </w:rPr>
        <w:t xml:space="preserve">[549] </w:t>
      </w:r>
      <w:hyperlink r:id="rId1554">
        <w:r>
          <w:rPr>
            <w:color w:val="1155CC"/>
            <w:u w:val="single"/>
          </w:rPr>
          <w:t>寻找轻核散射矩阵的双极点</w:t>
        </w:r>
      </w:hyperlink>
    </w:p>
    <w:p>
      <w:pPr>
        <w:spacing w:before="0" w:after="80"/>
      </w:pPr>
      <w:r>
        <w:rPr>
          <w:i/>
          <w:sz w:val="20"/>
        </w:rPr>
        <w:t>EN: Search for the double poles of the scattering matrix in light nuclei</w:t>
      </w:r>
    </w:p>
    <w:p>
      <w:pPr>
        <w:spacing w:before="0" w:after="120"/>
      </w:pPr>
      <w:r>
        <w:rPr>
          <w:b/>
        </w:rPr>
        <w:t xml:space="preserve">Source: </w:t>
      </w:r>
      <w:r>
        <w:t>Recent Articles in Phys. Rev. C</w:t>
      </w:r>
      <w:r>
        <w:t xml:space="preserve">    </w:t>
      </w:r>
      <w:r>
        <w:rPr>
          <w:b/>
        </w:rPr>
        <w:t xml:space="preserve">Pub date: </w:t>
      </w:r>
      <w:r>
        <w:t>2026-08-05 10:00:00+00:00</w:t>
      </w:r>
      <w:r>
        <w:t xml:space="preserve">    </w:t>
      </w:r>
      <w:r>
        <w:rPr>
          <w:b/>
        </w:rPr>
        <w:t xml:space="preserve">DOI: </w:t>
      </w:r>
      <w:hyperlink r:id="rId1555">
        <w:r>
          <w:rPr>
            <w:color w:val="1155CC"/>
            <w:u w:val="single"/>
          </w:rPr>
          <w:t>10.1103/ykjr-796z</w:t>
        </w:r>
      </w:hyperlink>
    </w:p>
    <w:p>
      <w:pPr>
        <w:spacing w:before="0" w:after="120"/>
      </w:pPr>
      <w:r>
        <w:rPr>
          <w:b/>
        </w:rPr>
        <w:t xml:space="preserve">Notes: </w:t>
      </w:r>
      <w:r>
        <w:t>abstract_source=rss_description</w:t>
      </w:r>
    </w:p>
    <w:p>
      <w:pPr>
        <w:spacing w:before="0" w:after="80" w:lineRule="auto" w:line="276"/>
      </w:pPr>
      <w:r>
        <w:rPr>
          <w:b/>
        </w:rPr>
        <w:t xml:space="preserve">摘要（ZH）: </w:t>
      </w:r>
      <w:r>
        <w:t>作者：David Cardona Ochoa、Marek Płoszajczak 和 Nicolas Michel 异常点 (EP) 是非厄米简并点，其中两个特征值及其特征向量合并，产生有缺陷的哈密顿量和 $S$ 矩阵的双极点。使用耦合通道伽莫夫壳模型，以 $ℓ=1$ 自旋轨道强度作为控制参数，我们找到了…[Phys. Rev. C 114, 024311] 2026 年 8 月 5 日星期三发布</w:t>
      </w:r>
    </w:p>
    <w:p>
      <w:pPr>
        <w:spacing w:before="0" w:after="200" w:lineRule="auto" w:line="276"/>
      </w:pPr>
      <w:r>
        <w:rPr>
          <w:b/>
        </w:rPr>
        <w:t xml:space="preserve">Abstract (EN): </w:t>
      </w:r>
      <w:r>
        <w:t>Author(s): David Cardona Ochoa, Marek Płoszajczak, and Nicolas MichelExceptional points (EPs) are non-Hermitian degeneracies at which two eigenvalues and their eigenvectors coalesce, producing a defective Hamiltonian and a double pole of the $S$-matrix. Using the coupled-channel Gamow shell model with the $ℓ=1$ spin-orbit strengths as control parameters, we locate an…[Phys. Rev. C 114, 024311] Published Wed Aug 05, 2026</w:t>
      </w:r>
    </w:p>
    <w:p>
      <w:pPr>
        <w:spacing w:before="120" w:after="120"/>
      </w:pPr>
      <w:r>
        <w:rPr>
          <w:sz w:val="18"/>
        </w:rPr>
        <w:t>——————————————————————————————————————————————————————————————————————</w:t>
      </w:r>
    </w:p>
    <w:p>
      <w:pPr>
        <w:spacing w:before="160" w:after="40" w:line="240" w:lineRule="auto"/>
      </w:pPr>
      <w:r>
        <w:rPr>
          <w:b/>
        </w:rPr>
        <w:t xml:space="preserve">[550] </w:t>
      </w:r>
      <w:hyperlink r:id="rId1556">
        <w:r>
          <w:rPr>
            <w:color w:val="1155CC"/>
            <w:u w:val="single"/>
          </w:rPr>
          <w:t>人工智能推动的罕见事件采样来表征极端天气</w:t>
        </w:r>
      </w:hyperlink>
    </w:p>
    <w:p>
      <w:pPr>
        <w:spacing w:before="0" w:after="80"/>
      </w:pPr>
      <w:r>
        <w:rPr>
          <w:i/>
          <w:sz w:val="20"/>
        </w:rPr>
        <w:t>EN: AI-Boosted Rare Event Sampling to Characterize Extreme Weather</w:t>
      </w:r>
    </w:p>
    <w:p>
      <w:pPr>
        <w:spacing w:before="0" w:after="120"/>
      </w:pPr>
      <w:r>
        <w:rPr>
          <w:b/>
        </w:rPr>
        <w:t xml:space="preserve">Source: </w:t>
      </w:r>
      <w:r>
        <w:t>Recent Articles in Phys. Rev. Lett.</w:t>
      </w:r>
      <w:r>
        <w:t xml:space="preserve">    </w:t>
      </w:r>
      <w:r>
        <w:rPr>
          <w:b/>
        </w:rPr>
        <w:t xml:space="preserve">Pub date: </w:t>
      </w:r>
      <w:r>
        <w:t>2026-08-05 10:00:00+00:00</w:t>
      </w:r>
      <w:r>
        <w:t xml:space="preserve">    </w:t>
      </w:r>
      <w:r>
        <w:rPr>
          <w:b/>
        </w:rPr>
        <w:t xml:space="preserve">DOI: </w:t>
      </w:r>
      <w:hyperlink r:id="rId1557">
        <w:r>
          <w:rPr>
            <w:color w:val="1155CC"/>
            <w:u w:val="single"/>
          </w:rPr>
          <w:t>10.1103/b1gc-9c2q</w:t>
        </w:r>
      </w:hyperlink>
    </w:p>
    <w:p>
      <w:pPr>
        <w:spacing w:before="0" w:after="120"/>
      </w:pPr>
      <w:r>
        <w:rPr>
          <w:b/>
        </w:rPr>
        <w:t xml:space="preserve">Notes: </w:t>
      </w:r>
      <w:r>
        <w:t>abstract_source=rss_description</w:t>
      </w:r>
    </w:p>
    <w:p>
      <w:pPr>
        <w:spacing w:before="0" w:after="80" w:lineRule="auto" w:line="276"/>
      </w:pPr>
      <w:r>
        <w:rPr>
          <w:b/>
        </w:rPr>
        <w:t xml:space="preserve">摘要（ZH）: </w:t>
      </w:r>
      <w:r>
        <w:t>作者：Amaury Lancelin、Alexander Wikner、Laurent Dubus、Clément Le Priol、Dorian S. Abbot、Freddy Bouchet、Pedram Hassanzadeh 和 Jonathan Weare 一种新算法将人工智能天气预报与基于物理的气候模型相结合，以有效地描述罕见和危险的天气事件。莱特牧师。 137, 064201] 2026 年 8 月 5 日星期三发布</w:t>
      </w:r>
    </w:p>
    <w:p>
      <w:pPr>
        <w:spacing w:before="0" w:after="200" w:lineRule="auto" w:line="276"/>
      </w:pPr>
      <w:r>
        <w:rPr>
          <w:b/>
        </w:rPr>
        <w:t xml:space="preserve">Abstract (EN): </w:t>
      </w:r>
      <w:r>
        <w:t>Author(s): Amaury Lancelin, Alexander Wikner, Laurent Dubus, Clément Le Priol, Dorian S. Abbot, Freddy Bouchet, Pedram Hassanzadeh, and Jonathan WeareA new algorithm combines AI weather forecasts with a physics-based climate model to efficiently characterize rare and dangerous weather events.[Phys. Rev. Lett. 137, 064201] Published Wed Aug 05, 2026</w:t>
      </w:r>
    </w:p>
    <w:p>
      <w:pPr>
        <w:spacing w:before="120" w:after="120"/>
      </w:pPr>
      <w:r>
        <w:rPr>
          <w:sz w:val="18"/>
        </w:rPr>
        <w:t>——————————————————————————————————————————————————————————————————————</w:t>
      </w:r>
    </w:p>
    <w:p>
      <w:pPr>
        <w:spacing w:before="160" w:after="40" w:line="240" w:lineRule="auto"/>
      </w:pPr>
      <w:r>
        <w:rPr>
          <w:b/>
        </w:rPr>
        <w:t xml:space="preserve">[551] </w:t>
      </w:r>
      <w:hyperlink r:id="rId1558">
        <w:r>
          <w:rPr>
            <w:color w:val="1155CC"/>
            <w:u w:val="single"/>
          </w:rPr>
          <w:t>圆偏振声子引起的动态轨道角动量</w:t>
        </w:r>
      </w:hyperlink>
    </w:p>
    <w:p>
      <w:pPr>
        <w:spacing w:before="0" w:after="80"/>
      </w:pPr>
      <w:r>
        <w:rPr>
          <w:i/>
          <w:sz w:val="20"/>
        </w:rPr>
        <w:t>EN: Dynamical Orbital Angular Momentum Induced by Circularly Polarized Phonons</w:t>
      </w:r>
    </w:p>
    <w:p>
      <w:pPr>
        <w:spacing w:before="0" w:after="120"/>
      </w:pPr>
      <w:r>
        <w:rPr>
          <w:b/>
        </w:rPr>
        <w:t xml:space="preserve">Source: </w:t>
      </w:r>
      <w:r>
        <w:t>Recent Articles in Phys. Rev. Lett.</w:t>
      </w:r>
      <w:r>
        <w:t xml:space="preserve">    </w:t>
      </w:r>
      <w:r>
        <w:rPr>
          <w:b/>
        </w:rPr>
        <w:t xml:space="preserve">Pub date: </w:t>
      </w:r>
      <w:r>
        <w:t>2026-08-05 10:00:00+00:00</w:t>
      </w:r>
      <w:r>
        <w:t xml:space="preserve">    </w:t>
      </w:r>
      <w:r>
        <w:rPr>
          <w:b/>
        </w:rPr>
        <w:t xml:space="preserve">DOI: </w:t>
      </w:r>
      <w:hyperlink r:id="rId1559">
        <w:r>
          <w:rPr>
            <w:color w:val="1155CC"/>
            <w:u w:val="single"/>
          </w:rPr>
          <w:t>10.1103/mnth-3g9n</w:t>
        </w:r>
      </w:hyperlink>
    </w:p>
    <w:p>
      <w:pPr>
        <w:spacing w:before="0" w:after="120"/>
      </w:pPr>
      <w:r>
        <w:rPr>
          <w:b/>
        </w:rPr>
        <w:t xml:space="preserve">Notes: </w:t>
      </w:r>
      <w:r>
        <w:t>abstract_source=rss_description</w:t>
      </w:r>
    </w:p>
    <w:p>
      <w:pPr>
        <w:spacing w:before="0" w:after="80" w:lineRule="auto" w:line="276"/>
      </w:pPr>
      <w:r>
        <w:rPr>
          <w:b/>
        </w:rPr>
        <w:t xml:space="preserve">摘要（ZH）: </w:t>
      </w:r>
      <w:r>
        <w:t>作者：Dapeng Yao、Dongwook Go、Yuriy Mokrousov 和 Shuichi Murakami 我们证明了电子的轨道角动量（OAM）是由圆极化声子动态引起的。诱导的 OAM 源于绝热演化，其中电子获得根据声子位移空间中编码的贝里曲率制定的贝里相。通过介绍...[物理。莱特牧师。 137, 066301] 2026 年 8 月 5 日星期三发布</w:t>
      </w:r>
    </w:p>
    <w:p>
      <w:pPr>
        <w:spacing w:before="0" w:after="200" w:lineRule="auto" w:line="276"/>
      </w:pPr>
      <w:r>
        <w:rPr>
          <w:b/>
        </w:rPr>
        <w:t xml:space="preserve">Abstract (EN): </w:t>
      </w:r>
      <w:r>
        <w:t>Author(s): Dapeng Yao, Dongwook Go, Yuriy Mokrousov, and Shuichi MurakamiWe show that the orbital angular momentum (OAM) of electrons is dynamically induced by circularly polarized phonons. The induced OAM originates from the adiabatic evolution in which electrons acquire Berry phase formulated in terms of the Berry curvature encoded in phonon displacement space. By intr…[Phys. Rev. Lett. 137, 066301] Published Wed Aug 05, 2026</w:t>
      </w:r>
    </w:p>
    <w:p>
      <w:pPr>
        <w:spacing w:before="120" w:after="120"/>
      </w:pPr>
      <w:r>
        <w:rPr>
          <w:sz w:val="18"/>
        </w:rPr>
        <w:t>——————————————————————————————————————————————————————————————————————</w:t>
      </w:r>
    </w:p>
    <w:p>
      <w:pPr>
        <w:spacing w:before="160" w:after="40" w:line="240" w:lineRule="auto"/>
      </w:pPr>
      <w:r>
        <w:rPr>
          <w:b/>
        </w:rPr>
        <w:t xml:space="preserve">[552] </w:t>
      </w:r>
      <w:hyperlink r:id="rId1560">
        <w:r>
          <w:rPr>
            <w:color w:val="1155CC"/>
            <w:u w:val="single"/>
          </w:rPr>
          <w:t>手性声子引起的轨道积累</w:t>
        </w:r>
      </w:hyperlink>
    </w:p>
    <w:p>
      <w:pPr>
        <w:spacing w:before="0" w:after="80"/>
      </w:pPr>
      <w:r>
        <w:rPr>
          <w:i/>
          <w:sz w:val="20"/>
        </w:rPr>
        <w:t>EN: Orbital Accumulation Induced by Chiral Phonons</w:t>
      </w:r>
    </w:p>
    <w:p>
      <w:pPr>
        <w:spacing w:before="0" w:after="120"/>
      </w:pPr>
      <w:r>
        <w:rPr>
          <w:b/>
        </w:rPr>
        <w:t xml:space="preserve">Source: </w:t>
      </w:r>
      <w:r>
        <w:t>Recent Articles in Phys. Rev. Lett.</w:t>
      </w:r>
      <w:r>
        <w:t xml:space="preserve">    </w:t>
      </w:r>
      <w:r>
        <w:rPr>
          <w:b/>
        </w:rPr>
        <w:t xml:space="preserve">Pub date: </w:t>
      </w:r>
      <w:r>
        <w:t>2026-08-05 10:00:00+00:00</w:t>
      </w:r>
      <w:r>
        <w:t xml:space="preserve">    </w:t>
      </w:r>
      <w:r>
        <w:rPr>
          <w:b/>
        </w:rPr>
        <w:t xml:space="preserve">DOI: </w:t>
      </w:r>
      <w:hyperlink r:id="rId1561">
        <w:r>
          <w:rPr>
            <w:color w:val="1155CC"/>
            <w:u w:val="single"/>
          </w:rPr>
          <w:t>10.1103/2yqn-cyzg</w:t>
        </w:r>
      </w:hyperlink>
    </w:p>
    <w:p>
      <w:pPr>
        <w:spacing w:before="0" w:after="120"/>
      </w:pPr>
      <w:r>
        <w:rPr>
          <w:b/>
        </w:rPr>
        <w:t xml:space="preserve">Notes: </w:t>
      </w:r>
      <w:r>
        <w:t>abstract_source=rss_description</w:t>
      </w:r>
    </w:p>
    <w:p>
      <w:pPr>
        <w:spacing w:before="0" w:after="80" w:lineRule="auto" w:line="276"/>
      </w:pPr>
      <w:r>
        <w:rPr>
          <w:b/>
        </w:rPr>
        <w:t xml:space="preserve">摘要（ZH）: </w:t>
      </w:r>
      <w:r>
        <w:t>作者：Tetsuya Sato、Takeo Kato 和 Aurelien Manchon 我们从理论上研究了通过轨道相关电子晶格耦合由手性声子驱动的轨道积累。我们推导了由经典晶格动力学或非平衡声子引起的轨道积累的公式，强调轨道的修正二阶响应......[物理。莱特牧师。 137, 066302] 2026 年 8 月 5 日星期三发布</w:t>
      </w:r>
    </w:p>
    <w:p>
      <w:pPr>
        <w:spacing w:before="0" w:after="200" w:lineRule="auto" w:line="276"/>
      </w:pPr>
      <w:r>
        <w:rPr>
          <w:b/>
        </w:rPr>
        <w:t xml:space="preserve">Abstract (EN): </w:t>
      </w:r>
      <w:r>
        <w:t>Author(s): Tetsuya Sato, Takeo Kato, and Aurelien ManchonWe theoretically investigate orbital accumulation driven by chiral phonons via orbital-dependent electron-lattice coupling. We derive a formula for the orbital accumulation induced by classical lattice dynamics or nonequilibrium phonons, emphasizing the rectified second-order response of the orbital…[Phys. Rev. Lett. 137, 066302] Published Wed Aug 05, 2026</w:t>
      </w:r>
    </w:p>
    <w:p>
      <w:pPr>
        <w:spacing w:before="120" w:after="120"/>
      </w:pPr>
      <w:r>
        <w:rPr>
          <w:sz w:val="18"/>
        </w:rPr>
        <w:t>——————————————————————————————————————————————————————————————————————</w:t>
      </w:r>
    </w:p>
    <w:p>
      <w:pPr>
        <w:spacing w:before="160" w:after="40" w:line="240" w:lineRule="auto"/>
      </w:pPr>
      <w:r>
        <w:rPr>
          <w:b/>
        </w:rPr>
        <w:t xml:space="preserve">[553] </w:t>
      </w:r>
      <w:hyperlink r:id="rId1562">
        <w:r>
          <w:rPr>
            <w:color w:val="1155CC"/>
            <w:u w:val="single"/>
          </w:rPr>
          <w:t>原子薄层中强烈增强的电荷密度波和相关绝缘态 $1T\text{−}{\text{TaS}}_{2}$</w:t>
        </w:r>
      </w:hyperlink>
    </w:p>
    <w:p>
      <w:pPr>
        <w:spacing w:before="0" w:after="80"/>
      </w:pPr>
      <w:r>
        <w:rPr>
          <w:i/>
          <w:sz w:val="20"/>
        </w:rPr>
        <w:t>EN: Strongly Enhanced Charge-Density Waves and Correlated Insulating State in Atomically Thin $1T\text{−}{\text{TaS}}_{2}$</w:t>
      </w:r>
    </w:p>
    <w:p>
      <w:pPr>
        <w:spacing w:before="0" w:after="120"/>
      </w:pPr>
      <w:r>
        <w:rPr>
          <w:b/>
        </w:rPr>
        <w:t xml:space="preserve">Source: </w:t>
      </w:r>
      <w:r>
        <w:t>Recent Articles in Phys. Rev. Lett.</w:t>
      </w:r>
      <w:r>
        <w:t xml:space="preserve">    </w:t>
      </w:r>
      <w:r>
        <w:rPr>
          <w:b/>
        </w:rPr>
        <w:t xml:space="preserve">Pub date: </w:t>
      </w:r>
      <w:r>
        <w:t>2026-08-05 10:00:00+00:00</w:t>
      </w:r>
      <w:r>
        <w:t xml:space="preserve">    </w:t>
      </w:r>
      <w:r>
        <w:rPr>
          <w:b/>
        </w:rPr>
        <w:t xml:space="preserve">DOI: </w:t>
      </w:r>
      <w:hyperlink r:id="rId1563">
        <w:r>
          <w:rPr>
            <w:color w:val="1155CC"/>
            <w:u w:val="single"/>
          </w:rPr>
          <w:t>10.1103/pxpf-6bsv</w:t>
        </w:r>
      </w:hyperlink>
    </w:p>
    <w:p>
      <w:pPr>
        <w:spacing w:before="0" w:after="120"/>
      </w:pPr>
      <w:r>
        <w:rPr>
          <w:b/>
        </w:rPr>
        <w:t xml:space="preserve">Notes: </w:t>
      </w:r>
      <w:r>
        <w:t>abstract_source=rss_description</w:t>
      </w:r>
    </w:p>
    <w:p>
      <w:pPr>
        <w:spacing w:before="0" w:after="80" w:lineRule="auto" w:line="276"/>
      </w:pPr>
      <w:r>
        <w:rPr>
          <w:b/>
        </w:rPr>
        <w:t xml:space="preserve">摘要（ZH）: </w:t>
      </w:r>
      <w:r>
        <w:t>作者：Gan Liu、Yulu Liu、Qiling Luo、Zhentao Huang、Kenji Watanabe、Takashi Taniguchi、Meiyu Wang、Jinsheng Wen、Yi Lu 和 Xiaoxiang Xi 拉曼光谱和输运测量的结合表明，接近二维极限显着增强了 1T-TaS2 中的电荷密度波序和相关绝缘态。莱特牧师。 137, 066502] 2026 年 8 月 5 日星期三发布</w:t>
      </w:r>
    </w:p>
    <w:p>
      <w:pPr>
        <w:spacing w:before="0" w:after="200" w:lineRule="auto" w:line="276"/>
      </w:pPr>
      <w:r>
        <w:rPr>
          <w:b/>
        </w:rPr>
        <w:t xml:space="preserve">Abstract (EN): </w:t>
      </w:r>
      <w:r>
        <w:t>Author(s): Gan Liu, Yulu Liu, Qiling Luo, Zhentao Huang, Kenji Watanabe, Takashi Taniguchi, Meiyu Wang, Jinsheng Wen, Yi Lu, and Xiaoxiang XiA combination of Raman spectroscopy and transport measurements shows that approaching the 2D limit markedly enhances the charge density wave order and the associated correlated insulating state in 1T-TaS2.[Phys. Rev. Lett. 137, 066502] Published Wed Aug 05, 2026</w:t>
      </w:r>
    </w:p>
    <w:p>
      <w:pPr>
        <w:spacing w:before="120" w:after="120"/>
      </w:pPr>
      <w:r>
        <w:rPr>
          <w:sz w:val="18"/>
        </w:rPr>
        <w:t>——————————————————————————————————————————————————————————————————————</w:t>
      </w:r>
    </w:p>
    <w:p>
      <w:pPr>
        <w:spacing w:before="160" w:after="40" w:line="240" w:lineRule="auto"/>
      </w:pPr>
      <w:r>
        <w:rPr>
          <w:b/>
        </w:rPr>
        <w:t xml:space="preserve">[554] </w:t>
      </w:r>
      <w:hyperlink r:id="rId1564">
        <w:r>
          <w:rPr>
            <w:color w:val="1155CC"/>
            <w:u w:val="single"/>
          </w:rPr>
          <w:t>耦合电化学反应的介体设计</w:t>
        </w:r>
      </w:hyperlink>
    </w:p>
    <w:p>
      <w:pPr>
        <w:spacing w:before="0" w:after="80"/>
      </w:pPr>
      <w:r>
        <w:rPr>
          <w:i/>
          <w:sz w:val="20"/>
        </w:rPr>
        <w:t>EN: Mediator Design for Coupled Electrochemical‐Chemical Reaction</w:t>
      </w:r>
    </w:p>
    <w:p>
      <w:pPr>
        <w:spacing w:before="0" w:after="120"/>
      </w:pPr>
      <w:r>
        <w:rPr>
          <w:b/>
        </w:rPr>
        <w:t xml:space="preserve">Source: </w:t>
      </w:r>
      <w:r>
        <w:t>Wiley: Advanced Materials: Table of Contents</w:t>
      </w:r>
      <w:r>
        <w:t xml:space="preserve">    </w:t>
      </w:r>
      <w:r>
        <w:rPr>
          <w:b/>
        </w:rPr>
        <w:t xml:space="preserve">Pub date: </w:t>
      </w:r>
      <w:r>
        <w:t>2026-08-05 10:47:05+00:00</w:t>
      </w:r>
      <w:r>
        <w:t xml:space="preserve">    </w:t>
      </w:r>
      <w:r>
        <w:rPr>
          <w:b/>
        </w:rPr>
        <w:t xml:space="preserve">DOI: </w:t>
      </w:r>
      <w:hyperlink r:id="rId1565">
        <w:r>
          <w:rPr>
            <w:color w:val="1155CC"/>
            <w:u w:val="single"/>
          </w:rPr>
          <w:t>10.1002/adma.74490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合成利用电极提供的电子或空穴作为可调的氧化还原当量。然而，传统的电催化过程需要电子转移、底物活化和随后的化学转化全部发生在同一电极/电解质界面区域内。这种界面限制范式越来越限制复杂的分子合成，因为多步转化需要精确的动力学耦合，而这在单个界面上是不可持续的。耦合电化学化学反应（CECR）系统通过采用氧化还原介体克服了这一限制，该介体在功能上将电极电子输入与下游底物转换解耦。在这些系统中，电极生成、再生或调节活性介体态，这些介体态传递电荷、直接自由基反应性或充当亲电/亲核单元，通过远离电极表面的化学步骤形成目标产物。本综述提出了一种以调解者为中心的范例来合理设计 CECR。我们首先从热力学、动力学和介体设计的角度研究了高效 CECR 运行的先决条件，重点关注驱动力重新分配、速率空间协调和介体分子所需的特性。随后，根据介体在关键转化中的主导作用，我们将 CECR 机制分为三种主要模式：电子转移介导、自由基中继过程和亲电/亲核激活。本综述旨在将 CECR 从经验反应发现转向</w:t>
      </w:r>
    </w:p>
    <w:p>
      <w:pPr>
        <w:spacing w:before="0" w:after="200" w:lineRule="auto" w:line="276"/>
      </w:pPr>
      <w:r>
        <w:rPr>
          <w:b/>
        </w:rPr>
        <w:t xml:space="preserve">Abstract (EN): </w:t>
      </w:r>
      <w:r>
        <w:t>Electrochemical synthesis exploits electrode‐supplied electrons or holes as tunable redox equivalents. However, conventional electrocatalytic processes require electron transfer, substrate activation, and subsequent chemical conversion to all occur within the same electrode/electrolyte interfacial region. This interface‐confined paradigm increasingly restricts complex molecular synthesis, as multistep transformations require precise kinetic coupling unsustainable at a single interface. Coupled electrochemical–chemical reaction (CECR) systems overcome this limitation by employing redox mediators that functionally decouple electrode electron input from downstream substrate conversion. In these systems, the electrode generates, regenerates, or modulates active mediator states that relay charge, direct radical reactivity, or serve as electrophilic/nucleophilic units, forming target products via chemical steps away from the electrode surface. This review proposes a mediator‐centric paradigm for the rational design of CECR. We first examine the prerequisites for efficient CECR operation from thermodynamic, kinetic, and mediator‐design perspectives, focusing on driving force redistribution, rate‐space coordination, and the required properties of mediator molecules. Subsequently, based on the dominant role of the mediator in key transformations, we classify CECR mechanisms into three primary modes: electron‐transfer mediation, radical‐relay processes, and electrophilic/nucleophilic activation. This review aims to shift CECR from empirical reaction discovery toward mechanism‐guided electrosynthesis, enabling the preparation of high‐value chemicals.</w:t>
      </w:r>
    </w:p>
    <w:p>
      <w:pPr>
        <w:spacing w:before="120" w:after="120"/>
      </w:pPr>
      <w:r>
        <w:rPr>
          <w:sz w:val="18"/>
        </w:rPr>
        <w:t>——————————————————————————————————————————————————————————————————————</w:t>
      </w:r>
    </w:p>
    <w:p>
      <w:pPr>
        <w:spacing w:before="160" w:after="40" w:line="240" w:lineRule="auto"/>
      </w:pPr>
      <w:r>
        <w:rPr>
          <w:b/>
        </w:rPr>
        <w:t xml:space="preserve">[555] </w:t>
      </w:r>
      <w:hyperlink r:id="rId1566">
        <w:r>
          <w:rPr>
            <w:color w:val="1155CC"/>
            <w:u w:val="single"/>
          </w:rPr>
          <w:t>代谢重编程生态位重塑系统通过恢复 FGF21-精氨酸轴来阻止骨关节炎</w:t>
        </w:r>
      </w:hyperlink>
    </w:p>
    <w:p>
      <w:pPr>
        <w:spacing w:before="0" w:after="80"/>
      </w:pPr>
      <w:r>
        <w:rPr>
          <w:i/>
          <w:sz w:val="20"/>
        </w:rPr>
        <w:t>EN: A Metabo‐Reprogramming Niche Remodeling System Halts Osteoarthritis by Restoring the FGF21‐Arginine Axis</w:t>
      </w:r>
    </w:p>
    <w:p>
      <w:pPr>
        <w:spacing w:before="0" w:after="120"/>
      </w:pPr>
      <w:r>
        <w:rPr>
          <w:b/>
        </w:rPr>
        <w:t xml:space="preserve">Source: </w:t>
      </w:r>
      <w:r>
        <w:t>Wiley: Advanced Materials: Table of Contents</w:t>
      </w:r>
      <w:r>
        <w:t xml:space="preserve">    </w:t>
      </w:r>
      <w:r>
        <w:rPr>
          <w:b/>
        </w:rPr>
        <w:t xml:space="preserve">Pub date: </w:t>
      </w:r>
      <w:r>
        <w:t>2026-08-05 10:48:12+00:00</w:t>
      </w:r>
      <w:r>
        <w:t xml:space="preserve">    </w:t>
      </w:r>
      <w:r>
        <w:rPr>
          <w:b/>
        </w:rPr>
        <w:t xml:space="preserve">DOI: </w:t>
      </w:r>
      <w:hyperlink r:id="rId1567">
        <w:r>
          <w:rPr>
            <w:color w:val="1155CC"/>
            <w:u w:val="single"/>
          </w:rPr>
          <w:t>10.1002/adma.74404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骨关节炎 (OA) 是全球慢性疼痛和残疾的主要原因，缺乏针对其核心发病机制的疾病缓解骨关节炎药物 (DMOAD)。人 OA 软骨的 scRNA-seq 显示驱动软骨退化的高精氨酸代谢软骨细胞亚群显着减少，其关键上游调节因子 FGF21 在 OA 软骨中显着下调。从机制上讲，FGF21 通过 ASS1/ASL 介导的精氨酸生物合成来挽救 IL-1β 诱导的软骨细胞功能障碍，这种作用可通过 ASS1 敲低而消除，从而证实了 FGF21-精氨酸途径的作用以及 FGF21 作为治疗靶点。在这种机制的指导下，我们设计了一种基于水凝胶的生物启发代谢重编程生态位重塑系统（MetaRemod），以实现将 FGF21 精确有效地递送至 OA 软骨细胞。在小鼠 OA 模型中，MetaRemod 通过持续靶向递送​​生物活性 FGF21、恢复软骨细胞精氨酸代谢、保留软骨结构和关节间隙、恢复软骨下骨完整性和减轻滑膜炎，有效阻止 OA 进展。至关重要的是，经过处理的软骨的 scRNA-seq 证实了耗尽的“高精氨酸代谢”软骨细胞亚群的恢复，直接验证了 MetaRemod 逆转了 OA 的核心代谢缺陷。这项研究将 FGF21-精氨酸代谢轴确立为 OA 的关键治疗靶点，并验证 MetaRemod 是一种有前途的策略，可以协同靶向 FGF21 递送和代谢重编程，为 m 的临床转化奠定坚实的基础。</w:t>
      </w:r>
    </w:p>
    <w:p>
      <w:pPr>
        <w:spacing w:before="0" w:after="200" w:lineRule="auto" w:line="276"/>
      </w:pPr>
      <w:r>
        <w:rPr>
          <w:b/>
        </w:rPr>
        <w:t xml:space="preserve">Abstract (EN): </w:t>
      </w:r>
      <w:r>
        <w:t>Osteoarthritis (OA), a global leading cause of chronic pain and disability, lacks disease‐modifying osteoarthritis drugs (DMOADs) targeting its core pathogenesis. scRNA‐seq of human OA cartilage showed marked depletion of a high‐arginine‐metabolism chondrocyte subpopulation driving cartilage degeneration, with its key upstream regulator FGF21, significantly downregulated in OA cartilage. Mechanistically, FGF21 rescues IL‐1β‐induced chondrocyte dysfunction via ASS1/ASL ‐mediated arginine biosynthesis, an effect abrogated by ASS1 knockdown, confirming the FGF21‐arginine pathway's role and FGF21 as a therapeutic target. Guided by this mechanism, we engineered a hydrogel‐based bioinspired metabo‐reprogramming niche remodeling system (MetaRemod) to achieve precise and efficient delivery of FGF21 to OA chondrocytes. In a mouse OA model, MetaRemod effectively halted OA progression by sustaining targeted delivery of bioactive FGF21, restoring chondrocyte arginine metabolism, preserving cartilage structure and joint space, restoring subchondral bone integrity, and mitigating synovitis. Critically, scRNA‐seq of treated cartilage confirmed the restoration of the depleted “high‐arginine‐metabolism” chondrocyte subpopulation, directly validating that MetaRemod reverses OA's core metabolic defect. This study establishes the FGF21‐arginine metabolic axis as a key therapeutic target for OA and validates MetaRemod as a promising strategy that synergizes targeted FGF21 delivery and metabolic reprogramming, laying a solid foundation for the clinical translation of metabolic reprogramming‐based DMOADs.</w:t>
      </w:r>
    </w:p>
    <w:p>
      <w:pPr>
        <w:spacing w:before="120" w:after="120"/>
      </w:pPr>
      <w:r>
        <w:rPr>
          <w:sz w:val="18"/>
        </w:rPr>
        <w:t>——————————————————————————————————————————————————————————————————————</w:t>
      </w:r>
    </w:p>
    <w:p>
      <w:pPr>
        <w:spacing w:before="160" w:after="40" w:line="240" w:lineRule="auto"/>
      </w:pPr>
      <w:r>
        <w:rPr>
          <w:b/>
        </w:rPr>
        <w:t xml:space="preserve">[556] </w:t>
      </w:r>
      <w:hyperlink r:id="rId1568">
        <w:r>
          <w:rPr>
            <w:color w:val="1155CC"/>
            <w:u w:val="single"/>
          </w:rPr>
          <w:t>用于协同成像的高度结晶透明复合材料</w:t>
        </w:r>
      </w:hyperlink>
    </w:p>
    <w:p>
      <w:pPr>
        <w:spacing w:before="0" w:after="80"/>
      </w:pPr>
      <w:r>
        <w:rPr>
          <w:i/>
          <w:sz w:val="20"/>
        </w:rPr>
        <w:t>EN: Highly Crystallized Transparent Composite for Cooperative Imaging</w:t>
      </w:r>
    </w:p>
    <w:p>
      <w:pPr>
        <w:spacing w:before="0" w:after="120"/>
      </w:pPr>
      <w:r>
        <w:rPr>
          <w:b/>
        </w:rPr>
        <w:t xml:space="preserve">Source: </w:t>
      </w:r>
      <w:r>
        <w:t>Wiley: Advanced Materials: Table of Contents</w:t>
      </w:r>
      <w:r>
        <w:t xml:space="preserve">    </w:t>
      </w:r>
      <w:r>
        <w:rPr>
          <w:b/>
        </w:rPr>
        <w:t xml:space="preserve">Pub date: </w:t>
      </w:r>
      <w:r>
        <w:t>2026-08-05 10:48:16+00:00</w:t>
      </w:r>
      <w:r>
        <w:t xml:space="preserve">    </w:t>
      </w:r>
      <w:r>
        <w:rPr>
          <w:b/>
        </w:rPr>
        <w:t xml:space="preserve">DOI: </w:t>
      </w:r>
      <w:hyperlink r:id="rId1569">
        <w:r>
          <w:rPr>
            <w:color w:val="1155CC"/>
            <w:u w:val="single"/>
          </w:rPr>
          <w:t>10.1002/adma.74454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高度结晶的玻璃复合材料很少能保持高光学透明度，同时支持高效的近红外 (NIR) 发射和强 X 射线响应。这里，高度结晶的 Cr</w:t>
      </w:r>
      <w:r>
        <w:t xml:space="preserve"> </w:t>
      </w:r>
      <w:r>
        <w:t>3+</w:t>
      </w:r>
      <w:r>
        <w:t xml:space="preserve"> </w:t>
      </w:r>
      <w:r>
        <w:t>据报道，‐掺杂透明玻璃复合材料打破了这种传统的妥协，提供了超过 80% 的光学透射率和 98.5% 的近乎一致的内量子效率。在 X 射线激发下，玻璃复合材料的辐射发光 (RL) 强度是 Bi 的五倍</w:t>
      </w:r>
      <w:r>
        <w:rPr>
          <w:vertAlign w:val="subscript"/>
        </w:rPr>
        <w:t>4</w:t>
      </w:r>
      <w:r>
        <w:t>锗</w:t>
      </w:r>
      <w:r>
        <w:rPr>
          <w:vertAlign w:val="subscript"/>
        </w:rPr>
        <w:t>3</w:t>
      </w:r>
      <w:r>
        <w:t>氧</w:t>
      </w:r>
      <w:r>
        <w:rPr>
          <w:vertAlign w:val="subscript"/>
        </w:rPr>
        <w:t>12</w:t>
      </w:r>
      <w:r>
        <w:t>并且显示出热增强的 RL，在 150°C 时达到室温强度的 105%。此功能进一步扩展到纤维形式，从而实现了近红外玻璃复合纤维。高分辨率 X 射线成像的空间分辨率为 27 lp mm</w:t>
      </w:r>
      <w:r>
        <w:t xml:space="preserve"> </w:t>
      </w:r>
      <w:r>
        <w:t>−1</w:t>
      </w:r>
      <w:r>
        <w:t xml:space="preserve"> </w:t>
      </w:r>
      <w:r>
        <w:t>，而光学和 X 射线激发路径的集成进一步实现了具有互补对比度和增强信息深度的协作双模成像。这些结果证明了在单一材料平台内集成光学透明度、近红外发射和 X 射线响应的可行策略，支持先进的光子和成像应用。</w:t>
      </w:r>
    </w:p>
    <w:p>
      <w:pPr>
        <w:spacing w:before="0" w:after="200" w:lineRule="auto" w:line="276"/>
      </w:pPr>
      <w:r>
        <w:rPr>
          <w:b/>
        </w:rPr>
        <w:t xml:space="preserve">Abstract (EN): </w:t>
      </w:r>
      <w:r>
        <w:t>Highly crystallized glass composites rarely retain high optical transparency while supporting efficient near‐infrared (NIR) emission and strong x‐ray response. Here, a highly crystallized Cr</w:t>
      </w:r>
      <w:r>
        <w:t xml:space="preserve"> </w:t>
      </w:r>
      <w:r>
        <w:t>3+</w:t>
      </w:r>
      <w:r>
        <w:t xml:space="preserve"> </w:t>
      </w:r>
      <w:r>
        <w:t>‐doped transparent glass composite is reported that breaks this conventional compromise, delivering an optical transmittance exceeding 80% and a near‐unity internal quantum efficiency of 98.5%. Under x‐ray excitation, the glass composite exhibits a radioluminescence (RL) intensity five times that of Bi</w:t>
      </w:r>
      <w:r>
        <w:rPr>
          <w:vertAlign w:val="subscript"/>
        </w:rPr>
        <w:t>4</w:t>
      </w:r>
      <w:r>
        <w:t>Ge</w:t>
      </w:r>
      <w:r>
        <w:rPr>
          <w:vertAlign w:val="subscript"/>
        </w:rPr>
        <w:t>3</w:t>
      </w:r>
      <w:r>
        <w:t>O</w:t>
      </w:r>
      <w:r>
        <w:rPr>
          <w:vertAlign w:val="subscript"/>
        </w:rPr>
        <w:t>12</w:t>
      </w:r>
      <w:r>
        <w:t>and shows thermally enhanced RL, reaching 105% of its room‐temperature intensity at 150°C. This functionality is further extended to fiber form, where NIR glass composite fibers are realized. High‐resolution x‐ray imaging is achieved with a spatial resolution of 27 lp mm</w:t>
      </w:r>
      <w:r>
        <w:t xml:space="preserve"> </w:t>
      </w:r>
      <w:r>
        <w:t>−1</w:t>
      </w:r>
      <w:r>
        <w:t xml:space="preserve"> </w:t>
      </w:r>
      <w:r>
        <w:t>, while integration of optical and x‐ray excitation pathways further enables cooperative dual‐modal imaging with complementary contrast and enhanced information depth. These results demonstrate a viable strategy for integrating optical transparency, NIR emission and x‐ray response within a single material platform, supporting advanced photonic and imaging applications.</w:t>
      </w:r>
    </w:p>
    <w:p>
      <w:pPr>
        <w:spacing w:before="120" w:after="120"/>
      </w:pPr>
      <w:r>
        <w:rPr>
          <w:sz w:val="18"/>
        </w:rPr>
        <w:t>——————————————————————————————————————————————————————————————————————</w:t>
      </w:r>
    </w:p>
    <w:p>
      <w:pPr>
        <w:spacing w:before="160" w:after="40" w:line="240" w:lineRule="auto"/>
      </w:pPr>
      <w:r>
        <w:rPr>
          <w:b/>
        </w:rPr>
        <w:t xml:space="preserve">[557] </w:t>
      </w:r>
      <w:hyperlink r:id="rId1570">
        <w:r>
          <w:rPr>
            <w:color w:val="1155CC"/>
            <w:u w:val="single"/>
          </w:rPr>
          <w:t>仿生门控电子皮肤，用于机器人智能中的超快液体识别和精确的液滴滑动传感</w:t>
        </w:r>
      </w:hyperlink>
    </w:p>
    <w:p>
      <w:pPr>
        <w:spacing w:before="0" w:after="80"/>
      </w:pPr>
      <w:r>
        <w:rPr>
          <w:i/>
          <w:sz w:val="20"/>
        </w:rPr>
        <w:t>EN: Bio‐Inspired Gating‐Controlled Electronic Skin for Ultrafast Liquid Recognition and Precise Droplet Sliding Sensing in Robotic Intelligence</w:t>
      </w:r>
    </w:p>
    <w:p>
      <w:pPr>
        <w:spacing w:before="0" w:after="120"/>
      </w:pPr>
      <w:r>
        <w:rPr>
          <w:b/>
        </w:rPr>
        <w:t xml:space="preserve">Source: </w:t>
      </w:r>
      <w:r>
        <w:t>Wiley: Advanced Materials: Table of Contents</w:t>
      </w:r>
      <w:r>
        <w:t xml:space="preserve">    </w:t>
      </w:r>
      <w:r>
        <w:rPr>
          <w:b/>
        </w:rPr>
        <w:t xml:space="preserve">Pub date: </w:t>
      </w:r>
      <w:r>
        <w:t>2026-08-05 10:49:32+00:00</w:t>
      </w:r>
      <w:r>
        <w:t xml:space="preserve">    </w:t>
      </w:r>
      <w:r>
        <w:rPr>
          <w:b/>
        </w:rPr>
        <w:t xml:space="preserve">DOI: </w:t>
      </w:r>
      <w:hyperlink r:id="rId1571">
        <w:r>
          <w:rPr>
            <w:color w:val="1155CC"/>
            <w:u w:val="single"/>
          </w:rPr>
          <w:t>10.1002/adma.74482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赋予智能机器人感知和分析复杂液体环境的能力对于自主决策至关重要。然而，传统的液体传感技术仍然受到瞬态响应和识别精度之间的基本权衡的限制，这一限制源于界面电荷转移的缓慢动力学和复杂的分析程序。在此，我们提出了一种仿生液体感应电子皮肤（BLSE），其灵感来自于生物感觉细胞表面离子通道的门控信号转导机制。通过模拟离子通道的瞬态信号转导，BLSE实现了低阻抗液滴与高阻抗传感阵列接触触发的电子通路的瞬时重建。该设计可实现 1.8 毫秒的超快响应和恢复时间。为了确保在复杂液体环境中的稳定性，集成了接触角为 159° 的超疏水涂层，最大限度地减少了界面粘附，从而实现瞬时功能恢复和稳定的循环传感。通过将多层交错电极网络与深度学习算法相结合进行多通道特征提取，BLSE 表现出 99.58% 的液体识别精度和精确检测液滴滑动的能力。这种受门控启发的传感范式提供了一种多功能的液体识别策略，为开发具有类人环境意识的智能自主系统铺平了道路。</w:t>
      </w:r>
    </w:p>
    <w:p>
      <w:pPr>
        <w:spacing w:before="0" w:after="200" w:lineRule="auto" w:line="276"/>
      </w:pPr>
      <w:r>
        <w:rPr>
          <w:b/>
        </w:rPr>
        <w:t xml:space="preserve">Abstract (EN): </w:t>
      </w:r>
      <w:r>
        <w:t>Endowing intelligent robots with the ability to perceive and analyze complex liquid environments is essential for autonomous decision‐making. However, conventional liquid‐sensing technologies remain constrained by a fundamental trade‐off between transient response and recognition accuracy, a limitation stemming from the sluggish kinetics of interfacial charge transfer and complex analytical procedures. Herein, we present a bionic liquid‐sensing electronic skin (BLSE) inspired by the gating‐controlled signal transduction mechanism of ion channels on the surface of biological sensory cells. By emulating the transient signal transduction of ion channels, BLSE achieves instantaneous reconstruction of electronic pathways triggered by the contact between low‐impedance droplets and the high‐impedance sensing array. This design enables an ultrafast response and recovery time of 1.8 ms. To ensure stability in complex liquid environments, a superhydrophobic coating with a contact angle of 159° is integrated, minimizing interfacial adhesion to allow instantaneous functional recovery and stable cyclic sensing. By coupling a multi‐layer interlaced electrode network with deep learning algorithms for multi‐channel feature extraction, BLSE demonstrates a liquid recognition accuracy of 99.58% and the ability to precisely detect droplet sliding. This gating‐inspired sensing paradigm offers a versatile strategy for liquid recognition, paving the way for developing intelligent autonomous systems capable of human‐like environmental awareness.</w:t>
      </w:r>
    </w:p>
    <w:p>
      <w:pPr>
        <w:spacing w:before="120" w:after="120"/>
      </w:pPr>
      <w:r>
        <w:rPr>
          <w:sz w:val="18"/>
        </w:rPr>
        <w:t>——————————————————————————————————————————————————————————————————————</w:t>
      </w:r>
    </w:p>
    <w:p>
      <w:pPr>
        <w:spacing w:before="160" w:after="40" w:line="240" w:lineRule="auto"/>
      </w:pPr>
      <w:r>
        <w:rPr>
          <w:b/>
        </w:rPr>
        <w:t xml:space="preserve">[558] </w:t>
      </w:r>
      <w:hyperlink r:id="rId1572">
        <w:r>
          <w:rPr>
            <w:color w:val="1155CC"/>
            <w:u w:val="single"/>
          </w:rPr>
          <w:t>用于耐用电子产品的本质抗氧化纳米铜的激光诱导合成和钝化</w:t>
        </w:r>
      </w:hyperlink>
    </w:p>
    <w:p>
      <w:pPr>
        <w:spacing w:before="0" w:after="80"/>
      </w:pPr>
      <w:r>
        <w:rPr>
          <w:i/>
          <w:sz w:val="20"/>
        </w:rPr>
        <w:t>EN: Laser‐Induced Synthesis and Passivation of Intrinsically Antioxidative Nano‐Copper for Durable Electronics</w:t>
      </w:r>
    </w:p>
    <w:p>
      <w:pPr>
        <w:spacing w:before="0" w:after="120"/>
      </w:pPr>
      <w:r>
        <w:rPr>
          <w:b/>
        </w:rPr>
        <w:t xml:space="preserve">Source: </w:t>
      </w:r>
      <w:r>
        <w:t>Wiley: Advanced Materials: Table of Contents</w:t>
      </w:r>
      <w:r>
        <w:t xml:space="preserve">    </w:t>
      </w:r>
      <w:r>
        <w:rPr>
          <w:b/>
        </w:rPr>
        <w:t xml:space="preserve">Pub date: </w:t>
      </w:r>
      <w:r>
        <w:t>2026-08-05 12:10:49+00:00</w:t>
      </w:r>
      <w:r>
        <w:t xml:space="preserve">    </w:t>
      </w:r>
      <w:r>
        <w:rPr>
          <w:b/>
        </w:rPr>
        <w:t xml:space="preserve">DOI: </w:t>
      </w:r>
      <w:hyperlink r:id="rId1573">
        <w:r>
          <w:rPr>
            <w:color w:val="1155CC"/>
            <w:u w:val="single"/>
          </w:rPr>
          <w:t>10.1002/adma.74511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不断增加的成本以及严格的存储要求是先进电子产品纯金属油墨可持续发展的主要障碍。从更便宜的氧化物中对铜 (Cu) 进行化学还原转化提供了一种类似的替代方案，但其存在导致导电性故障的固有氧化问题。在这里，我们报告了激光诱导合成和钝化坚固的纳米铜，在没有额外封装的情况下，在恶劣的湿热条件（190°C 和 90°C，90% RH）下实现了卓越的耐用性。通过选择性和可控的金属化，新生的铜在界面处配备了明确的双配体势垒，这些势垒通过甲酸盐晶体配位和油胺疏水化而功能化。这种表面改性使得所形成的铜在长时间的湿热波动下电阻增加有限。作为演示，我们创建了具有钝化铜互连的共形可穿戴传感器系统，可承受湿热侵蚀并提供信号警报。这种激光技术弥合了高性能铜纳米材料和成本效益之间的差距，为现实生活中的极端情况提供了耐用的电子产品。</w:t>
      </w:r>
    </w:p>
    <w:p>
      <w:pPr>
        <w:spacing w:before="0" w:after="200" w:lineRule="auto" w:line="276"/>
      </w:pPr>
      <w:r>
        <w:rPr>
          <w:b/>
        </w:rPr>
        <w:t xml:space="preserve">Abstract (EN): </w:t>
      </w:r>
      <w:r>
        <w:t>The ever‐increasing costs, along with rigorous storage requirements, are the primary obstacles to the sustainable development of pure metallic inks for advanced electronics. The chemically reductive conversion of copper (Cu) from its much cheaper oxides offers a comparable alternative, whereas suffering from the intrinsic oxidation issues that lead to conductivity failures. Here, we report laser‐induced synthesis and passivation of robust nano‐Cu, achieving superior durability under harsh humid‐thermal conditions (190°C and 90°C, 90% RH) in the absence of additional encapsulations. Through selective and controllable metallization, the nascent Cu is equipped with well‐defined dual‐ligand barriers at interface, which are functionalized by formate crystallographic coordination and oleylamine hydrophobization. Such surface modification imparts the as‐formed Cu with limited resistance increase over prolonged humid‐thermal fluctuations. As demonstrations, we create conformal and wearable sensor systems with passivated Cu interconnects that withstand humid‐thermal erosion and provide signal alerts. This laser technology bridges the gap between high‐performance Cu nanomaterials and cost‐effectiveness, empowering endurable electronics for real‐life extremes.</w:t>
      </w:r>
    </w:p>
    <w:p>
      <w:pPr>
        <w:spacing w:before="120" w:after="120"/>
      </w:pPr>
      <w:r>
        <w:rPr>
          <w:sz w:val="18"/>
        </w:rPr>
        <w:t>——————————————————————————————————————————————————————————————————————</w:t>
      </w:r>
    </w:p>
    <w:p>
      <w:pPr>
        <w:spacing w:before="160" w:after="40" w:line="240" w:lineRule="auto"/>
      </w:pPr>
      <w:r>
        <w:rPr>
          <w:b/>
        </w:rPr>
        <w:t xml:space="preserve">[559] </w:t>
      </w:r>
      <w:hyperlink r:id="rId1574">
        <w:r>
          <w:rPr>
            <w:color w:val="1155CC"/>
            <w:u w:val="single"/>
          </w:rPr>
          <w:t>多谐振 TADF 发射器中反向系间穿越的战略加速</w:t>
        </w:r>
      </w:hyperlink>
    </w:p>
    <w:p>
      <w:pPr>
        <w:spacing w:before="0" w:after="80"/>
      </w:pPr>
      <w:r>
        <w:rPr>
          <w:i/>
          <w:sz w:val="20"/>
        </w:rPr>
        <w:t>EN: Strategic Acceleration of Reverse Intersystem Crossing in Multi‐Resonance TADF Emitters</w:t>
      </w:r>
    </w:p>
    <w:p>
      <w:pPr>
        <w:spacing w:before="0" w:after="120"/>
      </w:pPr>
      <w:r>
        <w:rPr>
          <w:b/>
        </w:rPr>
        <w:t xml:space="preserve">Source: </w:t>
      </w:r>
      <w:r>
        <w:t>Wiley: Advanced Materials: Table of Contents</w:t>
      </w:r>
      <w:r>
        <w:t xml:space="preserve">    </w:t>
      </w:r>
      <w:r>
        <w:rPr>
          <w:b/>
        </w:rPr>
        <w:t xml:space="preserve">Pub date: </w:t>
      </w:r>
      <w:r>
        <w:t>2026-08-05 12:14:12+00:00</w:t>
      </w:r>
      <w:r>
        <w:t xml:space="preserve">    </w:t>
      </w:r>
      <w:r>
        <w:rPr>
          <w:b/>
        </w:rPr>
        <w:t xml:space="preserve">DOI: </w:t>
      </w:r>
      <w:hyperlink r:id="rId1575">
        <w:r>
          <w:rPr>
            <w:color w:val="1155CC"/>
            <w:u w:val="single"/>
          </w:rPr>
          <w:t>10.1002/adma.74485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先进的多共振诱导热激活延迟荧光（MR-TADF）材料具有本质上的窄带发射和出色的发光效率，使其成为下一代有机发光二极管（OLED）的有前途的发射器。然而，它们的发展仍然受到缓慢的反向系间交叉 (RISC) 速率的阻碍，这会导致高亮度下严重的效率滚降，并限制它们在高性能 OLED 中的应用。在这里，我们提出了一种有效的方法来设计蓝色 MR-TADF 分子，通过集成褶皱且不对称的七边形二苯二氮卓结构单元，而不是传统的平面供体，这不仅促进了高效的三线态到单线态 RISC 过程，而且还保留了窄带发射。概念验证发射器 AzBN2 表现出以 462 nm 为中心的明亮深蓝色发射，半峰全宽为 19 nm，CIE 坐标为 (0.13, 0.067)，同时 RISC 速率增加两倍以上。结果，基于 AzBN2 的 TADF OLED 实现了高达 35.7% 的创纪录的最大外量子效率 (EQE)。此外，由于 AzBN2 提高了 RISC 速率，该器件表现出极低的效率滚降；值得注意的是，在 1000 cd m 高亮度下，EQE 保持在 29.8%</w:t>
      </w:r>
      <w:r>
        <w:t xml:space="preserve"> </w:t>
      </w:r>
      <w:r>
        <w:t>−2</w:t>
      </w:r>
      <w:r>
        <w:t xml:space="preserve"> </w:t>
      </w:r>
      <w:r>
        <w:t>，代表了 MR-TADF OLED 的最先进性能。</w:t>
      </w:r>
    </w:p>
    <w:p>
      <w:pPr>
        <w:spacing w:before="0" w:after="200" w:lineRule="auto" w:line="276"/>
      </w:pPr>
      <w:r>
        <w:rPr>
          <w:b/>
        </w:rPr>
        <w:t xml:space="preserve">Abstract (EN): </w:t>
      </w:r>
      <w:r>
        <w:t>Advanced multi‐resonance‐induced thermally activated delayed fluorescence (MR‐TADF) materials offer intrinsically narrowband emissions and excellent luminescent efficiencies, making them promising emitters for next‐generation organic light‐emitting diodes (OLEDs). However, their development remains hindered by slow reverse intersystem crossing (RISC) rates, which cause severe efficiency roll‐off at high luminance and limit their application in high‐performance OLEDs. Here, we propose an effective approach for designing blue MR‐TADF molecules by integrating a crumpled and asymmetric heptagonal dibenzodiazepine building block, rather than conventional planar donors, which not only promotes efficient triplet‐to‐singlet RISC processes but also preserves narrowband emission. The proof‐of‐concept emitter AzBN2 exhibits a bright deep‐blue emission centered at 462 nm with a full‐width at half‐maximum of 19 nm and CIE coordinates of (0.13, 0.067), accompanied by a more than twofold increase in the RISC rate. As a result, TADF OLEDs based on AzBN2 achieved a record maximum external quantum efficiency (EQE) of up to 35.7%. Moreover, ascribed to the improved RISC rates of AzBN2, the device exhibits an extremely low efficiency roll‐off; notably, the EQE remains at 29.8% under a high luminance of 1000 cd m</w:t>
      </w:r>
      <w:r>
        <w:t xml:space="preserve"> </w:t>
      </w:r>
      <w:r>
        <w:t>−2</w:t>
      </w:r>
      <w:r>
        <w:t xml:space="preserve"> </w:t>
      </w:r>
      <w:r>
        <w:t>, representing state‐of‐the‐art performance for MR‐TADF OLEDs.</w:t>
      </w:r>
    </w:p>
    <w:p>
      <w:pPr>
        <w:spacing w:before="120" w:after="120"/>
      </w:pPr>
      <w:r>
        <w:rPr>
          <w:sz w:val="18"/>
        </w:rPr>
        <w:t>——————————————————————————————————————————————————————————————————————</w:t>
      </w:r>
    </w:p>
    <w:p>
      <w:pPr>
        <w:spacing w:before="160" w:after="40" w:line="240" w:lineRule="auto"/>
      </w:pPr>
      <w:r>
        <w:rPr>
          <w:b/>
        </w:rPr>
        <w:t xml:space="preserve">[560] </w:t>
      </w:r>
      <w:hyperlink r:id="rId1576">
        <w:r>
          <w:rPr>
            <w:color w:val="1155CC"/>
            <w:u w:val="single"/>
          </w:rPr>
          <w:t>单波长调制的傅立叶光电突触</w:t>
        </w:r>
      </w:hyperlink>
    </w:p>
    <w:p>
      <w:pPr>
        <w:spacing w:before="0" w:after="80"/>
      </w:pPr>
      <w:r>
        <w:rPr>
          <w:i/>
          <w:sz w:val="20"/>
        </w:rPr>
        <w:t>EN: A Fourier Optoelectronic Synapse with Single‐Wavelength Modulation</w:t>
      </w:r>
    </w:p>
    <w:p>
      <w:pPr>
        <w:spacing w:before="0" w:after="120"/>
      </w:pPr>
      <w:r>
        <w:rPr>
          <w:b/>
        </w:rPr>
        <w:t xml:space="preserve">Source: </w:t>
      </w:r>
      <w:r>
        <w:t>Wiley: Advanced Materials: Table of Contents</w:t>
      </w:r>
      <w:r>
        <w:t xml:space="preserve">    </w:t>
      </w:r>
      <w:r>
        <w:rPr>
          <w:b/>
        </w:rPr>
        <w:t xml:space="preserve">Pub date: </w:t>
      </w:r>
      <w:r>
        <w:t>2026-08-05 12:17:59+00:00</w:t>
      </w:r>
      <w:r>
        <w:t xml:space="preserve">    </w:t>
      </w:r>
      <w:r>
        <w:rPr>
          <w:b/>
        </w:rPr>
        <w:t xml:space="preserve">DOI: </w:t>
      </w:r>
      <w:hyperlink r:id="rId1577">
        <w:r>
          <w:rPr>
            <w:color w:val="1155CC"/>
            <w:u w:val="single"/>
          </w:rPr>
          <w:t>10.1002/adma.74518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析空间频域特征对于捕获目标的各种深度特征至关重要，从而增强体现智能对非结构化环境的适应性。由于频繁的数据传输，数字方法的效率有限，而神经形态方法缺乏专用的频域处理硬件。在这里，我们报告了一种集成了傅里叶光学系统和傅里叶光电突触（FOS）的傅里叶神经形态视觉（FIVE）系统。 FIVE 系统以光学方式提取频域线索，时间延迟和计算能耗可忽略不计，然后根据 FOS 光强度的非线性对这些线索进行过滤。此外，这种 FOS 器件通过单波长的光强度表现出多级存储器可调性。这一特性使得多层感知器的实现能够对频域特征进行进一步分类。 FIVE 系统在图像噪声分类任务中实现了约 90% 的高精度，并且在参数计数方面优于基于卷积神经网络 (CNN) 的方法。</w:t>
      </w:r>
    </w:p>
    <w:p>
      <w:pPr>
        <w:spacing w:before="0" w:after="200" w:lineRule="auto" w:line="276"/>
      </w:pPr>
      <w:r>
        <w:rPr>
          <w:b/>
        </w:rPr>
        <w:t xml:space="preserve">Abstract (EN): </w:t>
      </w:r>
      <w:r>
        <w:t>Analyzing spatial frequency domain features is essential for capturing diverse in‐depth features of targets, thereby enhancing the adaptability to unstructured environments for embodied intelligence. Digital approaches suffer from limited efficiency due to frequent data transfer, while neuromorphic ones lack dedicated frequency‐domain processing hardware. Here, we report a Fourier neuromorphic visual (FIVE) system integrating a Fourier optical system and Fourier optoelectronic synapses (FOSs). The FIVE system extracts frequency‐domain cues optically with negligible time latency and computational energy consumption, and these cues are then filtered based on nonlinearity to the light intensity of FOSs. Furthermore, such a FOS device exhibits multilevel memory tunability by light intensity of single‐wavelength. This property enables the implementation of multilayer perceptron for further classification of frequency domain features. The FIVE system achieves a high accuracy of ∼90% in the image noise classification task and outperforms convolutional neural network (CNN)‐based approaches by orders of magnitude in parameter count.</w:t>
      </w:r>
    </w:p>
    <w:p>
      <w:pPr>
        <w:spacing w:before="120" w:after="120"/>
      </w:pPr>
      <w:r>
        <w:rPr>
          <w:sz w:val="18"/>
        </w:rPr>
        <w:t>——————————————————————————————————————————————————————————————————————</w:t>
      </w:r>
    </w:p>
    <w:p>
      <w:pPr>
        <w:spacing w:before="160" w:after="40" w:line="240" w:lineRule="auto"/>
      </w:pPr>
      <w:r>
        <w:rPr>
          <w:b/>
        </w:rPr>
        <w:t xml:space="preserve">[561] </w:t>
      </w:r>
      <w:hyperlink r:id="rId1578">
        <w:r>
          <w:rPr>
            <w:color w:val="1155CC"/>
            <w:u w:val="single"/>
          </w:rPr>
          <w:t>用于肾功能障碍微创检测和监测的金属有机骨架保存耐热微针贴片</w:t>
        </w:r>
      </w:hyperlink>
    </w:p>
    <w:p>
      <w:pPr>
        <w:spacing w:before="0" w:after="80"/>
      </w:pPr>
      <w:r>
        <w:rPr>
          <w:i/>
          <w:sz w:val="20"/>
        </w:rPr>
        <w:t>EN: Metal–Organic Framework‐Preserved Thermostable Microneedle Patch for Minimally Invasive Detection and Monitoring of Kidney Dysfunction</w:t>
      </w:r>
    </w:p>
    <w:p>
      <w:pPr>
        <w:spacing w:before="0" w:after="120"/>
      </w:pPr>
      <w:r>
        <w:rPr>
          <w:b/>
        </w:rPr>
        <w:t xml:space="preserve">Source: </w:t>
      </w:r>
      <w:r>
        <w:t>Wiley: Advanced Materials: Table of Contents</w:t>
      </w:r>
      <w:r>
        <w:t xml:space="preserve">    </w:t>
      </w:r>
      <w:r>
        <w:rPr>
          <w:b/>
        </w:rPr>
        <w:t xml:space="preserve">Pub date: </w:t>
      </w:r>
      <w:r>
        <w:t>2026-08-05 12:20:41+00:00</w:t>
      </w:r>
      <w:r>
        <w:t xml:space="preserve">    </w:t>
      </w:r>
      <w:r>
        <w:rPr>
          <w:b/>
        </w:rPr>
        <w:t xml:space="preserve">DOI: </w:t>
      </w:r>
      <w:hyperlink r:id="rId1579">
        <w:r>
          <w:rPr>
            <w:color w:val="1155CC"/>
            <w:u w:val="single"/>
          </w:rPr>
          <w:t>10.1002/adma.74423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早期和分散的生物标志物检测和监测对于及时诊断和干预至关重要，特别是对于经常无症状进展直至发生不可逆转损害的肾脏疾病。在这里，我们提出了一种热弹性金属有机框架封装微针（MOF@MN）传感平台，该平台将微创真皮间质液（ISF）采样和针上检测与基于MOF的传感接口生物稳定性集成在一起。薄沸石咪唑酯框架 8 (ZIF-8) 壳在抗体功能化微针上原位生长，在高达 50°C 的热循环 4 周后保留固定化抗体的生物活性，并在长时间非冷藏运输后保持完整的分析性能。这种界面封装策略能够直接从真皮 ISF 在广泛的临床相关范围内定量检测中性粒细胞明胶酶相关脂质运载蛋白 (NGAL)，这是一种肾损伤的早期生物标志物。在小鼠模型和人类受试者中，MOF@MN 衍生的 NGAL 测量结果密切反映了血液 NGAL 浓度，先于传统肾功能标志物的变化，并与组织病理学损伤严重程度密切相关，突出了其亚临床监测的潜力。总的来说，这项研究将共形 MOF 封装确立为一种简单而高效的策略，用于工程环境弹性传感接口，并为独立于冷链的微创生物传感提供了一条可扩展的途径，用于分散式和微创生物传感。</w:t>
      </w:r>
    </w:p>
    <w:p>
      <w:pPr>
        <w:spacing w:before="0" w:after="200" w:lineRule="auto" w:line="276"/>
      </w:pPr>
      <w:r>
        <w:rPr>
          <w:b/>
        </w:rPr>
        <w:t xml:space="preserve">Abstract (EN): </w:t>
      </w:r>
      <w:r>
        <w:t>Early and decentralized biomarker detection and monitoring is essential for timely diagnosis and intervention, particularly in kidney disorders that often progress asymptomatically until irreversible damage has occurred. Here, we present a thermally resilient metal‐organic framework encapsulated microneedle (MOF@MN) sensing platform that integrates minimally invasive dermal interstitial fluid (ISF) sampling and on‐needle detection with MOF‐based biostabilization of the sensing interface. A thin zeolitic imidazolate framework‐8 (ZIF‐8) shell is grown in situ on antibody‐functionalized microneedles, preserving the bioactivity of immobilized antibodies after 4 weeks of thermal cycling up to 50°C and maintaining full analytical performance after prolonged unrefrigerated shipment. This interfacial encapsulation strategy enables quantitative detection of neutrophil gelatinase‐associated lipocalin (NGAL), an early biomarker of kidney injury, directly from dermal ISF over a broad clinically relevant range. In a mouse model and human subjects, MOF@MN‐derived NGAL measurements closely mirror blood NGAL concentrations, precede changes in conventional renal function markers, and correlate well with histopathological injury severity, highlighting their potential for subclinical monitoring. Collectively, this study establishes conformal MOF encapsulation as a simple and highly effective strategy for engineering environmentally resilient sensing interfaces and provides a scalable route to cold‐chain‐independent, minimally invasive biosensing for decentralized and at‐home health monitoring.</w:t>
      </w:r>
    </w:p>
    <w:p>
      <w:pPr>
        <w:spacing w:before="120" w:after="120"/>
      </w:pPr>
      <w:r>
        <w:rPr>
          <w:sz w:val="18"/>
        </w:rPr>
        <w:t>——————————————————————————————————————————————————————————————————————</w:t>
      </w:r>
    </w:p>
    <w:p>
      <w:pPr>
        <w:spacing w:before="160" w:after="40" w:line="240" w:lineRule="auto"/>
      </w:pPr>
      <w:r>
        <w:rPr>
          <w:b/>
        </w:rPr>
        <w:t xml:space="preserve">[562] </w:t>
      </w:r>
      <w:hyperlink r:id="rId1580">
        <w:r>
          <w:rPr>
            <w:color w:val="1155CC"/>
            <w:u w:val="single"/>
          </w:rPr>
          <w:t>噪声可调谐忆阻器支持可编程概率神经元用于频率选择性时间序列信号编码</w:t>
        </w:r>
      </w:hyperlink>
    </w:p>
    <w:p>
      <w:pPr>
        <w:spacing w:before="0" w:after="80"/>
      </w:pPr>
      <w:r>
        <w:rPr>
          <w:i/>
          <w:sz w:val="20"/>
        </w:rPr>
        <w:t>EN: Noise‐Tunable Memristor Enabling Programmable Probabilistic Neurons for Frequency‐Selective Time‐Series Signal Encoding</w:t>
      </w:r>
    </w:p>
    <w:p>
      <w:pPr>
        <w:spacing w:before="0" w:after="120"/>
      </w:pPr>
      <w:r>
        <w:rPr>
          <w:b/>
        </w:rPr>
        <w:t xml:space="preserve">Source: </w:t>
      </w:r>
      <w:r>
        <w:t>Wiley: Advanced Materials: Table of Contents</w:t>
      </w:r>
      <w:r>
        <w:t xml:space="preserve">    </w:t>
      </w:r>
      <w:r>
        <w:rPr>
          <w:b/>
        </w:rPr>
        <w:t xml:space="preserve">Pub date: </w:t>
      </w:r>
      <w:r>
        <w:t>2026-08-05 12:26:12+00:00</w:t>
      </w:r>
      <w:r>
        <w:t xml:space="preserve">    </w:t>
      </w:r>
      <w:r>
        <w:rPr>
          <w:b/>
        </w:rPr>
        <w:t xml:space="preserve">DOI: </w:t>
      </w:r>
      <w:hyperlink r:id="rId1581">
        <w:r>
          <w:rPr>
            <w:color w:val="1155CC"/>
            <w:u w:val="single"/>
          </w:rPr>
          <w:t>10.1002/adma.74529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忆阻器表现出可调电阻，已广泛应用于非易失性存储器、内存计算和神经形态计算中。由于其固有的不稳定性，它们还可以充当熵源，这使得它们对安全设备和概率计算具有吸引力。当这两个特性结合在一起时，忆阻器可以充当可调熵源；然而，这个方向在很大程度上仍未被探索。在这里，我们提出了一种脉冲速率可编程概率神经元，它利用了 Ru/TaO 的可调噪声特性</w:t>
      </w:r>
      <w:r>
        <w:t xml:space="preserve"> </w:t>
      </w:r>
      <w:r>
        <w:t>x</w:t>
      </w:r>
      <w:r>
        <w:t xml:space="preserve"> </w:t>
      </w:r>
      <w:r>
        <w:t>/Pt 忆阻器。在该忆阻器中，传导机制随电阻状态的不同而变化，从而导致取决于编程电阻的不同噪声行为和信噪比。可以利用这种噪声来实现频率选择性、频域概率神经编码。通过集成这些概率神经元，相同的网络架构可以处理跨越较宽频率范围的输入信号，对低频人类活动数据（UCI HAR，0.4–25 Hz）和高频语音数据（音频 MNIST，20 Hz–8 kHz）实现约 95% 的分类性能。这些结果凸显了一个新的方向，即利用忆阻器的固有特性进行紧凑、自适应和节能的时间序列编码。</w:t>
      </w:r>
    </w:p>
    <w:p>
      <w:pPr>
        <w:spacing w:before="0" w:after="200" w:lineRule="auto" w:line="276"/>
      </w:pPr>
      <w:r>
        <w:rPr>
          <w:b/>
        </w:rPr>
        <w:t xml:space="preserve">Abstract (EN): </w:t>
      </w:r>
      <w:r>
        <w:t>Memristors exhibit tunable resistance, which has been widely exploited in non‐volatile memory, in‐memory computing, and neuromorphic computing. They can also serve as an entropy source due to their inherent instability, making them attractive for security devices and probabilistic computing. When these two characteristics are coupled, memristors can act as tunable entropy sources; however, this direction remains largely unexplored. Here, we propose a spiking‐rate‐programmable probabilistic neuron that leverages the tunable noise characteristics of a Ru/TaO</w:t>
      </w:r>
      <w:r>
        <w:t xml:space="preserve"> </w:t>
      </w:r>
      <w:r>
        <w:t>x</w:t>
      </w:r>
      <w:r>
        <w:t xml:space="preserve"> </w:t>
      </w:r>
      <w:r>
        <w:t>/Pt memristor. In this memristor, the conduction mechanism varies across resistance states, leading to distinct noise behaviors and signal‐to‐noise ratios that depend on the programmed resistance. This noise can be harnessed to realize frequency‐selective, frequency‐domain probabilistic neural encoding. By integrating these probabilistic neurons, an identical network architecture can process input signals spanning a wide frequency range, achieving around 95% classification performance on both low‐frequency human activity data (UCI HAR, 0.4–25 Hz) and high‐frequency speech data (Audio MNIST, 20 Hz–8 kHz). These results highlight a new direction that leverages the intrinsic properties of memristors for compact, adaptive, and energy‐efficient time‐series encoding.</w:t>
      </w:r>
    </w:p>
    <w:p>
      <w:pPr>
        <w:spacing w:before="120" w:after="120"/>
      </w:pPr>
      <w:r>
        <w:rPr>
          <w:sz w:val="18"/>
        </w:rPr>
        <w:t>——————————————————————————————————————————————————————————————————————</w:t>
      </w:r>
    </w:p>
    <w:p>
      <w:pPr>
        <w:spacing w:before="160" w:after="40" w:line="240" w:lineRule="auto"/>
      </w:pPr>
      <w:r>
        <w:rPr>
          <w:b/>
        </w:rPr>
        <w:t xml:space="preserve">[563] </w:t>
      </w:r>
      <w:hyperlink r:id="rId1582">
        <w:r>
          <w:rPr>
            <w:color w:val="1155CC"/>
            <w:u w:val="single"/>
          </w:rPr>
          <w:t>高分辨率钙钛矿 X 射线平板探测器的离子扩散诱导多界面重建</w:t>
        </w:r>
      </w:hyperlink>
    </w:p>
    <w:p>
      <w:pPr>
        <w:spacing w:before="0" w:after="80"/>
      </w:pPr>
      <w:r>
        <w:rPr>
          <w:i/>
          <w:sz w:val="20"/>
        </w:rPr>
        <w:t>EN: Ion Diffusion‐Induced Multi‐Interface Reconstruction for High‐Resolution Perovskite X‐Ray Flat‐Panel Detectors</w:t>
      </w:r>
    </w:p>
    <w:p>
      <w:pPr>
        <w:spacing w:before="0" w:after="120"/>
      </w:pPr>
      <w:r>
        <w:rPr>
          <w:b/>
        </w:rPr>
        <w:t xml:space="preserve">Source: </w:t>
      </w:r>
      <w:r>
        <w:t>Wiley: Advanced Materials: Table of Contents</w:t>
      </w:r>
      <w:r>
        <w:t xml:space="preserve">    </w:t>
      </w:r>
      <w:r>
        <w:rPr>
          <w:b/>
        </w:rPr>
        <w:t xml:space="preserve">Pub date: </w:t>
      </w:r>
      <w:r>
        <w:t>2026-08-05 12:32:25+00:00</w:t>
      </w:r>
      <w:r>
        <w:t xml:space="preserve">    </w:t>
      </w:r>
      <w:r>
        <w:rPr>
          <w:b/>
        </w:rPr>
        <w:t xml:space="preserve">DOI: </w:t>
      </w:r>
      <w:hyperlink r:id="rId1583">
        <w:r>
          <w:rPr>
            <w:color w:val="1155CC"/>
            <w:u w:val="single"/>
          </w:rPr>
          <w:t>10.1002/adma.74479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最先进的钙钛矿 X 射线平板探测器 (FPD) 面临的一个关键挑战是其有限的空间分辨率，这主要是由于存在多个集成度较差的接口。在这项研究中，我们报道了高分辨率钙钛矿 FPD，其在多晶钙钛矿直接转换 X 射线 FPD 中实现了每毫米 6.2 线对 (lp mm) 的创纪录调制传递函数 (MTF)</w:t>
      </w:r>
      <w:r>
        <w:t xml:space="preserve"> </w:t>
      </w:r>
      <w:r>
        <w:t>−1</w:t>
      </w:r>
      <w:r>
        <w:t xml:space="preserve"> </w:t>
      </w:r>
      <w:r>
        <w:t>）具有8.5 × 8.5 cm的大成像面积</w:t>
      </w:r>
      <w:r>
        <w:rPr>
          <w:vertAlign w:val="subscript"/>
        </w:rPr>
        <w:t>2</w:t>
      </w:r>
      <w:r>
        <w:t>通过专门为钙钛矿量身定制的界面重建策略。我们揭示了菲克定律引导的离子在数百微米厚的钙钛矿上的扩散有助于重建具有高度集成界面和梯度能带排列的 X 射线传感层。因此，我们实现了超灵敏的 X 射线检测，具有领先的灵敏度暗电流比（2.61 × 10</w:t>
      </w:r>
      <w:r>
        <w:rPr>
          <w:vertAlign w:val="subscript"/>
        </w:rPr>
        <w:t>11</w:t>
      </w:r>
      <w:r>
        <w:t>µC 戈瑞</w:t>
      </w:r>
      <w:r>
        <w:t xml:space="preserve"> </w:t>
      </w:r>
      <w:r>
        <w:t>空气</w:t>
      </w:r>
      <w:r>
        <w:t xml:space="preserve"> </w:t>
      </w:r>
      <w:r>
        <w:t>−1</w:t>
      </w:r>
      <w:r>
        <w:t xml:space="preserve"> </w:t>
      </w:r>
      <w:r>
        <w:t>一个</w:t>
      </w:r>
      <w:r>
        <w:t xml:space="preserve"> </w:t>
      </w:r>
      <w:r>
        <w:t>−1</w:t>
      </w:r>
      <w:r>
        <w:t xml:space="preserve"> </w:t>
      </w:r>
      <w:r>
        <w:t>）以及在环境条件下超过 5760 小时的出色稳定性。原型钙钛矿 FPD 表现出探测量子效率 (76.9%)，并能够以低剂量 (0.98 µGy) 实现高分辨率 X 射线成像</w:t>
      </w:r>
      <w:r>
        <w:t xml:space="preserve"> </w:t>
      </w:r>
      <w:r>
        <w:t>空气</w:t>
      </w:r>
      <w:r>
        <w:t xml:space="preserve"> </w:t>
      </w:r>
      <w:r>
        <w:t>），大大低于以前的多晶钙钛矿 FPD。我们的多界面重建策略成功解决了钙钛矿 FPD 中长期存在的问题</w:t>
      </w:r>
    </w:p>
    <w:p>
      <w:pPr>
        <w:spacing w:before="0" w:after="200" w:lineRule="auto" w:line="276"/>
      </w:pPr>
      <w:r>
        <w:rPr>
          <w:b/>
        </w:rPr>
        <w:t xml:space="preserve">Abstract (EN): </w:t>
      </w:r>
      <w:r>
        <w:t>A critical challenge with state‐of‐the‐art perovskite x‐ray flat‐panel detectors (FPDs) is their limited spatial resolution, primarily due to the presence of multiple poorly integrated interfaces. In this study, we report high‐resolution perovskite FPDs that achieve a record modulation transfer function (MTF) among polycrystalline perovskite direct‐conversion x‐ray FPDs of 6.2 line pairs per millimetre (lp mm</w:t>
      </w:r>
      <w:r>
        <w:t xml:space="preserve"> </w:t>
      </w:r>
      <w:r>
        <w:t>−1</w:t>
      </w:r>
      <w:r>
        <w:t xml:space="preserve"> </w:t>
      </w:r>
      <w:r>
        <w:t>) with a large imaging area of 8.5 × 8.5 cm</w:t>
      </w:r>
      <w:r>
        <w:rPr>
          <w:vertAlign w:val="subscript"/>
        </w:rPr>
        <w:t>2</w:t>
      </w:r>
      <w:r>
        <w:t>through an interface reconstruction strategy specifically tailored for perovskites. We reveal that Fick's law‐guided ion diffusion across hundreds of microns‐thick perovskites contributes to a reconstructed x‐ray sensing layer with highly integrated interfaces and a gradient energy band alignment. As such, we have realized an ultrasensitive x‐ray detection with a leading sensitivity‐to‐dark current ratio (2.61 × 10</w:t>
      </w:r>
      <w:r>
        <w:rPr>
          <w:vertAlign w:val="subscript"/>
        </w:rPr>
        <w:t>11</w:t>
      </w:r>
      <w:r>
        <w:t>µC Gy</w:t>
      </w:r>
      <w:r>
        <w:t xml:space="preserve"> </w:t>
      </w:r>
      <w:r>
        <w:t>air</w:t>
      </w:r>
      <w:r>
        <w:t xml:space="preserve"> </w:t>
      </w:r>
      <w:r>
        <w:t>−1</w:t>
      </w:r>
      <w:r>
        <w:t xml:space="preserve"> </w:t>
      </w:r>
      <w:r>
        <w:t>A</w:t>
      </w:r>
      <w:r>
        <w:t xml:space="preserve"> </w:t>
      </w:r>
      <w:r>
        <w:t>−1</w:t>
      </w:r>
      <w:r>
        <w:t xml:space="preserve"> </w:t>
      </w:r>
      <w:r>
        <w:t>) and outstanding stability under ambient conditions over 5760 h. The prototype perovskite FPDs exhibit a detective quantum efficiency (76.9%) and enable high‐resolution x‐ray imaging at a low dosage (0.98 µGy</w:t>
      </w:r>
      <w:r>
        <w:t xml:space="preserve"> </w:t>
      </w:r>
      <w:r>
        <w:t>air</w:t>
      </w:r>
      <w:r>
        <w:t xml:space="preserve"> </w:t>
      </w:r>
      <w:r>
        <w:t>), substantially lower than previous polycrystalline perovskite FPDs. Our multi‐interface reconstruction strategy successfully addresses long‐standing issues in perovskite FPDs, advancing their progress from laboratory prototypes to commercial applications in digital radiography and industrial inspection.</w:t>
      </w:r>
    </w:p>
    <w:p>
      <w:pPr>
        <w:spacing w:before="120" w:after="120"/>
      </w:pPr>
      <w:r>
        <w:rPr>
          <w:sz w:val="18"/>
        </w:rPr>
        <w:t>——————————————————————————————————————————————————————————————————————</w:t>
      </w:r>
    </w:p>
    <w:p>
      <w:pPr>
        <w:spacing w:before="160" w:after="40" w:line="240" w:lineRule="auto"/>
      </w:pPr>
      <w:r>
        <w:rPr>
          <w:b/>
        </w:rPr>
        <w:t xml:space="preserve">[564] </w:t>
      </w:r>
      <w:hyperlink r:id="rId1584">
        <w:r>
          <w:rPr>
            <w:color w:val="1155CC"/>
            <w:u w:val="single"/>
          </w:rPr>
          <w:t>超分子保护-去保护以切换结晶多孔有机盐的孔表面功能</w:t>
        </w:r>
      </w:hyperlink>
    </w:p>
    <w:p>
      <w:pPr>
        <w:spacing w:before="0" w:after="80"/>
      </w:pPr>
      <w:r>
        <w:rPr>
          <w:i/>
          <w:sz w:val="20"/>
        </w:rPr>
        <w:t>EN: Supramolecular Protection–Deprotection for Switching Pore‐Surface Functionality in a Crystalline Porous Organic Salt</w:t>
      </w:r>
    </w:p>
    <w:p>
      <w:pPr>
        <w:spacing w:before="0" w:after="120"/>
      </w:pPr>
      <w:r>
        <w:rPr>
          <w:b/>
        </w:rPr>
        <w:t xml:space="preserve">Source: </w:t>
      </w:r>
      <w:r>
        <w:t>Wiley: Angewandte Chemie International Edition: Table of Contents</w:t>
      </w:r>
      <w:r>
        <w:t xml:space="preserve">    </w:t>
      </w:r>
      <w:r>
        <w:rPr>
          <w:b/>
        </w:rPr>
        <w:t xml:space="preserve">Pub date: </w:t>
      </w:r>
      <w:r>
        <w:t>2026-08-05 13:18:50+00:00</w:t>
      </w:r>
      <w:r>
        <w:t xml:space="preserve">    </w:t>
      </w:r>
      <w:r>
        <w:rPr>
          <w:b/>
        </w:rPr>
        <w:t xml:space="preserve">DOI: </w:t>
      </w:r>
      <w:hyperlink r:id="rId1585">
        <w:r>
          <w:rPr>
            <w:color w:val="1155CC"/>
            <w:u w:val="single"/>
          </w:rPr>
          <w:t>10.1002/anie.1547062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孔表面精确安装高度相互作用的官能团仍然是结晶多孔材料的主要挑战，因为这些基团经常干扰骨架的形成。在这项研究中，超分子保护-脱保护是在多孔有机盐中进行的，该盐暂时将框架结构与孔表面功能的出现分开。在结晶过程中，酚羟基受到二甲基亚砜（DMSO）的氢键保护，从而形成基于电荷辅助氢键的晶体框架。逐步去除 DMSO 诱导了两步单晶到单晶的相变，首先提供休眠状态（形式 II），其中 OH 基团保持受保护，随后提供活性状态（形式 III），其中 OH 基团暴露在孔表面，同时出现孔隙。通过暴露于 DMSO 或 DMSO 重新形成休眠状态</w:t>
      </w:r>
      <w:r>
        <w:t xml:space="preserve"> </w:t>
      </w:r>
      <w:r>
        <w:t>氮</w:t>
      </w:r>
      <w:r>
        <w:t xml:space="preserve"> </w:t>
      </w:r>
      <w:r>
        <w:t>,</w:t>
      </w:r>
      <w:r>
        <w:t xml:space="preserve"> </w:t>
      </w:r>
      <w:r>
        <w:t>氮</w:t>
      </w:r>
      <w:r>
        <w:t xml:space="preserve"> </w:t>
      </w:r>
      <w:r>
        <w:t>‐二甲基乙酰胺蒸气，而其他溶剂未能诱导相同的结构响应。相比之下，活性状态显示出明显增强的NH</w:t>
      </w:r>
      <w:r>
        <w:rPr>
          <w:vertAlign w:val="subscript"/>
        </w:rPr>
        <w:t>3</w:t>
      </w:r>
      <w:r>
        <w:t>相对于休眠状态的吸收和 NH 的优先吸附</w:t>
      </w:r>
      <w:r>
        <w:rPr>
          <w:vertAlign w:val="subscript"/>
        </w:rPr>
        <w:t>3</w:t>
      </w:r>
      <w:r>
        <w:t>超过一氧化碳</w:t>
      </w:r>
      <w:r>
        <w:rPr>
          <w:vertAlign w:val="subscript"/>
        </w:rPr>
        <w:t>2</w:t>
      </w:r>
      <w:r>
        <w:t>,N</w:t>
      </w:r>
      <w:r>
        <w:rPr>
          <w:vertAlign w:val="subscript"/>
        </w:rPr>
        <w:t>2</w:t>
      </w:r>
      <w:r>
        <w:t>, H</w:t>
      </w:r>
      <w:r>
        <w:rPr>
          <w:vertAlign w:val="subscript"/>
        </w:rPr>
        <w:t>2</w:t>
      </w:r>
      <w:r>
        <w:t>, 和 O</w:t>
      </w:r>
      <w:r>
        <w:rPr>
          <w:vertAlign w:val="subscript"/>
        </w:rPr>
        <w:t>2</w:t>
      </w:r>
    </w:p>
    <w:p>
      <w:pPr>
        <w:spacing w:before="0" w:after="200" w:lineRule="auto" w:line="276"/>
      </w:pPr>
      <w:r>
        <w:rPr>
          <w:b/>
        </w:rPr>
        <w:t xml:space="preserve">Abstract (EN): </w:t>
      </w:r>
      <w:r>
        <w:t>The precise installation of highly interactive functional groups on pore surfaces remains a central challenge in crystalline porous materials since such groups often interfere with framework formation. In this study, supramolecular protection–deprotection was performed in a porous organic salt that temporally separated framework construction from the emergence of pore‐surface functionality. During crystallization, the phenolic OH groups were protected by hydrogen bonding with dimethyl sulfoxide (DMSO), enabling the formation of a crystalline framework based on charge‐assisted hydrogen bonds. Stepwise removal of DMSO induced a two‐step single‐crystal‐to‐single‐crystal phase transition, affording first a dormant state (Form II), in which the OH groups remained protected, and subsequently an active state (Form III), in which the OH groups were exposed on the pore surface together with the emergence of porosity. The dormant state was re‐formed by exposure to DMSO or</w:t>
      </w:r>
      <w:r>
        <w:t xml:space="preserve"> </w:t>
      </w:r>
      <w:r>
        <w:t>N</w:t>
      </w:r>
      <w:r>
        <w:t xml:space="preserve"> </w:t>
      </w:r>
      <w:r>
        <w:t>,</w:t>
      </w:r>
      <w:r>
        <w:t xml:space="preserve"> </w:t>
      </w:r>
      <w:r>
        <w:t>N</w:t>
      </w:r>
      <w:r>
        <w:t xml:space="preserve"> </w:t>
      </w:r>
      <w:r>
        <w:t>‐dimethylacetamide vapor, whereas other solvents failed to induce the same structural response. In contrast, the active state showed markedly enhanced NH</w:t>
      </w:r>
      <w:r>
        <w:rPr>
          <w:vertAlign w:val="subscript"/>
        </w:rPr>
        <w:t>3</w:t>
      </w:r>
      <w:r>
        <w:t>uptake relative to the dormant state and preferential adsorption of NH</w:t>
      </w:r>
      <w:r>
        <w:rPr>
          <w:vertAlign w:val="subscript"/>
        </w:rPr>
        <w:t>3</w:t>
      </w:r>
      <w:r>
        <w:t>over CO</w:t>
      </w:r>
      <w:r>
        <w:rPr>
          <w:vertAlign w:val="subscript"/>
        </w:rPr>
        <w:t>2</w:t>
      </w:r>
      <w:r>
        <w:t>, N</w:t>
      </w:r>
      <w:r>
        <w:rPr>
          <w:vertAlign w:val="subscript"/>
        </w:rPr>
        <w:t>2</w:t>
      </w:r>
      <w:r>
        <w:t>, H</w:t>
      </w:r>
      <w:r>
        <w:rPr>
          <w:vertAlign w:val="subscript"/>
        </w:rPr>
        <w:t>2</w:t>
      </w:r>
      <w:r>
        <w:t>, and O</w:t>
      </w:r>
      <w:r>
        <w:rPr>
          <w:vertAlign w:val="subscript"/>
        </w:rPr>
        <w:t>2</w:t>
      </w:r>
      <w:r>
        <w:t>under the investigated conditions. These results demonstrate that supramolecular protection–deprotection provides a useful strategy for temporally controlling pore‐surface functionality in dynamic crystalline porous materials.</w:t>
      </w:r>
    </w:p>
    <w:p>
      <w:pPr>
        <w:spacing w:before="120" w:after="120"/>
      </w:pPr>
      <w:r>
        <w:rPr>
          <w:sz w:val="18"/>
        </w:rPr>
        <w:t>——————————————————————————————————————————————————————————————————————</w:t>
      </w:r>
    </w:p>
    <w:p>
      <w:pPr>
        <w:spacing w:before="160" w:after="40" w:line="240" w:lineRule="auto"/>
      </w:pPr>
      <w:r>
        <w:rPr>
          <w:b/>
        </w:rPr>
        <w:t xml:space="preserve">[565] </w:t>
      </w:r>
      <w:hyperlink r:id="rId1586">
        <w:r>
          <w:rPr>
            <w:color w:val="1155CC"/>
            <w:u w:val="single"/>
          </w:rPr>
          <w:t>用于对称蛋白质组件可编程功能化的形状互补 DNA 支架</w:t>
        </w:r>
      </w:hyperlink>
    </w:p>
    <w:p>
      <w:pPr>
        <w:spacing w:before="0" w:after="80"/>
      </w:pPr>
      <w:r>
        <w:rPr>
          <w:i/>
          <w:sz w:val="20"/>
        </w:rPr>
        <w:t>EN: Shape‐Complementary DNA Scaffold for Programmable Functionalization of Symmetric Protein Assemblies</w:t>
      </w:r>
    </w:p>
    <w:p>
      <w:pPr>
        <w:spacing w:before="0" w:after="120"/>
      </w:pPr>
      <w:r>
        <w:rPr>
          <w:b/>
        </w:rPr>
        <w:t xml:space="preserve">Source: </w:t>
      </w:r>
      <w:r>
        <w:t>Wiley: Angewandte Chemie International Edition: Table of Contents</w:t>
      </w:r>
      <w:r>
        <w:t xml:space="preserve">    </w:t>
      </w:r>
      <w:r>
        <w:rPr>
          <w:b/>
        </w:rPr>
        <w:t xml:space="preserve">Pub date: </w:t>
      </w:r>
      <w:r>
        <w:t>2026-08-05 13:21:51+00:00</w:t>
      </w:r>
      <w:r>
        <w:t xml:space="preserve">    </w:t>
      </w:r>
      <w:r>
        <w:rPr>
          <w:b/>
        </w:rPr>
        <w:t xml:space="preserve">DOI: </w:t>
      </w:r>
      <w:hyperlink r:id="rId1587">
        <w:r>
          <w:rPr>
            <w:color w:val="1155CC"/>
            <w:u w:val="single"/>
          </w:rPr>
          <w:t>10.1002/anie.5457420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蛋白质组装体中键价、相互作用强度和空间定位的精确编程代表了朝着可寻址功能化迈出的重要一步，提供了对模式识别、合作行为和结构自组织的精细控制。在这里，我们引入了一种通用策略，通过形状互补的 DNA 支架来调节对称蛋白质组装体的效价。我们演示了链霉亲和素-DNA 缀合物从环形 DNA 纳米结构到重组烟草花叶病毒 (TMV) 盘的受控转移。这种机制指定了沿磁盘外围的 DNA 基序的数量、序列身份和空间排列，从而实现了 DNA 介导的结合和功能标记的位点特异性可寻址性。利用 DNA 纳米结构的内在可编程性，该策略建立了一个跨不同蛋白质模块的高保真效价工程的多功能平台，在生物医学和生物工程方面具有潜在的应用。</w:t>
      </w:r>
    </w:p>
    <w:p>
      <w:pPr>
        <w:spacing w:before="0" w:after="200" w:lineRule="auto" w:line="276"/>
      </w:pPr>
      <w:r>
        <w:rPr>
          <w:b/>
        </w:rPr>
        <w:t xml:space="preserve">Abstract (EN): </w:t>
      </w:r>
      <w:r>
        <w:t>The precise programming of bond valency, interaction strength, and spatial positioning within protein assemblies represents a significant step toward addressable functionalization, affording refined control over pattern recognition, cooperative behavior, and structural self‐organization. Here, we introduce a generalizable strategy to regulate the valency of symmetric protein assemblies through a shape‐complementary DNA scaffold. We demonstrate the controlled transfer of streptavidin–DNA conjugates from a ring‐shaped DNA nanostructure to a recombinant tobacco mosaic virus (TMV) disk. This mechanism specifies the number, sequence identity, and spatial arrangement of DNA motifs along the disk periphery, thereby enabling site‐specific addressability for DNA‐mediated binding and functional labeling. Leveraging the intrinsic programmability of DNA nanostructures, this strategy establishes a versatile platform for high‐fidelity valency engineering across diverse protein modules, with potential applications in biomedical and bioengineering.</w:t>
      </w:r>
    </w:p>
    <w:p>
      <w:pPr>
        <w:spacing w:before="120" w:after="120"/>
      </w:pPr>
      <w:r>
        <w:rPr>
          <w:sz w:val="18"/>
        </w:rPr>
        <w:t>——————————————————————————————————————————————————————————————————————</w:t>
      </w:r>
    </w:p>
    <w:p>
      <w:pPr>
        <w:spacing w:before="160" w:after="40" w:line="240" w:lineRule="auto"/>
      </w:pPr>
      <w:r>
        <w:rPr>
          <w:b/>
        </w:rPr>
        <w:t xml:space="preserve">[566] </w:t>
      </w:r>
      <w:hyperlink r:id="rId1588">
        <w:r>
          <w:rPr>
            <w:color w:val="1155CC"/>
            <w:u w:val="single"/>
          </w:rPr>
          <w:t>Cereblon 招募 PROTAC 前药合成的通用策略</w:t>
        </w:r>
      </w:hyperlink>
    </w:p>
    <w:p>
      <w:pPr>
        <w:spacing w:before="0" w:after="80"/>
      </w:pPr>
      <w:r>
        <w:rPr>
          <w:i/>
          <w:sz w:val="20"/>
        </w:rPr>
        <w:t>EN: Generalizable Strategies for the Synthesis of Cereblon‐Recruiting PROTAC Prodrugs</w:t>
      </w:r>
    </w:p>
    <w:p>
      <w:pPr>
        <w:spacing w:before="0" w:after="120"/>
      </w:pPr>
      <w:r>
        <w:rPr>
          <w:b/>
        </w:rPr>
        <w:t xml:space="preserve">Source: </w:t>
      </w:r>
      <w:r>
        <w:t>Wiley: Angewandte Chemie International Edition: Table of Contents</w:t>
      </w:r>
      <w:r>
        <w:t xml:space="preserve">    </w:t>
      </w:r>
      <w:r>
        <w:rPr>
          <w:b/>
        </w:rPr>
        <w:t xml:space="preserve">Pub date: </w:t>
      </w:r>
      <w:r>
        <w:t>2026-08-05 13:25:25+00:00</w:t>
      </w:r>
      <w:r>
        <w:t xml:space="preserve">    </w:t>
      </w:r>
      <w:r>
        <w:rPr>
          <w:b/>
        </w:rPr>
        <w:t xml:space="preserve">DOI: </w:t>
      </w:r>
      <w:hyperlink r:id="rId1589">
        <w:r>
          <w:rPr>
            <w:color w:val="1155CC"/>
            <w:u w:val="single"/>
          </w:rPr>
          <w:t>10.1002/anie.3238473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Cereblon (CRBN) 招募的 PROTAC（蛋白水解靶向嵌合体）是临床上最先进的降解剂之一，但对化学修饰以转化为基于前药的递送策略仍然具有挑战性。在这里，我们报告了三种正交方法——三唑季铵化、叔胺烷基化和羟基连接体的安装——这些方法使得化学选择性、高产率合成CRBN招募的PROTAC前药成为可能。这些策略允许掺入自毁连接体，其裂解动力学可以可预测地调整以释放母体 PROTAC，这在聚乙二醇化大单体和瓶刷前药大分子支架的背景下得到了证明。在多发性骨髓瘤模型中，代表性的 PROTAC-bottlebrush 前药 (PROTAC-BPD) 诱导遵循设计的 PROTAC 释放速率的细胞效力曲线，证实观察到的蛋白质降解和细胞毒性是由有效的前药接头裂解引起的。总的来说，这项工作建立了构建基于 CRBN 的 PROTAC 前药的通用方法，扩大了靶向蛋白质降解的合成空间，并为控制降解剂激活、选择性和体内递送提供了新的设计原则。</w:t>
      </w:r>
    </w:p>
    <w:p>
      <w:pPr>
        <w:spacing w:before="0" w:after="200" w:lineRule="auto" w:line="276"/>
      </w:pPr>
      <w:r>
        <w:rPr>
          <w:b/>
        </w:rPr>
        <w:t xml:space="preserve">Abstract (EN): </w:t>
      </w:r>
      <w:r>
        <w:t>Cereblon (CRBN)‐recruiting PROTACs (proteolysis‐targeting chimeras) are among the most clinically advanced degraders but remain challenging to chemically modify for translation to prodrug‐based delivery strategies. Here, we report three orthogonal approaches—triazole quaternization, tertiary‐amine alkylation, and installation of a hydroxyl linker—that enable chemoselective, high‐yielding syntheses of CRBN‐recruiting PROTAC prodrugs. These strategies allow incorporation of self‐immolative linkers whose cleavage kinetics can be predictably tuned to release the parent PROTAC, which is demonstrated in the context of PEGylated macromonomer and bottlebrush prodrug macromolecular scaffolds. In multiple myeloma models, representative PROTAC‐bottlebrush prodrugs (PROTAC‐BPDs) induce cellular potency profiles that follow the designed PROTAC release rates, confirming that the observed protein degradation and cytotoxicity arise from effective prodrug linker cleavage. Collectively, this work establishes generalizable approaches for constructing prodrugs of CRBN‐based PROTACs, expanding the synthetic space for targeted protein degradation and providing new design principles for controlling degrader activation, selectivity, and in vivo delivery.</w:t>
      </w:r>
    </w:p>
    <w:p>
      <w:pPr>
        <w:spacing w:before="120" w:after="120"/>
      </w:pPr>
      <w:r>
        <w:rPr>
          <w:sz w:val="18"/>
        </w:rPr>
        <w:t>——————————————————————————————————————————————————————————————————————</w:t>
      </w:r>
    </w:p>
    <w:p>
      <w:pPr>
        <w:spacing w:before="160" w:after="40" w:line="240" w:lineRule="auto"/>
      </w:pPr>
      <w:r>
        <w:rPr>
          <w:b/>
        </w:rPr>
        <w:t xml:space="preserve">[567] </w:t>
      </w:r>
      <w:hyperlink r:id="rId1590">
        <w:r>
          <w:rPr>
            <w:color w:val="1155CC"/>
            <w:u w:val="single"/>
          </w:rPr>
          <w:t>极性匹配的 N 自由基阳离子对未保护胺的远程去饱和以及烷烃的 C─H 胺化</w:t>
        </w:r>
      </w:hyperlink>
    </w:p>
    <w:p>
      <w:pPr>
        <w:spacing w:before="0" w:after="80"/>
      </w:pPr>
      <w:r>
        <w:rPr>
          <w:i/>
          <w:sz w:val="20"/>
        </w:rPr>
        <w:t>EN: Remote Desaturation of Unprotected Amines and C─H Amination of Alkanes by Polarity‐Matched N‐Radical Cations</w:t>
      </w:r>
    </w:p>
    <w:p>
      <w:pPr>
        <w:spacing w:before="0" w:after="120"/>
      </w:pPr>
      <w:r>
        <w:rPr>
          <w:b/>
        </w:rPr>
        <w:t xml:space="preserve">Source: </w:t>
      </w:r>
      <w:r>
        <w:t>Wiley: Angewandte Chemie International Edition: Table of Contents</w:t>
      </w:r>
      <w:r>
        <w:t xml:space="preserve">    </w:t>
      </w:r>
      <w:r>
        <w:rPr>
          <w:b/>
        </w:rPr>
        <w:t xml:space="preserve">Pub date: </w:t>
      </w:r>
      <w:r>
        <w:t>2026-08-05 13:26:24+00:00</w:t>
      </w:r>
      <w:r>
        <w:t xml:space="preserve">    </w:t>
      </w:r>
      <w:r>
        <w:rPr>
          <w:b/>
        </w:rPr>
        <w:t xml:space="preserve">DOI: </w:t>
      </w:r>
      <w:hyperlink r:id="rId1591">
        <w:r>
          <w:rPr>
            <w:color w:val="1155CC"/>
            <w:u w:val="single"/>
          </w:rPr>
          <w:t>10.1002/anie.4933839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CuCl 催化策略可以实现未保护胺的实用、选择性和高效 δ 去饱和。这些双功能分子可以将简单的胺快速转化为医学上的特殊杂环。关键的自由基中继机制是中断的 Hofmann-Löffler-Freytag (HLF) 反应，该反应现在可以在没有保护基团的情况下进行。基于“自由基极性匹配”分析，我们在此表明​​，N-自由基阳离子是促进未受保护的胺有效且选择性地进行 1,5-H 原子转移 (HAT) 的理想中间体。机理探针说明了这些远端氨基烯烃的范围、速率、选择性和效用。计算研究比较了动力学（自由基极性）与热力学（键合强度）因素在预测 HAT 反应性方面的重要性。延伸至分子间变体允许在净三 C─H 官能化中对烷烃进行直接、去饱和的 C─H 胺化。</w:t>
      </w:r>
    </w:p>
    <w:p>
      <w:pPr>
        <w:spacing w:before="0" w:after="200" w:lineRule="auto" w:line="276"/>
      </w:pPr>
      <w:r>
        <w:rPr>
          <w:b/>
        </w:rPr>
        <w:t xml:space="preserve">Abstract (EN): </w:t>
      </w:r>
      <w:r>
        <w:t>A CuCl‐catalyzed strategy enables practical, selective, and efficient δ desaturation of unprotected amines. These bifunctional molecules allow rapid conversion of simple amines to privileged heterocycles in medicine. The key radical relay mechanism is an interrupted Hofmann–Löffler–Freytag (HLF) reaction, which may now be carried out without protecting groups. Based on ‘radical polarity matching’ analysis, we show here that N‐radical cations are ideal intermediates for facilitating efficient and selective 1,5‐H‐atom transfer (HAT) of unprotected amines. Mechanistic probes illustrate the scope, rate, selectivity, and utility of these distal amino alkenes. Computational studies compare the importance of kinetic (radical polarity) over thermodynamic (bond strength) factors in predicting HAT reactivity. Extension to an intermolecular variant allows the direct, desaturative C─H amination of alkanes in a net triple C─H functionalization.</w:t>
      </w:r>
    </w:p>
    <w:p>
      <w:pPr>
        <w:spacing w:before="120" w:after="120"/>
      </w:pPr>
      <w:r>
        <w:rPr>
          <w:sz w:val="18"/>
        </w:rPr>
        <w:t>——————————————————————————————————————————————————————————————————————</w:t>
      </w:r>
    </w:p>
    <w:p>
      <w:pPr>
        <w:spacing w:before="160" w:after="40" w:line="240" w:lineRule="auto"/>
      </w:pPr>
      <w:r>
        <w:rPr>
          <w:b/>
        </w:rPr>
        <w:t xml:space="preserve">[568] </w:t>
      </w:r>
      <w:hyperlink r:id="rId1592">
        <w:r>
          <w:rPr>
            <w:color w:val="1155CC"/>
            <w:u w:val="single"/>
          </w:rPr>
          <w:t>光诱导富电子金将硝酸盐还原为二氮</w:t>
        </w:r>
      </w:hyperlink>
    </w:p>
    <w:p>
      <w:pPr>
        <w:spacing w:before="0" w:after="80"/>
      </w:pPr>
      <w:r>
        <w:rPr>
          <w:i/>
          <w:sz w:val="20"/>
        </w:rPr>
        <w:t>EN: Light‐Induced Electron‐Rich Gold Directs Nitrate Reduction to Dinitrogen</w:t>
      </w:r>
    </w:p>
    <w:p>
      <w:pPr>
        <w:spacing w:before="0" w:after="120"/>
      </w:pPr>
      <w:r>
        <w:rPr>
          <w:b/>
        </w:rPr>
        <w:t xml:space="preserve">Source: </w:t>
      </w:r>
      <w:r>
        <w:t>Wiley: Angewandte Chemie International Edition: Table of Contents</w:t>
      </w:r>
      <w:r>
        <w:t xml:space="preserve">    </w:t>
      </w:r>
      <w:r>
        <w:rPr>
          <w:b/>
        </w:rPr>
        <w:t xml:space="preserve">Pub date: </w:t>
      </w:r>
      <w:r>
        <w:t>2026-08-05 13:31:02+00:00</w:t>
      </w:r>
      <w:r>
        <w:t xml:space="preserve">    </w:t>
      </w:r>
      <w:r>
        <w:rPr>
          <w:b/>
        </w:rPr>
        <w:t xml:space="preserve">DOI: </w:t>
      </w:r>
      <w:hyperlink r:id="rId1593">
        <w:r>
          <w:rPr>
            <w:color w:val="1155CC"/>
            <w:u w:val="single"/>
          </w:rPr>
          <w:t>10.1002/anie.7025212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电催化硝酸盐还原反应（NO</w:t>
      </w:r>
      <w:r>
        <w:rPr>
          <w:vertAlign w:val="subscript"/>
        </w:rPr>
        <w:t>3</w:t>
      </w:r>
      <w:r>
        <w:t>RR) 为硝酸盐转化提供了可控途径，而硝酸盐纯化需要将反应终点引导至惰性 N</w:t>
      </w:r>
      <w:r>
        <w:rPr>
          <w:vertAlign w:val="subscript"/>
        </w:rPr>
        <w:t>2</w:t>
      </w:r>
      <w:r>
        <w:t>而不是可溶性活性氮。在这里，我们建立了操作态电子富集作为引导 NO 的设计原则</w:t>
      </w:r>
      <w:r>
        <w:rPr>
          <w:vertAlign w:val="subscript"/>
        </w:rPr>
        <w:t>3</w:t>
      </w:r>
      <w:r>
        <w:t>RR 向 N</w:t>
      </w:r>
      <w:r>
        <w:rPr>
          <w:vertAlign w:val="subscript"/>
        </w:rPr>
        <w:t>2</w:t>
      </w:r>
      <w:r>
        <w:t>并构建了一个铜诱导的电子重构金（ER-Au）界面，该界面在光照下进入富电子状态。电化学原位界面表征和理论计算表明，这种富电子环境将*NO相关中间体从孤立的吸附态转变为N-N偶联反应构型，选择性地使NO</w:t>
      </w:r>
      <w:r>
        <w:rPr>
          <w:vertAlign w:val="subscript"/>
        </w:rPr>
        <w:t>3</w:t>
      </w:r>
      <w:r>
        <w:t>-</w:t>
      </w:r>
      <w:r>
        <w:t>至 N</w:t>
      </w:r>
      <w:r>
        <w:rPr>
          <w:vertAlign w:val="subscript"/>
        </w:rPr>
        <w:t>2</w:t>
      </w:r>
      <w:r>
        <w:t>分支。与这种分支调节机制一致，ER-Au 选择性地转化 NO</w:t>
      </w:r>
      <w:r>
        <w:rPr>
          <w:vertAlign w:val="subscript"/>
        </w:rPr>
        <w:t>3</w:t>
      </w:r>
      <w:r>
        <w:t>-</w:t>
      </w:r>
      <w:r>
        <w:t>至 N</w:t>
      </w:r>
      <w:r>
        <w:rPr>
          <w:vertAlign w:val="subscript"/>
        </w:rPr>
        <w:t>2</w:t>
      </w:r>
      <w:r>
        <w:t>通过产品分析和同位素标记实验证实，pH = 1 时法拉第效率为 90.84%，并且在酸性 NO 照射下可稳定运行 100 小时</w:t>
      </w:r>
      <w:r>
        <w:rPr>
          <w:vertAlign w:val="subscript"/>
        </w:rPr>
        <w:t>3</w:t>
      </w:r>
      <w:r>
        <w:t>RR 条件。高N</w:t>
      </w:r>
      <w:r>
        <w:rPr>
          <w:vertAlign w:val="subscript"/>
        </w:rPr>
        <w:t>2</w:t>
      </w:r>
      <w:r>
        <w:t>法拉第效率显示出具有竞争力的性能</w:t>
      </w:r>
    </w:p>
    <w:p>
      <w:pPr>
        <w:spacing w:before="0" w:after="200" w:lineRule="auto" w:line="276"/>
      </w:pPr>
      <w:r>
        <w:rPr>
          <w:b/>
        </w:rPr>
        <w:t xml:space="preserve">Abstract (EN): </w:t>
      </w:r>
      <w:r>
        <w:t>Electrocatalytic nitrate reduction reaction (NO</w:t>
      </w:r>
      <w:r>
        <w:rPr>
          <w:vertAlign w:val="subscript"/>
        </w:rPr>
        <w:t>3</w:t>
      </w:r>
      <w:r>
        <w:t>RR) provides a controllable route for nitrate conversion, while nitrate purification requires directing the reaction endpoint toward inert N</w:t>
      </w:r>
      <w:r>
        <w:rPr>
          <w:vertAlign w:val="subscript"/>
        </w:rPr>
        <w:t>2</w:t>
      </w:r>
      <w:r>
        <w:t>instead of soluble reactive nitrogen species. Here, we establish operating‐state electron enrichment as a design principle for directing NO</w:t>
      </w:r>
      <w:r>
        <w:rPr>
          <w:vertAlign w:val="subscript"/>
        </w:rPr>
        <w:t>3</w:t>
      </w:r>
      <w:r>
        <w:t>RR toward N</w:t>
      </w:r>
      <w:r>
        <w:rPr>
          <w:vertAlign w:val="subscript"/>
        </w:rPr>
        <w:t>2</w:t>
      </w:r>
      <w:r>
        <w:t>and construct a Cu‐induced electronically reconfigured Au (ER‐Au) interface that enters an electron‐rich state under illumination. Electrochemical in situ interfacial characterization and theoretical calculations show that this electron‐rich environment transforms *NO‐related intermediates from isolated adsorption states into N‐N coupling reactive configurations, selectively enabling the NO</w:t>
      </w:r>
      <w:r>
        <w:rPr>
          <w:vertAlign w:val="subscript"/>
        </w:rPr>
        <w:t>3</w:t>
      </w:r>
      <w:r>
        <w:t>−</w:t>
      </w:r>
      <w:r>
        <w:t>to N</w:t>
      </w:r>
      <w:r>
        <w:rPr>
          <w:vertAlign w:val="subscript"/>
        </w:rPr>
        <w:t>2</w:t>
      </w:r>
      <w:r>
        <w:t>branch. Consistent with this branch regulation mechanism, ER‐Au selectively converts NO</w:t>
      </w:r>
      <w:r>
        <w:rPr>
          <w:vertAlign w:val="subscript"/>
        </w:rPr>
        <w:t>3</w:t>
      </w:r>
      <w:r>
        <w:t>−</w:t>
      </w:r>
      <w:r>
        <w:t>to N</w:t>
      </w:r>
      <w:r>
        <w:rPr>
          <w:vertAlign w:val="subscript"/>
        </w:rPr>
        <w:t>2</w:t>
      </w:r>
      <w:r>
        <w:t>with 90.84% Faradaic efficiency at pH = 1, as confirmed by product analysis and isotope‐labeling experiments, and further maintains stable operation for 100 h under illuminated acidic NO</w:t>
      </w:r>
      <w:r>
        <w:rPr>
          <w:vertAlign w:val="subscript"/>
        </w:rPr>
        <w:t>3</w:t>
      </w:r>
      <w:r>
        <w:t>RR conditions. The high N</w:t>
      </w:r>
      <w:r>
        <w:rPr>
          <w:vertAlign w:val="subscript"/>
        </w:rPr>
        <w:t>2</w:t>
      </w:r>
      <w:r>
        <w:t>Faradaic efficiency shows competitive performance among representative NO</w:t>
      </w:r>
      <w:r>
        <w:rPr>
          <w:vertAlign w:val="subscript"/>
        </w:rPr>
        <w:t>3</w:t>
      </w:r>
      <w:r>
        <w:t>RR electrocatalysts reported in the literature, especially considering the challenge of directing nitrate reduction toward the inert N</w:t>
      </w:r>
      <w:r>
        <w:rPr>
          <w:vertAlign w:val="subscript"/>
        </w:rPr>
        <w:t>2</w:t>
      </w:r>
      <w:r>
        <w:t>endpoint. More broadly, these findings identify operating‐state electron enrichment as a key mechanism and design principle for endpoint‐selective NO</w:t>
      </w:r>
      <w:r>
        <w:rPr>
          <w:vertAlign w:val="subscript"/>
        </w:rPr>
        <w:t>3</w:t>
      </w:r>
      <w:r>
        <w:t>RR.</w:t>
      </w:r>
    </w:p>
    <w:p>
      <w:pPr>
        <w:spacing w:before="120" w:after="120"/>
      </w:pPr>
      <w:r>
        <w:rPr>
          <w:sz w:val="18"/>
        </w:rPr>
        <w:t>——————————————————————————————————————————————————————————————————————</w:t>
      </w:r>
    </w:p>
    <w:p>
      <w:pPr>
        <w:spacing w:before="160" w:after="40" w:line="240" w:lineRule="auto"/>
      </w:pPr>
      <w:r>
        <w:rPr>
          <w:b/>
        </w:rPr>
        <w:t xml:space="preserve">[569] </w:t>
      </w:r>
      <w:hyperlink r:id="rId1594">
        <w:r>
          <w:rPr>
            <w:color w:val="1155CC"/>
            <w:u w:val="single"/>
          </w:rPr>
          <w:t>光动力疗法中调节光敏剂激发态特性的超分子策略</w:t>
        </w:r>
      </w:hyperlink>
    </w:p>
    <w:p>
      <w:pPr>
        <w:spacing w:before="0" w:after="80"/>
      </w:pPr>
      <w:r>
        <w:rPr>
          <w:i/>
          <w:sz w:val="20"/>
        </w:rPr>
        <w:t>EN: Supramolecular Strategies for Modulating Excited‐State Properties of Photosensitizers in Photodynamic Therapy</w:t>
      </w:r>
    </w:p>
    <w:p>
      <w:pPr>
        <w:spacing w:before="0" w:after="120"/>
      </w:pPr>
      <w:r>
        <w:rPr>
          <w:b/>
        </w:rPr>
        <w:t xml:space="preserve">Source: </w:t>
      </w:r>
      <w:r>
        <w:t>Wiley: Angewandte Chemie International Edition: Table of Contents</w:t>
      </w:r>
      <w:r>
        <w:t xml:space="preserve">    </w:t>
      </w:r>
      <w:r>
        <w:rPr>
          <w:b/>
        </w:rPr>
        <w:t xml:space="preserve">Pub date: </w:t>
      </w:r>
      <w:r>
        <w:t>2026-08-05 13:37:48+00:00</w:t>
      </w:r>
      <w:r>
        <w:t xml:space="preserve">    </w:t>
      </w:r>
      <w:r>
        <w:rPr>
          <w:b/>
        </w:rPr>
        <w:t xml:space="preserve">DOI: </w:t>
      </w:r>
      <w:hyperlink r:id="rId1595">
        <w:r>
          <w:rPr>
            <w:color w:val="1155CC"/>
            <w:u w:val="single"/>
          </w:rPr>
          <w:t>10.1002/anie.4560740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敏剂（PS）在光动力疗法（PDT）中的性能不仅取决于其内在分子结构，还取决于其空间组织和环境相互作用。超分子组装能够在不改变发色团支架的情况下精确控制分子堆积、局部微环境和分子间电子耦合，从而提供了一种通过非共价相互作用调节 PS 的光物理和光化学行为的通用方法。在这篇小综述中，我们总结了在 PDT 中调节 PS 激发态特性的超分子策略的最新进展。我们重点关注两个核心方面：促进系间交叉以增强三重态形成，以及调节激发态失活途径以调节ROS的产生和偏向I型或II型光动力过程。讨论了代表性的例子来说明超分子组装如何减少单重态-三重态能隙、引入电荷转移（CT）介体、抑制非生产性衰变以及促进电子或氢原子转移（HAT）反应。最后，我们强调了机械理解、结构稳定性和转化实施方面仍存在的挑战，并概述了下一代超分子 PS 的生物适应性组装、简化系统设计和机制引导开发方面的未来机遇。</w:t>
      </w:r>
    </w:p>
    <w:p>
      <w:pPr>
        <w:spacing w:before="0" w:after="200" w:lineRule="auto" w:line="276"/>
      </w:pPr>
      <w:r>
        <w:rPr>
          <w:b/>
        </w:rPr>
        <w:t xml:space="preserve">Abstract (EN): </w:t>
      </w:r>
      <w:r>
        <w:t>The performance of photosensitizers (PSs) in photodynamic therapy (PDT) is determined not only by their intrinsic molecular structures but also by their spatial organization and environmental interactions. Supramolecular assembly enables precise control over molecular packing, local microenvironments, and intermolecular electronic coupling without altering the chromophore scaffold, thereby offering a versatile approach to modulate the photophysical and photochemical behavior of PSs through noncovalent interactions. In this Minireview, we summarize recent advances in supramolecular strategies for modulating the excited‐state properties of PSs in PDT. We focus on two central aspects: promoting intersystem crossing to enhance triplet‐state formation, and modulating excited‐state deactivation pathways to regulate ROS generation and bias Type‐I or Type‐II photodynamic processes. Representative examples are discussed to illustrate how supramolecular assembly can reduce singlet‐triplet energy gaps, introduce charge‐transfer (CT) mediators, suppress nonproductive decay, and facilitate electron or hydrogen atom transfer (HAT) reactions. Finally, we highlight the remaining challenges in mechanistic understanding, structural stability, and translational implementation, and outline future opportunities in bioadaptive assembly, simplified system design, and mechanism‐guided development of next‐generation supramolecular PSs.</w:t>
      </w:r>
    </w:p>
    <w:p>
      <w:pPr>
        <w:spacing w:before="120" w:after="120"/>
      </w:pPr>
      <w:r>
        <w:rPr>
          <w:sz w:val="18"/>
        </w:rPr>
        <w:t>——————————————————————————————————————————————————————————————————————</w:t>
      </w:r>
    </w:p>
    <w:p>
      <w:pPr>
        <w:spacing w:before="160" w:after="40" w:line="240" w:lineRule="auto"/>
      </w:pPr>
      <w:r>
        <w:rPr>
          <w:b/>
        </w:rPr>
        <w:t xml:space="preserve">[570] </w:t>
      </w:r>
      <w:hyperlink r:id="rId1596">
        <w:r>
          <w:rPr>
            <w:color w:val="1155CC"/>
            <w:u w:val="single"/>
          </w:rPr>
          <w:t>通过原子位点密度工程将 H2O2 电合成与微环境分解分离</w:t>
        </w:r>
      </w:hyperlink>
    </w:p>
    <w:p>
      <w:pPr>
        <w:spacing w:before="0" w:after="80"/>
      </w:pPr>
      <w:r>
        <w:rPr>
          <w:i/>
          <w:sz w:val="20"/>
        </w:rPr>
        <w:t>EN: Decouple H2O2 Electrosynthesis From Microenvironmental Decomposition via Atomic Site Density Engineering</w:t>
      </w:r>
    </w:p>
    <w:p>
      <w:pPr>
        <w:spacing w:before="0" w:after="120"/>
      </w:pPr>
      <w:r>
        <w:rPr>
          <w:b/>
        </w:rPr>
        <w:t xml:space="preserve">Source: </w:t>
      </w:r>
      <w:r>
        <w:t>Wiley: Angewandte Chemie International Edition: Table of Contents</w:t>
      </w:r>
      <w:r>
        <w:t xml:space="preserve">    </w:t>
      </w:r>
      <w:r>
        <w:rPr>
          <w:b/>
        </w:rPr>
        <w:t xml:space="preserve">Pub date: </w:t>
      </w:r>
      <w:r>
        <w:t>2026-08-05 13:40:05+00:00</w:t>
      </w:r>
      <w:r>
        <w:t xml:space="preserve">    </w:t>
      </w:r>
      <w:r>
        <w:rPr>
          <w:b/>
        </w:rPr>
        <w:t xml:space="preserve">DOI: </w:t>
      </w:r>
      <w:hyperlink r:id="rId1597">
        <w:r>
          <w:rPr>
            <w:color w:val="1155CC"/>
            <w:u w:val="single"/>
          </w:rPr>
          <w:t>10.1002/anie.8125244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电催化H</w:t>
      </w:r>
      <w:r>
        <w:rPr>
          <w:vertAlign w:val="subscript"/>
        </w:rPr>
        <w:t>2</w:t>
      </w:r>
      <w:r>
        <w:t>氧</w:t>
      </w:r>
      <w:r>
        <w:rPr>
          <w:vertAlign w:val="subscript"/>
        </w:rPr>
        <w:t>2</w:t>
      </w:r>
      <w:r>
        <w:t>通过双电子氧还原反应（2e</w:t>
      </w:r>
      <w:r>
        <w:t xml:space="preserve"> </w:t>
      </w:r>
      <w:r>
        <w:t>-</w:t>
      </w:r>
      <w:r>
        <w:t>‐ORR）为分散化学合成和水净化提供了一条有前途的途径。然而，由于竞争 H，法拉第效率通常达不到内在选择性。</w:t>
      </w:r>
      <w:r>
        <w:rPr>
          <w:vertAlign w:val="subscript"/>
        </w:rPr>
        <w:t>2</w:t>
      </w:r>
      <w:r>
        <w:t>氧</w:t>
      </w:r>
      <w:r>
        <w:rPr>
          <w:vertAlign w:val="subscript"/>
        </w:rPr>
        <w:t>2</w:t>
      </w:r>
      <w:r>
        <w:t>还原反应（HPRR）和歧化反应（HDR）。在这里，我们表明主动原子密度工程可以控制这种微环境损失，并可以确保净 H</w:t>
      </w:r>
      <w:r>
        <w:rPr>
          <w:vertAlign w:val="subscript"/>
        </w:rPr>
        <w:t>2</w:t>
      </w:r>
      <w:r>
        <w:t>氧</w:t>
      </w:r>
      <w:r>
        <w:rPr>
          <w:vertAlign w:val="subscript"/>
        </w:rPr>
        <w:t>2</w:t>
      </w:r>
      <w:r>
        <w:t>输出。使用一系列富含缺陷的Co-N</w:t>
      </w:r>
      <w:r>
        <w:rPr>
          <w:vertAlign w:val="subscript"/>
        </w:rPr>
        <w:t>2</w:t>
      </w:r>
      <w:r>
        <w:t>氧</w:t>
      </w:r>
      <w:r>
        <w:rPr>
          <w:vertAlign w:val="subscript"/>
        </w:rPr>
        <w:t>2</w:t>
      </w:r>
      <w:r>
        <w:t>单原子催化剂（SAC），紧密间隔的位点诱导位点间电子耦合并展宽 d 带，从而促进与新产生的 H 的进一步反应</w:t>
      </w:r>
      <w:r>
        <w:rPr>
          <w:vertAlign w:val="subscript"/>
        </w:rPr>
        <w:t>2</w:t>
      </w:r>
      <w:r>
        <w:t>氧</w:t>
      </w:r>
      <w:r>
        <w:rPr>
          <w:vertAlign w:val="subscript"/>
        </w:rPr>
        <w:t>2</w:t>
      </w:r>
      <w:r>
        <w:t>走向减少和不均衡。以 0.84 wt.% (Co/NOC-0.8) 的最佳 Co 负载量隔离位点，通过增加 OH*/O* 形成的热力学势垒，有效抑制副反应，保护 H</w:t>
      </w:r>
      <w:r>
        <w:rPr>
          <w:vertAlign w:val="subscript"/>
        </w:rPr>
        <w:t>2</w:t>
      </w:r>
      <w:r>
        <w:t>氧</w:t>
      </w:r>
      <w:r>
        <w:rPr>
          <w:vertAlign w:val="subscript"/>
        </w:rPr>
        <w:t>2</w:t>
      </w:r>
      <w:r>
        <w:t>来自二次解离。所得催化剂还原二次 H</w:t>
      </w:r>
      <w:r>
        <w:rPr>
          <w:vertAlign w:val="subscript"/>
        </w:rPr>
        <w:t>2</w:t>
      </w:r>
    </w:p>
    <w:p>
      <w:pPr>
        <w:spacing w:before="0" w:after="200" w:lineRule="auto" w:line="276"/>
      </w:pPr>
      <w:r>
        <w:rPr>
          <w:b/>
        </w:rPr>
        <w:t xml:space="preserve">Abstract (EN): </w:t>
      </w:r>
      <w:r>
        <w:t>Electrocatalytic H</w:t>
      </w:r>
      <w:r>
        <w:rPr>
          <w:vertAlign w:val="subscript"/>
        </w:rPr>
        <w:t>2</w:t>
      </w:r>
      <w:r>
        <w:t>O</w:t>
      </w:r>
      <w:r>
        <w:rPr>
          <w:vertAlign w:val="subscript"/>
        </w:rPr>
        <w:t>2</w:t>
      </w:r>
      <w:r>
        <w:t>production through two‐electron oxygen reduction reaction (2e</w:t>
      </w:r>
      <w:r>
        <w:t xml:space="preserve"> </w:t>
      </w:r>
      <w:r>
        <w:t>−</w:t>
      </w:r>
      <w:r>
        <w:t>‐ORR) offers a promising route to decentralised chemical synthesis and water purification. However, Faradaic efficiency typically falls short of intrinsic selectivity due to competing H</w:t>
      </w:r>
      <w:r>
        <w:rPr>
          <w:vertAlign w:val="subscript"/>
        </w:rPr>
        <w:t>2</w:t>
      </w:r>
      <w:r>
        <w:t>O</w:t>
      </w:r>
      <w:r>
        <w:rPr>
          <w:vertAlign w:val="subscript"/>
        </w:rPr>
        <w:t>2</w:t>
      </w:r>
      <w:r>
        <w:t>reduction reaction (HPRR) and disproportionation reaction (HDR). Here, we show that active atomic density engineering governs this microenvironmental loss and can secure the net H</w:t>
      </w:r>
      <w:r>
        <w:rPr>
          <w:vertAlign w:val="subscript"/>
        </w:rPr>
        <w:t>2</w:t>
      </w:r>
      <w:r>
        <w:t>O</w:t>
      </w:r>
      <w:r>
        <w:rPr>
          <w:vertAlign w:val="subscript"/>
        </w:rPr>
        <w:t>2</w:t>
      </w:r>
      <w:r>
        <w:t>output. Using a series of defect‐rich Co‐N</w:t>
      </w:r>
      <w:r>
        <w:rPr>
          <w:vertAlign w:val="subscript"/>
        </w:rPr>
        <w:t>2</w:t>
      </w:r>
      <w:r>
        <w:t>O</w:t>
      </w:r>
      <w:r>
        <w:rPr>
          <w:vertAlign w:val="subscript"/>
        </w:rPr>
        <w:t>2</w:t>
      </w:r>
      <w:r>
        <w:t>single‐atom catalysts (SACs), closely spaced sites induce inter‐site electronic coupling and broaden the d‐band, which promotes further reaction with the freshly produced H</w:t>
      </w:r>
      <w:r>
        <w:rPr>
          <w:vertAlign w:val="subscript"/>
        </w:rPr>
        <w:t>2</w:t>
      </w:r>
      <w:r>
        <w:t>O</w:t>
      </w:r>
      <w:r>
        <w:rPr>
          <w:vertAlign w:val="subscript"/>
        </w:rPr>
        <w:t>2</w:t>
      </w:r>
      <w:r>
        <w:t>toward reduction and disproportionation. Isolating the sites at an optimal Co loading of 0.84 wt.% (Co/NOC‐0.8) effectively suppresses side reactions by increasing the thermodynamic barrier to OH*/O* formation, protecting H</w:t>
      </w:r>
      <w:r>
        <w:rPr>
          <w:vertAlign w:val="subscript"/>
        </w:rPr>
        <w:t>2</w:t>
      </w:r>
      <w:r>
        <w:t>O</w:t>
      </w:r>
      <w:r>
        <w:rPr>
          <w:vertAlign w:val="subscript"/>
        </w:rPr>
        <w:t>2</w:t>
      </w:r>
      <w:r>
        <w:t>from secondary dissociation. The resulting catalyst reduces secondary H</w:t>
      </w:r>
      <w:r>
        <w:rPr>
          <w:vertAlign w:val="subscript"/>
        </w:rPr>
        <w:t>2</w:t>
      </w:r>
      <w:r>
        <w:t>O</w:t>
      </w:r>
      <w:r>
        <w:rPr>
          <w:vertAlign w:val="subscript"/>
        </w:rPr>
        <w:t>2</w:t>
      </w:r>
      <w:r>
        <w:t>consumption by up to 79% and closes the gap between intrinsic selectivity (86.5%) and practical Faradaic efficiency (78.7%). When integrated into a flow‐through bilayer electrified membrane reactor, the optimised catalyst combines convection‐enhanced mass transport with rapid product release at the isolated sites, achieving over 90% single‐pass removal of aniline for more than 72 h. These results define a site‐density principle for balancing product formation and product preservation in single‐atom electrocatalysis.</w:t>
      </w:r>
    </w:p>
    <w:p>
      <w:pPr>
        <w:spacing w:before="120" w:after="120"/>
      </w:pPr>
      <w:r>
        <w:rPr>
          <w:sz w:val="18"/>
        </w:rPr>
        <w:t>——————————————————————————————————————————————————————————————————————</w:t>
      </w:r>
    </w:p>
    <w:p>
      <w:pPr>
        <w:spacing w:before="160" w:after="40" w:line="240" w:lineRule="auto"/>
      </w:pPr>
      <w:r>
        <w:rPr>
          <w:b/>
        </w:rPr>
        <w:t xml:space="preserve">[571] </w:t>
      </w:r>
      <w:hyperlink r:id="rId1598">
        <w:r>
          <w:rPr>
            <w:color w:val="1155CC"/>
            <w:u w:val="single"/>
          </w:rPr>
          <w:t>通过拓扑化学控制实现单次投影照相打印的光定义反应场</w:t>
        </w:r>
      </w:hyperlink>
    </w:p>
    <w:p>
      <w:pPr>
        <w:spacing w:before="0" w:after="80"/>
      </w:pPr>
      <w:r>
        <w:rPr>
          <w:i/>
          <w:sz w:val="20"/>
        </w:rPr>
        <w:t>EN: Light‐Defined Reaction Fields via Topochemical Control for Single‐Shot Projection Photoprinting</w:t>
      </w:r>
    </w:p>
    <w:p>
      <w:pPr>
        <w:spacing w:before="0" w:after="120"/>
      </w:pPr>
      <w:r>
        <w:rPr>
          <w:b/>
        </w:rPr>
        <w:t xml:space="preserve">Source: </w:t>
      </w:r>
      <w:r>
        <w:t>Wiley: Angewandte Chemie International Edition: Table of Contents</w:t>
      </w:r>
      <w:r>
        <w:t xml:space="preserve">    </w:t>
      </w:r>
      <w:r>
        <w:rPr>
          <w:b/>
        </w:rPr>
        <w:t xml:space="preserve">Pub date: </w:t>
      </w:r>
      <w:r>
        <w:t>2026-08-05 13:45:10+00:00</w:t>
      </w:r>
      <w:r>
        <w:t xml:space="preserve">    </w:t>
      </w:r>
      <w:r>
        <w:rPr>
          <w:b/>
        </w:rPr>
        <w:t xml:space="preserve">DOI: </w:t>
      </w:r>
      <w:hyperlink r:id="rId1599">
        <w:r>
          <w:rPr>
            <w:color w:val="1155CC"/>
            <w:u w:val="single"/>
          </w:rPr>
          <w:t>10.1002/anie.7872986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三维 (3D) 照相打印的一个主要挑战在于缺乏从光场到体积化学反应场的确定性转换。在这里，我们建立了一种照相打印策略，其中光不仅充当触发器，而且充当可编程输入，定义由分子空间均匀性和拓扑化学控制实现的空间化学反应场。在这个光定义的反应场中，拓扑化学反应在空间上受到限制并沿深度方向传播，产生连续的反应梯度，确定性地将光学投影转化为 3D 化学转化。我们使用基于 ADCA 的大面积单共晶光刻胶薄膜实现了这一概念，其中明确的分子堆积支持有效的级联反应。由此产生的光定义空间反应场可实现低功率 (μW)、毫米级投影照相打印，产生亚衍射极限横向分辨率为 153 nm 和轴向分辨率为 3.5 nm 的 3D 纳米结构。通过将自制投影系统与计算建模相集成，任意图形输入可以直接编译成可编程 3D 化学反应场，并在几秒钟内快速转化为纳米结构。这些结果确立了拓扑化学反应场引导投影光打印作为基于 ADCA 的单共晶光刻胶的快速、高分辨率三维制造的强大策略，并提出了更广泛的分子设计原则</w:t>
      </w:r>
    </w:p>
    <w:p>
      <w:pPr>
        <w:spacing w:before="0" w:after="200" w:lineRule="auto" w:line="276"/>
      </w:pPr>
      <w:r>
        <w:rPr>
          <w:b/>
        </w:rPr>
        <w:t xml:space="preserve">Abstract (EN): </w:t>
      </w:r>
      <w:r>
        <w:t>A central challenge in three‐dimensional (3D) photoprinting lies in the absence of a deterministic translation from optical fields into volumetric chemical reaction fields. Here, we establish a photoprinting strategy in which light acts not merely as a trigger, but as a programmable input that defines a spatial chemical reaction field enabled by molecular spatial homogeneity and topochemical control. Within this light‐defined reaction field, topochemical reactions are spatially confined and propagated along the depth direction, generating continuous reaction gradients that deterministically translate optical projections into 3D chemical transformations. We realize this concept using a large‐area ADCA‐based single‐cocrystalline photoresist film, in which well‐defined molecular packing supports efficient cascade reactions. The resulting light‐defined spatial reaction field enables low‐power (µW), millimeter‐scale projection photoprinting, producing 3D nanostructures with a sub‐diffraction‐limited lateral resolution of 153 nm and an axial resolution of 3.5 nm. By integrating a home‐built projection system with computational modeling, arbitrary graphic inputs can be directly compiled into programmable 3D chemical reaction fields and rapidly translated into nanoarchitectures within seconds. These results establish topochemical reaction‐field‐guided projection photoprinting as a powerful strategy for rapid, high‐resolution three‐dimensional fabrication in ADCA‐based single‐cocrystalline photoresists and suggest a broader molecular‐design principle for future co‐crystalline photoprinting materials.</w:t>
      </w:r>
    </w:p>
    <w:p>
      <w:pPr>
        <w:spacing w:before="120" w:after="120"/>
      </w:pPr>
      <w:r>
        <w:rPr>
          <w:sz w:val="18"/>
        </w:rPr>
        <w:t>——————————————————————————————————————————————————————————————————————</w:t>
      </w:r>
    </w:p>
    <w:p>
      <w:pPr>
        <w:spacing w:before="160" w:after="40" w:line="240" w:lineRule="auto"/>
      </w:pPr>
      <w:r>
        <w:rPr>
          <w:b/>
        </w:rPr>
        <w:t xml:space="preserve">[572] </w:t>
      </w:r>
      <w:hyperlink r:id="rId1600">
        <w:r>
          <w:rPr>
            <w:color w:val="1155CC"/>
            <w:u w:val="single"/>
          </w:rPr>
          <w:t>用于高效圆偏振发光的局部反芳香性介导的手性供体-受体策略</w:t>
        </w:r>
      </w:hyperlink>
    </w:p>
    <w:p>
      <w:pPr>
        <w:spacing w:before="0" w:after="80"/>
      </w:pPr>
      <w:r>
        <w:rPr>
          <w:i/>
          <w:sz w:val="20"/>
        </w:rPr>
        <w:t>EN: Local Antiaromaticity‐Mediated Chiral Donor–Acceptor Strategy for Efficient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2026-08-05 13:46:49+00:00</w:t>
      </w:r>
      <w:r>
        <w:t xml:space="preserve">    </w:t>
      </w:r>
      <w:r>
        <w:rPr>
          <w:b/>
        </w:rPr>
        <w:t xml:space="preserve">DOI: </w:t>
      </w:r>
      <w:hyperlink r:id="rId1601">
        <w:r>
          <w:rPr>
            <w:color w:val="1155CC"/>
            <w:u w:val="single"/>
          </w:rPr>
          <w:t>10.1002/anie.6690121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有机发光二极管中实现高效的圆偏振发光仍然是一个基本挑战，因为传统的手性微扰策略本质上受到手性单元和发射中心之间的弱电子耦合的限制。为了解决这一限制，引入了局部反芳香性介导的手性供体-受体策略。通过将局部反芳香手性供体与一个或两个电子接受三嗪单元集成，构建了供体-受体和受体-供体-受体结构，该结构表现出杂化的局部和电荷转移激发态并启用热激子通道。与传统设计不同，反芳香手性供体直接影响前沿分子轨道和激发态自旋密度分布，在电荷转移激发过程中引起发射中心明显的螺旋电荷重新分布。局部反芳香特性进一步增强了磁跃迁偶极矩，提供了圆偏振发射的协同放大。结果，优化的发射器 ABH-2TRZ 提供了深蓝色圆偏振电致发光，不对称因子为 +7.4 × 10</w:t>
      </w:r>
      <w:r>
        <w:t xml:space="preserve"> </w:t>
      </w:r>
      <w:r>
        <w:t>−3</w:t>
      </w:r>
      <w:r>
        <w:t xml:space="preserve"> </w:t>
      </w:r>
      <w:r>
        <w:t>，最大外量子效率为6.38%，色坐标为(0.154，0.089)，接近深蓝色显示标准。这项工作将反芳香族手性供体建立为高性能圆偏振光电材料的有效平台</w:t>
      </w:r>
    </w:p>
    <w:p>
      <w:pPr>
        <w:spacing w:before="0" w:after="200" w:lineRule="auto" w:line="276"/>
      </w:pPr>
      <w:r>
        <w:rPr>
          <w:b/>
        </w:rPr>
        <w:t xml:space="preserve">Abstract (EN): </w:t>
      </w:r>
      <w:r>
        <w:t>Achieving highly efficient circularly polarized luminescence in organic light‐emitting diodes remains a fundamental challenge, because conventional chiral‐perturbation strategies are intrinsically limited by weak electronic coupling between chiral units and the emissive center. To address this limitation, a local antiaromaticity‐mediated chiral donor‐acceptor strategy is introduced. By integrating a locally antiaromatic chiral donor with one or two electron‐accepting triazine units, donor–acceptor and acceptor–donor–acceptor architectures are constructed that exhibit hybridized local and charge‐transfer excited states and enable hot‐exciton channels. Unlike conventional designs, the antiaromatic chiral donor directly contributes to the frontier molecular orbitals and excited‐state spin density distribution, inducing pronounced helical charge redistribution at the emissive center during charge‐transfer excitation. The localized antiaromatic character further strengthens the magnetic transition dipole moment, providing a synergistic amplification of circularly polarized emission. As a result, the optimized emitter ABH‐2TRZ affords deep‐blue circularly polarized electroluminescence with a dissymmetry factor of +7.4 × 10</w:t>
      </w:r>
      <w:r>
        <w:t xml:space="preserve"> </w:t>
      </w:r>
      <w:r>
        <w:t>−3</w:t>
      </w:r>
      <w:r>
        <w:t xml:space="preserve"> </w:t>
      </w:r>
      <w:r>
        <w:t>, a maximum external quantum efficiency of 6.38%, and color coordinates of (0.154, 0.089), close to the deep‐blue display standard. This work establishes antiaromatic chiral donors as an effective platform for high‐performance circularly polarized optoelectronic materials.</w:t>
      </w:r>
    </w:p>
    <w:p>
      <w:pPr>
        <w:spacing w:before="120" w:after="120"/>
      </w:pPr>
      <w:r>
        <w:rPr>
          <w:sz w:val="18"/>
        </w:rPr>
        <w:t>——————————————————————————————————————————————————————————————————————</w:t>
      </w:r>
    </w:p>
    <w:p>
      <w:pPr>
        <w:spacing w:before="160" w:after="40" w:line="240" w:lineRule="auto"/>
      </w:pPr>
      <w:r>
        <w:rPr>
          <w:b/>
        </w:rPr>
        <w:t xml:space="preserve">[573] </w:t>
      </w:r>
      <w:hyperlink r:id="rId1602">
        <w:r>
          <w:rPr>
            <w:color w:val="1155CC"/>
            <w:u w:val="single"/>
          </w:rPr>
          <w:t>通过糖基磺酰肼从天然糖中获得未保护的 C-芳基糖苷：热帽和糖基化策略</w:t>
        </w:r>
      </w:hyperlink>
    </w:p>
    <w:p>
      <w:pPr>
        <w:spacing w:before="0" w:after="80"/>
      </w:pPr>
      <w:r>
        <w:rPr>
          <w:i/>
          <w:sz w:val="20"/>
        </w:rPr>
        <w:t>EN: Unprotected C‐Aryl Glycosides From Native Sugars via Glycosyl Sulfonyl Hydrazides: A Thermal Cap‐and‐Glycosylate Strategy</w:t>
      </w:r>
    </w:p>
    <w:p>
      <w:pPr>
        <w:spacing w:before="0" w:after="120"/>
      </w:pPr>
      <w:r>
        <w:rPr>
          <w:b/>
        </w:rPr>
        <w:t xml:space="preserve">Source: </w:t>
      </w:r>
      <w:r>
        <w:t>Wiley: Angewandte Chemie International Edition: Table of Contents</w:t>
      </w:r>
      <w:r>
        <w:t xml:space="preserve">    </w:t>
      </w:r>
      <w:r>
        <w:rPr>
          <w:b/>
        </w:rPr>
        <w:t xml:space="preserve">Pub date: </w:t>
      </w:r>
      <w:r>
        <w:t>2026-08-05 13:55:54+00:00</w:t>
      </w:r>
      <w:r>
        <w:t xml:space="preserve">    </w:t>
      </w:r>
      <w:r>
        <w:rPr>
          <w:b/>
        </w:rPr>
        <w:t xml:space="preserve">DOI: </w:t>
      </w:r>
      <w:hyperlink r:id="rId1603">
        <w:r>
          <w:rPr>
            <w:color w:val="1155CC"/>
            <w:u w:val="single"/>
          </w:rPr>
          <w:t>10.1002/anie.2385204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热帽和糖基化策略，在氧化还原中性镍催化下，使用糖基磺酰肼作为糖基自由基前体，从天然糖中直接、无保护基团合成未保护的芳基C-糖苷。这种两步过程避免了光照射、色谱法和外部氧化还原剂。 11 未受保护的单糖与高 1,2- 反应</w:t>
      </w:r>
      <w:r>
        <w:t xml:space="preserve"> </w:t>
      </w:r>
      <w:r>
        <w:t>反式</w:t>
      </w:r>
      <w:r>
        <w:t xml:space="preserve"> </w:t>
      </w:r>
      <w:r>
        <w:t>选择性，耐受不同的官能团和杂芳烃。该实用性通过格列净药物、其类似物和 Neopetrosin C 的两步组装来展示。该平台将糖基磺酰肼定位为多功能自由基源和光诱导 C-糖基化的可扩展替代品。</w:t>
      </w:r>
    </w:p>
    <w:p>
      <w:pPr>
        <w:spacing w:before="0" w:after="200" w:lineRule="auto" w:line="276"/>
      </w:pPr>
      <w:r>
        <w:rPr>
          <w:b/>
        </w:rPr>
        <w:t xml:space="preserve">Abstract (EN): </w:t>
      </w:r>
      <w:r>
        <w:t>We report a thermal cap‐and‐glycosylate strategy for the direct, protecting‐group‐free synthesis of unprotected aryl C‐glycosides from native sugars, employing glycosyl sulfonyl hydrazides as glycosyl radical precursors under redox‐neutral nickel catalysis. This two‐step process avoids photoirradiation, chromatography, and external redox agents. 11 Unprotected monosaccharides react with high 1,2‐</w:t>
      </w:r>
      <w:r>
        <w:t xml:space="preserve"> </w:t>
      </w:r>
      <w:r>
        <w:t>trans</w:t>
      </w:r>
      <w:r>
        <w:t xml:space="preserve"> </w:t>
      </w:r>
      <w:r>
        <w:t>selectivity, tolerating diverse functional groups and heteroarenes. The utility is showcased by two‐step assembly of gliflozin drugs, their analogues and Neopetrosin C. This platform positions glycosyl sulfonyl hydrazides as a versatile radical source and a scalable alternative to photoinduced C‐glycosylation.</w:t>
      </w:r>
    </w:p>
    <w:p>
      <w:pPr>
        <w:spacing w:before="120" w:after="120"/>
      </w:pPr>
      <w:r>
        <w:rPr>
          <w:sz w:val="18"/>
        </w:rPr>
        <w:t>——————————————————————————————————————————————————————————————————————</w:t>
      </w:r>
    </w:p>
    <w:p>
      <w:pPr>
        <w:spacing w:before="160" w:after="40" w:line="240" w:lineRule="auto"/>
      </w:pPr>
      <w:r>
        <w:rPr>
          <w:b/>
        </w:rPr>
        <w:t xml:space="preserve">[574] </w:t>
      </w:r>
      <w:hyperlink r:id="rId1604">
        <w:r>
          <w:rPr>
            <w:color w:val="1155CC"/>
            <w:u w:val="single"/>
          </w:rPr>
          <w:t>各向异性掩蔽分枝杆菌通过脾靶向和骨髓生成转化增强增强的抗肿瘤训练免疫力</w:t>
        </w:r>
      </w:hyperlink>
    </w:p>
    <w:p>
      <w:pPr>
        <w:spacing w:before="0" w:after="80"/>
      </w:pPr>
      <w:r>
        <w:rPr>
          <w:i/>
          <w:sz w:val="20"/>
        </w:rPr>
        <w:t>EN: Anisotropic Masked Mycobacterium Potentiates Amplified Antitumor Trained Immunity via Spleen Targeting and Myelopoiesis Conversion</w:t>
      </w:r>
    </w:p>
    <w:p>
      <w:pPr>
        <w:spacing w:before="0" w:after="120"/>
      </w:pPr>
      <w:r>
        <w:rPr>
          <w:b/>
        </w:rPr>
        <w:t xml:space="preserve">Source: </w:t>
      </w:r>
      <w:r>
        <w:t>Wiley: Advanced Materials: Table of Contents</w:t>
      </w:r>
      <w:r>
        <w:t xml:space="preserve">    </w:t>
      </w:r>
      <w:r>
        <w:rPr>
          <w:b/>
        </w:rPr>
        <w:t xml:space="preserve">Pub date: </w:t>
      </w:r>
      <w:r>
        <w:t>2026-08-05 13:59:43+00:00</w:t>
      </w:r>
      <w:r>
        <w:t xml:space="preserve">    </w:t>
      </w:r>
      <w:r>
        <w:rPr>
          <w:b/>
        </w:rPr>
        <w:t xml:space="preserve">DOI: </w:t>
      </w:r>
      <w:hyperlink r:id="rId1605">
        <w:r>
          <w:rPr>
            <w:color w:val="1155CC"/>
            <w:u w:val="single"/>
          </w:rPr>
          <w:t>10.1002/adma.74513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癌症进展涉及全身免疫抑制和脾促肿瘤骨髓细胞生成增加促进的肿瘤复发。为了应对这一临床挑战，我们开发了一种工程化的特洛伊分枝杆菌作为经过训练的免疫（TI）介导的脾骨髓生成转换器（t-SMC）。该设计提供了一种静脉注射的各向异性 TI 诱导剂，其纵横比为 3.6，通过分枝杆菌“剥离和掩蔽”策略优先脾脏靶向和细胞摄取，其中人血清白蛋白结合了酶可激活的 Toll 样受体 7/8 激动剂，可增强 TI 激活。 t-SMC 通过脾巨噬细胞中的代谢和表观遗传重编程诱导抗肿瘤骨髓细胞生成。在 E.G7-OVA 模型中，这种向抗肿瘤骨髓生成的转变显着丰富了肿瘤微环境中的炎症骨髓效应子，并且脾髓细胞的过继转移证实了 TI 驱动的抗肿瘤作用。此外，比较分析显示，细菌支架 (alb-Mycobac) 启动骨髓重编程，但只有整合的 TLR7/8 激动剂 (t-SMC) 跨越了肿瘤消退的治疗阈值。在 MC38 手术复发模型中，术前 t-SMC 联合标准佐剂 αPD-L1 加奥沙利铂，在 50% 的治疗小鼠（6 只中的 3 只）中实现了完全抑制复发，并实现了 62.5% 的长期生存率，确立了 TI 启动作为可将免疫检查点无反应者转化为反应者的可转化的术前佐剂。</w:t>
      </w:r>
    </w:p>
    <w:p>
      <w:pPr>
        <w:spacing w:before="0" w:after="200" w:lineRule="auto" w:line="276"/>
      </w:pPr>
      <w:r>
        <w:rPr>
          <w:b/>
        </w:rPr>
        <w:t xml:space="preserve">Abstract (EN): </w:t>
      </w:r>
      <w:r>
        <w:t>Cancer progression involves systemic immune suppression and tumor recurrence facilitated by increased splenic protumoral myelopoiesis. To address this clinical challenge, we developed an engineered Trojan Mycobacterium as a trained immunity (TI)‐mediated splenic myelopoiesis converter (t‐SMC). This design provides an intravenously injectable anisotropic TI inducer with an aspect ratio of 3.6 for preferential spleen targeting and cellular uptake via a Mycobacterium “peeling‐off and masking‐up” strategy with human serum albumin incorporating an enzyme‑activatable Toll‑like receptor 7/8 agonist that boosts TI activation. t‐SMC induces antitumoral myelopoiesis with metabolic and epigenetic reprogramming in splenic macrophages. This shift toward antitumoral myelopoiesis markedly enriches the tumor microenvironment with inflammatory myeloid effectors in an E.G7‐OVA model, and the adoptive transfer of splenic myeloid cells confirmed the TI‐driven antitumor effect. Furthermore, comparative analysis revealed that the bacterial scaffold (alb‐Mycobac) initiates myeloid reprogramming, but only the integrated TLR7/8 agonist (t‐SMC) crosses the therapeutic threshold for tumor regression. In the MC38 surgical recurrence model, preoperative t‐SMC combined with standard adjuvant αPD‐L1 plus oxaliplatin achieved complete inhibition of recurrence in 50% of treated mice (3 of 6) with 62.5% long‐term survival, establishing TI priming as a translation‐ready preoperative adjuvant that converts immune‐checkpoint non‐responders into responders.</w:t>
      </w:r>
    </w:p>
    <w:p>
      <w:pPr>
        <w:spacing w:before="120" w:after="120"/>
      </w:pPr>
      <w:r>
        <w:rPr>
          <w:sz w:val="18"/>
        </w:rPr>
        <w:t>——————————————————————————————————————————————————————————————————————</w:t>
      </w:r>
    </w:p>
    <w:p>
      <w:pPr>
        <w:spacing w:before="160" w:after="40" w:line="240" w:lineRule="auto"/>
      </w:pPr>
      <w:r>
        <w:rPr>
          <w:b/>
        </w:rPr>
        <w:t xml:space="preserve">[575] </w:t>
      </w:r>
      <w:hyperlink r:id="rId1606">
        <w:r>
          <w:rPr>
            <w:color w:val="1155CC"/>
            <w:u w:val="single"/>
          </w:rPr>
          <w:t>通过碱阳离子诱导的缺陷修复的疏水性 MFI 型沸石：对吸附剂和催化剂设计的影响</w:t>
        </w:r>
      </w:hyperlink>
    </w:p>
    <w:p>
      <w:pPr>
        <w:spacing w:before="0" w:after="80"/>
      </w:pPr>
      <w:r>
        <w:rPr>
          <w:i/>
          <w:sz w:val="20"/>
        </w:rPr>
        <w:t>EN: Hydrophobic MFI‐Type Zeolites via Alkali‐Cation‐Induced Defect Healing: Implications for Adsorbent and Catalyst Design</w:t>
      </w:r>
    </w:p>
    <w:p>
      <w:pPr>
        <w:spacing w:before="0" w:after="120"/>
      </w:pPr>
      <w:r>
        <w:rPr>
          <w:b/>
        </w:rPr>
        <w:t xml:space="preserve">Source: </w:t>
      </w:r>
      <w:r>
        <w:t>Wiley: Advanced Materials: Table of Contents</w:t>
      </w:r>
      <w:r>
        <w:t xml:space="preserve">    </w:t>
      </w:r>
      <w:r>
        <w:rPr>
          <w:b/>
        </w:rPr>
        <w:t xml:space="preserve">Pub date: </w:t>
      </w:r>
      <w:r>
        <w:t>2026-08-05 14:01:21+00:00</w:t>
      </w:r>
      <w:r>
        <w:t xml:space="preserve">    </w:t>
      </w:r>
      <w:r>
        <w:rPr>
          <w:b/>
        </w:rPr>
        <w:t xml:space="preserve">DOI: </w:t>
      </w:r>
      <w:hyperlink r:id="rId1607">
        <w:r>
          <w:rPr>
            <w:color w:val="1155CC"/>
            <w:u w:val="single"/>
          </w:rPr>
          <w:t>10.1002/adma.74455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在这里，我们证明了亚化学计量的碱金属阳离子（Na</w:t>
      </w:r>
      <w:r>
        <w:t xml:space="preserve"> </w:t>
      </w:r>
      <w:r>
        <w:t>+</w:t>
      </w:r>
      <w:r>
        <w:t xml:space="preserve"> </w:t>
      </w:r>
      <w:r>
        <w:t>和K</w:t>
      </w:r>
      <w:r>
        <w:t xml:space="preserve"> </w:t>
      </w:r>
      <w:r>
        <w:t>+</w:t>
      </w:r>
      <w:r>
        <w:t xml:space="preserve"> </w:t>
      </w:r>
      <w:r>
        <w:t>）关键控制 Silicalite-1 (MFI) 合成过程中的缺陷形成，从而能够精确控制煅烧后的框架完整性和表面特性。将系统合成研究与密度泛函理论 (DFT) 计算和高分辨率显微镜相结合，我们揭示了一种缺陷修复机制，其中原位生成的 NaOH 或 KOH 物质促进 Si-O-Si 键重排并增强 Si(OH)2 的迁移率</w:t>
      </w:r>
      <w:r>
        <w:rPr>
          <w:vertAlign w:val="subscript"/>
        </w:rPr>
        <w:t>4</w:t>
      </w:r>
      <w:r>
        <w:t>单位。这个过程有利于T位点空缺的有效修复，产生高度有序、无缺陷的MFI框架。所得的 Silicalite-1 在丁醇/水分离中表现出显着增强的疏水性和优异的选择性，强调了缺陷控制在调节吸附和界面性质中的决定性作用。重要的是，这些见解成功地扩展到无缺陷 TS-1 的合成，提供了高度疏水性路易斯酸催化剂，在 1-己烯环氧化中具有更高的活性和选择性。这种环保、简单、可扩展的方法提供了一种通用途径来生产具有精确调节的物理化学性质的无缺陷沸石，从而能够开发先进的催化和分离材料，特别是对于涉及水或极性化合物的应用。</w:t>
      </w:r>
    </w:p>
    <w:p>
      <w:pPr>
        <w:spacing w:before="0" w:after="200" w:lineRule="auto" w:line="276"/>
      </w:pPr>
      <w:r>
        <w:rPr>
          <w:b/>
        </w:rPr>
        <w:t xml:space="preserve">Abstract (EN): </w:t>
      </w:r>
      <w:r>
        <w:t>Here, we demonstrate that sub‐stoichiometric amounts of alkali cations (Na</w:t>
      </w:r>
      <w:r>
        <w:t xml:space="preserve"> </w:t>
      </w:r>
      <w:r>
        <w:t>+</w:t>
      </w:r>
      <w:r>
        <w:t xml:space="preserve"> </w:t>
      </w:r>
      <w:r>
        <w:t>and K</w:t>
      </w:r>
      <w:r>
        <w:t xml:space="preserve"> </w:t>
      </w:r>
      <w:r>
        <w:t>+</w:t>
      </w:r>
      <w:r>
        <w:t xml:space="preserve"> </w:t>
      </w:r>
      <w:r>
        <w:t>) critically govern defect formation during the synthesis of Silicalite‐1 (MFI), enabling precise control over framework integrity and surface properties after calcination. Combining systematic synthesis studies with density functional theory (DFT) calculations and high‐resolution microscopy, we reveal a defect‐healing mechanism in which in situ generated NaOH or KOH species promote Si–O–Si bond rearrangement and enhance the mobility of Si(OH)</w:t>
      </w:r>
      <w:r>
        <w:rPr>
          <w:vertAlign w:val="subscript"/>
        </w:rPr>
        <w:t>4</w:t>
      </w:r>
      <w:r>
        <w:t>units. This process facilitates the effective healing of T‐site vacancies, yielding highly ordered, defect‐free MFI frameworks. The resulting Silicalite‐1 exhibits markedly enhanced hydrophobicity and superior selectivity in butanol/water separation, underscoring the decisive role of defect control in modulating adsorption and interfacial properties. Importantly, these insights are successfully extended to the synthesis of defect‐free TS‐1, affording highly hydrophobic Lewis acid catalysts with improved activity and selectivity in the epoxidation of 1‐hexene. This environmentally friendly, straightforward, scalable approach offers a versatile pathway to produce defect‐free zeolites with precisely tuned physicochemical properties, enabling the development of advanced catalytic and separation materials, especially for applications involving water or polar compounds.</w:t>
      </w:r>
    </w:p>
    <w:p>
      <w:pPr>
        <w:spacing w:before="120" w:after="120"/>
      </w:pPr>
      <w:r>
        <w:rPr>
          <w:sz w:val="18"/>
        </w:rPr>
        <w:t>——————————————————————————————————————————————————————————————————————</w:t>
      </w:r>
    </w:p>
    <w:p>
      <w:pPr>
        <w:spacing w:before="160" w:after="40" w:line="240" w:lineRule="auto"/>
      </w:pPr>
      <w:r>
        <w:rPr>
          <w:b/>
        </w:rPr>
        <w:t xml:space="preserve">[576] </w:t>
      </w:r>
      <w:hyperlink r:id="rId1608">
        <w:r>
          <w:rPr>
            <w:color w:val="1155CC"/>
            <w:u w:val="single"/>
          </w:rPr>
          <w:t>DNA 折纸纳米结构的可编程功能硅化</w:t>
        </w:r>
      </w:hyperlink>
    </w:p>
    <w:p>
      <w:pPr>
        <w:spacing w:before="0" w:after="80"/>
      </w:pPr>
      <w:r>
        <w:rPr>
          <w:i/>
          <w:sz w:val="20"/>
        </w:rPr>
        <w:t>EN: Programmable Functional Silicification of DNA Origami Nanostructures</w:t>
      </w:r>
    </w:p>
    <w:p>
      <w:pPr>
        <w:spacing w:before="0" w:after="120"/>
      </w:pPr>
      <w:r>
        <w:rPr>
          <w:b/>
        </w:rPr>
        <w:t xml:space="preserve">Source: </w:t>
      </w:r>
      <w:r>
        <w:t>Wiley: Advanced Materials: Table of Contents</w:t>
      </w:r>
      <w:r>
        <w:t xml:space="preserve">    </w:t>
      </w:r>
      <w:r>
        <w:rPr>
          <w:b/>
        </w:rPr>
        <w:t xml:space="preserve">Pub date: </w:t>
      </w:r>
      <w:r>
        <w:t>2026-08-05 14:07:28+00:00</w:t>
      </w:r>
      <w:r>
        <w:t xml:space="preserve">    </w:t>
      </w:r>
      <w:r>
        <w:rPr>
          <w:b/>
        </w:rPr>
        <w:t xml:space="preserve">DOI: </w:t>
      </w:r>
      <w:hyperlink r:id="rId1609">
        <w:r>
          <w:rPr>
            <w:color w:val="1155CC"/>
            <w:u w:val="single"/>
          </w:rPr>
          <w:t>10.1002/adma.74516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DNA 折纸纳米结构的硅化提供了增强其机械稳定性和对有害环境条件的抵抗力的强大策略。在过去的几年中，一些研究调查了硅化过程的关键方面，产生了各种既定的方案。然而，到目前为止，二氧化硅涂层通常充当被动保护层或作为进一步沉积无机材料的基础，但其本身不具有任何附加功能。在这里，我们介绍两种互补的可编程方法，用于直接制造 DNA 折纸纳米结构的功能化二氧化硅涂层。首先，我们合成了一种带有荧光素的二氧化硅前体，它可以向单个 DNA 折纸纳米结构和晶体的二氧化硅涂层赋予荧光，从而能够在细胞内追踪二氧化硅稳定的结构。其次，我们采用含有二硫键的二氧化硅前体来生成氧化还原响应性二氧化硅涂层，该涂层在还原环境中降解。通过在前驱体水平上引入功能，我们的方法将硅化建立为一个模块化平台，用于构建响应性和可追溯的基于 DNA 的混合材料。这些策略扩大了 DNA 纳米技术的化学范围，并促进未来在药物输送和先进材料科学中的应用。</w:t>
      </w:r>
    </w:p>
    <w:p>
      <w:pPr>
        <w:spacing w:before="0" w:after="200" w:lineRule="auto" w:line="276"/>
      </w:pPr>
      <w:r>
        <w:rPr>
          <w:b/>
        </w:rPr>
        <w:t xml:space="preserve">Abstract (EN): </w:t>
      </w:r>
      <w:r>
        <w:t>The silicification of DNA origami nanostructures offers a powerful strategy for enhancing their mechanical stability and resistance against detrimental environmental conditions. In the past years, several studies have investigated key aspects of the silicification process, resulting in a variety of established protocols. However, until now, the silica coating generally served as a passive protective layer or as the base for the further deposition of inorganic materials, but it did not carry any additional functionality itself. Here, we introduce two complementary, programmable approaches for the direct fabrication of functionalized silica coatings of DNA origami nanostructures. First, we synthesized a fluorescein‐bearing silica precursor which imparts fluorescence to the silica coating of both individual DNA origami nanostructures and crystals, enabling intracellular tracking of silica‐stabilized structures. Second, we employed a silica precursor containing a disulfide bridge to generate a redox responsive silica coating that degrades in a reducing environment. By introducing functionality at the precursor level, our approach establishes silicification as a modular platform for constructing responsive and traceable DNA‐based hybrid materials. These strategies expand the chemical scope of DNA nanotechnology and facilitate future applications in drug delivery and advanced materials science.</w:t>
      </w:r>
    </w:p>
    <w:p>
      <w:pPr>
        <w:spacing w:before="120" w:after="120"/>
      </w:pPr>
      <w:r>
        <w:rPr>
          <w:sz w:val="18"/>
        </w:rPr>
        <w:t>——————————————————————————————————————————————————————————————————————</w:t>
      </w:r>
    </w:p>
    <w:p>
      <w:pPr>
        <w:spacing w:before="160" w:after="40" w:line="240" w:lineRule="auto"/>
      </w:pPr>
      <w:r>
        <w:rPr>
          <w:b/>
        </w:rPr>
        <w:t xml:space="preserve">[577] </w:t>
      </w:r>
      <w:hyperlink r:id="rId1610">
        <w:r>
          <w:rPr>
            <w:color w:val="1155CC"/>
            <w:u w:val="single"/>
          </w:rPr>
          <w:t>Au(111) 上二维双层的直接生长用于低矫顽力滑动铁电</w:t>
        </w:r>
      </w:hyperlink>
    </w:p>
    <w:p>
      <w:pPr>
        <w:spacing w:before="0" w:after="80"/>
      </w:pPr>
      <w:r>
        <w:rPr>
          <w:i/>
          <w:sz w:val="20"/>
        </w:rPr>
        <w:t>EN: Direct Growth of 2D Bilayers on Au(111) for Low‐Coercive Sliding Ferroelectricity</w:t>
      </w:r>
    </w:p>
    <w:p>
      <w:pPr>
        <w:spacing w:before="0" w:after="120"/>
      </w:pPr>
      <w:r>
        <w:rPr>
          <w:b/>
        </w:rPr>
        <w:t xml:space="preserve">Source: </w:t>
      </w:r>
      <w:r>
        <w:t>Wiley: Advanced Materials: Table of Contents</w:t>
      </w:r>
      <w:r>
        <w:t xml:space="preserve">    </w:t>
      </w:r>
      <w:r>
        <w:rPr>
          <w:b/>
        </w:rPr>
        <w:t xml:space="preserve">Pub date: </w:t>
      </w:r>
      <w:r>
        <w:t>2026-08-05 14:08:40+00:00</w:t>
      </w:r>
      <w:r>
        <w:t xml:space="preserve">    </w:t>
      </w:r>
      <w:r>
        <w:rPr>
          <w:b/>
        </w:rPr>
        <w:t xml:space="preserve">DOI: </w:t>
      </w:r>
      <w:hyperlink r:id="rId1611">
        <w:r>
          <w:rPr>
            <w:color w:val="1155CC"/>
            <w:u w:val="single"/>
          </w:rPr>
          <w:t>10.1002/adma.74537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在金属基板上生长的二维（2D）半导体可以实现原始且低缺陷的界面，这是通过基于转移的制造难以实现的。尽管单层过渡金属二硫化物（TMD）已在金属上广泛合成，但由于惰性第一层表面上第二层生长的独特热力学和动力学，可控双层生长仍然具有挑战性——考虑到它们对于滑动铁电等层间耦合功能的重要性，这是一个重大障碍。低对称性二硫族铼（ReX</w:t>
      </w:r>
      <w:r>
        <w:rPr>
          <w:vertAlign w:val="subscript"/>
        </w:rPr>
        <w:t>2</w:t>
      </w:r>
      <w:r>
        <w:t>，X = S，Se）特别有吸引力，因为它们的弱层间耦合和多种热力学稳定的堆叠结构支持低滑动障碍。在这里，通过优化前驱体通量和生长动力学，我们实现了双层 ReS 的受控化学气相沉积 (CVD) 生长</w:t>
      </w:r>
      <w:r>
        <w:rPr>
          <w:vertAlign w:val="subscript"/>
        </w:rPr>
        <w:t>2</w:t>
      </w:r>
      <w:r>
        <w:t>直接在 Au(111) 上进行明确的平行和反平行堆叠。生长的平行堆叠双层表现出大的压电响应（有效</w:t>
      </w:r>
      <w:r>
        <w:t xml:space="preserve"> </w:t>
      </w:r>
      <w:r>
        <w:t>d</w:t>
      </w:r>
      <w:r>
        <w:t xml:space="preserve"> </w:t>
      </w:r>
      <w:r>
        <w:t>33、有效</w:t>
      </w:r>
      <w:r>
        <w:t xml:space="preserve"> </w:t>
      </w:r>
      <w:r>
        <w:t>= 9.84 下午 V</w:t>
      </w:r>
      <w:r>
        <w:t xml:space="preserve"> </w:t>
      </w:r>
      <w:r>
        <w:t>−1</w:t>
      </w:r>
      <w:r>
        <w:t xml:space="preserve"> </w:t>
      </w:r>
      <w:r>
        <w:t>）和具有约 2 V 超低矫顽电压的滑动铁电性。尖端定义的铁电隧道结和铁电场效应晶体管测量进一步支持铁电解释。生长、转移和脱落b的比较研究</w:t>
      </w:r>
    </w:p>
    <w:p>
      <w:pPr>
        <w:spacing w:before="0" w:after="200" w:lineRule="auto" w:line="276"/>
      </w:pPr>
      <w:r>
        <w:rPr>
          <w:b/>
        </w:rPr>
        <w:t xml:space="preserve">Abstract (EN): </w:t>
      </w:r>
      <w:r>
        <w:t>Two‐dimensional (2D) semiconductors directly grown on metal substrates can enable pristine and low‐defect interfaces that are difficult to achieve through transfer‐based fabrication. Although monolayer transition metal dichalcogenides (TMDs) have been widely synthesized on metals, controllable bilayer growth remains challenging owing to distinct thermodynamics and kinetics of second‐layer growth on inert first‐layer surfaces—a significant hurdle given their importance for interlayer‐coupled functionalities like sliding ferroelectricity. Low‐symmetry rhenium dichalcogenides (ReX</w:t>
      </w:r>
      <w:r>
        <w:rPr>
          <w:vertAlign w:val="subscript"/>
        </w:rPr>
        <w:t>2</w:t>
      </w:r>
      <w:r>
        <w:t>, X = S, Se) are especially attractive because their weak interlayer coupling and multiple thermodynamically stable stacking configurations support low sliding barriers. Here, by optimizing precursor flux and growth kinetics, we achieved controlled chemical vapor deposition (CVD) growth of bilayer ReS</w:t>
      </w:r>
      <w:r>
        <w:rPr>
          <w:vertAlign w:val="subscript"/>
        </w:rPr>
        <w:t>2</w:t>
      </w:r>
      <w:r>
        <w:t>with well‐defined parallel and antiparallel stacking directly on Au(111). As‐grown parallel‐stacked bilayers exhibit a large piezoelectric response (effective</w:t>
      </w:r>
      <w:r>
        <w:t xml:space="preserve"> </w:t>
      </w:r>
      <w:r>
        <w:t>d</w:t>
      </w:r>
      <w:r>
        <w:t xml:space="preserve"> </w:t>
      </w:r>
      <w:r>
        <w:t>33, eff</w:t>
      </w:r>
      <w:r>
        <w:t xml:space="preserve"> </w:t>
      </w:r>
      <w:r>
        <w:t>= 9.84 pm V</w:t>
      </w:r>
      <w:r>
        <w:t xml:space="preserve"> </w:t>
      </w:r>
      <w:r>
        <w:t>−1</w:t>
      </w:r>
      <w:r>
        <w:t xml:space="preserve"> </w:t>
      </w:r>
      <w:r>
        <w:t>) and sliding ferroelectricity with an ultralow coercive voltage of approximately 2 V. Tip‐defined ferroelectric tunnel junction and ferroelectric field‐effect transistor measurements further support the ferroelectric interpretation. Comparative studies of as‐grown, transferred, and exfoliated bilayers reveal that the cleaner, more conformal interface of the as‐grown bilayers is associated with a lower coercive bias. This work establishes a scalable route for stacking‐specific bilayer TMD growth on metal toward low‐coercive sliding ferroelectricity.</w:t>
      </w:r>
    </w:p>
    <w:p>
      <w:pPr>
        <w:spacing w:before="120" w:after="120"/>
      </w:pPr>
      <w:r>
        <w:rPr>
          <w:sz w:val="18"/>
        </w:rPr>
        <w:t>——————————————————————————————————————————————————————————————————————</w:t>
      </w:r>
    </w:p>
    <w:p>
      <w:pPr>
        <w:spacing w:before="160" w:after="40" w:line="240" w:lineRule="auto"/>
      </w:pPr>
      <w:r>
        <w:rPr>
          <w:b/>
        </w:rPr>
        <w:t xml:space="preserve">[578] </w:t>
      </w:r>
      <w:hyperlink r:id="rId1612">
        <w:r>
          <w:rPr>
            <w:color w:val="1155CC"/>
            <w:u w:val="single"/>
          </w:rPr>
          <w:t>从贝采利乌斯到超空间：教科书溴化反应中以前未被认识的反应网络</w:t>
        </w:r>
      </w:hyperlink>
    </w:p>
    <w:p>
      <w:pPr>
        <w:spacing w:before="0" w:after="80"/>
      </w:pPr>
      <w:r>
        <w:rPr>
          <w:i/>
          <w:sz w:val="20"/>
        </w:rPr>
        <w:t>EN: From Berzelius to Hyperspace: Previously Unrecognized Network of Reactivity in Textbook Brominations</w:t>
      </w:r>
    </w:p>
    <w:p>
      <w:pPr>
        <w:spacing w:before="0" w:after="120"/>
      </w:pPr>
      <w:r>
        <w:rPr>
          <w:b/>
        </w:rPr>
        <w:t xml:space="preserve">Source: </w:t>
      </w:r>
      <w:r>
        <w:t>Wiley: Angewandte Chemie International Edition: Table of Contents</w:t>
      </w:r>
      <w:r>
        <w:t xml:space="preserve">    </w:t>
      </w:r>
      <w:r>
        <w:rPr>
          <w:b/>
        </w:rPr>
        <w:t xml:space="preserve">Pub date: </w:t>
      </w:r>
      <w:r>
        <w:t>2026-08-05 14:09:32+00:00</w:t>
      </w:r>
      <w:r>
        <w:t xml:space="preserve">    </w:t>
      </w:r>
      <w:r>
        <w:rPr>
          <w:b/>
        </w:rPr>
        <w:t xml:space="preserve">DOI: </w:t>
      </w:r>
      <w:hyperlink r:id="rId1613">
        <w:r>
          <w:rPr>
            <w:color w:val="1155CC"/>
            <w:u w:val="single"/>
          </w:rPr>
          <w:t>10.1002/anie.9132891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反应传统上被描述为针对单一产物优化的线性方程，其他结果被视为次要副产物。然而，反应自动化的进步现在允许系统地探索反应“超空间”——即条件的多维景观——表明即使原型转变也可以产生以前未被识别的主导产物。使用具有低成本 NMR 检测功能的 Robowski 机器人平台，我们扫描了近 1000 个 1,1-二苯乙烯 (DPE) 和亚苄基丙酮 (BDA) 的溴化条件。这些图谱揭示了新的主要产品、添加和取代途径之间的条件依赖性转换，以及具有衍生成生物活性支架潜力的新颖取代模式。反过来，超空间中产品分布的相关性和反相关性促进了连接不同结果的机械网络的重建。总之，我们的研究结果表明，即使是长期被认为在机械上完整的基础反应，也隐藏着复杂性，并且表现为嵌入条件空间的动态、可切换网络。</w:t>
      </w:r>
    </w:p>
    <w:p>
      <w:pPr>
        <w:spacing w:before="0" w:after="200" w:lineRule="auto" w:line="276"/>
      </w:pPr>
      <w:r>
        <w:rPr>
          <w:b/>
        </w:rPr>
        <w:t xml:space="preserve">Abstract (EN): </w:t>
      </w:r>
      <w:r>
        <w:t>Chemical reactions are traditionally depicted as linear equations optimized toward a single product, with other outcomes treated as minor side products. However, advances in reaction automation now allow systematic exploration of reaction “hyperspaces”—that is, multidimensional landscapes of conditions—showing that even archetypal transformations can yield previously unrecognized dominant products. Using the Robowski robotic platform with low‐cost NMR detection, we scanned nearly 1000 conditions for the bromination of 1,1‐diphenylethylene (DPE) and benzylideneacetone (BDA). These maps revealed new major products, condition‐dependent switchovers between addition and substitution pathways, and novel substitution patterns with potential for derivatization into biologically active scaffolds. In turn, correlations and anticorrelations in product distributions across the hyperspace facilitated reconstruction of mechanistic networks connecting different outcomes. Together, our findings show that even foundational reactions, long considered mechanistically complete, harbor hidden complexity and behave as dynamic, switchable networks embedded in conditions’ space.</w:t>
      </w:r>
    </w:p>
    <w:p>
      <w:pPr>
        <w:spacing w:before="120" w:after="120"/>
      </w:pPr>
      <w:r>
        <w:rPr>
          <w:sz w:val="18"/>
        </w:rPr>
        <w:t>——————————————————————————————————————————————————————————————————————</w:t>
      </w:r>
    </w:p>
    <w:p>
      <w:pPr>
        <w:spacing w:before="160" w:after="40" w:line="240" w:lineRule="auto"/>
      </w:pPr>
      <w:r>
        <w:rPr>
          <w:b/>
        </w:rPr>
        <w:t xml:space="preserve">[579] </w:t>
      </w:r>
      <w:hyperlink r:id="rId1614">
        <w:r>
          <w:rPr>
            <w:color w:val="1155CC"/>
            <w:u w:val="single"/>
          </w:rPr>
          <w:t>用于癌症免疫治疗的锰捕获和释放囊泡</w:t>
        </w:r>
      </w:hyperlink>
    </w:p>
    <w:p>
      <w:pPr>
        <w:spacing w:before="0" w:after="80"/>
      </w:pPr>
      <w:r>
        <w:rPr>
          <w:i/>
          <w:sz w:val="20"/>
        </w:rPr>
        <w:t>EN: Manganese Capture‐and‐Release Vesicles for Cancer Immunotherapy</w:t>
      </w:r>
    </w:p>
    <w:p>
      <w:pPr>
        <w:spacing w:before="0" w:after="120"/>
      </w:pPr>
      <w:r>
        <w:rPr>
          <w:b/>
        </w:rPr>
        <w:t xml:space="preserve">Source: </w:t>
      </w:r>
      <w:r>
        <w:t>Wiley: Advanced Materials: Table of Contents</w:t>
      </w:r>
      <w:r>
        <w:t xml:space="preserve">    </w:t>
      </w:r>
      <w:r>
        <w:rPr>
          <w:b/>
        </w:rPr>
        <w:t xml:space="preserve">Pub date: </w:t>
      </w:r>
      <w:r>
        <w:t>2026-08-05 14:10:43+00:00</w:t>
      </w:r>
      <w:r>
        <w:t xml:space="preserve">    </w:t>
      </w:r>
      <w:r>
        <w:rPr>
          <w:b/>
        </w:rPr>
        <w:t xml:space="preserve">DOI: </w:t>
      </w:r>
      <w:hyperlink r:id="rId1615">
        <w:r>
          <w:rPr>
            <w:color w:val="1155CC"/>
            <w:u w:val="single"/>
          </w:rPr>
          <w:t>10.1002/adma.74498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锰激活干扰素基因刺激剂 (STING) 途径，并通过 TssS 微肽将其隔离</w:t>
      </w:r>
      <w:r>
        <w:t xml:space="preserve"> </w:t>
      </w:r>
      <w:r>
        <w:t>假结核耶尔森氏菌</w:t>
      </w:r>
      <w:r>
        <w:t xml:space="preserve"> </w:t>
      </w:r>
      <w:r>
        <w:t>是一种免疫逃避策略。受此启发，我们开发了</w:t>
      </w:r>
      <w:r>
        <w:t xml:space="preserve"> </w:t>
      </w:r>
      <w:r>
        <w:t>锰CARS</w:t>
      </w:r>
      <w:r>
        <w:t xml:space="preserve"> </w:t>
      </w:r>
      <w:r>
        <w:t>,</w:t>
      </w:r>
      <w:r>
        <w:t xml:space="preserve"> </w:t>
      </w:r>
      <w:r>
        <w:t>锰酸钙</w:t>
      </w:r>
      <w:r>
        <w:t xml:space="preserve"> </w:t>
      </w:r>
      <w:r>
        <w:t>图与图</w:t>
      </w:r>
      <w:r>
        <w:t xml:space="preserve"> </w:t>
      </w:r>
      <w:r>
        <w:t>右</w:t>
      </w:r>
      <w:r>
        <w:t xml:space="preserve"> </w:t>
      </w:r>
      <w:r>
        <w:t>释放囊泡</w:t>
      </w:r>
      <w:r>
        <w:t xml:space="preserve"> </w:t>
      </w:r>
      <w:r>
        <w:t>S</w:t>
      </w:r>
      <w:r>
        <w:t xml:space="preserve"> </w:t>
      </w:r>
      <w:r>
        <w:t>TING 佐剂 MSA-2，捕获内源性锰离子并将其释放到癌细胞中。由工程建造而成</w:t>
      </w:r>
      <w:r>
        <w:t xml:space="preserve"> </w:t>
      </w:r>
      <w:r>
        <w:t>大肠杆菌</w:t>
      </w:r>
      <w:r>
        <w:t xml:space="preserve"> </w:t>
      </w:r>
      <w:r>
        <w:t>外膜囊泡（OMV），该系统整合表面展示的 TssS 来积累内源 Mn</w:t>
      </w:r>
      <w:r>
        <w:t xml:space="preserve"> </w:t>
      </w:r>
      <w:r>
        <w:t>2+</w:t>
      </w:r>
      <w:r>
        <w:t xml:space="preserve"> </w:t>
      </w:r>
      <w:r>
        <w:t>，具有触发 Mn 的 von Hippel–Lindau (VHL) PROTAC 降解基序</w:t>
      </w:r>
      <w:r>
        <w:t xml:space="preserve"> </w:t>
      </w:r>
      <w:r>
        <w:t>2+</w:t>
      </w:r>
      <w:r>
        <w:t xml:space="preserve"> </w:t>
      </w:r>
      <w:r>
        <w:t>细胞摄取后通过泛素蛋白酶体介导的 TssS 裂解释放，而不是溶酶体蛋白酶的非特异性降解。表面锚定的 STING 激动剂 MSA-2 与释放的 Mn 协同作用</w:t>
      </w:r>
      <w:r>
        <w:t xml:space="preserve"> </w:t>
      </w:r>
      <w:r>
        <w:t>2+</w:t>
      </w:r>
      <w:r>
        <w:t xml:space="preserve"> </w:t>
      </w:r>
      <w:r>
        <w:t>增强 cGAS-STING 激活并逆转免疫抑制肿瘤微环境。在体外，MnCARS 富集了 Mn</w:t>
      </w:r>
      <w:r>
        <w:t xml:space="preserve"> </w:t>
      </w:r>
      <w:r>
        <w:t>2+</w:t>
      </w:r>
      <w:r>
        <w:t xml:space="preserve"> </w:t>
      </w:r>
      <w:r>
        <w:t>并引发树突状细胞成熟。在体内，它们引发抗肿瘤免疫，抑制皮下 CT26 肿瘤的生长并提高原位胰腺癌模型的生存率。展示平台多功能性</w:t>
      </w:r>
    </w:p>
    <w:p>
      <w:pPr>
        <w:spacing w:before="0" w:after="200" w:lineRule="auto" w:line="276"/>
      </w:pPr>
      <w:r>
        <w:rPr>
          <w:b/>
        </w:rPr>
        <w:t xml:space="preserve">Abstract (EN): </w:t>
      </w:r>
      <w:r>
        <w:t>Manganese activates the stimulator of interferon genes (STING) pathway, and its sequestration by the TssS micropeptide of</w:t>
      </w:r>
      <w:r>
        <w:t xml:space="preserve"> </w:t>
      </w:r>
      <w:r>
        <w:t>Yersinia pseudotuberculosis</w:t>
      </w:r>
      <w:r>
        <w:t xml:space="preserve"> </w:t>
      </w:r>
      <w:r>
        <w:t>is an immune evasion tactic. Inspired by this, we developed</w:t>
      </w:r>
      <w:r>
        <w:t xml:space="preserve"> </w:t>
      </w:r>
      <w:r>
        <w:t>MnCARS</w:t>
      </w:r>
      <w:r>
        <w:t xml:space="preserve"> </w:t>
      </w:r>
      <w:r>
        <w:t>,</w:t>
      </w:r>
      <w:r>
        <w:t xml:space="preserve"> </w:t>
      </w:r>
      <w:r>
        <w:t>Mn CA</w:t>
      </w:r>
      <w:r>
        <w:t xml:space="preserve"> </w:t>
      </w:r>
      <w:r>
        <w:t>pture‐and‐</w:t>
      </w:r>
      <w:r>
        <w:t xml:space="preserve"> </w:t>
      </w:r>
      <w:r>
        <w:t>R</w:t>
      </w:r>
      <w:r>
        <w:t xml:space="preserve"> </w:t>
      </w:r>
      <w:r>
        <w:t>elease vesicles with</w:t>
      </w:r>
      <w:r>
        <w:t xml:space="preserve"> </w:t>
      </w:r>
      <w:r>
        <w:t>S</w:t>
      </w:r>
      <w:r>
        <w:t xml:space="preserve"> </w:t>
      </w:r>
      <w:r>
        <w:t>TING adjuvant MSA‐2, which capture endogenous manganese ions and release them in cancer cells. Constructed from engineered</w:t>
      </w:r>
      <w:r>
        <w:t xml:space="preserve"> </w:t>
      </w:r>
      <w:r>
        <w:t>E. Coli</w:t>
      </w:r>
      <w:r>
        <w:t xml:space="preserve"> </w:t>
      </w:r>
      <w:r>
        <w:t>outer membrane vesicles (OMVs), the system integrates surface‐displayed TssS to accumulate endogenous Mn</w:t>
      </w:r>
      <w:r>
        <w:t xml:space="preserve"> </w:t>
      </w:r>
      <w:r>
        <w:t>2+</w:t>
      </w:r>
      <w:r>
        <w:t xml:space="preserve"> </w:t>
      </w:r>
      <w:r>
        <w:t>, with a von Hippel–Lindau (VHL) PROTAC degradation motif that triggers Mn</w:t>
      </w:r>
      <w:r>
        <w:t xml:space="preserve"> </w:t>
      </w:r>
      <w:r>
        <w:t>2+</w:t>
      </w:r>
      <w:r>
        <w:t xml:space="preserve"> </w:t>
      </w:r>
      <w:r>
        <w:t>release via ubiquitin‐proteasome‐mediated cleavage of TssS upon cellular uptake, rather than non‐specific degradation by lysosomal proteases. The surface‐anchored STING agonist MSA‐2 synergizes with the released Mn</w:t>
      </w:r>
      <w:r>
        <w:t xml:space="preserve"> </w:t>
      </w:r>
      <w:r>
        <w:t>2+</w:t>
      </w:r>
      <w:r>
        <w:t xml:space="preserve"> </w:t>
      </w:r>
      <w:r>
        <w:t>to potentiate cGAS‐STING activation and reverse the immunosuppressive tumor microenvironment. In vitro, MnCARS enriched Mn</w:t>
      </w:r>
      <w:r>
        <w:t xml:space="preserve"> </w:t>
      </w:r>
      <w:r>
        <w:t>2+</w:t>
      </w:r>
      <w:r>
        <w:t xml:space="preserve"> </w:t>
      </w:r>
      <w:r>
        <w:t>and triggered dendritic cell maturation. In vivo, they elicited antitumor immunity, inhibiting the growth of subcutaneous CT26 tumors and improving survival in an orthotopic pancreatic cancer model. To demonstrate platform versatility and enable tumor targeting, a tumor‐tropic</w:t>
      </w:r>
      <w:r>
        <w:t xml:space="preserve"> </w:t>
      </w:r>
      <w:r>
        <w:t>P</w:t>
      </w:r>
      <w:r>
        <w:t xml:space="preserve"> </w:t>
      </w:r>
      <w:r>
        <w:t>eptide was inserted in CAR instead of MSA‐2, yielding MnCARP that enables monitoring Mn</w:t>
      </w:r>
      <w:r>
        <w:t xml:space="preserve"> </w:t>
      </w:r>
      <w:r>
        <w:t>2+</w:t>
      </w:r>
      <w:r>
        <w:t xml:space="preserve"> </w:t>
      </w:r>
      <w:r>
        <w:t>release and STING activation with contrast‐enhanced magnetic resonance imaging (MRI). Overall, MnCARs represent a versatile biological nanoplatform to redirect endogenous metal ions for cancer therapy with inherent imaging capabilities.</w:t>
      </w:r>
    </w:p>
    <w:p>
      <w:pPr>
        <w:spacing w:before="120" w:after="120"/>
      </w:pPr>
      <w:r>
        <w:rPr>
          <w:sz w:val="18"/>
        </w:rPr>
        <w:t>——————————————————————————————————————————————————————————————————————</w:t>
      </w:r>
    </w:p>
    <w:p>
      <w:pPr>
        <w:spacing w:before="160" w:after="40" w:line="240" w:lineRule="auto"/>
      </w:pPr>
      <w:r>
        <w:rPr>
          <w:b/>
        </w:rPr>
        <w:t xml:space="preserve">[580] </w:t>
      </w:r>
      <w:hyperlink r:id="rId1616">
        <w:r>
          <w:rPr>
            <w:color w:val="1155CC"/>
            <w:u w:val="single"/>
          </w:rPr>
          <w:t>通过中性环[8]吡咯中的硫酸盐结合对酸度的正位控制</w:t>
        </w:r>
      </w:hyperlink>
    </w:p>
    <w:p>
      <w:pPr>
        <w:spacing w:before="0" w:after="80"/>
      </w:pPr>
      <w:r>
        <w:rPr>
          <w:i/>
          <w:sz w:val="20"/>
        </w:rPr>
        <w:t>EN: Orthosteric Control of Acidity Through Sulfate Binding in a Neutral Cyclo[8]pyrrole</w:t>
      </w:r>
    </w:p>
    <w:p>
      <w:pPr>
        <w:spacing w:before="0" w:after="120"/>
      </w:pPr>
      <w:r>
        <w:rPr>
          <w:b/>
        </w:rPr>
        <w:t xml:space="preserve">Source: </w:t>
      </w:r>
      <w:r>
        <w:t>Wiley: Angewandte Chemie International Edition: Table of Contents</w:t>
      </w:r>
      <w:r>
        <w:t xml:space="preserve">    </w:t>
      </w:r>
      <w:r>
        <w:rPr>
          <w:b/>
        </w:rPr>
        <w:t xml:space="preserve">Pub date: </w:t>
      </w:r>
      <w:r>
        <w:t>2026-08-05 14:13:36+00:00</w:t>
      </w:r>
      <w:r>
        <w:t xml:space="preserve">    </w:t>
      </w:r>
      <w:r>
        <w:rPr>
          <w:b/>
        </w:rPr>
        <w:t xml:space="preserve">DOI: </w:t>
      </w:r>
      <w:hyperlink r:id="rId1617">
        <w:r>
          <w:rPr>
            <w:color w:val="1155CC"/>
            <w:u w:val="single"/>
          </w:rPr>
          <w:t>10.1002/anie.2275817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当结合事件改变可电离位点的局部静电和氢键环境时，酸碱平衡可能会发生变化。在离散合成系统中实现这种结合连接的酸度变化将能够在不改变分子组成或溶剂的情况下调节质子活性。在这里，我们描述了一种新的环[8]吡咯的萘酰亚胺稠合类似物，其中阴离子识别显着改变了质子化平衡。虽然已建立的环[8]吡咯优先形成全局芳香族双阳离子，但缺电子大环显示出对持久中性氧化还原态的不同寻常的偏好，同时在有机溶剂中显示出极高的布朗斯台德酸性。中性大环保留了双环[8]吡咯的关键阴离子识别特征，包括强硫酸盐亲和力。硫酸盐结合增加了有效的第一p</w:t>
      </w:r>
      <w:r>
        <w:t xml:space="preserve"> </w:t>
      </w:r>
      <w:r>
        <w:t>K</w:t>
      </w:r>
      <w:r>
        <w:t xml:space="preserve"> </w:t>
      </w:r>
      <w:r>
        <w:t>一个</w:t>
      </w:r>
      <w:r>
        <w:t xml:space="preserve"> </w:t>
      </w:r>
      <w:r>
        <w:t>在 DMSO 中大约增加四个单位，提供正位、阴离子驱动的酸开关，并将可切换酸度的设计空间扩展到主客体 p 之外</w:t>
      </w:r>
      <w:r>
        <w:t xml:space="preserve"> </w:t>
      </w:r>
      <w:r>
        <w:t>K</w:t>
      </w:r>
      <w:r>
        <w:t xml:space="preserve"> </w:t>
      </w:r>
      <w:r>
        <w:t>一个</w:t>
      </w:r>
      <w:r>
        <w:t xml:space="preserve"> </w:t>
      </w:r>
      <w:r>
        <w:t>位移和光寻址光酸。</w:t>
      </w:r>
    </w:p>
    <w:p>
      <w:pPr>
        <w:spacing w:before="0" w:after="200" w:lineRule="auto" w:line="276"/>
      </w:pPr>
      <w:r>
        <w:rPr>
          <w:b/>
        </w:rPr>
        <w:t xml:space="preserve">Abstract (EN): </w:t>
      </w:r>
      <w:r>
        <w:t>Acid–base equilibria can be shifted when binding events alter the local electrostatic and hydrogen‐bonding environment of an ionizable site. Implementing such binding‐linked acidity changes in a discrete synthetic system would enable regulation of proton activity without changing molecular composition or solvent. Here we describe a new naphthalimide‐fused analogue of cyclo[8]pyrrole in which anion recognition dramatically shifts protonation equilibria. Whereas established cyclo[8]pyrroles preferentially form globally aromatic dications, the electron‐deficient macrocycle shows an unusual preference for a persistent neutral redox state, while simultaneously revealing exceptionally high Brønsted acidity in organic solvents. The neutral macrocycle retains key anion‐recognition characteristics of dicationic cyclo[8]pyrroles, including strong sulfate affinity. Sulfate binding increases the effective first p</w:t>
      </w:r>
      <w:r>
        <w:t xml:space="preserve"> </w:t>
      </w:r>
      <w:r>
        <w:t>K</w:t>
      </w:r>
      <w:r>
        <w:t xml:space="preserve"> </w:t>
      </w:r>
      <w:r>
        <w:t>a</w:t>
      </w:r>
      <w:r>
        <w:t xml:space="preserve"> </w:t>
      </w:r>
      <w:r>
        <w:t>in DMSO by roughly four units, providing an orthosteric, anion‐actuated acid switch and expanding the design space of switchable acidity beyond host–guest p</w:t>
      </w:r>
      <w:r>
        <w:t xml:space="preserve"> </w:t>
      </w:r>
      <w:r>
        <w:t>K</w:t>
      </w:r>
      <w:r>
        <w:t xml:space="preserve"> </w:t>
      </w:r>
      <w:r>
        <w:t>a</w:t>
      </w:r>
      <w:r>
        <w:t xml:space="preserve"> </w:t>
      </w:r>
      <w:r>
        <w:t>shifts and light‐addressable photoacids.</w:t>
      </w:r>
    </w:p>
    <w:p>
      <w:pPr>
        <w:spacing w:before="120" w:after="120"/>
      </w:pPr>
      <w:r>
        <w:rPr>
          <w:sz w:val="18"/>
        </w:rPr>
        <w:t>——————————————————————————————————————————————————————————————————————</w:t>
      </w:r>
    </w:p>
    <w:p>
      <w:pPr>
        <w:spacing w:before="160" w:after="40" w:line="240" w:lineRule="auto"/>
      </w:pPr>
      <w:r>
        <w:rPr>
          <w:b/>
        </w:rPr>
        <w:t xml:space="preserve">[581] </w:t>
      </w:r>
      <w:hyperlink r:id="rId1618">
        <w:r>
          <w:rPr>
            <w:color w:val="1155CC"/>
            <w:u w:val="single"/>
          </w:rPr>
          <w:t>回复《C-H···O氢键上的电荷转移能否稳定水中的油滴？》的通讯</w:t>
        </w:r>
      </w:hyperlink>
    </w:p>
    <w:p>
      <w:pPr>
        <w:spacing w:before="0" w:after="80"/>
      </w:pPr>
      <w:r>
        <w:rPr>
          <w:i/>
          <w:sz w:val="20"/>
        </w:rPr>
        <w:t>EN: Reply to the Correspondence on “Can Charge Transfer Across C–H···O Hydrogen Bonds Stabilize Oil Droplets in Water?”</w:t>
      </w:r>
    </w:p>
    <w:p>
      <w:pPr>
        <w:spacing w:before="0" w:after="120"/>
      </w:pPr>
      <w:r>
        <w:rPr>
          <w:b/>
        </w:rPr>
        <w:t xml:space="preserve">Source: </w:t>
      </w:r>
      <w:r>
        <w:t>Wiley: Angewandte Chemie International Edition: Table of Contents</w:t>
      </w:r>
      <w:r>
        <w:t xml:space="preserve">    </w:t>
      </w:r>
      <w:r>
        <w:rPr>
          <w:b/>
        </w:rPr>
        <w:t xml:space="preserve">Pub date: </w:t>
      </w:r>
      <w:r>
        <w:t>2026-08-05 14:14:54+00:00</w:t>
      </w:r>
      <w:r>
        <w:t xml:space="preserve">    </w:t>
      </w:r>
      <w:r>
        <w:rPr>
          <w:b/>
        </w:rPr>
        <w:t xml:space="preserve">DOI: </w:t>
      </w:r>
      <w:hyperlink r:id="rId1619">
        <w:r>
          <w:rPr>
            <w:color w:val="1155CC"/>
            <w:u w:val="single"/>
          </w:rPr>
          <w:t>10.1002/anie.6163267</w:t>
        </w:r>
      </w:hyperlink>
    </w:p>
    <w:p>
      <w:pPr>
        <w:spacing w:before="0" w:after="120"/>
      </w:pPr>
      <w:r>
        <w:rPr>
          <w:b/>
        </w:rPr>
        <w:t xml:space="preserve">Notes: </w:t>
      </w:r>
      <w:r>
        <w:t>abstract_source=pubmed</w:t>
      </w:r>
    </w:p>
    <w:p>
      <w:pPr>
        <w:spacing w:before="0" w:after="80" w:lineRule="auto" w:line="276"/>
      </w:pPr>
      <w:r>
        <w:rPr>
          <w:b/>
        </w:rPr>
        <w:t xml:space="preserve">摘要（ZH）: </w:t>
      </w:r>
      <w:r>
        <w:t>己烷和十六烷中弱 C-H·O 氢键上的水-油电荷转移 (CT) 是局域的，并且太小，无法解释油滴稳定性和动电实验。集体相内密度重排不应与界面 CT 相混淆。光谱证据不能同时暗示 C-H 蓝移的弱 CT 和 O-H/D 红移的大 CT。 C-H…O CT 机制的一个弱点是，如果没有这种特定的化学基序，它就无法解释其他油乳液化学。</w:t>
      </w:r>
    </w:p>
    <w:p>
      <w:pPr>
        <w:spacing w:before="0" w:after="200" w:lineRule="auto" w:line="276"/>
      </w:pPr>
      <w:r>
        <w:rPr>
          <w:b/>
        </w:rPr>
        <w:t xml:space="preserve">Abstract (EN): </w:t>
      </w:r>
      <w:r>
        <w:t>Water-to-oil charge transfer (CT) across weak C-H···O hydrogen bonds is localized for hexane and hexadecane, and is too small to explain oil-droplet stability and electrokinetic experiments. Collective intraphase density rearrangements should not be confused with interfacial CT. Spectroscopic evidence cannot simultaneously imply weak CT for the C-H blue shift and large CT for the O-H/D red shift. A weakness of the C-H···O CT mechanism is that it can't explain other oil emulsion chemistry without this specific chemical motif.</w:t>
      </w:r>
    </w:p>
    <w:p>
      <w:pPr>
        <w:spacing w:before="120" w:after="120"/>
      </w:pPr>
      <w:r>
        <w:rPr>
          <w:sz w:val="18"/>
        </w:rPr>
        <w:t>——————————————————————————————————————————————————————————————————————</w:t>
      </w:r>
    </w:p>
    <w:p>
      <w:pPr>
        <w:spacing w:before="160" w:after="40" w:line="240" w:lineRule="auto"/>
      </w:pPr>
      <w:r>
        <w:rPr>
          <w:b/>
        </w:rPr>
        <w:t xml:space="preserve">[582] </w:t>
      </w:r>
      <w:hyperlink r:id="rId1620">
        <w:r>
          <w:rPr>
            <w:color w:val="1155CC"/>
            <w:u w:val="single"/>
          </w:rPr>
          <w:t>氢自由基通过质子耦合电子转移的双氧化还原位点调节为 H2O2 光合作用提供替代动力学途径</w:t>
        </w:r>
      </w:hyperlink>
    </w:p>
    <w:p>
      <w:pPr>
        <w:spacing w:before="0" w:after="80"/>
      </w:pPr>
      <w:r>
        <w:rPr>
          <w:i/>
          <w:sz w:val="20"/>
        </w:rPr>
        <w:t>EN: Hydrogen Radicals Enable an Alternative Kinetic Pathway for H2O2 Photosynthesis through Dual Redox Site Regulation of Proton‐Coupled Electron Transfer</w:t>
      </w:r>
    </w:p>
    <w:p>
      <w:pPr>
        <w:spacing w:before="0" w:after="120"/>
      </w:pPr>
      <w:r>
        <w:rPr>
          <w:b/>
        </w:rPr>
        <w:t xml:space="preserve">Source: </w:t>
      </w:r>
      <w:r>
        <w:t>Wiley: Advanced Materials: Table of Contents</w:t>
      </w:r>
      <w:r>
        <w:t xml:space="preserve">    </w:t>
      </w:r>
      <w:r>
        <w:rPr>
          <w:b/>
        </w:rPr>
        <w:t xml:space="preserve">Pub date: </w:t>
      </w:r>
      <w:r>
        <w:t>2026-08-05 14:25:13+00:00</w:t>
      </w:r>
      <w:r>
        <w:t xml:space="preserve">    </w:t>
      </w:r>
      <w:r>
        <w:rPr>
          <w:b/>
        </w:rPr>
        <w:t xml:space="preserve">DOI: </w:t>
      </w:r>
      <w:hyperlink r:id="rId1621">
        <w:r>
          <w:rPr>
            <w:color w:val="1155CC"/>
            <w:u w:val="single"/>
          </w:rPr>
          <w:t>10.1002/adma.74500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人工光合作用为过氧化氢（H</w:t>
      </w:r>
      <w:r>
        <w:rPr>
          <w:vertAlign w:val="subscript"/>
        </w:rPr>
        <w:t>2</w:t>
      </w:r>
      <w:r>
        <w:t>氧</w:t>
      </w:r>
      <w:r>
        <w:rPr>
          <w:vertAlign w:val="subscript"/>
        </w:rPr>
        <w:t>2</w:t>
      </w:r>
      <w:r>
        <w:t>）的生产，但其效率从根本上受到氧还原过程中质子耦合电子转移（PCET）的动力学解耦的限制。在这里，我们证明氢自由基 (H•) 为 H 提供了一条替代动力学途径</w:t>
      </w:r>
      <w:r>
        <w:rPr>
          <w:vertAlign w:val="subscript"/>
        </w:rPr>
        <w:t>2</w:t>
      </w:r>
      <w:r>
        <w:t>氧</w:t>
      </w:r>
      <w:r>
        <w:rPr>
          <w:vertAlign w:val="subscript"/>
        </w:rPr>
        <w:t>2</w:t>
      </w:r>
      <w:r>
        <w:t>通过加速 *OOH 中间体的转化来形成。该机制是通过 Cu 和 O 共修饰 Zn 中的双重氧化还原位点调节来实现的</w:t>
      </w:r>
      <w:r>
        <w:rPr>
          <w:vertAlign w:val="subscript"/>
        </w:rPr>
        <w:t>3</w:t>
      </w:r>
      <w:r>
        <w:t>在</w:t>
      </w:r>
      <w:r>
        <w:rPr>
          <w:vertAlign w:val="subscript"/>
        </w:rPr>
        <w:t>2</w:t>
      </w:r>
      <w:r>
        <w:t>S</w:t>
      </w:r>
      <w:r>
        <w:rPr>
          <w:vertAlign w:val="subscript"/>
        </w:rPr>
        <w:t>6</w:t>
      </w:r>
      <w:r>
        <w:t>（表示为 O/Cu-ZIS）。 Cu掺杂剂的引入增加了Zn─S层中的空穴密度，加速了水氧化动力学并促进了氧还原的界面质子可用性，同时氧的掺入调节了In-S层的电子结构以促进电子传输，增强了O</w:t>
      </w:r>
      <w:r>
        <w:rPr>
          <w:vertAlign w:val="subscript"/>
        </w:rPr>
        <w:t>2</w:t>
      </w:r>
      <w:r>
        <w:t>激活，并减弱质子与S位点之间的相互作用。淬火实验和电子顺磁共振波谱支持H•参与*OOH中间体的转化，提供了传统PCET之外的额外动力学通道。最终，O/Cu-ZIS 实现了 H</w:t>
      </w:r>
      <w:r>
        <w:rPr>
          <w:vertAlign w:val="subscript"/>
        </w:rPr>
        <w:t>2</w:t>
      </w:r>
      <w:r>
        <w:t>氧</w:t>
      </w:r>
      <w:r>
        <w:rPr>
          <w:vertAlign w:val="subscript"/>
        </w:rPr>
        <w:t>2</w:t>
      </w:r>
      <w:r>
        <w:t>生产</w:t>
      </w:r>
    </w:p>
    <w:p>
      <w:pPr>
        <w:spacing w:before="0" w:after="200" w:lineRule="auto" w:line="276"/>
      </w:pPr>
      <w:r>
        <w:rPr>
          <w:b/>
        </w:rPr>
        <w:t xml:space="preserve">Abstract (EN): </w:t>
      </w:r>
      <w:r>
        <w:t>Artificial photosynthesis offers a sustainable route for hydrogen peroxide (H</w:t>
      </w:r>
      <w:r>
        <w:rPr>
          <w:vertAlign w:val="subscript"/>
        </w:rPr>
        <w:t>2</w:t>
      </w:r>
      <w:r>
        <w:t>O</w:t>
      </w:r>
      <w:r>
        <w:rPr>
          <w:vertAlign w:val="subscript"/>
        </w:rPr>
        <w:t>2</w:t>
      </w:r>
      <w:r>
        <w:t>) production, yet its efficiency is fundamentally limited by the kinetic decoupling of proton‐coupled electron transfer (PCET) during oxygen reduction. Here, we demonstrate that hydrogen radicals (H•) enable an alternative kinetic pathway for H</w:t>
      </w:r>
      <w:r>
        <w:rPr>
          <w:vertAlign w:val="subscript"/>
        </w:rPr>
        <w:t>2</w:t>
      </w:r>
      <w:r>
        <w:t>O</w:t>
      </w:r>
      <w:r>
        <w:rPr>
          <w:vertAlign w:val="subscript"/>
        </w:rPr>
        <w:t>2</w:t>
      </w:r>
      <w:r>
        <w:t>formation by accelerating the conversion of *OOH intermediates. This mechanism is realized through dual redox site regulation in Cu and O co‐modified Zn</w:t>
      </w:r>
      <w:r>
        <w:rPr>
          <w:vertAlign w:val="subscript"/>
        </w:rPr>
        <w:t>3</w:t>
      </w:r>
      <w:r>
        <w:t>In</w:t>
      </w:r>
      <w:r>
        <w:rPr>
          <w:vertAlign w:val="subscript"/>
        </w:rPr>
        <w:t>2</w:t>
      </w:r>
      <w:r>
        <w:t>S</w:t>
      </w:r>
      <w:r>
        <w:rPr>
          <w:vertAlign w:val="subscript"/>
        </w:rPr>
        <w:t>6</w:t>
      </w:r>
      <w:r>
        <w:t>(denoted as O/Cu‐ZIS). The introduction of Cu dopants increases hole density in the Zn─S layers, accelerating water oxidation kinetics and facilitating interfacial proton availability for oxygen reduction, while oxygen incorporation modulates the electronic structure of the In–S layer to promote electron transport, enhance O</w:t>
      </w:r>
      <w:r>
        <w:rPr>
          <w:vertAlign w:val="subscript"/>
        </w:rPr>
        <w:t>2</w:t>
      </w:r>
      <w:r>
        <w:t>activation, and weaken the interaction between protons and S sites. Quenching experiments and electron paramagnetic resonance spectroscopy support the participation of H• in the conversion of *OOH intermediates, providing an additional kinetic channel beyond conventional PCET. Finally, O/Cu‐ZIS achieves a H</w:t>
      </w:r>
      <w:r>
        <w:rPr>
          <w:vertAlign w:val="subscript"/>
        </w:rPr>
        <w:t>2</w:t>
      </w:r>
      <w:r>
        <w:t>O</w:t>
      </w:r>
      <w:r>
        <w:rPr>
          <w:vertAlign w:val="subscript"/>
        </w:rPr>
        <w:t>2</w:t>
      </w:r>
      <w:r>
        <w:t>production rate of 167.1 µmol g</w:t>
      </w:r>
      <w:r>
        <w:t xml:space="preserve"> </w:t>
      </w:r>
      <w:r>
        <w:t>−1</w:t>
      </w:r>
      <w:r>
        <w:t xml:space="preserve"> </w:t>
      </w:r>
      <w:r>
        <w:t>min</w:t>
      </w:r>
      <w:r>
        <w:t xml:space="preserve"> </w:t>
      </w:r>
      <w:r>
        <w:t>−1</w:t>
      </w:r>
      <w:r>
        <w:t xml:space="preserve"> </w:t>
      </w:r>
      <w:r>
        <w:t>from pure H</w:t>
      </w:r>
      <w:r>
        <w:rPr>
          <w:vertAlign w:val="subscript"/>
        </w:rPr>
        <w:t>2</w:t>
      </w:r>
      <w:r>
        <w:t>O and O</w:t>
      </w:r>
      <w:r>
        <w:rPr>
          <w:vertAlign w:val="subscript"/>
        </w:rPr>
        <w:t>2</w:t>
      </w:r>
      <w:r>
        <w:t>, markedly exceeds most state‐of‐the‐art photocatalysts. This work establishes H• as active intermediates in photocatalytic H</w:t>
      </w:r>
      <w:r>
        <w:rPr>
          <w:vertAlign w:val="subscript"/>
        </w:rPr>
        <w:t>2</w:t>
      </w:r>
      <w:r>
        <w:t>O</w:t>
      </w:r>
      <w:r>
        <w:rPr>
          <w:vertAlign w:val="subscript"/>
        </w:rPr>
        <w:t>2</w:t>
      </w:r>
      <w:r>
        <w:t>evolution and provides a strategy for regulating PCET via dual redox site design.</w:t>
      </w:r>
    </w:p>
    <w:p>
      <w:pPr>
        <w:spacing w:before="120" w:after="120"/>
      </w:pPr>
      <w:r>
        <w:rPr>
          <w:sz w:val="18"/>
        </w:rPr>
        <w:t>——————————————————————————————————————————————————————————————————————</w:t>
      </w:r>
    </w:p>
    <w:p>
      <w:pPr>
        <w:spacing w:before="160" w:after="40" w:line="240" w:lineRule="auto"/>
      </w:pPr>
      <w:r>
        <w:rPr>
          <w:b/>
        </w:rPr>
        <w:t xml:space="preserve">[583] </w:t>
      </w:r>
      <w:hyperlink r:id="rId1622">
        <w:r>
          <w:rPr>
            <w:color w:val="1155CC"/>
            <w:u w:val="single"/>
          </w:rPr>
          <w:t>沸石中的有机分子可实现长寿命余辉</w:t>
        </w:r>
      </w:hyperlink>
    </w:p>
    <w:p>
      <w:pPr>
        <w:spacing w:before="0" w:after="80"/>
      </w:pPr>
      <w:r>
        <w:rPr>
          <w:i/>
          <w:sz w:val="20"/>
        </w:rPr>
        <w:t>EN: Organic Molecules in Zeolites for Long‐Lifetime Afterglow</w:t>
      </w:r>
    </w:p>
    <w:p>
      <w:pPr>
        <w:spacing w:before="0" w:after="120"/>
      </w:pPr>
      <w:r>
        <w:rPr>
          <w:b/>
        </w:rPr>
        <w:t xml:space="preserve">Source: </w:t>
      </w:r>
      <w:r>
        <w:t>Wiley: Angewandte Chemie International Edition: Table of Contents</w:t>
      </w:r>
      <w:r>
        <w:t xml:space="preserve">    </w:t>
      </w:r>
      <w:r>
        <w:rPr>
          <w:b/>
        </w:rPr>
        <w:t xml:space="preserve">Pub date: </w:t>
      </w:r>
      <w:r>
        <w:t>2026-08-05 14:30:45+00:00</w:t>
      </w:r>
      <w:r>
        <w:t xml:space="preserve">    </w:t>
      </w:r>
      <w:r>
        <w:rPr>
          <w:b/>
        </w:rPr>
        <w:t xml:space="preserve">DOI: </w:t>
      </w:r>
      <w:hyperlink r:id="rId1623">
        <w:r>
          <w:rPr>
            <w:color w:val="1155CC"/>
            <w:u w:val="single"/>
          </w:rPr>
          <w:t>10.1002/anie.8988152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基于主客体组装的有机余辉材料因其在光生物学和光电子学方面的良好应用以及简单且通用的制备方法而引起了广泛的关注。然而，主矩阵的稳定性差限制了其实际应用。在这项研究中，一类新型长余辉材料 AlPO</w:t>
      </w:r>
      <w:r>
        <w:rPr>
          <w:vertAlign w:val="subscript"/>
        </w:rPr>
        <w:t>4</w:t>
      </w:r>
      <w:r>
        <w:t>已开发出 ‐5 沸石作为主体基质和各种芳香酸（对苯二甲酸、2-萘甲酸和 1-芘甲酸）作为客体分子。所制备的复合材料在从蓝色到绿色到红色的可见光谱范围内表现出可调的余辉发射，其寿命分别为 919、1540 和 74 毫秒，强度比相应的纯有机分子固体粉末高约 42、579 和 29 倍。研究表明，高效的余辉发射主要源于沸石基体对有机分子的有效分散和强烈吸附，以及主客体配位相互作用。值得注意的是，沸石基体赋予复合材料优异的抗辐射、溶剂、酸、碱和热的稳定性，以及多模式应用的潜力。使用其他基体材料实现这种性能组合具有挑战性。这项工作建立了一种开发长余辉材料的新策略，该材料集高效发射、鲁棒性和多功能于一体。</w:t>
      </w:r>
    </w:p>
    <w:p>
      <w:pPr>
        <w:spacing w:before="0" w:after="200" w:lineRule="auto" w:line="276"/>
      </w:pPr>
      <w:r>
        <w:rPr>
          <w:b/>
        </w:rPr>
        <w:t xml:space="preserve">Abstract (EN): </w:t>
      </w:r>
      <w:r>
        <w:t>Organic afterglow materials based on host–guest assembly have recently attracted extensive attention for their promising applications in photobiology and optoelectronics, as well as their simple and versatile preparation. However, the poor stability of the host matrix limits their actual applications. In this study, a new class of long afterglow materials with AlPO</w:t>
      </w:r>
      <w:r>
        <w:rPr>
          <w:vertAlign w:val="subscript"/>
        </w:rPr>
        <w:t>4</w:t>
      </w:r>
      <w:r>
        <w:t>‐5 zeolite as the host matrix and various aromatic acids (terephthalic acid, 2‐naphthoic acid, and 1‐pyrenecarboxylic acid) as guest molecules has been developed. The prepared composites exhibit tunable afterglow emissions across the visible spectrum from blue to green to red, with lifetimes of 919, 1540, and 74 ms and intensities approximately 42, 579, and 29 times higher than those of the corresponding pure organic molecular solid powders. Studies reveal that the efficient afterglow emission primarily stems from the effective dispersion and strong adsorption of organic molecules by the zeolite matrix, as well as the host–guest coordination interactions. Remarkably, the zeolite matrix endows the composites with excellent stability against radiation, solvents, acids, alkalis, and heat, together with potential for multimodal applications. Such a combination of properties is challenging to achieve with other matrix materials. This work establishes a novel strategy for developing long afterglow materials that integrate efficient emission, robustness, and multifunctionality.</w:t>
      </w:r>
    </w:p>
    <w:p>
      <w:pPr>
        <w:spacing w:before="120" w:after="120"/>
      </w:pPr>
      <w:r>
        <w:rPr>
          <w:sz w:val="18"/>
        </w:rPr>
        <w:t>——————————————————————————————————————————————————————————————————————</w:t>
      </w:r>
    </w:p>
    <w:p>
      <w:pPr>
        <w:spacing w:before="160" w:after="40" w:line="240" w:lineRule="auto"/>
      </w:pPr>
      <w:r>
        <w:rPr>
          <w:b/>
        </w:rPr>
        <w:t xml:space="preserve">[584] </w:t>
      </w:r>
      <w:hyperlink r:id="rId1624">
        <w:r>
          <w:rPr>
            <w:color w:val="1155CC"/>
            <w:u w:val="single"/>
          </w:rPr>
          <w:t>单原子 C 至 N 编辑解锁明亮的 NIR-II J 聚集体，用于淋巴转移成像</w:t>
        </w:r>
      </w:hyperlink>
    </w:p>
    <w:p>
      <w:pPr>
        <w:spacing w:before="0" w:after="80"/>
      </w:pPr>
      <w:r>
        <w:rPr>
          <w:i/>
          <w:sz w:val="20"/>
        </w:rPr>
        <w:t>EN: Single‐Atom C‐to‐N Editing Unlocks Bright NIR‐II J‐Aggregates for Imaging Lymphatic Metastasis</w:t>
      </w:r>
    </w:p>
    <w:p>
      <w:pPr>
        <w:spacing w:before="0" w:after="120"/>
      </w:pPr>
      <w:r>
        <w:rPr>
          <w:b/>
        </w:rPr>
        <w:t xml:space="preserve">Source: </w:t>
      </w:r>
      <w:r>
        <w:t>Wiley: Angewandte Chemie International Edition: Table of Contents</w:t>
      </w:r>
      <w:r>
        <w:t xml:space="preserve">    </w:t>
      </w:r>
      <w:r>
        <w:rPr>
          <w:b/>
        </w:rPr>
        <w:t xml:space="preserve">Pub date: </w:t>
      </w:r>
      <w:r>
        <w:t>2026-08-05 14:32:07+00:00</w:t>
      </w:r>
      <w:r>
        <w:t xml:space="preserve">    </w:t>
      </w:r>
      <w:r>
        <w:rPr>
          <w:b/>
        </w:rPr>
        <w:t xml:space="preserve">DOI: </w:t>
      </w:r>
      <w:hyperlink r:id="rId1625">
        <w:r>
          <w:rPr>
            <w:color w:val="1155CC"/>
            <w:u w:val="single"/>
          </w:rPr>
          <w:t>10.1002/anie.5207784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近红外 II (NIR-II) J 聚集体的发展因缺乏合理的设计指南而受到阻碍。在这里，我们表明，半花青染料中的单原子 C 至 N 骨架编辑精确调节分子内电荷分布和分子间堆积，从而有效形成明亮的 NIR-II J 聚集体。系统的受体工程揭示了控制 J-聚集体形成和荧光亮度的清晰的结构-组装-性质关系。优化的染料</w:t>
      </w:r>
      <w:r>
        <w:t xml:space="preserve"> </w:t>
      </w:r>
      <w:r>
        <w:t>HZOE9</w:t>
      </w:r>
      <w:r>
        <w:t xml:space="preserve"> </w:t>
      </w:r>
      <w:r>
        <w:t>形成稳定的 J-聚集体，发射波长超过 1000 nm，量子产率超过大多数报道的基于花青的 NIR-II 荧光团。机理研究进一步阐明酚羟基修饰可以调节 J 聚集和 NIR-II 发射，突出了其在调节超分子激子耦合中的关键作用。封装到生物相容性纳米粒子中可以实现高分辨率淋巴成像、实时转移可视化、荧光引导手术和体内治疗监测。这项工作建立了用于开发基于半花青的 NIR-II 荧光团的单原子骨架编辑策略，并为未来通过可控超分子组装开发可激活 NIR-II 荧光团提供了概念框架。</w:t>
      </w:r>
    </w:p>
    <w:p>
      <w:pPr>
        <w:spacing w:before="0" w:after="200" w:lineRule="auto" w:line="276"/>
      </w:pPr>
      <w:r>
        <w:rPr>
          <w:b/>
        </w:rPr>
        <w:t xml:space="preserve">Abstract (EN): </w:t>
      </w:r>
      <w:r>
        <w:t>The development of near‐infrared II (NIR‐II) J‐aggregates is hindered by a lack of rational design guidelines. Here we show that single‐atom C‐to‐N skeletal editing in hemicyanine dyes precisely regulates intramolecular charge distribution and intermolecular packing, thereby allowing efficient formation of bright NIR‐II J‐aggregates. Systematic acceptor engineering reveals clear structure‐assembly‐property relationships governing J‐aggregate formation and fluorescence brightness. The optimized dye</w:t>
      </w:r>
      <w:r>
        <w:t xml:space="preserve"> </w:t>
      </w:r>
      <w:r>
        <w:t>HZOE9</w:t>
      </w:r>
      <w:r>
        <w:t xml:space="preserve"> </w:t>
      </w:r>
      <w:r>
        <w:t>forms stable J‐aggregates with emission beyond 1000 nm and a quantum yield surpassing most reported cyanine‐based NIR‐II fluorophores. Mechanistic studies further elucidate that phenolic hydroxyl modification can tune J‐aggregation and NIR‐II emission, highlighting its key role in modulating supramolecular excitonic coupling. Encapsulation into biocompatible nanoparticles enables high‐resolution lymphatic imaging, real‐time metastasis visualization, fluorescence‐guided surgery, and therapeutic monitoring in vivo. This work establishes a single‐atom skeletal editing strategy for developing hemicyanine‐based NIR‐II fluorophores and provides a conceptual framework for the future development of activatable NIR‐II fluorophores via controllable supramolecular assembly.</w:t>
      </w:r>
    </w:p>
    <w:p>
      <w:pPr>
        <w:spacing w:before="120" w:after="120"/>
      </w:pPr>
      <w:r>
        <w:rPr>
          <w:sz w:val="18"/>
        </w:rPr>
        <w:t>——————————————————————————————————————————————————————————————————————</w:t>
      </w:r>
    </w:p>
    <w:p>
      <w:pPr>
        <w:spacing w:before="160" w:after="40" w:line="240" w:lineRule="auto"/>
      </w:pPr>
      <w:r>
        <w:rPr>
          <w:b/>
        </w:rPr>
        <w:t xml:space="preserve">[585] </w:t>
      </w:r>
      <w:hyperlink r:id="rId1626">
        <w:r>
          <w:rPr>
            <w:color w:val="1155CC"/>
            <w:u w:val="single"/>
          </w:rPr>
          <w:t>双原子纳米酶中的铁磁耦合可实现自旋有利的过氧化氢酶样催化，用于类风湿关节炎治疗</w:t>
        </w:r>
      </w:hyperlink>
    </w:p>
    <w:p>
      <w:pPr>
        <w:spacing w:before="0" w:after="80"/>
      </w:pPr>
      <w:r>
        <w:rPr>
          <w:i/>
          <w:sz w:val="20"/>
        </w:rPr>
        <w:t>EN: Ferromagnetic Coupling in Dual‐Atom Nanozymes Enables Spin‐Favorable Catalase‐Like Catalysis for Rheumatoid Arthritis Therapy</w:t>
      </w:r>
    </w:p>
    <w:p>
      <w:pPr>
        <w:spacing w:before="0" w:after="120"/>
      </w:pPr>
      <w:r>
        <w:rPr>
          <w:b/>
        </w:rPr>
        <w:t xml:space="preserve">Source: </w:t>
      </w:r>
      <w:r>
        <w:t>Wiley: Angewandte Chemie International Edition: Table of Contents</w:t>
      </w:r>
      <w:r>
        <w:t xml:space="preserve">    </w:t>
      </w:r>
      <w:r>
        <w:rPr>
          <w:b/>
        </w:rPr>
        <w:t xml:space="preserve">Pub date: </w:t>
      </w:r>
      <w:r>
        <w:t>2026-08-05 14:37:27+00:00</w:t>
      </w:r>
      <w:r>
        <w:t xml:space="preserve">    </w:t>
      </w:r>
      <w:r>
        <w:rPr>
          <w:b/>
        </w:rPr>
        <w:t xml:space="preserve">DOI: </w:t>
      </w:r>
      <w:hyperlink r:id="rId1627">
        <w:r>
          <w:rPr>
            <w:color w:val="1155CC"/>
            <w:u w:val="single"/>
          </w:rPr>
          <w:t>10.1002/anie.1653347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铁双原子（Fe DA）纳米酶在结构上类似于天然过氧化氢酶，表现出有前景的类过氧化氢酶（CAT-like）活性，但进一步提高其催化性能并阐明其潜在机制仍然是主要挑战。在此，我们开发了一种结合空位诱导和静电吸附的级联策略，构建了两种代表性的Fe DA纳米酶，pr-Fe-DA和py-Fe-DA，其配位环境分别以吡咯-N和吡啶-N为主。所得的 py-Fe-DA 表现出 100 U mg 的极高 CAT 样活性</w:t>
      </w:r>
      <w:r>
        <w:t xml:space="preserve"> </w:t>
      </w:r>
      <w:r>
        <w:t>−1</w:t>
      </w:r>
      <w:r>
        <w:t xml:space="preserve"> </w:t>
      </w:r>
      <w:r>
        <w:t>，是 pr-Fe-DA（42 U mg</w:t>
      </w:r>
      <w:r>
        <w:t xml:space="preserve"> </w:t>
      </w:r>
      <w:r>
        <w:t>−1</w:t>
      </w:r>
      <w:r>
        <w:t xml:space="preserve"> </w:t>
      </w:r>
      <w:r>
        <w:t>），代表迄今为止报告的最高值。机理研究和密度泛函理论计算表明，将氮配位环境从吡咯-N调节为吡啶-N可促进Fe位点之间磁耦合中的反铁磁到铁磁转变。这种转变使得有利于自旋的 H</w:t>
      </w:r>
      <w:r>
        <w:rPr>
          <w:vertAlign w:val="subscript"/>
        </w:rPr>
        <w:t>2</w:t>
      </w:r>
      <w:r>
        <w:t>氧</w:t>
      </w:r>
      <w:r>
        <w:rPr>
          <w:vertAlign w:val="subscript"/>
        </w:rPr>
        <w:t>2</w:t>
      </w:r>
      <w:r>
        <w:t>通过吸附 H 中氧原子的平行自旋排列进行活化</w:t>
      </w:r>
      <w:r>
        <w:rPr>
          <w:vertAlign w:val="subscript"/>
        </w:rPr>
        <w:t>2</w:t>
      </w:r>
      <w:r>
        <w:t>氧</w:t>
      </w:r>
      <w:r>
        <w:rPr>
          <w:vertAlign w:val="subscript"/>
        </w:rPr>
        <w:t>2</w:t>
      </w:r>
      <w:r>
        <w:t>，从而加速O─H键断裂和O</w:t>
      </w:r>
      <w:r>
        <w:rPr>
          <w:vertAlign w:val="subscript"/>
        </w:rPr>
        <w:t>2</w:t>
      </w:r>
      <w:r>
        <w:t>同时将速率决定步骤的吉布斯自由能变化从 0.84 eV 降低到 0.08 eV。此外，py-Fe-DA 有效缓解</w:t>
      </w:r>
    </w:p>
    <w:p>
      <w:pPr>
        <w:spacing w:before="0" w:after="200" w:lineRule="auto" w:line="276"/>
      </w:pPr>
      <w:r>
        <w:rPr>
          <w:b/>
        </w:rPr>
        <w:t xml:space="preserve">Abstract (EN): </w:t>
      </w:r>
      <w:r>
        <w:t>Iron dual‐atom (Fe DA) nanozymes, structurally analogous to natural catalase, exhibit promising catalase‐like (CAT‐like) activity, yet further improving their catalytic performance and elucidating the underlying mechanism remain major challenges. Herein, we developed a cascade strategy integrating vacancy induction and electrostatic adsorption to construct two representative Fe DA nanozymes, pr‐Fe‐DA and py‐Fe‐DA, with coordination environments dominated by pyrrolic‐N and pyridinic‐N, respectively. The resulting py‐Fe‐DA exhibits an exceptionally high CAT‐like activity of 100 U mg</w:t>
      </w:r>
      <w:r>
        <w:t xml:space="preserve"> </w:t>
      </w:r>
      <w:r>
        <w:t>−1</w:t>
      </w:r>
      <w:r>
        <w:t xml:space="preserve"> </w:t>
      </w:r>
      <w:r>
        <w:t>, which is 2.4 times that of pr‐Fe‐DA (42 U mg</w:t>
      </w:r>
      <w:r>
        <w:t xml:space="preserve"> </w:t>
      </w:r>
      <w:r>
        <w:t>−1</w:t>
      </w:r>
      <w:r>
        <w:t xml:space="preserve"> </w:t>
      </w:r>
      <w:r>
        <w:t>), representing the highest value reported to date. Mechanistic studies and density functional theory calculations reveal that modulating the nitrogen coordination environment from pyrrolic‐N to pyridinic‐N promotes an antiferromagnetic‐to‐ferromagnetic transition in the magnetic coupling between Fe sites. This transition enables spin‐favorable H</w:t>
      </w:r>
      <w:r>
        <w:rPr>
          <w:vertAlign w:val="subscript"/>
        </w:rPr>
        <w:t>2</w:t>
      </w:r>
      <w:r>
        <w:t>O</w:t>
      </w:r>
      <w:r>
        <w:rPr>
          <w:vertAlign w:val="subscript"/>
        </w:rPr>
        <w:t>2</w:t>
      </w:r>
      <w:r>
        <w:t>activation through parallel spin alignment of the oxygen atoms in adsorbed H</w:t>
      </w:r>
      <w:r>
        <w:rPr>
          <w:vertAlign w:val="subscript"/>
        </w:rPr>
        <w:t>2</w:t>
      </w:r>
      <w:r>
        <w:t>O</w:t>
      </w:r>
      <w:r>
        <w:rPr>
          <w:vertAlign w:val="subscript"/>
        </w:rPr>
        <w:t>2</w:t>
      </w:r>
      <w:r>
        <w:t>, thereby accelerating O─H bond cleavage and O</w:t>
      </w:r>
      <w:r>
        <w:rPr>
          <w:vertAlign w:val="subscript"/>
        </w:rPr>
        <w:t>2</w:t>
      </w:r>
      <w:r>
        <w:t>generation while decreasing the Gibbs free energy change of the rate‐determining step from 0.84 to 0.08 eV. Moreover, py‐Fe‐DA effectively alleviates oxidative stress and inflammation in rheumatoid arthritis models. These findings identify magnetic coupling as a key descriptor of CAT‐like activity and establish magnetic‐coupling engineering as a powerful strategy for designing high‐performance nanozymes.</w:t>
      </w:r>
    </w:p>
    <w:p>
      <w:pPr>
        <w:spacing w:before="120" w:after="120"/>
      </w:pPr>
      <w:r>
        <w:rPr>
          <w:sz w:val="18"/>
        </w:rPr>
        <w:t>——————————————————————————————————————————————————————————————————————</w:t>
      </w:r>
    </w:p>
    <w:p>
      <w:pPr>
        <w:spacing w:before="160" w:after="40" w:line="240" w:lineRule="auto"/>
      </w:pPr>
      <w:r>
        <w:rPr>
          <w:b/>
        </w:rPr>
        <w:t xml:space="preserve">[586] </w:t>
      </w:r>
      <w:hyperlink r:id="rId1628">
        <w:r>
          <w:rPr>
            <w:color w:val="1155CC"/>
            <w:u w:val="single"/>
          </w:rPr>
          <w:t>刚性变色荧光团识别合成大分子链上的单一单体突变</w:t>
        </w:r>
      </w:hyperlink>
    </w:p>
    <w:p>
      <w:pPr>
        <w:spacing w:before="0" w:after="80"/>
      </w:pPr>
      <w:r>
        <w:rPr>
          <w:i/>
          <w:sz w:val="20"/>
        </w:rPr>
        <w:t>EN: Rigidochromic Fluorophores Identify Single Monomer Mutation on Synthetic Macromolecular Chain</w:t>
      </w:r>
    </w:p>
    <w:p>
      <w:pPr>
        <w:spacing w:before="0" w:after="120"/>
      </w:pPr>
      <w:r>
        <w:rPr>
          <w:b/>
        </w:rPr>
        <w:t xml:space="preserve">Source: </w:t>
      </w:r>
      <w:r>
        <w:t>Wiley: Angewandte Chemie International Edition: Table of Contents</w:t>
      </w:r>
      <w:r>
        <w:t xml:space="preserve">    </w:t>
      </w:r>
      <w:r>
        <w:rPr>
          <w:b/>
        </w:rPr>
        <w:t xml:space="preserve">Pub date: </w:t>
      </w:r>
      <w:r>
        <w:t>2026-08-05 14:40:32+00:00</w:t>
      </w:r>
      <w:r>
        <w:t xml:space="preserve">    </w:t>
      </w:r>
      <w:r>
        <w:rPr>
          <w:b/>
        </w:rPr>
        <w:t xml:space="preserve">DOI: </w:t>
      </w:r>
      <w:hyperlink r:id="rId1629">
        <w:r>
          <w:rPr>
            <w:color w:val="1155CC"/>
            <w:u w:val="single"/>
          </w:rPr>
          <w:t>10.1002/anie.7533991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有效检测聚合物链上的单体突变对于功能材料，特别是生物大分子至关重要，但仍然极具挑战性。在这里，我们提出了一种光学策略，能够识别包含多达 1000 个重复单元的聚合物链或簇内的单个单体突变。这种方法依赖于刚性变色荧光团，该荧光团通过极性-π相互作用与聚合物链相互作用，形成电荷转移复合物（CTC），从而导致相对于荧光团固有荧光的红移发射。单体突变改变链内和链间相互作用，调节聚合物主链上的空间共轭（TSC），从而改变分子轨道能带隙，导致 CTC 的独特发射变化。利用这种机制，我们实现了对具有相同 A/B 比例和分子量的无规共聚物（聚（A-r-B））、嵌段共聚物（聚（A-b-B））以及相应的均聚物混合物（聚 A + 聚 B）的视觉区分，这是传统表征方法无法完成的任务。该策略为合成和改性过程中的高通量聚合物筛选以及聚合物结构演化的实时监测提供了强大的平台。</w:t>
      </w:r>
    </w:p>
    <w:p>
      <w:pPr>
        <w:spacing w:before="0" w:after="200" w:lineRule="auto" w:line="276"/>
      </w:pPr>
      <w:r>
        <w:rPr>
          <w:b/>
        </w:rPr>
        <w:t xml:space="preserve">Abstract (EN): </w:t>
      </w:r>
      <w:r>
        <w:t>Efficient detection of monomer mutations along polymer chains is critically important for functional materials, particularly for biomacromolecules, yet remains highly challenging. Here, we present an optical strategy capable of recognizing a single monomer mutation within a polymer chain or cluster containing up to 1000 repeating units. This approach relies on a rigidochromic fluorophore that interacts with polymer chains through polar–π interactions to form a charge‐transfer complex (CTC), resulting in red‐shifted emission relative to the intrinsic fluorescence of the fluorophore. Monomer mutations alter intra‐ and interchain interactions, modulate through‐space conjugation (TSC) along the polymer backbone, and consequently change the molecular orbital energy bandgap, leading to distinct emission variations of the CTC. Leveraging this mechanism, we achieve visual discrimination among random copolymers (poly(A‐r‐B)), block copolymers (poly(A‐b‐B)) with identical A/B ratios and molecular weights, and corresponding blends of homopolymers (poly A + poly B)—a task that is inaccessible to conventional characterization methods. This strategy provides a powerful platform for high‐throughput polymer screening during synthesis and modification, as well as for real‐time monitoring of polymer structural evolution.</w:t>
      </w:r>
    </w:p>
    <w:p>
      <w:pPr>
        <w:spacing w:before="120" w:after="120"/>
      </w:pPr>
      <w:r>
        <w:rPr>
          <w:sz w:val="18"/>
        </w:rPr>
        <w:t>——————————————————————————————————————————————————————————————————————</w:t>
      </w:r>
    </w:p>
    <w:p>
      <w:pPr>
        <w:spacing w:before="160" w:after="40" w:line="240" w:lineRule="auto"/>
      </w:pPr>
      <w:r>
        <w:rPr>
          <w:b/>
        </w:rPr>
        <w:t xml:space="preserve">[587] </w:t>
      </w:r>
      <w:hyperlink r:id="rId1630">
        <w:r>
          <w:rPr>
            <w:color w:val="1155CC"/>
            <w:u w:val="single"/>
          </w:rPr>
          <w:t>J-聚集大环光催化剂可实现一氧化氮（NO）增强的近红外光催化肿瘤治疗</w:t>
        </w:r>
      </w:hyperlink>
    </w:p>
    <w:p>
      <w:pPr>
        <w:spacing w:before="0" w:after="80"/>
      </w:pPr>
      <w:r>
        <w:rPr>
          <w:i/>
          <w:sz w:val="20"/>
        </w:rPr>
        <w:t>EN: J‐Aggregated Macrocyclic Photocatalysts Enable Nitric Oxide (NO)‐Enhanced Near‐Infrared Photocatalytic Tumor Therapy</w:t>
      </w:r>
    </w:p>
    <w:p>
      <w:pPr>
        <w:spacing w:before="0" w:after="120"/>
      </w:pPr>
      <w:r>
        <w:rPr>
          <w:b/>
        </w:rPr>
        <w:t xml:space="preserve">Source: </w:t>
      </w:r>
      <w:r>
        <w:t>Wiley: Angewandte Chemie International Edition: Table of Contents</w:t>
      </w:r>
      <w:r>
        <w:t xml:space="preserve">    </w:t>
      </w:r>
      <w:r>
        <w:rPr>
          <w:b/>
        </w:rPr>
        <w:t xml:space="preserve">Pub date: </w:t>
      </w:r>
      <w:r>
        <w:t>2026-08-05 14:44:26+00:00</w:t>
      </w:r>
      <w:r>
        <w:t xml:space="preserve">    </w:t>
      </w:r>
      <w:r>
        <w:rPr>
          <w:b/>
        </w:rPr>
        <w:t xml:space="preserve">DOI: </w:t>
      </w:r>
      <w:hyperlink r:id="rId1631">
        <w:r>
          <w:rPr>
            <w:color w:val="1155CC"/>
            <w:u w:val="single"/>
          </w:rPr>
          <w:t>10.1002/anie.8769084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光催化疗法 (PCT) 通过 NADH/NAD 破坏线粒体氧化还原稳态，已成为一种有前景的肿瘤治疗策略</w:t>
      </w:r>
      <w:r>
        <w:t xml:space="preserve"> </w:t>
      </w:r>
      <w:r>
        <w:t>+</w:t>
      </w:r>
      <w:r>
        <w:t xml:space="preserve"> </w:t>
      </w:r>
      <w:r>
        <w:t>氧化。然而，其更广泛的应用受到光穿透不足、生物条件下催化剂快速失活以及缺氧下催化途径不足的限制。在这里，我们开发了一种基于供体-受体共轭大环光催化剂的近红外（NIR）激活光催化平台，该平台能够耦合 NADH 氧化和一氧化氮（NO）释放。光催化剂在胶束纳米结构内自组装成 J-聚集体，在 808 nm 光照射下实现有效的光催化 NADH 氧化。同时封装</w:t>
      </w:r>
      <w:r>
        <w:t xml:space="preserve"> </w:t>
      </w:r>
      <w:r>
        <w:t>氮</w:t>
      </w:r>
      <w:r>
        <w:t xml:space="preserve"> </w:t>
      </w:r>
      <w:r>
        <w:t>基于亚硝胺的 NO 供体提供了一种不依赖于氧的电子受体，在缺氧条件下维持光催化循环并实现受控的 NO 释放。从机制上讲，光催化 NADH 消耗抑制了通过线粒体呼吸链的电子通量，而 NO 进一步损害线粒体呼吸，协同加重线粒体功能障碍并增强 PCT 功效。此外，这种生物能崩溃下调了热休克蛋白（HSP）介导的应激反应，从而使肿瘤细胞对由相同的J聚集光催化剂介导的温和光热疗法（mPTT）敏感。这种 NO 扩增的 PCT-mPTT 策略不仅可以诱导有效的肿瘤消融，还可以重塑</w:t>
      </w:r>
    </w:p>
    <w:p>
      <w:pPr>
        <w:spacing w:before="0" w:after="200" w:lineRule="auto" w:line="276"/>
      </w:pPr>
      <w:r>
        <w:rPr>
          <w:b/>
        </w:rPr>
        <w:t xml:space="preserve">Abstract (EN): </w:t>
      </w:r>
      <w:r>
        <w:t>Photocatalytic therapy (PCT) has emerged as a promising strategy for tumor therapy by disrupting mitochondrial redox homeostasis through NADH/NAD</w:t>
      </w:r>
      <w:r>
        <w:t xml:space="preserve"> </w:t>
      </w:r>
      <w:r>
        <w:t>+</w:t>
      </w:r>
      <w:r>
        <w:t xml:space="preserve"> </w:t>
      </w:r>
      <w:r>
        <w:t>oxidation. However, its broader application is limited by insufficient light penetration, rapid catalyst deactivation under biological conditions, and insufficient catalytic pathways under hypoxia. Here, we develop a near‐infrared (NIR)‐activated photocatalytic platform based on a donor–acceptor conjugated macrocyclic photocatalyst that enables coupled NADH oxidation and nitric oxide (NO) release. The photocatalyst self‐assembles into J‐aggregates within micellar nanostructures, enabling efficient photocatalytic NADH oxidation under 808 nm light irradiation. Simultaneous encapsulation of an</w:t>
      </w:r>
      <w:r>
        <w:t xml:space="preserve"> </w:t>
      </w:r>
      <w:r>
        <w:t>N</w:t>
      </w:r>
      <w:r>
        <w:t xml:space="preserve"> </w:t>
      </w:r>
      <w:r>
        <w:t>‐nitrosamine‐based NO donor offers an oxygen‐independent electron acceptor, sustaining the photocatalytic cycle under hypoxia and enabling controlled NO release. Mechanistically, photocatalytic NADH depletion suppresses electron flux through the mitochondrial respiratory chain, while NO further impairs mitochondrial respiration, synergistically aggravating mitochondrial dysfunction and amplifying PCT efficacy. Moreover, this bioenergetic collapse downregulates heat shock protein (HSP)‐mediated stress responses, thereby sensitizing tumor cells to mild photothermal therapy (mPTT) mediated by the same J‐aggregated photocatalyst. This NO‐amplified PCT–mPTT strategy not only induces potent tumor ablation but also remodels the immunosuppressive tumor microenvironment, effectively inhibiting both primary and distant tumor growth in vivo.</w:t>
      </w:r>
    </w:p>
    <w:p>
      <w:pPr>
        <w:spacing w:before="120" w:after="120"/>
      </w:pPr>
      <w:r>
        <w:rPr>
          <w:sz w:val="18"/>
        </w:rPr>
        <w:t>——————————————————————————————————————————————————————————————————————</w:t>
      </w:r>
    </w:p>
    <w:p>
      <w:pPr>
        <w:spacing w:before="160" w:after="40" w:line="240" w:lineRule="auto"/>
      </w:pPr>
      <w:r>
        <w:rPr>
          <w:b/>
        </w:rPr>
        <w:t xml:space="preserve">[588] </w:t>
      </w:r>
      <w:hyperlink r:id="rId1632">
        <w:r>
          <w:rPr>
            <w:color w:val="1155CC"/>
            <w:u w:val="single"/>
          </w:rPr>
          <w:t>缔合途径可利用 ppm 级有机催化剂实现高度受控的环硅氧烷开环聚合</w:t>
        </w:r>
      </w:hyperlink>
    </w:p>
    <w:p>
      <w:pPr>
        <w:spacing w:before="0" w:after="80"/>
      </w:pPr>
      <w:r>
        <w:rPr>
          <w:i/>
          <w:sz w:val="20"/>
        </w:rPr>
        <w:t>EN: An Associative Pathway Enables Highly Controlled Ring‐Opening Polymerization of Cyclosiloxane with ppm‐Level Organocatalyst</w:t>
      </w:r>
    </w:p>
    <w:p>
      <w:pPr>
        <w:spacing w:before="0" w:after="120"/>
      </w:pPr>
      <w:r>
        <w:rPr>
          <w:b/>
        </w:rPr>
        <w:t xml:space="preserve">Source: </w:t>
      </w:r>
      <w:r>
        <w:t>Wiley: Angewandte Chemie International Edition: Table of Contents</w:t>
      </w:r>
      <w:r>
        <w:t xml:space="preserve">    </w:t>
      </w:r>
      <w:r>
        <w:rPr>
          <w:b/>
        </w:rPr>
        <w:t xml:space="preserve">Pub date: </w:t>
      </w:r>
      <w:r>
        <w:t>2026-08-05 14:47:44+00:00</w:t>
      </w:r>
      <w:r>
        <w:t xml:space="preserve">    </w:t>
      </w:r>
      <w:r>
        <w:rPr>
          <w:b/>
        </w:rPr>
        <w:t xml:space="preserve">DOI: </w:t>
      </w:r>
      <w:hyperlink r:id="rId1633">
        <w:r>
          <w:rPr>
            <w:color w:val="1155CC"/>
            <w:u w:val="single"/>
          </w:rPr>
          <w:t>10.1002/anie.4619641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精确控制聚硅氧烷的摩尔质量和结构对其应用至关重要。在这里，我们报道了使用阴离子1,3-二苯基脲（UA1）作为催化剂的环三硅氧烷的开环聚合（ROP）。带有笨重的四</w:t>
      </w:r>
      <w:r>
        <w:t xml:space="preserve"> </w:t>
      </w:r>
      <w:r>
        <w:t>n</w:t>
      </w:r>
      <w:r>
        <w:t xml:space="preserve"> </w:t>
      </w:r>
      <w:r>
        <w:t>‐丁基铵抗衡离子，UA1 的活性明显高于碱金属抗衡离子。在催化剂负载量为 5–100 ppm 的情况下，单体转化率在几分钟内几乎可达到 100%（TOF 长达 52,000 小时）</w:t>
      </w:r>
      <w:r>
        <w:t xml:space="preserve"> </w:t>
      </w:r>
      <w:r>
        <w:t>−1</w:t>
      </w:r>
      <w:r>
        <w:t xml:space="preserve"> </w:t>
      </w:r>
      <w:r>
        <w:t>对于D</w:t>
      </w:r>
      <w:r>
        <w:rPr>
          <w:vertAlign w:val="subscript"/>
        </w:rPr>
        <w:t>3</w:t>
      </w:r>
      <w:r>
        <w:t>）。所得聚二甲基硅氧烷具有明确的结构、可控的摩尔质量（2 至 140 kg mol</w:t>
      </w:r>
      <w:r>
        <w:t xml:space="preserve"> </w:t>
      </w:r>
      <w:r>
        <w:t>−1</w:t>
      </w:r>
      <w:r>
        <w:t xml:space="preserve"> </w:t>
      </w:r>
      <w:r>
        <w:t>）和低分散度（1.06–1.18）。计算表明，硅烷醇物质和单体均与催化剂形成氢键。这种缔合途径的主导地位有利于开环并防止形成过度活跃（解离）的硅烷醇阴离子，从而确保高效率和选择性。该催化剂也适用于非应变环四硅氧烷（D</w:t>
      </w:r>
      <w:r>
        <w:rPr>
          <w:vertAlign w:val="subscript"/>
        </w:rPr>
        <w:t>4</w:t>
      </w:r>
      <w:r>
        <w:t>），摩尔质量高达 1,660 kg mol</w:t>
      </w:r>
      <w:r>
        <w:t xml:space="preserve"> </w:t>
      </w:r>
      <w:r>
        <w:t>−1</w:t>
      </w:r>
      <w:r>
        <w:t xml:space="preserve"> </w:t>
      </w:r>
      <w:r>
        <w:t>。这项研究为使用最少量的简单有机催化剂高效、可控地合成聚硅氧烷材料铺平了道路。</w:t>
      </w:r>
    </w:p>
    <w:p>
      <w:pPr>
        <w:spacing w:before="0" w:after="200" w:lineRule="auto" w:line="276"/>
      </w:pPr>
      <w:r>
        <w:rPr>
          <w:b/>
        </w:rPr>
        <w:t xml:space="preserve">Abstract (EN): </w:t>
      </w:r>
      <w:r>
        <w:t>Precise control over molar mass and structure of polysiloxane is critical for its applications. Here, we report ring‐opening polymerization (ROP) of cyclotrisiloxane using anionized 1,3‐diphenylurea (UA1) as the catalyst. With a bulky tetra‐</w:t>
      </w:r>
      <w:r>
        <w:t xml:space="preserve"> </w:t>
      </w:r>
      <w:r>
        <w:t>n</w:t>
      </w:r>
      <w:r>
        <w:t xml:space="preserve"> </w:t>
      </w:r>
      <w:r>
        <w:t>‐butylammonium counterion, UA1 shows significantly higher activity than the one with an alkali metal counterion. Almost 100% monomer conversion can be reached in minutes at catalyst loadings of 5–100 ppm (TOF up to 52,000 h</w:t>
      </w:r>
      <w:r>
        <w:t xml:space="preserve"> </w:t>
      </w:r>
      <w:r>
        <w:t>−1</w:t>
      </w:r>
      <w:r>
        <w:t xml:space="preserve"> </w:t>
      </w:r>
      <w:r>
        <w:t>for D</w:t>
      </w:r>
      <w:r>
        <w:rPr>
          <w:vertAlign w:val="subscript"/>
        </w:rPr>
        <w:t>3</w:t>
      </w:r>
      <w:r>
        <w:t>). The obtained polydimethylsiloxane has well‐defined structure, controlled molar mass (2 to 140 kg mol</w:t>
      </w:r>
      <w:r>
        <w:t xml:space="preserve"> </w:t>
      </w:r>
      <w:r>
        <w:t>−1</w:t>
      </w:r>
      <w:r>
        <w:t xml:space="preserve"> </w:t>
      </w:r>
      <w:r>
        <w:t>), and low dispersity (1.06–1.18). Calculations reveal that both silanol species and the monomer are hydrogen‐bonded with the catalyst. The dominance of this associative pathway facilitates ring opening and prevents the formation of overly active (dissociated) silanolate anion, thus ensuring high efficiency and selectivity. The catalyst is also applicable to the ROP of non‐strained cyclotetrasiloxane (D</w:t>
      </w:r>
      <w:r>
        <w:rPr>
          <w:vertAlign w:val="subscript"/>
        </w:rPr>
        <w:t>4</w:t>
      </w:r>
      <w:r>
        <w:t>), with molar mass reaching as high as 1,660 kg mol</w:t>
      </w:r>
      <w:r>
        <w:t xml:space="preserve"> </w:t>
      </w:r>
      <w:r>
        <w:t>−1</w:t>
      </w:r>
      <w:r>
        <w:t xml:space="preserve"> </w:t>
      </w:r>
      <w:r>
        <w:t>. This study paves the route for efficient and controlled synthesis of polysiloxane materials using minimum amount of simple organocatalyst.</w:t>
      </w:r>
    </w:p>
    <w:p>
      <w:pPr>
        <w:spacing w:before="120" w:after="120"/>
      </w:pPr>
      <w:r>
        <w:rPr>
          <w:sz w:val="18"/>
        </w:rPr>
        <w:t>——————————————————————————————————————————————————————————————————————</w:t>
      </w:r>
    </w:p>
    <w:p>
      <w:pPr>
        <w:spacing w:before="160" w:after="40" w:line="240" w:lineRule="auto"/>
      </w:pPr>
      <w:r>
        <w:rPr>
          <w:b/>
        </w:rPr>
        <w:t xml:space="preserve">[589] </w:t>
      </w:r>
      <w:hyperlink r:id="rId1634">
        <w:r>
          <w:rPr>
            <w:color w:val="1155CC"/>
            <w:u w:val="single"/>
          </w:rPr>
          <w:t>2-CF2H(D)-咪唑鎓盐：铜/光氧化还原双催化下烯烃双（氘）二氟甲基化的试剂平台</w:t>
        </w:r>
      </w:hyperlink>
    </w:p>
    <w:p>
      <w:pPr>
        <w:spacing w:before="0" w:after="80"/>
      </w:pPr>
      <w:r>
        <w:rPr>
          <w:i/>
          <w:sz w:val="20"/>
        </w:rPr>
        <w:t>EN: 2‐CF2H(D)‐Imidazolium Salts: A Reagent Platform for Bis(Deuterio)Difluoromethylation of Alkenes Under Copper/Photoredox Dual Catalysis</w:t>
      </w:r>
    </w:p>
    <w:p>
      <w:pPr>
        <w:spacing w:before="0" w:after="120"/>
      </w:pPr>
      <w:r>
        <w:rPr>
          <w:b/>
        </w:rPr>
        <w:t xml:space="preserve">Source: </w:t>
      </w:r>
      <w:r>
        <w:t>Wiley: Angewandte Chemie International Edition: Table of Contents</w:t>
      </w:r>
      <w:r>
        <w:t xml:space="preserve">    </w:t>
      </w:r>
      <w:r>
        <w:rPr>
          <w:b/>
        </w:rPr>
        <w:t xml:space="preserve">Pub date: </w:t>
      </w:r>
      <w:r>
        <w:t>2026-08-05 14:53:20+00:00</w:t>
      </w:r>
      <w:r>
        <w:t xml:space="preserve">    </w:t>
      </w:r>
      <w:r>
        <w:rPr>
          <w:b/>
        </w:rPr>
        <w:t xml:space="preserve">DOI: </w:t>
      </w:r>
      <w:hyperlink r:id="rId1635">
        <w:r>
          <w:rPr>
            <w:color w:val="1155CC"/>
            <w:u w:val="single"/>
          </w:rPr>
          <w:t>10.1002/anie.4947785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二氟甲基 (–CF</w:t>
      </w:r>
      <w:r>
        <w:rPr>
          <w:vertAlign w:val="subscript"/>
        </w:rPr>
        <w:t>2</w:t>
      </w:r>
      <w:r>
        <w:t>H) 由于其调节亲脂性和代谢稳定性的能力而成为现代药物设计中的一个优先主题。它的氘代类似物，（氘代）二氟甲基（–CF</w:t>
      </w:r>
      <w:r>
        <w:rPr>
          <w:vertAlign w:val="subscript"/>
        </w:rPr>
        <w:t>2</w:t>
      </w:r>
      <w:r>
        <w:t>D），为增强代谢稳定性和实现独特的分子间相互作用提供了进一步的潜力。带有连位二氟甲基或（氘代）二氟甲基的分子可以作为药理学上重要的连位二醇和氨基醇的潜在生物等排体。因此，在烯烃上直接同时安装两个二氟甲基和（氘代）二氟甲基是一个重要的合成目标。为了解决当前的限制，我们在此引入了 2-CF</w:t>
      </w:r>
      <w:r>
        <w:rPr>
          <w:vertAlign w:val="subscript"/>
        </w:rPr>
        <w:t>2</w:t>
      </w:r>
      <w:r>
        <w:t>H(D)-咪唑鎓盐作为一种强大、用户友好的试剂平台，可用于多种烯烃的双（二氟甲基化）和双（氘）二氟甲基化，包括芳基取代和反应性较低的烷基衍生物。该方法的合成效用通过复杂分子的后期功能化和克级合成得到证明。初步机理研究揭示了它们在铜和光氧化还原催化中的独特行为。因此，这项工作将这些试剂建立为同时形成 C─CF 的多功能平台</w:t>
      </w:r>
      <w:r>
        <w:rPr>
          <w:vertAlign w:val="subscript"/>
        </w:rPr>
        <w:t>2</w:t>
      </w:r>
      <w:r>
        <w:t>H与C─CF</w:t>
      </w:r>
      <w:r>
        <w:rPr>
          <w:vertAlign w:val="subscript"/>
        </w:rPr>
        <w:t>2</w:t>
      </w:r>
      <w:r>
        <w:t>D 债券，r</w:t>
      </w:r>
    </w:p>
    <w:p>
      <w:pPr>
        <w:spacing w:before="0" w:after="200" w:lineRule="auto" w:line="276"/>
      </w:pPr>
      <w:r>
        <w:rPr>
          <w:b/>
        </w:rPr>
        <w:t xml:space="preserve">Abstract (EN): </w:t>
      </w:r>
      <w:r>
        <w:t>The difluoromethyl group (–CF</w:t>
      </w:r>
      <w:r>
        <w:rPr>
          <w:vertAlign w:val="subscript"/>
        </w:rPr>
        <w:t>2</w:t>
      </w:r>
      <w:r>
        <w:t>H) has emerged as a privileged motif in modern drug design due to its ability to modulate lipophilicity and metabolic stability. Its deuterated analogue, the (deuterio)difluoromethyl group (–CF</w:t>
      </w:r>
      <w:r>
        <w:rPr>
          <w:vertAlign w:val="subscript"/>
        </w:rPr>
        <w:t>2</w:t>
      </w:r>
      <w:r>
        <w:t>D), offers further potential for enhancing metabolic stability and enabling distinct intermolecular interactions. Molecules bearing vicinal difluoromethyl or (deuterio)difluoromethyl groups can serve as potential bioisosteres of pharmacologically important vicinal diols and amino alcohols. Consequently, the direct and simultaneous installation of two difluoromethyl and (deuterio)difluoromethyl groups across alkenes represents an important synthetic target. To address current limitations, we herein introduced 2‐CF</w:t>
      </w:r>
      <w:r>
        <w:rPr>
          <w:vertAlign w:val="subscript"/>
        </w:rPr>
        <w:t>2</w:t>
      </w:r>
      <w:r>
        <w:t>H(D)‐imidazolium salts as a robust, user‐friendly reagent platform for both bis(difluoromethylation) and bis(deuterio)difluoromethylation of a broad range of alkenes, including aryl‐substituted and less reactive alkyl derivatives. The synthetic utility of this method is demonstrated through late‐stage functionalization and gram‐scale synthesis of complex molecules. Preliminary mechanistic studies revealed their distinct behavior in copper and photoredox catalysis. As such, this work establishes these reagents as a versatile platform for the simultaneous formation of C─CF</w:t>
      </w:r>
      <w:r>
        <w:rPr>
          <w:vertAlign w:val="subscript"/>
        </w:rPr>
        <w:t>2</w:t>
      </w:r>
      <w:r>
        <w:t>H and C─CF</w:t>
      </w:r>
      <w:r>
        <w:rPr>
          <w:vertAlign w:val="subscript"/>
        </w:rPr>
        <w:t>2</w:t>
      </w:r>
      <w:r>
        <w:t>D bonds, representing a significant advance in the synthesis of valuable fluorinated and deuterated compounds.</w:t>
      </w:r>
    </w:p>
    <w:p>
      <w:pPr>
        <w:spacing w:before="120" w:after="120"/>
      </w:pPr>
      <w:r>
        <w:rPr>
          <w:sz w:val="18"/>
        </w:rPr>
        <w:t>——————————————————————————————————————————————————————————————————————</w:t>
      </w:r>
    </w:p>
    <w:p>
      <w:pPr>
        <w:spacing w:before="160" w:after="40" w:line="240" w:lineRule="auto"/>
      </w:pPr>
      <w:r>
        <w:rPr>
          <w:b/>
        </w:rPr>
        <w:t xml:space="preserve">[590] </w:t>
      </w:r>
      <w:hyperlink r:id="rId1636">
        <w:r>
          <w:rPr>
            <w:color w:val="1155CC"/>
            <w:u w:val="single"/>
          </w:rPr>
          <w:t>金属表面碳卟啉类聚合物中可调节的氧连通性</w:t>
        </w:r>
      </w:hyperlink>
    </w:p>
    <w:p>
      <w:pPr>
        <w:spacing w:before="0" w:after="80"/>
      </w:pPr>
      <w:r>
        <w:rPr>
          <w:i/>
          <w:sz w:val="20"/>
        </w:rPr>
        <w:t>EN: Tunable Oxygen Connectivity in Carbaporphyrinoid Polymers on Metal Surfaces</w:t>
      </w:r>
    </w:p>
    <w:p>
      <w:pPr>
        <w:spacing w:before="0" w:after="120"/>
      </w:pPr>
      <w:r>
        <w:rPr>
          <w:b/>
        </w:rPr>
        <w:t xml:space="preserve">Source: </w:t>
      </w:r>
      <w:r>
        <w:t>Wiley: Angewandte Chemie International Edition: Table of Contents</w:t>
      </w:r>
      <w:r>
        <w:t xml:space="preserve">    </w:t>
      </w:r>
      <w:r>
        <w:rPr>
          <w:b/>
        </w:rPr>
        <w:t xml:space="preserve">Pub date: </w:t>
      </w:r>
      <w:r>
        <w:t>2026-08-05 14:58:00+00:00</w:t>
      </w:r>
      <w:r>
        <w:t xml:space="preserve">    </w:t>
      </w:r>
      <w:r>
        <w:rPr>
          <w:b/>
        </w:rPr>
        <w:t xml:space="preserve">DOI: </w:t>
      </w:r>
      <w:hyperlink r:id="rId1637">
        <w:r>
          <w:rPr>
            <w:color w:val="1155CC"/>
            <w:u w:val="single"/>
          </w:rPr>
          <w:t>10.1002/anie.9635327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控制金属表面的氧介导的连接性为以原子精度设计共价和金属有机结构提供了一条强大的途径。在这里，我们展示了在超高真空 (UHV) 条件下 Au(111) 上的碳卟啉类聚合物中可调节的氧基连接。羟基官能化的二碳半紫菜嗪前体的初始热活化通过[3+3]环芳构化诱导碳-碳偶联，得到配备羟基封端单元的一维聚合物。从这个中间体可以实现两个不同的氧基连接：进一步退火诱导相邻聚合物通过羟基脱氢偶联，产生二苯并-对-二恶烷（O-杂环）桥，共价连接碳卟啉类大环，而添加钴则产生扩展的金属有机网络，该网络由伴随着钴金属化大环的双重O·Co·O配位基序稳定。扫描隧道显微镜（STM）和非接触原子力显微镜（nc-AFM）直接解析协调网络和O-杂环桥接基序。互补的 DFT 和自由能计算阐明了反应途径，而 X 射线光电子能谱 (XPS) 则揭示了导致 C-O-C 形成的特征化学位移，并表明了 Co·O 配位。这种可控的氧基连接提供了一个多功能平台来调整卟啉基聚合物的结构和电子性能。</w:t>
      </w:r>
    </w:p>
    <w:p>
      <w:pPr>
        <w:spacing w:before="0" w:after="200" w:lineRule="auto" w:line="276"/>
      </w:pPr>
      <w:r>
        <w:rPr>
          <w:b/>
        </w:rPr>
        <w:t xml:space="preserve">Abstract (EN): </w:t>
      </w:r>
      <w:r>
        <w:t>Controlling oxygen‐mediated connectivity at metal surfaces offers a powerful route to engineer covalent and metal–organic architectures with atomic precision. Here, we demonstrate tunable oxygen‐based connectivity in carbaporphyrinoid polymers on Au(111) under ultrahigh vacuum (UHV) conditions. Initial thermal activation of hydroxyl‐functionalized dicarbahemiporphyrazine precursors induces carbon–carbon coupling via a [3+3] cycloaromatization, affording one‐dimensional polymers equipped with hydroxyl‐terminated units. From this intermediate two distinct oxygen‐based linkages can be achieved: further annealing induces dehydrogenative coupling of adjacent polymers through the hydroxyls groups to yield dibenzo‐p‐dioxane (O‐heterocyclic) bridges that covalently connect the carbaporphyrinoid macrocycles, whereas dosing cobalt produces extended metal–organic networks stabilized by two‐fold O···Co···O coordination motifs accompanied by cobalt‐metalated macrocycles. Scanning tunneling microscopy (STM) and non‐contact atomic force microscopy (nc‐AFM) directly resolve both the coordinated networks and the O‐heterocyclic bridging motifs. Complementary DFT and Free energy calculations elucidate the reaction pathways, while x‐ray photoelectron spectroscopy (XPS) reveals characteristic chemical shifts that account for C–O–C formation and suggest Co···O coordination. This controllable oxygen‐based connectivity provides a versatile platform to tune structure and electronic properties in porphyrinoid‐based polymers.</w:t>
      </w:r>
    </w:p>
    <w:p>
      <w:pPr>
        <w:spacing w:before="120" w:after="120"/>
      </w:pPr>
      <w:r>
        <w:rPr>
          <w:sz w:val="18"/>
        </w:rPr>
        <w:t>——————————————————————————————————————————————————————————————————————</w:t>
      </w:r>
    </w:p>
    <w:p>
      <w:pPr>
        <w:spacing w:before="160" w:after="40" w:line="240" w:lineRule="auto"/>
      </w:pPr>
      <w:r>
        <w:rPr>
          <w:b/>
        </w:rPr>
        <w:t xml:space="preserve">[591] </w:t>
      </w:r>
      <w:hyperlink r:id="rId1638">
        <w:r>
          <w:rPr>
            <w:color w:val="1155CC"/>
            <w:u w:val="single"/>
          </w:rPr>
          <w:t>通过电子供体-受体复合物激活可见光诱导共轭聚合物的碳氢膦酰化</w:t>
        </w:r>
      </w:hyperlink>
    </w:p>
    <w:p>
      <w:pPr>
        <w:spacing w:before="0" w:after="80"/>
      </w:pPr>
      <w:r>
        <w:rPr>
          <w:i/>
          <w:sz w:val="20"/>
        </w:rPr>
        <w:t>EN: Visible‐Light‐Induced Carbon–Hydrogen Phosphonylation of Conjugated Polymers via Electron Donor–Acceptor Complex Activation</w:t>
      </w:r>
    </w:p>
    <w:p>
      <w:pPr>
        <w:spacing w:before="0" w:after="120"/>
      </w:pPr>
      <w:r>
        <w:rPr>
          <w:b/>
        </w:rPr>
        <w:t xml:space="preserve">Source: </w:t>
      </w:r>
      <w:r>
        <w:t>Wiley: Angewandte Chemie International Edition: Table of Contents</w:t>
      </w:r>
      <w:r>
        <w:t xml:space="preserve">    </w:t>
      </w:r>
      <w:r>
        <w:rPr>
          <w:b/>
        </w:rPr>
        <w:t xml:space="preserve">Pub date: </w:t>
      </w:r>
      <w:r>
        <w:t>2026-08-05 15:00:33+00:00</w:t>
      </w:r>
      <w:r>
        <w:t xml:space="preserve">    </w:t>
      </w:r>
      <w:r>
        <w:rPr>
          <w:b/>
        </w:rPr>
        <w:t xml:space="preserve">DOI: </w:t>
      </w:r>
      <w:hyperlink r:id="rId1639">
        <w:r>
          <w:rPr>
            <w:color w:val="1155CC"/>
            <w:u w:val="single"/>
          </w:rPr>
          <w:t>10.1002/anie.4746176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电子供体-受体（EDA）络合已成为可见光驱动反应的可持续策略。尽管许多基于 EDA 的转化已应用于芳香族小分子，但共轭聚合物 (CP) 尚未被探索作为 EDA 介导的功能化的底物。基于聚合物的 EDA 复合物包含扩展的 π 共轭系统，可降低激子结合能并促进红移吸收，从而实现高效的可见光采集。这些特性有望从本质上促进光诱导功能化。在这里，我们证明了聚（9,9-二辛基芴）（PFO）的光化学磷酸化是通过其 EDA 复合物的可见光激活诱导的。与单体模型化合物相比，PFO 的反应进行得更有效，这表明 CP 是 EDA 激发引发的光化学转化的有前途的底物。膦酰化主要在芴单元的 4 位进行，从而保留了聚合物主链的有效 π 共轭长度。此外，密度泛函理论计算表明，中间物质的稳定性更高，4 位取代所需的激发能更低，有利于该途径优于 3 位取代。这项研究建立了一个将CP集成到EDA介导的光化学反应中的新平台，为合成多功能功能聚合物材料提供了一种简便且可持续的途径。</w:t>
      </w:r>
    </w:p>
    <w:p>
      <w:pPr>
        <w:spacing w:before="0" w:after="200" w:lineRule="auto" w:line="276"/>
      </w:pPr>
      <w:r>
        <w:rPr>
          <w:b/>
        </w:rPr>
        <w:t xml:space="preserve">Abstract (EN): </w:t>
      </w:r>
      <w:r>
        <w:t>Electron donor–acceptor (EDA) complexation has emerged as a sustainable strategy for visible‐light‐driven reactions. Although numerous EDA‐based transformations have been applied to small aromatic molecules, conjugated polymers (CPs) have not yet been explored as substrates for EDA‐mediated functionalization. Polymer‐based EDA complexes comprise extended π‐conjugation systems that reduce exciton‐binding energy and facilitate red‐shifted absorption, thereby enabling efficient visible‐light harvesting. These characteristics are expected to intrinsically promote photoinduced functionalization. Here, we demonstrate the photochemical phosphonylation of poly(9,9‐dioctylfluorene) (PFO) induced via the visible‐light activation of its EDA complex. Compared with a monomeric model compound, the reaction of PFO proceeded more efficiently, indicating that CPs are promising substrates for EDA‐excitation‐initiated photochemical transformations. Phosphonylation predominantly proceeded at the 4‐position of the fluorene units, thereby preserving the effective π‐conjugation length of the polymer backbone. Furthermore, density functional theory calculations revealed that the greater stability of the intermediate species and the lower excitation energy required for 4‐position substitution favored that pathway over 3‐position substitution. This study establishes a new platform for integrating CPs into EDA‐mediated photochemical reactions, offering a facile and sustainable route for the synthesis of versatile functional polymer materials.</w:t>
      </w:r>
    </w:p>
    <w:p>
      <w:pPr>
        <w:spacing w:before="120" w:after="120"/>
      </w:pPr>
      <w:r>
        <w:rPr>
          <w:sz w:val="18"/>
        </w:rPr>
        <w:t>——————————————————————————————————————————————————————————————————————</w:t>
      </w:r>
    </w:p>
    <w:p>
      <w:pPr>
        <w:spacing w:before="160" w:after="40" w:line="240" w:lineRule="auto"/>
      </w:pPr>
      <w:r>
        <w:rPr>
          <w:b/>
        </w:rPr>
        <w:t xml:space="preserve">[592] </w:t>
      </w:r>
      <w:hyperlink r:id="rId1640">
        <w:r>
          <w:rPr>
            <w:color w:val="1155CC"/>
            <w:u w:val="single"/>
          </w:rPr>
          <w:t>宿主脱芳构化以延长室温磷光</w:t>
        </w:r>
      </w:hyperlink>
    </w:p>
    <w:p>
      <w:pPr>
        <w:spacing w:before="0" w:after="80"/>
      </w:pPr>
      <w:r>
        <w:rPr>
          <w:i/>
          <w:sz w:val="20"/>
        </w:rPr>
        <w:t>EN: Host Dearomatization for Prolonging Room‐Temperature Phosphorescence</w:t>
      </w:r>
    </w:p>
    <w:p>
      <w:pPr>
        <w:spacing w:before="0" w:after="120"/>
      </w:pPr>
      <w:r>
        <w:rPr>
          <w:b/>
        </w:rPr>
        <w:t xml:space="preserve">Source: </w:t>
      </w:r>
      <w:r>
        <w:t>Wiley: Angewandte Chemie International Edition: Table of Contents</w:t>
      </w:r>
      <w:r>
        <w:t xml:space="preserve">    </w:t>
      </w:r>
      <w:r>
        <w:rPr>
          <w:b/>
        </w:rPr>
        <w:t xml:space="preserve">Pub date: </w:t>
      </w:r>
      <w:r>
        <w:t>2026-08-05 15:05:03+00:00</w:t>
      </w:r>
      <w:r>
        <w:t xml:space="preserve">    </w:t>
      </w:r>
      <w:r>
        <w:rPr>
          <w:b/>
        </w:rPr>
        <w:t xml:space="preserve">DOI: </w:t>
      </w:r>
      <w:hyperlink r:id="rId1641">
        <w:r>
          <w:rPr>
            <w:color w:val="1155CC"/>
            <w:u w:val="single"/>
          </w:rPr>
          <w:t>10.1002/anie.6451405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结构可调性和易于制造，主客体掺杂已成为构建有机室温磷光（RTP）材料的强大平台。然而，分子设计主要集中在客体分子上，而主体筛选缺乏系统的理论指导。在这里，我们提出了一种主体脱芳构化策略，可以延长掺杂系统的余辉。通过将主体中的苯环转化为环己烷结构，掺杂体系的RTP寿命显着延长，最大增强达到58.65倍。机理研究表明，寿命的延长是由于三线态-三线态能量转移和电子耦合的增强，这是通过脱芳构化时分子间距离的减小而实现的。该策略在不同的主机和客户系统中表现出普遍性。这些掺杂系统进一步应用于时间分辨信息加密系统和可切换粘合材料。该研究从主体分子框架出发，为有机RTP材料的合理设计提供了通用且有效的策略。</w:t>
      </w:r>
    </w:p>
    <w:p>
      <w:pPr>
        <w:spacing w:before="0" w:after="200" w:lineRule="auto" w:line="276"/>
      </w:pPr>
      <w:r>
        <w:rPr>
          <w:b/>
        </w:rPr>
        <w:t xml:space="preserve">Abstract (EN): </w:t>
      </w:r>
      <w:r>
        <w:t>Host–guest doping has emerged as a powerful platform for constructing organic room‐temperature phosphorescence (RTP) materials, owing to its structural tunability and facile fabrication. However, molecular design has largely focused on guest molecules, while host screening lacks systematic theoretical guidance. Here, we propose a host dearomatization strategy that prolongs the afterglow of doped systems. By converting the benzene ring into a cyclohexane structure in the host, the RTP lifetimes of the doped systems are significantly prolonged, with the maximum enhancement reaching a 58.65‐fold increase. Mechanistic studies indicate that the extended lifetime arises from enhanced triplet‐triplet energy transfer and electronic coupling, enabled by the reduced intermolecular distance upon dearomatization. This strategy exhibits universality across diverse host and guest systems. These doped systems are further applied in time‐resolved information encryption systems and switchable adhesive materials. Starting from the host molecular framework, this study provides a universal and efficient strategy for the rational design of organic RTP materials.</w:t>
      </w:r>
    </w:p>
    <w:p>
      <w:pPr>
        <w:spacing w:before="120" w:after="120"/>
      </w:pPr>
      <w:r>
        <w:rPr>
          <w:sz w:val="18"/>
        </w:rPr>
        <w:t>——————————————————————————————————————————————————————————————————————</w:t>
      </w:r>
    </w:p>
    <w:p>
      <w:pPr>
        <w:spacing w:before="160" w:after="40" w:line="240" w:lineRule="auto"/>
      </w:pPr>
      <w:r>
        <w:rPr>
          <w:b/>
        </w:rPr>
        <w:t xml:space="preserve">[593] </w:t>
      </w:r>
      <w:hyperlink r:id="rId1642">
        <w:r>
          <w:rPr>
            <w:color w:val="1155CC"/>
            <w:u w:val="single"/>
          </w:rPr>
          <w:t>一种基于 ELISA 的自传播点击荧光和释放测定法，用于超灵敏检测肺癌患者血浆中的 CD13</w:t>
        </w:r>
      </w:hyperlink>
    </w:p>
    <w:p>
      <w:pPr>
        <w:spacing w:before="0" w:after="80"/>
      </w:pPr>
      <w:r>
        <w:rPr>
          <w:i/>
          <w:sz w:val="20"/>
        </w:rPr>
        <w:t>EN: An ELISA‐Inspired Self‐Propagating Click‐Fluoresce‐and‐Release Assay for the Ultrasensitive Detection of CD13 in Lung Cancer Patient Plasma</w:t>
      </w:r>
    </w:p>
    <w:p>
      <w:pPr>
        <w:spacing w:before="0" w:after="120"/>
      </w:pPr>
      <w:r>
        <w:rPr>
          <w:b/>
        </w:rPr>
        <w:t xml:space="preserve">Source: </w:t>
      </w:r>
      <w:r>
        <w:t>Wiley: Angewandte Chemie International Edition: Table of Contents</w:t>
      </w:r>
      <w:r>
        <w:t xml:space="preserve">    </w:t>
      </w:r>
      <w:r>
        <w:rPr>
          <w:b/>
        </w:rPr>
        <w:t xml:space="preserve">Pub date: </w:t>
      </w:r>
      <w:r>
        <w:t>2026-08-05 15:09:14+00:00</w:t>
      </w:r>
      <w:r>
        <w:t xml:space="preserve">    </w:t>
      </w:r>
      <w:r>
        <w:rPr>
          <w:b/>
        </w:rPr>
        <w:t xml:space="preserve">DOI: </w:t>
      </w:r>
      <w:hyperlink r:id="rId1643">
        <w:r>
          <w:rPr>
            <w:color w:val="1155CC"/>
            <w:u w:val="single"/>
          </w:rPr>
          <w:t>10.1002/anie.5574366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反应动力学缓慢和固有的化学计量限制，基于反应的荧光探针在生物标志物检测中通常灵敏度有限。受到酶联免疫吸附测定（ELISA）中捕获和检测解耦的启发，我们开发了点击荧光和释放（CFR）系统，这是一个包含捕获探针和检测探针的两步检测平台。捕获探针将酶生物标志物的检测转化为四嗪的检测，然后检测探针通过荧光点击反应特异性识别四嗪。重要的是，这种点击反应同时再生了四嗪分子，建立了信号放大的自传播循环。与传统的基于反应的荧光探针相比，CFR 表现出卓越的检测限和增强的区分低生物标志物水平的能力，这一点通过复杂生物流体中 CD13 的超灵敏检测得到了验证。值得注意的是，通过这种策略，我们发现与早期患者和健康参与者相比，晚期肺癌患者的血浆 CD13 水平显着升高。鉴于其模块化设计，CFR 只需更换捕获探针即可轻松适应各种生物标志物的灵敏检测。</w:t>
      </w:r>
    </w:p>
    <w:p>
      <w:pPr>
        <w:spacing w:before="0" w:after="200" w:lineRule="auto" w:line="276"/>
      </w:pPr>
      <w:r>
        <w:rPr>
          <w:b/>
        </w:rPr>
        <w:t xml:space="preserve">Abstract (EN): </w:t>
      </w:r>
      <w:r>
        <w:t>Reaction‐based fluorescent probes often suffer from limited sensitivity in biomarker detection due to slow reaction kinetics and inherent stoichiometric constraints. Inspired by the decoupling of capture and detection in the enzyme‐linked immunosorbent assay (ELISA), we developed a click fluoresce and release (CFR) system, which is a two‐step detection platform comprising a capture probe and a detection probe. The capture probe converts the detection of an enzyme biomarker into the detection of tetrazine, which is then specifically recognized by the detection probe through a fluorogenic click reaction. Importantly, this click reaction simultaneously regenerates a molecule of tetrazine, establishing a self‐propagating cycle for signal amplification. CFR demonstrates superior detection limits and enhanced ability to discriminate low biomarker levels compared to conventional reaction‐based fluorescent probes, as validated by ultrasensitive detection of CD13 in complex biofluids. Notably, with this strategy, we found that plasma CD13 levels are significantly elevated in advanced lung cancer patients compared with early‐stage patients and healthy participants. Given its modular design, CFR can be readily adapted for the sensitive detection of various biomarkers by simply replacing the capture probe.</w:t>
      </w:r>
    </w:p>
    <w:p>
      <w:pPr>
        <w:spacing w:before="120" w:after="120"/>
      </w:pPr>
      <w:r>
        <w:rPr>
          <w:sz w:val="18"/>
        </w:rPr>
        <w:t>——————————————————————————————————————————————————————————————————————</w:t>
      </w:r>
    </w:p>
    <w:p>
      <w:pPr>
        <w:spacing w:before="160" w:after="40" w:line="240" w:lineRule="auto"/>
      </w:pPr>
      <w:r>
        <w:rPr>
          <w:b/>
        </w:rPr>
        <w:t xml:space="preserve">[594] </w:t>
      </w:r>
      <w:hyperlink r:id="rId1644">
        <w:r>
          <w:rPr>
            <w:color w:val="1155CC"/>
            <w:u w:val="single"/>
          </w:rPr>
          <w:t>银催化双环[1.1.0]丁烷与乙烯基卡宾的乙烯基C(sp3)–C(sp3)偶联</w:t>
        </w:r>
      </w:hyperlink>
    </w:p>
    <w:p>
      <w:pPr>
        <w:spacing w:before="0" w:after="80"/>
      </w:pPr>
      <w:r>
        <w:rPr>
          <w:i/>
          <w:sz w:val="20"/>
        </w:rPr>
        <w:t>EN: Silver‐Catalyzed Vinylogous C(sp3)–C(sp3) Coupling of Bicyclo[1.1.0]Butanes With Vinylcarbenes</w:t>
      </w:r>
    </w:p>
    <w:p>
      <w:pPr>
        <w:spacing w:before="0" w:after="120"/>
      </w:pPr>
      <w:r>
        <w:rPr>
          <w:b/>
        </w:rPr>
        <w:t xml:space="preserve">Source: </w:t>
      </w:r>
      <w:r>
        <w:t>Wiley: Angewandte Chemie International Edition: Table of Contents</w:t>
      </w:r>
      <w:r>
        <w:t xml:space="preserve">    </w:t>
      </w:r>
      <w:r>
        <w:rPr>
          <w:b/>
        </w:rPr>
        <w:t xml:space="preserve">Pub date: </w:t>
      </w:r>
      <w:r>
        <w:t>2026-08-05 15:11:01+00:00</w:t>
      </w:r>
      <w:r>
        <w:t xml:space="preserve">    </w:t>
      </w:r>
      <w:r>
        <w:rPr>
          <w:b/>
        </w:rPr>
        <w:t xml:space="preserve">DOI: </w:t>
      </w:r>
      <w:hyperlink r:id="rId1645">
        <w:r>
          <w:rPr>
            <w:color w:val="1155CC"/>
            <w:u w:val="single"/>
          </w:rPr>
          <w:t>10.1002/anie.1425075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由于类胡萝卜素中心本质上具有高反应性，金属乙烯基卡宾的插烯反应性——特别是季烷基-烯丙基键的选择性构建——在有机合成中仍然很大程度上未被充分探索。我们在此描述了第一个银催化的插烯C(sp</w:t>
      </w:r>
      <w:r>
        <w:rPr>
          <w:vertAlign w:val="subscript"/>
        </w:rPr>
        <w:t>3</w:t>
      </w:r>
      <w:r>
        <w:t>)–C(sp</w:t>
      </w:r>
      <w:r>
        <w:rPr>
          <w:vertAlign w:val="subscript"/>
        </w:rPr>
        <w:t>3</w:t>
      </w:r>
      <w:r>
        <w:t>）双环[1.1.0]丁烷（BCB）与乙烯基三甲苯基腙原位生成的乙烯基卡宾的交叉偶联。该反应在温和条件下进行，以高产率、优异的区域选择性和非对映选择性提供多种含有季碳中心的烯丙基取代的环丁烯。环丁烯衍生物的进一步衍生化验证了它们作为各种下游合成操作的多功能合成关键的作用。机理研究与 DFT 计算相结合，阐明了 BCB 与银乙烯基卡宾的前所未有的 γ 加成，随后是 1,5-质子转移途径，揭示了这种转化的独特区域选择性和非对映选择性的基本基础。</w:t>
      </w:r>
    </w:p>
    <w:p>
      <w:pPr>
        <w:spacing w:before="0" w:after="200" w:lineRule="auto" w:line="276"/>
      </w:pPr>
      <w:r>
        <w:rPr>
          <w:b/>
        </w:rPr>
        <w:t xml:space="preserve">Abstract (EN): </w:t>
      </w:r>
      <w:r>
        <w:t>Owing to the intrinsically high reactivity of the carbenoid center, the vinylogous reactivity of metallovinylcarbenes—specifically the selective construction of quaternary alkyl–allyl bonds—remains largely underexplored in organic synthesis. We herein describe the first silver‐catalyzed vinylogous C(sp</w:t>
      </w:r>
      <w:r>
        <w:rPr>
          <w:vertAlign w:val="subscript"/>
        </w:rPr>
        <w:t>3</w:t>
      </w:r>
      <w:r>
        <w:t>)–C(sp</w:t>
      </w:r>
      <w:r>
        <w:rPr>
          <w:vertAlign w:val="subscript"/>
        </w:rPr>
        <w:t>3</w:t>
      </w:r>
      <w:r>
        <w:t>) cross‐coupling of bicyclo[1.1.0]butanes (BCBs) with in situ‐generated vinylcarbenes from vinyl triftosylhydrazones. This reaction proceeds under mild conditions, furnishing diverse allyl‐substituted cyclobutenes containing a quaternary carbon center with high yields, excellent regioselectivity, and diastereoselectivity. Further derivatization of the cyclobutene derivatives verifies their role as versatile synthetic linchpins for various downstream synthetic operations. Mechanistic studies combined with DFT calculations clarify an unprecedented γ‑addition of BCBs to silver vinylcarbene, followed by a 1,5‐proton transfer pathway, revealing the fundamental basis for the exclusive regio‐ and diastereoselectivity of this transformation.</w:t>
      </w:r>
    </w:p>
    <w:p>
      <w:pPr>
        <w:spacing w:before="120" w:after="120"/>
      </w:pPr>
      <w:r>
        <w:rPr>
          <w:sz w:val="18"/>
        </w:rPr>
        <w:t>——————————————————————————————————————————————————————————————————————</w:t>
      </w:r>
    </w:p>
    <w:p>
      <w:pPr>
        <w:spacing w:before="160" w:after="40" w:line="240" w:lineRule="auto"/>
      </w:pPr>
      <w:r>
        <w:rPr>
          <w:b/>
        </w:rPr>
        <w:t xml:space="preserve">[595] </w:t>
      </w:r>
      <w:hyperlink r:id="rId1646">
        <w:r>
          <w:rPr>
            <w:color w:val="1155CC"/>
            <w:u w:val="single"/>
          </w:rPr>
          <w:t>通过立体锁定空间相互作用实现窄带碳氢化合物发射器</w:t>
        </w:r>
      </w:hyperlink>
    </w:p>
    <w:p>
      <w:pPr>
        <w:spacing w:before="0" w:after="80"/>
      </w:pPr>
      <w:r>
        <w:rPr>
          <w:i/>
          <w:sz w:val="20"/>
        </w:rPr>
        <w:t>EN: Narrowband Hydrocarbon Emitters Enabled by Stereo‐Locked Through‐Space Interactions</w:t>
      </w:r>
    </w:p>
    <w:p>
      <w:pPr>
        <w:spacing w:before="0" w:after="120"/>
      </w:pPr>
      <w:r>
        <w:rPr>
          <w:b/>
        </w:rPr>
        <w:t xml:space="preserve">Source: </w:t>
      </w:r>
      <w:r>
        <w:t>Wiley: Angewandte Chemie International Edition: Table of Contents</w:t>
      </w:r>
      <w:r>
        <w:t xml:space="preserve">    </w:t>
      </w:r>
      <w:r>
        <w:rPr>
          <w:b/>
        </w:rPr>
        <w:t xml:space="preserve">Pub date: </w:t>
      </w:r>
      <w:r>
        <w:t>2026-08-05 15:12:47+00:00</w:t>
      </w:r>
      <w:r>
        <w:t xml:space="preserve">    </w:t>
      </w:r>
      <w:r>
        <w:rPr>
          <w:b/>
        </w:rPr>
        <w:t xml:space="preserve">DOI: </w:t>
      </w:r>
      <w:hyperlink r:id="rId1647">
        <w:r>
          <w:rPr>
            <w:color w:val="1155CC"/>
            <w:u w:val="single"/>
          </w:rPr>
          <w:t>10.1002/anie.1534079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窄带发射的高纯度发射器是下一代显示器和照明的关键要求，但对于纯有机材料，特别是在纯紫光区域，这仍然是一个巨大的挑战。本文提出了一种基于“立体锁”概念的通用分子设计策略，以仅由碳和氢构成的二芳基苯衍生物为代表。该策略有效地抑制了分子​​内 C─C/C─H 拉伸，并通过两个芳基之间的分子内空间相互作用减弱了振动耦合，从而在 80 K 下产生了创纪录的半峰全宽 (FWHM)，仅 6 nm。在固态下，它们的聚集体具有分子间正激子耦合，引起量子干涉，选择性地猝灭</w:t>
      </w:r>
      <w:r>
        <w:t xml:space="preserve"> </w:t>
      </w:r>
      <w:r>
        <w:t>v</w:t>
      </w:r>
      <w:r>
        <w:t xml:space="preserve"> </w:t>
      </w:r>
      <w:r>
        <w:t>0-0</w:t>
      </w:r>
      <w:r>
        <w:t xml:space="preserve"> </w:t>
      </w:r>
      <w:r>
        <w:t>跃迁，导致室温下的半高宽为 17 nm。利用这种协同作用，实现了具有纯紫色电致发光、FWHM 为 18 nm、CIE 坐标为 (0.165, 0.022) 的二芳基苯基 OLED 器件。这种立体锁定架构规避了纯碳氢化合物中振动耦合的基本限制，并解决了高颜色纯度紫色 OLED 的缺失问题，为窄带发射器建立了强大且通用的设计范例。</w:t>
      </w:r>
    </w:p>
    <w:p>
      <w:pPr>
        <w:spacing w:before="0" w:after="200" w:lineRule="auto" w:line="276"/>
      </w:pPr>
      <w:r>
        <w:rPr>
          <w:b/>
        </w:rPr>
        <w:t xml:space="preserve">Abstract (EN): </w:t>
      </w:r>
      <w:r>
        <w:t>High‐purity emitters with a narrowband emission are a critical requirement for next‐generation displays and lighting, yet it remains a formidable challenge for purely organic materials, particularly in the pure‐violet region. Herein, a general molecular design strategy based on the “stereo‐lock” concept, represented by diarylbenzene derivatives solely from carbon and hydrogen, is presented. This strategy effectively suppresses intramolecular C─C/C─H stretching and attenuates vibronic coupling via intramolecular through‐space interactions between two aryl groups, yielding a record full width at half maximum (FWHM) of merely 6 nm at 80 K from a single molecule. In the solid state, their aggregates with intermolecular positive exciton coupling induce quantum interference that selectively quenches the</w:t>
      </w:r>
      <w:r>
        <w:t xml:space="preserve"> </w:t>
      </w:r>
      <w:r>
        <w:t>v</w:t>
      </w:r>
      <w:r>
        <w:t xml:space="preserve"> </w:t>
      </w:r>
      <w:r>
        <w:t>0‐0</w:t>
      </w:r>
      <w:r>
        <w:t xml:space="preserve"> </w:t>
      </w:r>
      <w:r>
        <w:t>transition, resulting in an FWHM of 17 nm at room temperature. Leveraging this synergy, diarylbenzene‐based OLED devices with pure‐violet electroluminescence with an 18 nm FWHM and a CIE coordinate of (0.165, 0.022) are achieved. This stereo‐lock architecture circumvents the fundamental limitation of vibronic coupling in pure hydrocarbons and addresses the absence of high‐color‐purity violet OLEDs, establishing a powerful and versatile design paradigm for narrowband emitters.</w:t>
      </w:r>
    </w:p>
    <w:p>
      <w:pPr>
        <w:spacing w:before="120" w:after="120"/>
      </w:pPr>
      <w:r>
        <w:rPr>
          <w:sz w:val="18"/>
        </w:rPr>
        <w:t>——————————————————————————————————————————————————————————————————————</w:t>
      </w:r>
    </w:p>
    <w:p>
      <w:pPr>
        <w:spacing w:before="160" w:after="40" w:line="240" w:lineRule="auto"/>
      </w:pPr>
      <w:r>
        <w:rPr>
          <w:b/>
        </w:rPr>
        <w:t xml:space="preserve">[596] </w:t>
      </w:r>
      <w:hyperlink r:id="rId1648">
        <w:r>
          <w:rPr>
            <w:color w:val="1155CC"/>
            <w:u w:val="single"/>
          </w:rPr>
          <w:t>逆量子井工程解锁了防水二维杂化氟锆酸盐中的大紫外手性非线性光学响应</w:t>
        </w:r>
      </w:hyperlink>
    </w:p>
    <w:p>
      <w:pPr>
        <w:spacing w:before="0" w:after="80"/>
      </w:pPr>
      <w:r>
        <w:rPr>
          <w:i/>
          <w:sz w:val="20"/>
        </w:rPr>
        <w:t>EN: Reversed Quantum‐Well Engineering Unlocks Large Ultraviolet Chiral Nonlinear Optical Response in a Water‐Resistant 2D Hybrid Fluorozirconate</w:t>
      </w:r>
    </w:p>
    <w:p>
      <w:pPr>
        <w:spacing w:before="0" w:after="120"/>
      </w:pPr>
      <w:r>
        <w:rPr>
          <w:b/>
        </w:rPr>
        <w:t xml:space="preserve">Source: </w:t>
      </w:r>
      <w:r>
        <w:t>Wiley: Angewandte Chemie International Edition: Table of Contents</w:t>
      </w:r>
      <w:r>
        <w:t xml:space="preserve">    </w:t>
      </w:r>
      <w:r>
        <w:rPr>
          <w:b/>
        </w:rPr>
        <w:t xml:space="preserve">Pub date: </w:t>
      </w:r>
      <w:r>
        <w:t>2026-08-05 15:17:13+00:00</w:t>
      </w:r>
      <w:r>
        <w:t xml:space="preserve">    </w:t>
      </w:r>
      <w:r>
        <w:rPr>
          <w:b/>
        </w:rPr>
        <w:t xml:space="preserve">DOI: </w:t>
      </w:r>
      <w:hyperlink r:id="rId1649">
        <w:r>
          <w:rPr>
            <w:color w:val="1155CC"/>
            <w:u w:val="single"/>
          </w:rPr>
          <w:t>10.1002/anie.7041180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二维（2D）手性有机-无机杂化金属卤化物（OIHMH）在手性光学应用中具有广阔的前景。然而，传统的 Ge/Sn/Pb 基系统仍然受到带隙窄和水分稳定性差的限制。在这项工作中，我们报告了第一个二维手性杂化氟锆酸盐，（</w:t>
      </w:r>
      <w:r>
        <w:t xml:space="preserve"> </w:t>
      </w:r>
      <w:r>
        <w:t>遥控/遥控</w:t>
      </w:r>
      <w:r>
        <w:t xml:space="preserve"> </w:t>
      </w:r>
      <w:r>
        <w:t>‐MBA)ZrF</w:t>
      </w:r>
      <w:r>
        <w:rPr>
          <w:vertAlign w:val="subscript"/>
        </w:rPr>
        <w:t>5</w:t>
      </w:r>
      <w:r>
        <w:t>（MBA = 甲基苄基铵），通过高价 Zr─F 框架实现的逆量子阱工程解决了这些限制。它具有独特的反向 I 型量子阱电子结构，其中 [ZrF</w:t>
      </w:r>
      <w:r>
        <w:rPr>
          <w:vertAlign w:val="subscript"/>
        </w:rPr>
        <w:t>5</w:t>
      </w:r>
      <w:r>
        <w:t>] 无机层充当介电势垒，带边态位于有机 MBA 阳离子上。该结构产生 4.60 eV 的宽带隙、265 nm 的短紫外线截止边缘以及超过 1251.58 GW/cm 的高激光诱导损伤阈值</w:t>
      </w:r>
      <w:r>
        <w:rPr>
          <w:vertAlign w:val="subscript"/>
        </w:rPr>
        <w:t>2</w:t>
      </w:r>
      <w:r>
        <w:t>，为紫外线区域提供了广阔的透明窗口。此外，（</w:t>
      </w:r>
      <w:r>
        <w:t xml:space="preserve"> </w:t>
      </w:r>
      <w:r>
        <w:t>遥控/遥控</w:t>
      </w:r>
      <w:r>
        <w:t xml:space="preserve"> </w:t>
      </w:r>
      <w:r>
        <w:t>‐MBA)ZrF</w:t>
      </w:r>
      <w:r>
        <w:rPr>
          <w:vertAlign w:val="subscript"/>
        </w:rPr>
        <w:t>5</w:t>
      </w:r>
      <w:r>
        <w:t>表现出大的 SHG 圆二色性 (SHG-CD) 响应，各向异性因子为 1.05。更重要的是，它克服了 OIHMH 典型的湿度敏感性，在浸水 7 天后仍保持其结构稳定性和 SHG-CD 响应。结构分析和理论计算表明，这种不同寻常的耐水性主要归因于坚固的 Zr─F 骨架和有效的钙</w:t>
      </w:r>
    </w:p>
    <w:p>
      <w:pPr>
        <w:spacing w:before="0" w:after="200" w:lineRule="auto" w:line="276"/>
      </w:pPr>
      <w:r>
        <w:rPr>
          <w:b/>
        </w:rPr>
        <w:t xml:space="preserve">Abstract (EN): </w:t>
      </w:r>
      <w:r>
        <w:t>Two‐dimensional (2D) chiral organic–inorganic hybrid metal halides (OIHMHs) are promising for chiroptical applications. However, conventional Ge/Sn/Pb‐based systems remain limited by narrow bandgaps and poor moisture stability. In this work, we report the first 2D chiral hybrid fluorozirconate, (</w:t>
      </w:r>
      <w:r>
        <w:t xml:space="preserve"> </w:t>
      </w:r>
      <w:r>
        <w:t>R/S</w:t>
      </w:r>
      <w:r>
        <w:t xml:space="preserve"> </w:t>
      </w:r>
      <w:r>
        <w:t>‐MBA)ZrF</w:t>
      </w:r>
      <w:r>
        <w:rPr>
          <w:vertAlign w:val="subscript"/>
        </w:rPr>
        <w:t>5</w:t>
      </w:r>
      <w:r>
        <w:t>(MBA = methylbenzylammonium), addressing these limitations through reversed quantum‐well engineering enabled by a high‐valent Zr─F framework. It features a unique reversed Type‐I quantum‐well electronic structure, where the [ZrF</w:t>
      </w:r>
      <w:r>
        <w:rPr>
          <w:vertAlign w:val="subscript"/>
        </w:rPr>
        <w:t>5</w:t>
      </w:r>
      <w:r>
        <w:t>] inorganic layer acts as a dielectric barrier and the band‐edge states are localized on the organic MBA cations. This structure yields a wide bandgap of 4.60 eV, a short UV cutoff edge of 265 nm, and a high laser‐induced damage threshold exceeding 1251.58 GW/cm</w:t>
      </w:r>
      <w:r>
        <w:rPr>
          <w:vertAlign w:val="subscript"/>
        </w:rPr>
        <w:t>2</w:t>
      </w:r>
      <w:r>
        <w:t>, providing a broad transparency window toward the UV region. Furthermore, (</w:t>
      </w:r>
      <w:r>
        <w:t xml:space="preserve"> </w:t>
      </w:r>
      <w:r>
        <w:t>R/S</w:t>
      </w:r>
      <w:r>
        <w:t xml:space="preserve"> </w:t>
      </w:r>
      <w:r>
        <w:t>‐MBA)ZrF</w:t>
      </w:r>
      <w:r>
        <w:rPr>
          <w:vertAlign w:val="subscript"/>
        </w:rPr>
        <w:t>5</w:t>
      </w:r>
      <w:r>
        <w:t>exhibits a large SHG circular dichroism (SHG‐CD) response with an anisotropy factor of 1.05. More importantly, it overcomes the typical moisture‐sensitivity of OIHMHs, maintaining its structural stability and SHG‐CD response after a 7‐day water immersion. Structural analysis and theoretical calculations reveal this unusual water resistance is mainly attributed to the robust Zr─F framework and an effective cavity volume of 3.6%. This work highlights reversed quantum‐well engineering as a novel way to synthesize water‐stable and wide bandgap chiral nonlinear optical materials.</w:t>
      </w:r>
    </w:p>
    <w:p>
      <w:pPr>
        <w:spacing w:before="120" w:after="120"/>
      </w:pPr>
      <w:r>
        <w:rPr>
          <w:sz w:val="18"/>
        </w:rPr>
        <w:t>——————————————————————————————————————————————————————————————————————</w:t>
      </w:r>
    </w:p>
    <w:p>
      <w:pPr>
        <w:spacing w:before="160" w:after="40" w:line="240" w:lineRule="auto"/>
      </w:pPr>
      <w:r>
        <w:rPr>
          <w:b/>
        </w:rPr>
        <w:t xml:space="preserve">[597] </w:t>
      </w:r>
      <w:hyperlink r:id="rId1650">
        <w:r>
          <w:rPr>
            <w:color w:val="1155CC"/>
            <w:u w:val="single"/>
          </w:rPr>
          <w:t>超越 PXRD 图案匹配：共价有机框架中严格的结构测定</w:t>
        </w:r>
      </w:hyperlink>
    </w:p>
    <w:p>
      <w:pPr>
        <w:spacing w:before="0" w:after="80"/>
      </w:pPr>
      <w:r>
        <w:rPr>
          <w:i/>
          <w:sz w:val="20"/>
        </w:rPr>
        <w:t>EN: Beyond PXRD Pattern Matching: Toward Rigorous Structure Determination in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2026-08-05 15:20:38+00:00</w:t>
      </w:r>
      <w:r>
        <w:t xml:space="preserve">    </w:t>
      </w:r>
      <w:r>
        <w:rPr>
          <w:b/>
        </w:rPr>
        <w:t xml:space="preserve">DOI: </w:t>
      </w:r>
      <w:hyperlink r:id="rId1651">
        <w:r>
          <w:rPr>
            <w:color w:val="1155CC"/>
            <w:u w:val="single"/>
          </w:rPr>
          <w:t>10.1002/anie.2132280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对定性粉末 X 射线衍射 (PXRD) 图案匹配的广泛依赖导致了对共价有机骨架 (COF) 结构的系统性过度解释。因此，结构与性能的关系常常被掩盖，机械结论可能会产生误导，并且报告的性能并不总是可重复的。在这个视角中，我们仔细研究了当前实践中的常见弱点，重点关注所提出的结构模型和用于支持它们的表征数据之间的不匹配。通过代表性案例研究，我们展示了这些不一致是如何产生的以及它们为何重要。我们认为，需要通过补充表征技术实现更严格、基于证据的方法来确定可靠的结构。我们还强调透明数据报告和存储的重要性，并引入实用清单来帮助作者、审稿人和编辑评估 COF 中结构声明的强度。</w:t>
      </w:r>
    </w:p>
    <w:p>
      <w:pPr>
        <w:spacing w:before="0" w:after="200" w:lineRule="auto" w:line="276"/>
      </w:pPr>
      <w:r>
        <w:rPr>
          <w:b/>
        </w:rPr>
        <w:t xml:space="preserve">Abstract (EN): </w:t>
      </w:r>
      <w:r>
        <w:t>Widespread reliance on qualitative powder x‐ray diffraction (PXRD) pattern matching has led to systematic overinterpretation of covalent organic framework (COF) structures. As a result, structure–property relationships are often obscured, mechanistic conclusions can be misleading, and reported performance is not always reproducible. In this Perspective, we take a closer look at common weaknesses in current practice, focusing on mismatches between proposed structural models and the characterization data used to support them. Through representative case studies, we show how these inconsistencies arise and why they matter. We argue that more rigorous, evidence‐based approaches, achieved via complementary characterization techniques, are needed for reliable structure determination. We also emphasize the importance of transparent data reporting and deposition, and introduce a practical checklist to help authors, reviewers, and editors assess the strength of structural claims in COFs.</w:t>
      </w:r>
    </w:p>
    <w:p>
      <w:pPr>
        <w:spacing w:before="120" w:after="120"/>
      </w:pPr>
      <w:r>
        <w:rPr>
          <w:sz w:val="18"/>
        </w:rPr>
        <w:t>——————————————————————————————————————————————————————————————————————</w:t>
      </w:r>
    </w:p>
    <w:p>
      <w:pPr>
        <w:spacing w:before="160" w:after="40" w:line="240" w:lineRule="auto"/>
      </w:pPr>
      <w:r>
        <w:rPr>
          <w:b/>
        </w:rPr>
        <w:t xml:space="preserve">[598] </w:t>
      </w:r>
      <w:hyperlink r:id="rId1652">
        <w:r>
          <w:rPr>
            <w:color w:val="1155CC"/>
            <w:u w:val="single"/>
          </w:rPr>
          <w:t>对“狂犬病病毒启发的金属有机框架（MOF）用于胶质瘤靶向成像和化疗”的更正</w:t>
        </w:r>
      </w:hyperlink>
    </w:p>
    <w:p>
      <w:pPr>
        <w:spacing w:before="0" w:after="80"/>
      </w:pPr>
      <w:r>
        <w:rPr>
          <w:i/>
          <w:sz w:val="20"/>
        </w:rPr>
        <w:t>EN: Correction to “Rabies Virus‐Inspired Metal–Organic Frameworks (MOFs) for Targeted Imaging and Chemotherapy of Glioma”</w:t>
      </w:r>
    </w:p>
    <w:p>
      <w:pPr>
        <w:spacing w:before="0" w:after="120"/>
      </w:pPr>
      <w:r>
        <w:rPr>
          <w:b/>
        </w:rPr>
        <w:t xml:space="preserve">Source: </w:t>
      </w:r>
      <w:r>
        <w:t>Wiley: Angewandte Chemie International Edition: Table of Contents</w:t>
      </w:r>
      <w:r>
        <w:t xml:space="preserve">    </w:t>
      </w:r>
      <w:r>
        <w:rPr>
          <w:b/>
        </w:rPr>
        <w:t xml:space="preserve">Pub date: </w:t>
      </w:r>
      <w:r>
        <w:t>2026-08-05 16:47:52+00:00</w:t>
      </w:r>
      <w:r>
        <w:t xml:space="preserve">    </w:t>
      </w:r>
      <w:r>
        <w:rPr>
          <w:b/>
        </w:rPr>
        <w:t xml:space="preserve">DOI: </w:t>
      </w:r>
      <w:hyperlink r:id="rId1653">
        <w:r>
          <w:rPr>
            <w:color w:val="1155CC"/>
            <w:u w:val="single"/>
          </w:rPr>
          <w:t>10.1002/anie.3806134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[599] </w:t>
      </w:r>
      <w:hyperlink r:id="rId1654">
        <w:r>
          <w:rPr>
            <w:color w:val="1155CC"/>
            <w:u w:val="single"/>
          </w:rPr>
          <w:t>铝 (I) 片段的两亲配体稳定性：卤化物、阳离子和氢化物</w:t>
        </w:r>
      </w:hyperlink>
    </w:p>
    <w:p>
      <w:pPr>
        <w:spacing w:before="0" w:after="80"/>
      </w:pPr>
      <w:r>
        <w:rPr>
          <w:i/>
          <w:sz w:val="20"/>
        </w:rPr>
        <w:t>EN: Ambiphilic Ligand Stabilization of Aluminum(I) Fragments: Halides, Cations, and a Hydride</w:t>
      </w:r>
    </w:p>
    <w:p>
      <w:pPr>
        <w:spacing w:before="0" w:after="120"/>
      </w:pPr>
      <w:r>
        <w:rPr>
          <w:b/>
        </w:rPr>
        <w:t xml:space="preserve">Source: </w:t>
      </w:r>
      <w:r>
        <w:t>Wiley: Angewandte Chemie International Edition: Table of Contents</w:t>
      </w:r>
      <w:r>
        <w:t xml:space="preserve">    </w:t>
      </w:r>
      <w:r>
        <w:rPr>
          <w:b/>
        </w:rPr>
        <w:t xml:space="preserve">Pub date: </w:t>
      </w:r>
      <w:r>
        <w:t>2026-08-05 16:49:15+00:00</w:t>
      </w:r>
      <w:r>
        <w:t xml:space="preserve">    </w:t>
      </w:r>
      <w:r>
        <w:rPr>
          <w:b/>
        </w:rPr>
        <w:t xml:space="preserve">DOI: </w:t>
      </w:r>
      <w:hyperlink r:id="rId1655">
        <w:r>
          <w:rPr>
            <w:color w:val="1155CC"/>
            <w:u w:val="single"/>
          </w:rPr>
          <w:t>10.1002/anie.6333732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Z型配体在以独特的配位几何形状稳定过渡金属片段和实现新颖的反应性方面取得了巨大成功。然而，使用这些配体稳定难以捉摸的主族金属碎片的例子很少。在这项研究中，我们提出了两亲性三（膦）硼烷配体对卤化铝（I）的稳定作用。解锁了铝前所未有的配位化学，通过实验和计算详细分析了新型化合物的独特电子结构。通过路易斯碱与铝原子的配位成功进行后官能化，能够将难以捉摸的铝阳离子与处于低氧化还原态的金属分离。此外，还介绍了 Al(I)Br 转移到 2,2'-联吡啶配体上。</w:t>
      </w:r>
    </w:p>
    <w:p>
      <w:pPr>
        <w:spacing w:before="0" w:after="200" w:lineRule="auto" w:line="276"/>
      </w:pPr>
      <w:r>
        <w:rPr>
          <w:b/>
        </w:rPr>
        <w:t xml:space="preserve">Abstract (EN): </w:t>
      </w:r>
      <w:r>
        <w:t>Z‐type ligands have been highly successful in stabilizing transition‐metal fragments in unique coordination geometries and in enabling novel reactivities. However, examples of the use of these ligands in stabilizing elusive main‐group metal fragments are scarce. In this study, we present the stabilization of aluminum (I) halides by an ambiphilic tris(phosphine)borane ligand. Unlocking unprecedented coordination chemistry at aluminum, the unique electronic structure of the novel compounds is analyzed in detail experimentally and computationally. Successful post‐functionalization via coordination of Lewis bases to the Al atom enables isolation of elusive Al cations with the metal in a low redox state. In addition, the Al(I)Br transfer onto 2,2′‐bipyridine ligands is presented.</w:t>
      </w:r>
    </w:p>
    <w:p>
      <w:pPr>
        <w:spacing w:before="120" w:after="120"/>
      </w:pPr>
      <w:r>
        <w:rPr>
          <w:sz w:val="18"/>
        </w:rPr>
        <w:t>——————————————————————————————————————————————————————————————————————</w:t>
      </w:r>
    </w:p>
    <w:p>
      <w:pPr>
        <w:spacing w:before="160" w:after="40" w:line="240" w:lineRule="auto"/>
      </w:pPr>
      <w:r>
        <w:rPr>
          <w:b/>
        </w:rPr>
        <w:t xml:space="preserve">[600] </w:t>
      </w:r>
      <w:hyperlink r:id="rId1656">
        <w:r>
          <w:rPr>
            <w:color w:val="1155CC"/>
            <w:u w:val="single"/>
          </w:rPr>
          <w:t>钯催化内烯烃的不对称远程加氢胺化</w:t>
        </w:r>
      </w:hyperlink>
    </w:p>
    <w:p>
      <w:pPr>
        <w:spacing w:before="0" w:after="80"/>
      </w:pPr>
      <w:r>
        <w:rPr>
          <w:i/>
          <w:sz w:val="20"/>
        </w:rPr>
        <w:t>EN: Palladium-Catalyzed Asymmetric Remote Hydroamination of Internal Alkenes</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657">
        <w:r>
          <w:rPr>
            <w:color w:val="1155CC"/>
            <w:u w:val="single"/>
          </w:rPr>
          <w:t>10.1021/jacs.6c09592</w:t>
        </w:r>
      </w:hyperlink>
    </w:p>
    <w:p>
      <w:pPr>
        <w:spacing w:before="0" w:after="120"/>
      </w:pPr>
      <w:r>
        <w:rPr>
          <w:b/>
        </w:rPr>
        <w:t xml:space="preserve">Notes: </w:t>
      </w:r>
      <w:r>
        <w:t>abstract_source=crossref</w:t>
      </w:r>
    </w:p>
    <w:p>
      <w:pPr>
        <w:spacing w:before="0" w:after="80" w:lineRule="auto" w:line="276"/>
      </w:pPr>
      <w:r>
        <w:rPr>
          <w:b/>
        </w:rPr>
        <w:t xml:space="preserve">摘要（ZH）: </w:t>
      </w:r>
      <w:r>
        <w:t>摘要 烯烃的不对称催化氢胺化是构建手性氮杂环的最有效策略之一。在此，我们通过钯催化实现了内部顺式烯烃的不对称分子内远程加氢胺化。该反应通过连续的烯烃氨基钯化、钯迁移和末端烷基钯中间体的还原进行。相应的含氮杂环具有良好的产率和高对映选择性，为哌啶酮、吡咯烷酮和 oxazolidin-2-one 支架的合成提供了简单而可靠的途径。详细的机理研究表明，氨基钯化的立体化学结果和可逆性强烈依赖于溶剂。此外，烷基-Pd(II)键的还原非常容易受到空间位阻的影响，这使得能够实现远程不对称氢胺化。</w:t>
      </w:r>
    </w:p>
    <w:p>
      <w:pPr>
        <w:spacing w:before="0" w:after="200" w:lineRule="auto" w:line="276"/>
      </w:pPr>
      <w:r>
        <w:rPr>
          <w:b/>
        </w:rPr>
        <w:t xml:space="preserve">Abstract (EN): </w:t>
      </w:r>
      <w:r>
        <w:t>Asymmetric catalytic hydroamination of alkenes represents one of the most efficient strategies for constructing chiral N-heterocycles. Herein, we realize the asymmetric intramolecular remote hydroamination of internal cis-alkenes via palladium catalysis. The reaction proceeds through sequential alkene aminopalladation, palladium migration, and reduction of terminal alkyl-palladium intermediates. The corresponding nitrogen-containing heterocycles are furnished in good yields with high enantioselectivity, offering a straightforward and robust route to the synthesis of piperidone, pyrrolidone, and oxazolidin-2-one scaffolds. Detailed mechanistic studies disclose that the stereochemical outcome and reversibility of aminopalladation are strongly solvent-dependent. Furthermore, the reduction of the alkyl–Pd(II) bond is highly susceptible to steric hindrance, which enables the achievement of remote asymmetric hydroamination.</w:t>
      </w:r>
    </w:p>
    <w:p>
      <w:pPr>
        <w:spacing w:before="120" w:after="120"/>
      </w:pPr>
      <w:r>
        <w:rPr>
          <w:sz w:val="18"/>
        </w:rPr>
        <w:t>——————————————————————————————————————————————————————————————————————</w:t>
      </w:r>
    </w:p>
    <w:p>
      <w:pPr>
        <w:spacing w:before="160" w:after="40" w:line="240" w:lineRule="auto"/>
      </w:pPr>
      <w:r>
        <w:rPr>
          <w:b/>
        </w:rPr>
        <w:t xml:space="preserve">[601] </w:t>
      </w:r>
      <w:hyperlink r:id="rId1658">
        <w:r>
          <w:rPr>
            <w:color w:val="1155CC"/>
            <w:u w:val="single"/>
          </w:rPr>
          <w:t>铜催化亚硝基苯对映选择性乙烯基羟基化</w:t>
        </w:r>
      </w:hyperlink>
    </w:p>
    <w:p>
      <w:pPr>
        <w:spacing w:before="0" w:after="80"/>
      </w:pPr>
      <w:r>
        <w:rPr>
          <w:i/>
          <w:sz w:val="20"/>
        </w:rPr>
        <w:t>EN: Copper-Catalyzed Enantioselective Vinylogous Hydroxylation with Nitrosobenzene</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659">
        <w:r>
          <w:rPr>
            <w:color w:val="1155CC"/>
            <w:u w:val="single"/>
          </w:rPr>
          <w:t>10.1021/jacs.6c14390</w:t>
        </w:r>
      </w:hyperlink>
    </w:p>
    <w:p>
      <w:pPr>
        <w:spacing w:before="0" w:after="120"/>
      </w:pPr>
      <w:r>
        <w:rPr>
          <w:b/>
        </w:rPr>
        <w:t xml:space="preserve">Notes: </w:t>
      </w:r>
      <w:r>
        <w:t>abstract_source=crossref</w:t>
      </w:r>
    </w:p>
    <w:p>
      <w:pPr>
        <w:spacing w:before="0" w:after="80" w:lineRule="auto" w:line="276"/>
      </w:pPr>
      <w:r>
        <w:rPr>
          <w:b/>
        </w:rPr>
        <w:t xml:space="preserve">摘要（ZH）: </w:t>
      </w:r>
      <w:r>
        <w:t>摘要 催化不对称插烯羟基化仍然是一种很大程度上未知的转化。这种限制主要源于两个固有的障碍：选择性问题（区域选择性和对映选择性）和常见氧供体的氧化反应性，这两者都严重损害了整体催化效率。在此背景下，我们在此公开了一种通过铜催化实现的新型合成路线。该过程通过对映选择性插烯亚硝基羟醛加成进行，然后是铜介导的 N-O 键裂解。这个统一的方案为对映体富集的γ-羟基-α,β-(E)-不饱和羰基支架提供了一种通用、有效的方法，可耐受各种用不同功能取代基修饰的烷基底物。从机理上讲，关键的反应中间体被分离出来，并通过 HRMS、1H NMR 和 13C NMR 光谱进行了充分表征。这些明确的光谱数据有力地证实了逐步反应流形，包括最初的 C-O 键形成和随后的 N-O 键断裂。我们的方法的合成实用性通过其在四种生物活性天然产物（包括（+）-α-conhyrine、botcinin E、botcinin F 和（−）-kunstleramide）的不对称形式合成中的实施得到强调。最后，目标产物的四个下游衍生化进一步证明了这种铜催化插烯羟基化策略的广泛合成多功能性。</w:t>
      </w:r>
    </w:p>
    <w:p>
      <w:pPr>
        <w:spacing w:before="0" w:after="200" w:lineRule="auto" w:line="276"/>
      </w:pPr>
      <w:r>
        <w:rPr>
          <w:b/>
        </w:rPr>
        <w:t xml:space="preserve">Abstract (EN): </w:t>
      </w:r>
      <w:r>
        <w:t>Catalytic asymmetric vinylogous hydroxylation remains a largely uncharted transformation. This limitation mainly arises from two inherent obstacles: selectivity issues (regio- and enantioselectivities) and the oxidative reactivity of common oxygen donors, both of which severely compromise overall catalytic efficiency. Against this backdrop, we herein disclose a novel synthetic route enabled by copper catalysis. The procedure proceeds through an enantioselective vinylogous nitroso aldol addition, followed by copper-mediated cleavage of the N–O bond. This unified protocol provides a general, efficient approach to enantioenriched γ-hydroxy-α,β-(E)-unsaturated carbonyl scaffolds, tolerating a wide range of alkyl substrates decorated with diverse functional substituents. Mechanistically, a critical reaction intermediate was isolated and fully characterized via HRMS, 1H NMR, and 13C NMR spectroscopy. These unambiguous spectroscopic data firmly corroborate a stepwise reaction manifold, including initial C–O bond formation and subsequent N–O bond fragmentation. The synthetic practicability of our method is underscored by its implementation in the asymmetric formal syntheses of four bioactive natural products, including (+)-α-conhydrine, botcinin E, botcinin F, and (−)-kunstleramide. Finally, four downstream derivatizations of the target products further demonstrate the broad synthetic versatility of this copper-catalyzed vinylogous hydroxylation strategy.</w:t>
      </w:r>
    </w:p>
    <w:p>
      <w:pPr>
        <w:spacing w:before="120" w:after="120"/>
      </w:pPr>
      <w:r>
        <w:rPr>
          <w:sz w:val="18"/>
        </w:rPr>
        <w:t>——————————————————————————————————————————————————————————————————————</w:t>
      </w:r>
    </w:p>
    <w:p>
      <w:pPr>
        <w:spacing w:before="160" w:after="40" w:line="240" w:lineRule="auto"/>
      </w:pPr>
      <w:r>
        <w:rPr>
          <w:b/>
        </w:rPr>
        <w:t xml:space="preserve">[602] </w:t>
      </w:r>
      <w:hyperlink r:id="rId1660">
        <w:r>
          <w:rPr>
            <w:color w:val="1155CC"/>
            <w:u w:val="single"/>
          </w:rPr>
          <w:t>选择的地震预测模型与加利福尼亚州的未来十年观测结果一致</w:t>
        </w:r>
      </w:hyperlink>
    </w:p>
    <w:p>
      <w:pPr>
        <w:spacing w:before="0" w:after="80"/>
      </w:pPr>
      <w:r>
        <w:rPr>
          <w:i/>
          <w:sz w:val="20"/>
        </w:rPr>
        <w:t>EN: Select earthquake forecasting models demonstrate consistency with prospective decadal observations in California</w:t>
      </w:r>
    </w:p>
    <w:p>
      <w:pPr>
        <w:spacing w:before="0" w:after="120"/>
      </w:pPr>
      <w:r>
        <w:rPr>
          <w:b/>
        </w:rPr>
        <w:t xml:space="preserve">Source: </w:t>
      </w:r>
      <w:r>
        <w:t>Earth and environmental sciences : Nature Communications subject feeds</w:t>
      </w:r>
      <w:r>
        <w:t xml:space="preserve">    </w:t>
      </w:r>
      <w:r>
        <w:rPr>
          <w:b/>
        </w:rPr>
        <w:t xml:space="preserve">Pub date: </w:t>
      </w:r>
      <w:r>
        <w:t>2026-08-06 00:00:00+00:00</w:t>
      </w:r>
    </w:p>
    <w:p>
      <w:pPr>
        <w:spacing w:before="0" w:after="120"/>
      </w:pPr>
      <w:r>
        <w:rPr>
          <w:b/>
        </w:rPr>
        <w:t xml:space="preserve">Notes: </w:t>
      </w:r>
      <w:r>
        <w:t>abstract_source=nature_html</w:t>
      </w:r>
    </w:p>
    <w:p>
      <w:pPr>
        <w:spacing w:before="0" w:after="80" w:lineRule="auto" w:line="276"/>
      </w:pPr>
      <w:r>
        <w:rPr>
          <w:b/>
        </w:rPr>
        <w:t xml:space="preserve">摘要（ZH）: </w:t>
      </w:r>
      <w:r>
        <w:t>多个国家的机构现已投入使用地震预报系统，为高危社区提供态势感知。为了确保预测遵循现有的最佳科学，基础模型需要针对前瞻性数据和基准进行严格测试。 2007 年 8 月至 2018 年 8 月期间，作为地震可预测性研究合作实验室多机构项目的一部分，27 个预测模型（包括用于业务地震预测的类型）进行了前瞻性运行，为加利福尼亚州生成了 51,625 个次日 Mw ≥ 3.95 地震活动预测。在这里，我们使用社区审查的统计方法全面评估他们对 597 Mw ≥ 3.95 地震的预测能力。我们表明，大约 95%、三分之二和 95% 的模型产生的预测分别与观测到的地震的数量、位置和震级一致。单独而言，选定版本的行之有效的操作型模型证明了与前瞻性观察的持续一致性。我们提供详细的建议、软件工具和基准数据，以支持全球地震预报业务系统的开发。</w:t>
      </w:r>
    </w:p>
    <w:p>
      <w:pPr>
        <w:spacing w:before="0" w:after="200" w:lineRule="auto" w:line="276"/>
      </w:pPr>
      <w:r>
        <w:rPr>
          <w:b/>
        </w:rPr>
        <w:t xml:space="preserve">Abstract (EN): </w:t>
      </w:r>
      <w:r>
        <w:t>Earthquake forecasting systems are now operationalized by agencies in several countries, providing situational awareness to at-risk communities. To ensure that forecasts follow the best science available, the underlying models require rigorous testing against prospective data and benchmarking. Between August 2007 and August 2018, 27 forecasting models, including the types used for operational earthquake forecasting, were prospectively operated as part of a multi-institutional project by the Collaboratory for the Study of Earthquake Predictability, generating 51,625 next-day Mw ≥ 3.95 seismicity forecasts for California. Here, we comprehensively evaluate their predictive skills against 597 Mw ≥ 3.95 earthquakes using community-vetted statistical methods. We show that approximately 95%, two-thirds, and 95% of the models produced forecasts consistent with the number, locations, and magnitudes of observed earthquakes, respectively. Individually, select versions of well-established, operational-type models demonstrated sustained consistency with prospective observations. We provide detailed recommendations, software tools, and benchmarking data to support the development of operational earthquake forecasting systems worldwide.</w:t>
      </w:r>
    </w:p>
    <w:p>
      <w:pPr>
        <w:spacing w:before="120" w:after="120"/>
      </w:pPr>
      <w:r>
        <w:rPr>
          <w:sz w:val="18"/>
        </w:rPr>
        <w:t>——————————————————————————————————————————————————————————————————————</w:t>
      </w:r>
    </w:p>
    <w:p>
      <w:pPr>
        <w:spacing w:before="160" w:after="40" w:line="240" w:lineRule="auto"/>
      </w:pPr>
      <w:r>
        <w:rPr>
          <w:b/>
        </w:rPr>
        <w:t xml:space="preserve">[603] </w:t>
      </w:r>
      <w:hyperlink r:id="rId1661">
        <w:r>
          <w:rPr>
            <w:color w:val="1155CC"/>
            <w:u w:val="single"/>
          </w:rPr>
          <w:t>界面多齿与植酸络合可实现抗氧化液态金属纳米颗粒</w:t>
        </w:r>
      </w:hyperlink>
    </w:p>
    <w:p>
      <w:pPr>
        <w:spacing w:before="0" w:after="80"/>
      </w:pPr>
      <w:r>
        <w:rPr>
          <w:i/>
          <w:sz w:val="20"/>
        </w:rPr>
        <w:t>EN: Interfacial Polydentate Complexation with Phytic Acid Enables Oxidation-Resistant Liquid Metal Nanoparticles</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662">
        <w:r>
          <w:rPr>
            <w:color w:val="1155CC"/>
            <w:u w:val="single"/>
          </w:rPr>
          <w:t>10.1021/acsami.6c09157</w:t>
        </w:r>
      </w:hyperlink>
    </w:p>
    <w:p>
      <w:pPr>
        <w:spacing w:before="0" w:after="120"/>
      </w:pPr>
      <w:r>
        <w:rPr>
          <w:b/>
        </w:rPr>
        <w:t xml:space="preserve">Notes: </w:t>
      </w:r>
      <w:r>
        <w:t>abstract_source=crossref</w:t>
      </w:r>
    </w:p>
    <w:p>
      <w:pPr>
        <w:spacing w:before="0" w:after="80" w:lineRule="auto" w:line="276"/>
      </w:pPr>
      <w:r>
        <w:rPr>
          <w:b/>
        </w:rPr>
        <w:t xml:space="preserve">摘要（ZH）: </w:t>
      </w:r>
      <w:r>
        <w:t>摘要 液态金属纳米粒子（LM NP）在催化、软机器人、电子、微流体和生物医学等领域具有广阔的应用前景。然而，它们的实际应用往往受到制备、储存和应用过程中不可避免的氧化和脱合金的阻碍。为了克服这些挑战，我们使用植酸（PA）开发了一种绿色稳定策略，植酸是一种具有六个强给电子磷酸基团的天然配体。每个 PA 分子提供六个与镓离子 (Ga3+) 强烈配位的锚定位点，在纳米颗粒表面形成坚固的化学钝化膜。通过调节 PA 溶液的浓度，我们可以控制钝化膜的厚度和 PA 复合 LM NP（PA/LM NP）的纳米颗粒尺寸，从而延长水稳定性长达两个月。此外，与裸露的LM NPs相比，PA/LM NPs表现出增强的光热稳定性。作为概念证明，我们展示了 PA/LM 纳米颗粒在骨肿瘤光热治疗中的应用，其中 PA 介导的多齿络合策略提高了纳米颗粒的生物相容性和骨亲和力。体外实验证实了骨肉瘤细胞的有效光热消融。这种多齿络合策略有助于稳定LM NP，使其能够在更苛刻的环境中应用。</w:t>
      </w:r>
    </w:p>
    <w:p>
      <w:pPr>
        <w:spacing w:before="0" w:after="200" w:lineRule="auto" w:line="276"/>
      </w:pPr>
      <w:r>
        <w:rPr>
          <w:b/>
        </w:rPr>
        <w:t xml:space="preserve">Abstract (EN): </w:t>
      </w:r>
      <w:r>
        <w:t>Liquid metal nanoparticles (LM NPs) hold great promise for applications in catalysis, soft robotics, electronics, microfluidics, and biomedicine. Their practical utilization, however, is often hindered by inevitable oxidation and dealloying of LM NPs during preparation, storage, and application. To overcome the challenges, we develop a green stabilization strategy using phytic acid (PA), a natural ligand with six strong electron-donating phosphate groups. Each PA molecule provides six anchor sites that strongly coordinate with gallium ions (Ga3+), forming a robust chemical passivation film on the nanoparticle surface. By tuning the concentration of PA solution, we can control the thickness of the passivation film and nanoparticle size of PA-complexed LM NPs (PA/LM NPs), resulting in prolonged aqueous stability for up to two months. Besides, PA/LM NPs exhibit enhanced photothermal stability compared with bare LM NPs. As a proof of concept, we demonstrate the application of PA/LM NPs in the photothermal therapy of bone tumors, where the PA-mediated polydentate complexing strategy improves both biocompatibility and bone affinity of nanoparticles. In vitro experiments confirm efficient photothermal ablation of osteosarcoma cells. This polydentate complexing strategy helps stabilize LM NPs, enabling their application in more demanding environments.</w:t>
      </w:r>
    </w:p>
    <w:p>
      <w:pPr>
        <w:spacing w:before="120" w:after="120"/>
      </w:pPr>
      <w:r>
        <w:rPr>
          <w:sz w:val="18"/>
        </w:rPr>
        <w:t>——————————————————————————————————————————————————————————————————————</w:t>
      </w:r>
    </w:p>
    <w:p>
      <w:pPr>
        <w:spacing w:before="160" w:after="40" w:line="240" w:lineRule="auto"/>
      </w:pPr>
      <w:r>
        <w:rPr>
          <w:b/>
        </w:rPr>
        <w:t xml:space="preserve">[604] </w:t>
      </w:r>
      <w:hyperlink r:id="rId1663">
        <w:r>
          <w:rPr>
            <w:color w:val="1155CC"/>
            <w:u w:val="single"/>
          </w:rPr>
          <w:t>1,3,4-噻二唑-N-氧化物与应变炔烃的意外反应性可增强抗体负载</w:t>
        </w:r>
      </w:hyperlink>
    </w:p>
    <w:p>
      <w:pPr>
        <w:spacing w:before="0" w:after="80"/>
      </w:pPr>
      <w:r>
        <w:rPr>
          <w:i/>
          <w:sz w:val="20"/>
        </w:rPr>
        <w:t>EN: Unexpected Reactivity of 1,3,4-Thiadiazole- N -oxides with Strained Alkynes Enables Enhanced Antibody Loading</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664">
        <w:r>
          <w:rPr>
            <w:color w:val="1155CC"/>
            <w:u w:val="single"/>
          </w:rPr>
          <w:t>10.1021/jacs.6c09261</w:t>
        </w:r>
      </w:hyperlink>
    </w:p>
    <w:p>
      <w:pPr>
        <w:spacing w:before="0" w:after="120"/>
      </w:pPr>
      <w:r>
        <w:rPr>
          <w:b/>
        </w:rPr>
        <w:t xml:space="preserve">Notes: </w:t>
      </w:r>
      <w:r>
        <w:t>abstract_source=crossref</w:t>
      </w:r>
    </w:p>
    <w:p>
      <w:pPr>
        <w:spacing w:before="0" w:after="80" w:lineRule="auto" w:line="276"/>
      </w:pPr>
      <w:r>
        <w:rPr>
          <w:b/>
        </w:rPr>
        <w:t xml:space="preserve">摘要（ZH）: </w:t>
      </w:r>
      <w:r>
        <w:t>摘要 蛋白质生物共轭物处于精准医学的最前沿，使得设计用于诊断和治疗应用的高选择性药物成为可能。虽然增加蛋白质上的有效负载数量是增强生物缀合物效力的有效策略，但引入额外的缀合位点通常有损害蛋白质靶向特性的风险。在这项研究中，我们研究了 1,3,4-噻二唑-N-氧化物 (TNO) 的潜力，这是一种在生物介质中表现出优异稳定性的杂环支架。我们证明该反应伙伴与双环[6.1.0]non-4-yne衍生物发生了前所未有的双加成反应。利用这种独特的反应性来实现单克隆抗体上每个缀合位点两个探针的位点特异性连接。重要的是，正如体内成像研究所证实的那样，该策略保留了抗体靶向特性。这些发现确立了 TNO 和应变促进的炔-1,3,4-噻二唑-N-氧化物偶联 (SPATOC) 反应作为生物共轭武器库中有价值的新工具，扩大了精确有效的蛋白质修饰的可能性。</w:t>
      </w:r>
    </w:p>
    <w:p>
      <w:pPr>
        <w:spacing w:before="0" w:after="200" w:lineRule="auto" w:line="276"/>
      </w:pPr>
      <w:r>
        <w:rPr>
          <w:b/>
        </w:rPr>
        <w:t xml:space="preserve">Abstract (EN): </w:t>
      </w:r>
      <w:r>
        <w:t>Protein bioconjugates are at the forefront of precision medicine, enabling the design of highly selective drugs for diagnostic and therapeutic applications. While increasing the number of payloads attached to a protein is a proven strategy to enhance the potency of a bioconjugate, the introduction of additional conjugation sites often risks compromising the protein’s targeting properties. In this study, we investigate the potential of 1,3,4-thiadiazole-N-oxides (TNO), a heterocyclic scaffold exhibiting excellent stability in biological media. We demonstrate that this reactive partner undergoes an unprecedented double addition reaction with bicyclo[6.1.0]non-4-yne derivatives. This unique reactivity is harnessed to achieve the site-specific attachment of two probes per conjugation site on a monoclonal antibody. Importantly, this strategy preserves antibody targeting properties, as confirmed by in vivo imaging studies. These findings establish TNO and the Strain-Promoted Alkyne-1,3,4-Thiadiazole-N-Oxide coupling (SPATOC) reaction as valuable new tools in the bioconjugation arsenal, expanding the possibilities for precise and efficient protein modification.</w:t>
      </w:r>
    </w:p>
    <w:p>
      <w:pPr>
        <w:spacing w:before="120" w:after="120"/>
      </w:pPr>
      <w:r>
        <w:rPr>
          <w:sz w:val="18"/>
        </w:rPr>
        <w:t>——————————————————————————————————————————————————————————————————————</w:t>
      </w:r>
    </w:p>
    <w:p>
      <w:pPr>
        <w:spacing w:before="160" w:after="40" w:line="240" w:lineRule="auto"/>
      </w:pPr>
      <w:r>
        <w:rPr>
          <w:b/>
        </w:rPr>
        <w:t xml:space="preserve">[605] </w:t>
      </w:r>
      <w:hyperlink r:id="rId1665">
        <w:r>
          <w:rPr>
            <w:color w:val="1155CC"/>
            <w:u w:val="single"/>
          </w:rPr>
          <w:t>Curcusone I 的全合成及结构确证</w:t>
        </w:r>
      </w:hyperlink>
    </w:p>
    <w:p>
      <w:pPr>
        <w:spacing w:before="0" w:after="80"/>
      </w:pPr>
      <w:r>
        <w:rPr>
          <w:i/>
          <w:sz w:val="20"/>
        </w:rPr>
        <w:t>EN: Total Synthesis and Structural Confirmation of Curcusone I</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666">
        <w:r>
          <w:rPr>
            <w:color w:val="1155CC"/>
            <w:u w:val="single"/>
          </w:rPr>
          <w:t>10.1021/jacs.6c13015</w:t>
        </w:r>
      </w:hyperlink>
    </w:p>
    <w:p>
      <w:pPr>
        <w:spacing w:before="0" w:after="120"/>
      </w:pPr>
      <w:r>
        <w:rPr>
          <w:b/>
        </w:rPr>
        <w:t xml:space="preserve">Notes: </w:t>
      </w:r>
      <w:r>
        <w:t>abstract_source=crossref</w:t>
      </w:r>
    </w:p>
    <w:p>
      <w:pPr>
        <w:spacing w:before="0" w:after="80" w:lineRule="auto" w:line="276"/>
      </w:pPr>
      <w:r>
        <w:rPr>
          <w:b/>
        </w:rPr>
        <w:t xml:space="preserve">摘要（ZH）: </w:t>
      </w:r>
      <w:r>
        <w:t>摘要 Curcusone I（一种不寻常的大戟科二萜类化合物）的首次不对称全合成已经完成，明确证实了其真实结构，正如之前通过计算研究修正的那样。常见的[5-7-6]三环核心存在于鼠李叶烷型姜黄酮以及芫花和提利亚烷二萜中，通过Rh催化的硒参与的[2,3]-σ重排级联和添加剂控制的SmI2介导的环化，有效且非对映选择性地组装。通过独特的跨环 5-endo-trig oxa-Michael 加成成功构建了 curcusone I 的氧杂双环[3.2.1]辛烷骨架。所有八个所需的立体中心都是非对映选择性安装的。</w:t>
      </w:r>
    </w:p>
    <w:p>
      <w:pPr>
        <w:spacing w:before="0" w:after="200" w:lineRule="auto" w:line="276"/>
      </w:pPr>
      <w:r>
        <w:rPr>
          <w:b/>
        </w:rPr>
        <w:t xml:space="preserve">Abstract (EN): </w:t>
      </w:r>
      <w:r>
        <w:t>The first asymmetric total synthesis of curcusone I, an unusual Euphorbiaceae diterpenoid, has been accomplished, unambiguously confirming its true structure, as previously revised by computational studies. The common [5–7–6] tricyclic core, which is found in rhamnofolane-type curcusones as well as in daphnane and tigliane diterpenes, was efficiently and diastereoselectively assembled via a Rh-catalyzed selenium-involved [2,3]-sigmatropic rearrangement cascade and an additive-controlled SmI2-mediated cyclization. The oxabicyclo[3.2.1]octane framework of curcusone I was successfully constructed by a unique transannular 5-endo-trig oxa-Michael addition. All eight desired stereocenters were installed diastereoselectively.</w:t>
      </w:r>
    </w:p>
    <w:p>
      <w:pPr>
        <w:spacing w:before="120" w:after="120"/>
      </w:pPr>
      <w:r>
        <w:rPr>
          <w:sz w:val="18"/>
        </w:rPr>
        <w:t>——————————————————————————————————————————————————————————————————————</w:t>
      </w:r>
    </w:p>
    <w:p>
      <w:pPr>
        <w:spacing w:before="160" w:after="40" w:line="240" w:lineRule="auto"/>
      </w:pPr>
      <w:r>
        <w:rPr>
          <w:b/>
        </w:rPr>
        <w:t xml:space="preserve">[606] </w:t>
      </w:r>
      <w:hyperlink r:id="rId1667">
        <w:r>
          <w:rPr>
            <w:color w:val="1155CC"/>
            <w:u w:val="single"/>
          </w:rPr>
          <w:t>负排放下北冰洋酸化的持续存在</w:t>
        </w:r>
      </w:hyperlink>
    </w:p>
    <w:p>
      <w:pPr>
        <w:spacing w:before="0" w:after="80"/>
      </w:pPr>
      <w:r>
        <w:rPr>
          <w:i/>
          <w:sz w:val="20"/>
        </w:rPr>
        <w:t>EN: Persistence of Arctic Ocean acidification under negative emissions</w:t>
      </w:r>
    </w:p>
    <w:p>
      <w:pPr>
        <w:spacing w:before="0" w:after="120"/>
      </w:pPr>
      <w:r>
        <w:rPr>
          <w:b/>
        </w:rPr>
        <w:t xml:space="preserve">Source: </w:t>
      </w:r>
      <w:r>
        <w:t>Nature Climate Change</w:t>
      </w:r>
      <w:r>
        <w:t xml:space="preserve">    </w:t>
      </w:r>
      <w:r>
        <w:rPr>
          <w:b/>
        </w:rPr>
        <w:t xml:space="preserve">Pub date: </w:t>
      </w:r>
      <w:r>
        <w:t>2026-08-06 00:00:00+00:00</w:t>
      </w:r>
      <w:r>
        <w:t xml:space="preserve">    </w:t>
      </w:r>
      <w:r>
        <w:rPr>
          <w:b/>
        </w:rPr>
        <w:t xml:space="preserve">DOI: </w:t>
      </w:r>
      <w:hyperlink r:id="rId1668">
        <w:r>
          <w:rPr>
            <w:color w:val="1155CC"/>
            <w:u w:val="single"/>
          </w:rPr>
          <w:t>10.1038/s41558-026-02715-9</w:t>
        </w:r>
      </w:hyperlink>
    </w:p>
    <w:p>
      <w:pPr>
        <w:spacing w:before="0" w:after="120"/>
      </w:pPr>
      <w:r>
        <w:rPr>
          <w:b/>
        </w:rPr>
        <w:t xml:space="preserve">Notes: </w:t>
      </w:r>
      <w:r>
        <w:t>abstract_source=rss_nature</w:t>
      </w:r>
    </w:p>
    <w:p>
      <w:pPr>
        <w:spacing w:before="0" w:after="80" w:lineRule="auto" w:line="276"/>
      </w:pPr>
      <w:r>
        <w:rPr>
          <w:b/>
        </w:rPr>
        <w:t xml:space="preserve">摘要（ZH）: </w:t>
      </w:r>
      <w:r>
        <w:t>在大气二氧化碳水平下降后，地球系统的变化可能会持续很长时间。这项研究研究了海洋酸化及其如何在全球海洋区域持续存在，北极被确定为在负排放下最晚经历酸化缓解的地区。</w:t>
      </w:r>
    </w:p>
    <w:p>
      <w:pPr>
        <w:spacing w:before="0" w:after="200" w:lineRule="auto" w:line="276"/>
      </w:pPr>
      <w:r>
        <w:rPr>
          <w:b/>
        </w:rPr>
        <w:t xml:space="preserve">Abstract (EN): </w:t>
      </w:r>
      <w:r>
        <w:t>Changes in the Earth system may persist long after atmospheric CO2 levels decline. This study examines ocean acidification and how it will persist in ocean regions globally, with the Arctic identified as the area that experiences relief from acidification the latest under negative emissions.</w:t>
      </w:r>
    </w:p>
    <w:p>
      <w:pPr>
        <w:spacing w:before="120" w:after="120"/>
      </w:pPr>
      <w:r>
        <w:rPr>
          <w:sz w:val="18"/>
        </w:rPr>
        <w:t>——————————————————————————————————————————————————————————————————————</w:t>
      </w:r>
    </w:p>
    <w:p>
      <w:pPr>
        <w:spacing w:before="160" w:after="40" w:line="240" w:lineRule="auto"/>
      </w:pPr>
      <w:r>
        <w:rPr>
          <w:b/>
        </w:rPr>
        <w:t xml:space="preserve">[607] </w:t>
      </w:r>
      <w:hyperlink r:id="rId1669">
        <w:r>
          <w:rPr>
            <w:color w:val="1155CC"/>
            <w:u w:val="single"/>
          </w:rPr>
          <w:t>磁场悬浮传感器可以检测超微弱的大脑活动</w:t>
        </w:r>
      </w:hyperlink>
    </w:p>
    <w:p>
      <w:pPr>
        <w:spacing w:before="0" w:after="80"/>
      </w:pPr>
      <w:r>
        <w:rPr>
          <w:i/>
          <w:sz w:val="20"/>
        </w:rPr>
        <w:t>EN: Levitating sensor for magnetic fields could detect ultrafaint brain activity</w:t>
      </w:r>
    </w:p>
    <w:p>
      <w:pPr>
        <w:spacing w:before="0" w:after="120"/>
      </w:pPr>
      <w:r>
        <w:rPr>
          <w:b/>
        </w:rPr>
        <w:t xml:space="preserve">Source: </w:t>
      </w:r>
      <w:r>
        <w:t>Nature</w:t>
      </w:r>
      <w:r>
        <w:t xml:space="preserve">    </w:t>
      </w:r>
      <w:r>
        <w:rPr>
          <w:b/>
        </w:rPr>
        <w:t xml:space="preserve">Pub date: </w:t>
      </w:r>
      <w:r>
        <w:t>2026-08-06 00:00:00+00:00</w:t>
      </w:r>
      <w:r>
        <w:t xml:space="preserve">    </w:t>
      </w:r>
      <w:r>
        <w:rPr>
          <w:b/>
        </w:rPr>
        <w:t xml:space="preserve">DOI: </w:t>
      </w:r>
      <w:hyperlink r:id="rId1670">
        <w:r>
          <w:rPr>
            <w:color w:val="1155CC"/>
            <w:u w:val="single"/>
          </w:rPr>
          <w:t>10.1038/d41586-026-02458-9</w:t>
        </w:r>
      </w:hyperlink>
    </w:p>
    <w:p>
      <w:pPr>
        <w:spacing w:before="0" w:after="120"/>
      </w:pPr>
      <w:r>
        <w:rPr>
          <w:b/>
        </w:rPr>
        <w:t xml:space="preserve">Notes: </w:t>
      </w:r>
      <w:r>
        <w:t>abstract_source=rss_nature</w:t>
      </w:r>
    </w:p>
    <w:p>
      <w:pPr>
        <w:spacing w:before="0" w:after="80" w:lineRule="auto" w:line="276"/>
      </w:pPr>
      <w:r>
        <w:rPr>
          <w:b/>
        </w:rPr>
        <w:t xml:space="preserve">摘要（ZH）: </w:t>
      </w:r>
      <w:r>
        <w:t>该设备的简单设计可以与生物物理学研究中更复杂的替代品相媲美，甚至可以用来寻找暗物质。</w:t>
      </w:r>
    </w:p>
    <w:p>
      <w:pPr>
        <w:spacing w:before="0" w:after="200" w:lineRule="auto" w:line="276"/>
      </w:pPr>
      <w:r>
        <w:rPr>
          <w:b/>
        </w:rPr>
        <w:t xml:space="preserve">Abstract (EN): </w:t>
      </w:r>
      <w:r>
        <w:t>The device’s simple design could rival much more complex alternatives in biophysics research — and could even be used to search for dark matter.</w:t>
      </w:r>
    </w:p>
    <w:p>
      <w:pPr>
        <w:spacing w:before="120" w:after="120"/>
      </w:pPr>
      <w:r>
        <w:rPr>
          <w:sz w:val="18"/>
        </w:rPr>
        <w:t>——————————————————————————————————————————————————————————————————————</w:t>
      </w:r>
    </w:p>
    <w:p>
      <w:pPr>
        <w:spacing w:before="160" w:after="40" w:line="240" w:lineRule="auto"/>
      </w:pPr>
      <w:r>
        <w:rPr>
          <w:b/>
        </w:rPr>
        <w:t xml:space="preserve">[608] </w:t>
      </w:r>
      <w:hyperlink r:id="rId1671">
        <w:r>
          <w:rPr>
            <w:color w:val="1155CC"/>
            <w:u w:val="single"/>
          </w:rPr>
          <w:t>热浪已造成数百万人死亡。科学家是这样计算死亡人数的</w:t>
        </w:r>
      </w:hyperlink>
    </w:p>
    <w:p>
      <w:pPr>
        <w:spacing w:before="0" w:after="80"/>
      </w:pPr>
      <w:r>
        <w:rPr>
          <w:i/>
          <w:sz w:val="20"/>
        </w:rPr>
        <w:t>EN: Heat waves have killed millions. Here’s how scientists tally lives lost</w:t>
      </w:r>
    </w:p>
    <w:p>
      <w:pPr>
        <w:spacing w:before="0" w:after="120"/>
      </w:pPr>
      <w:r>
        <w:rPr>
          <w:b/>
        </w:rPr>
        <w:t xml:space="preserve">Source: </w:t>
      </w:r>
      <w:r>
        <w:t>Nature</w:t>
      </w:r>
      <w:r>
        <w:t xml:space="preserve">    </w:t>
      </w:r>
      <w:r>
        <w:rPr>
          <w:b/>
        </w:rPr>
        <w:t xml:space="preserve">Pub date: </w:t>
      </w:r>
      <w:r>
        <w:t>2026-08-06 00:00:00+00:00</w:t>
      </w:r>
      <w:r>
        <w:t xml:space="preserve">    </w:t>
      </w:r>
      <w:r>
        <w:rPr>
          <w:b/>
        </w:rPr>
        <w:t xml:space="preserve">DOI: </w:t>
      </w:r>
      <w:hyperlink r:id="rId1672">
        <w:r>
          <w:rPr>
            <w:color w:val="1155CC"/>
            <w:u w:val="single"/>
          </w:rPr>
          <w:t>10.1038/d41586-026-02430-7</w:t>
        </w:r>
      </w:hyperlink>
    </w:p>
    <w:p>
      <w:pPr>
        <w:spacing w:before="0" w:after="120"/>
      </w:pPr>
      <w:r>
        <w:rPr>
          <w:b/>
        </w:rPr>
        <w:t xml:space="preserve">Notes: </w:t>
      </w:r>
      <w:r>
        <w:t>abstract_source=rss_nature</w:t>
      </w:r>
    </w:p>
    <w:p>
      <w:pPr>
        <w:spacing w:before="0" w:after="80" w:lineRule="auto" w:line="276"/>
      </w:pPr>
      <w:r>
        <w:rPr>
          <w:b/>
        </w:rPr>
        <w:t xml:space="preserve">摘要（ZH）: </w:t>
      </w:r>
      <w:r>
        <w:t>两种截然不同的方法被用来估计热浪造成的人员伤亡，例如现在袭击亚洲和欧洲部分地区的热浪。</w:t>
      </w:r>
    </w:p>
    <w:p>
      <w:pPr>
        <w:spacing w:before="0" w:after="200" w:lineRule="auto" w:line="276"/>
      </w:pPr>
      <w:r>
        <w:rPr>
          <w:b/>
        </w:rPr>
        <w:t xml:space="preserve">Abstract (EN): </w:t>
      </w:r>
      <w:r>
        <w:t>Two very different methods are used to estimate the human toll of heatwaves such as those now hitting parts of Asia and Europe.</w:t>
      </w:r>
    </w:p>
    <w:p>
      <w:pPr>
        <w:spacing w:before="120" w:after="120"/>
      </w:pPr>
      <w:r>
        <w:rPr>
          <w:sz w:val="18"/>
        </w:rPr>
        <w:t>——————————————————————————————————————————————————————————————————————</w:t>
      </w:r>
    </w:p>
    <w:p>
      <w:pPr>
        <w:spacing w:before="160" w:after="40" w:line="240" w:lineRule="auto"/>
      </w:pPr>
      <w:r>
        <w:rPr>
          <w:b/>
        </w:rPr>
        <w:t xml:space="preserve">[609] </w:t>
      </w:r>
      <w:hyperlink r:id="rId1673">
        <w:r>
          <w:rPr>
            <w:color w:val="1155CC"/>
            <w:u w:val="single"/>
          </w:rPr>
          <w:t>稳定的滴水如何侵蚀最坚硬的石头</w:t>
        </w:r>
      </w:hyperlink>
    </w:p>
    <w:p>
      <w:pPr>
        <w:spacing w:before="0" w:after="80"/>
      </w:pPr>
      <w:r>
        <w:rPr>
          <w:i/>
          <w:sz w:val="20"/>
        </w:rPr>
        <w:t>EN: How a steady drip-drip can erode the hardest stone</w:t>
      </w:r>
    </w:p>
    <w:p>
      <w:pPr>
        <w:spacing w:before="0" w:after="120"/>
      </w:pPr>
      <w:r>
        <w:rPr>
          <w:b/>
        </w:rPr>
        <w:t xml:space="preserve">Source: </w:t>
      </w:r>
      <w:r>
        <w:t>Nature</w:t>
      </w:r>
      <w:r>
        <w:t xml:space="preserve">    </w:t>
      </w:r>
      <w:r>
        <w:rPr>
          <w:b/>
        </w:rPr>
        <w:t xml:space="preserve">Pub date: </w:t>
      </w:r>
      <w:r>
        <w:t>2026-08-06 00:00:00+00:00</w:t>
      </w:r>
      <w:r>
        <w:t xml:space="preserve">    </w:t>
      </w:r>
      <w:r>
        <w:rPr>
          <w:b/>
        </w:rPr>
        <w:t xml:space="preserve">DOI: </w:t>
      </w:r>
      <w:hyperlink r:id="rId1674">
        <w:r>
          <w:rPr>
            <w:color w:val="1155CC"/>
            <w:u w:val="single"/>
          </w:rPr>
          <w:t>10.1038/d41586-026-02360-4</w:t>
        </w:r>
      </w:hyperlink>
    </w:p>
    <w:p>
      <w:pPr>
        <w:spacing w:before="0" w:after="120"/>
      </w:pPr>
      <w:r>
        <w:rPr>
          <w:b/>
        </w:rPr>
        <w:t xml:space="preserve">Notes: </w:t>
      </w:r>
      <w:r>
        <w:t>abstract_source=rss_nature</w:t>
      </w:r>
    </w:p>
    <w:p>
      <w:pPr>
        <w:spacing w:before="0" w:after="80" w:lineRule="auto" w:line="276"/>
      </w:pPr>
      <w:r>
        <w:rPr>
          <w:b/>
        </w:rPr>
        <w:t xml:space="preserve">摘要（ZH）: </w:t>
      </w:r>
      <w:r>
        <w:t>测量落下的水滴撞击表面的变形可以深入了解水的侵蚀力。</w:t>
      </w:r>
    </w:p>
    <w:p>
      <w:pPr>
        <w:spacing w:before="0" w:after="200" w:lineRule="auto" w:line="276"/>
      </w:pPr>
      <w:r>
        <w:rPr>
          <w:b/>
        </w:rPr>
        <w:t xml:space="preserve">Abstract (EN): </w:t>
      </w:r>
      <w:r>
        <w:t>Measuring the deformation of a surface hit by a falling droplet offers insights into water’s erosive power.</w:t>
      </w:r>
    </w:p>
    <w:p>
      <w:pPr>
        <w:spacing w:before="120" w:after="120"/>
      </w:pPr>
      <w:r>
        <w:rPr>
          <w:sz w:val="18"/>
        </w:rPr>
        <w:t>——————————————————————————————————————————————————————————————————————</w:t>
      </w:r>
    </w:p>
    <w:p>
      <w:pPr>
        <w:spacing w:before="160" w:after="40" w:line="240" w:lineRule="auto"/>
      </w:pPr>
      <w:r>
        <w:rPr>
          <w:b/>
        </w:rPr>
        <w:t xml:space="preserve">[610] </w:t>
      </w:r>
      <w:hyperlink r:id="rId1675">
        <w:r>
          <w:rPr>
            <w:color w:val="1155CC"/>
            <w:u w:val="single"/>
          </w:rPr>
          <w:t>美洲狮是车手的守护天使</w:t>
        </w:r>
      </w:hyperlink>
    </w:p>
    <w:p>
      <w:pPr>
        <w:spacing w:before="0" w:after="80"/>
      </w:pPr>
      <w:r>
        <w:rPr>
          <w:i/>
          <w:sz w:val="20"/>
        </w:rPr>
        <w:t>EN: Pumas are drivers’ guardian angels</w:t>
      </w:r>
    </w:p>
    <w:p>
      <w:pPr>
        <w:spacing w:before="0" w:after="120"/>
      </w:pPr>
      <w:r>
        <w:rPr>
          <w:b/>
        </w:rPr>
        <w:t xml:space="preserve">Source: </w:t>
      </w:r>
      <w:r>
        <w:t>Nature</w:t>
      </w:r>
      <w:r>
        <w:t xml:space="preserve">    </w:t>
      </w:r>
      <w:r>
        <w:rPr>
          <w:b/>
        </w:rPr>
        <w:t xml:space="preserve">Pub date: </w:t>
      </w:r>
      <w:r>
        <w:t>2026-08-06 00:00:00+00:00</w:t>
      </w:r>
      <w:r>
        <w:t xml:space="preserve">    </w:t>
      </w:r>
      <w:r>
        <w:rPr>
          <w:b/>
        </w:rPr>
        <w:t xml:space="preserve">DOI: </w:t>
      </w:r>
      <w:hyperlink r:id="rId1676">
        <w:r>
          <w:rPr>
            <w:color w:val="1155CC"/>
            <w:u w:val="single"/>
          </w:rPr>
          <w:t>10.1038/d41586-026-02429-0</w:t>
        </w:r>
      </w:hyperlink>
    </w:p>
    <w:p>
      <w:pPr>
        <w:spacing w:before="0" w:after="120"/>
      </w:pPr>
      <w:r>
        <w:rPr>
          <w:b/>
        </w:rPr>
        <w:t xml:space="preserve">Notes: </w:t>
      </w:r>
      <w:r>
        <w:t>abstract_source=rss_nature</w:t>
      </w:r>
    </w:p>
    <w:p>
      <w:pPr>
        <w:spacing w:before="0" w:after="80" w:lineRule="auto" w:line="276"/>
      </w:pPr>
      <w:r>
        <w:rPr>
          <w:b/>
        </w:rPr>
        <w:t xml:space="preserve">摘要（ZH）: </w:t>
      </w:r>
      <w:r>
        <w:t>在大型猫科动物巡逻的道路上，车辆不太可能撞到鹿。</w:t>
      </w:r>
    </w:p>
    <w:p>
      <w:pPr>
        <w:spacing w:before="0" w:after="200" w:lineRule="auto" w:line="276"/>
      </w:pPr>
      <w:r>
        <w:rPr>
          <w:b/>
        </w:rPr>
        <w:t xml:space="preserve">Abstract (EN): </w:t>
      </w:r>
      <w:r>
        <w:t>Vehicles are less likely to smash into deer on the road where the big cats are on patrol.</w:t>
      </w:r>
    </w:p>
    <w:p>
      <w:pPr>
        <w:spacing w:before="120" w:after="120"/>
      </w:pPr>
      <w:r>
        <w:rPr>
          <w:sz w:val="18"/>
        </w:rPr>
        <w:t>——————————————————————————————————————————————————————————————————————</w:t>
      </w:r>
    </w:p>
    <w:p>
      <w:pPr>
        <w:spacing w:before="160" w:after="40" w:line="240" w:lineRule="auto"/>
      </w:pPr>
      <w:r>
        <w:rPr>
          <w:b/>
        </w:rPr>
        <w:t xml:space="preserve">[611] </w:t>
      </w:r>
      <w:hyperlink r:id="rId1677">
        <w:r>
          <w:rPr>
            <w:color w:val="1155CC"/>
            <w:u w:val="single"/>
          </w:rPr>
          <w:t>利用人工智能进行热带气旋业务预报</w:t>
        </w:r>
      </w:hyperlink>
    </w:p>
    <w:p>
      <w:pPr>
        <w:spacing w:before="0" w:after="80"/>
      </w:pPr>
      <w:r>
        <w:rPr>
          <w:i/>
          <w:sz w:val="20"/>
        </w:rPr>
        <w:t>EN: Operational Tropical Cyclone Forecasting with AI</w:t>
      </w:r>
    </w:p>
    <w:p>
      <w:pPr>
        <w:spacing w:before="0" w:after="120"/>
      </w:pPr>
      <w:r>
        <w:rPr>
          <w:b/>
        </w:rPr>
        <w:t xml:space="preserve">Source: </w:t>
      </w:r>
      <w:r>
        <w:t>Nature</w:t>
      </w:r>
      <w:r>
        <w:t xml:space="preserve">    </w:t>
      </w:r>
      <w:r>
        <w:rPr>
          <w:b/>
        </w:rPr>
        <w:t xml:space="preserve">Pub date: </w:t>
      </w:r>
      <w:r>
        <w:t>2026-08-06 00:00:00+00:00</w:t>
      </w:r>
      <w:r>
        <w:t xml:space="preserve">    </w:t>
      </w:r>
      <w:r>
        <w:rPr>
          <w:b/>
        </w:rPr>
        <w:t xml:space="preserve">DOI: </w:t>
      </w:r>
      <w:hyperlink r:id="rId1678">
        <w:r>
          <w:rPr>
            <w:color w:val="1155CC"/>
            <w:u w:val="single"/>
          </w:rPr>
          <w:t>10.1038/s41586-026-10953-2</w:t>
        </w:r>
      </w:hyperlink>
    </w:p>
    <w:p>
      <w:pPr>
        <w:spacing w:before="0" w:after="120"/>
      </w:pPr>
      <w:r>
        <w:rPr>
          <w:b/>
        </w:rPr>
        <w:t xml:space="preserve">Notes: </w:t>
      </w:r>
      <w:r>
        <w:t>abstract_source=nature_html</w:t>
      </w:r>
    </w:p>
    <w:p>
      <w:pPr>
        <w:spacing w:before="0" w:after="80" w:lineRule="auto" w:line="276"/>
      </w:pPr>
      <w:r>
        <w:rPr>
          <w:b/>
        </w:rPr>
        <w:t xml:space="preserve">摘要（ZH）: </w:t>
      </w:r>
      <w:r>
        <w:t>热带气旋是最危险、代价最高的天气现象之一，但对其进行预测仍然是一项艰巨的科学挑战。在这里，我们介绍 WeatherNext Cyclones (WN-C)，这是一种人工智能操作天气模型，可为全球热带气旋的路径、强度和规模提供最先进的集合预报。 WN-C 结合全球分析数据 1 和历史热带气旋全球数据库 2、3 进行训练，生成未来 15 天可能的全球天气和气旋情景的大型集合。对 2023 年至 2025 年热带气旋进行评估后，WN-C 的路径、强度和风半径预测比领先的业务模型平均领先一天或更多的提前时间，其准确性的提高可与过去十年业务开发的进展相媲美。我们使用比区域模型粗略几个数量级的输入获得了这些结果，这表明高分辨率并不是最先进的强度预测的严格先决条件，并且这种更粗略的大气数据包含比之前认识到的更多的强度信号。将 WN-C 的预测纳入加权平均共识集合中可以大大提高其技能。 WN-C 的可扩展性支持多达 1,000 名成员的整体，与传统的 50 名成员的整体相比，可以更好地捕获罕见事件。通过为人类预报员提供最先进的业务集合指导，这项工作代表了向更可靠、更及时的预报和警报迈出的一步，有助于保护生命并减轻灾难。</w:t>
      </w:r>
    </w:p>
    <w:p>
      <w:pPr>
        <w:spacing w:before="0" w:after="200" w:lineRule="auto" w:line="276"/>
      </w:pPr>
      <w:r>
        <w:rPr>
          <w:b/>
        </w:rPr>
        <w:t xml:space="preserve">Abstract (EN): </w:t>
      </w:r>
      <w:r>
        <w:t>Tropical cyclones are among the most dangerous and costly weather phenomena, yet forecasting them remains a profound scientific challenge. Here, we introduce WeatherNext Cyclones (WN-C), an AI operational weather model producing state-of-the-art ensemble forecasts for track, intensity, and size of tropical cyclones worldwide. Trained on a combination of global analysis data1 and a global database of historical tropical cyclones2,3, WN-C generates large ensembles of possible global weather and cyclone scenarios extending 15 days into the future. Evaluated on tropical cyclones from 2023–2025, the track, intensity and wind radii predictions from WN-C offer an average of a day or more of lead time advantage over leading operational models, an improvement in accuracy comparable to the progress seen over the last decade of operational development. We achieved these results using inputs orders of magnitude coarser than regional models, suggesting that high resolution is not a strict prerequisite for state-of-the-art intensity forecasting and that this coarser atmospheric data contains more intensity signal than previously recognised. Including predictions from WN-C in a weighted-average consensus ensemble substantially improves its skill. The scalability of WN-C enables up to 1,000-member ensembles which better capture rare events over conventional 50-member ensembles. By providing state-of-the-art operational ensemble guidance to human forecasters, this work represents a step-change towards more reliable and timely forecasts and warnings that can help protect lives and mitigate the devastating impacts of tropical cyclones.</w:t>
      </w:r>
    </w:p>
    <w:p>
      <w:pPr>
        <w:spacing w:before="120" w:after="120"/>
      </w:pPr>
      <w:r>
        <w:rPr>
          <w:sz w:val="18"/>
        </w:rPr>
        <w:t>——————————————————————————————————————————————————————————————————————</w:t>
      </w:r>
    </w:p>
    <w:p>
      <w:pPr>
        <w:spacing w:before="160" w:after="40" w:line="240" w:lineRule="auto"/>
      </w:pPr>
      <w:r>
        <w:rPr>
          <w:b/>
        </w:rPr>
        <w:t xml:space="preserve">[612] </w:t>
      </w:r>
      <w:hyperlink r:id="rId1679">
        <w:r>
          <w:rPr>
            <w:color w:val="1155CC"/>
            <w:u w:val="single"/>
          </w:rPr>
          <w:t>全球土壤微生物遗传资源图集暴露了保护不足</w:t>
        </w:r>
      </w:hyperlink>
    </w:p>
    <w:p>
      <w:pPr>
        <w:spacing w:before="0" w:after="80"/>
      </w:pPr>
      <w:r>
        <w:rPr>
          <w:i/>
          <w:sz w:val="20"/>
        </w:rPr>
        <w:t>EN: A global atlas of soil microbial genetic resources exposes protection shortfalls</w:t>
      </w:r>
    </w:p>
    <w:p>
      <w:pPr>
        <w:spacing w:before="0" w:after="120"/>
      </w:pPr>
      <w:r>
        <w:rPr>
          <w:b/>
        </w:rPr>
        <w:t xml:space="preserve">Source: </w:t>
      </w:r>
      <w:r>
        <w:t>Nature Sustainability</w:t>
      </w:r>
      <w:r>
        <w:t xml:space="preserve">    </w:t>
      </w:r>
      <w:r>
        <w:rPr>
          <w:b/>
        </w:rPr>
        <w:t xml:space="preserve">Pub date: </w:t>
      </w:r>
      <w:r>
        <w:t>2026-08-06 00:00:00+00:00</w:t>
      </w:r>
      <w:r>
        <w:t xml:space="preserve">    </w:t>
      </w:r>
      <w:r>
        <w:rPr>
          <w:b/>
        </w:rPr>
        <w:t xml:space="preserve">DOI: </w:t>
      </w:r>
      <w:hyperlink r:id="rId1680">
        <w:r>
          <w:rPr>
            <w:color w:val="1155CC"/>
            <w:u w:val="single"/>
          </w:rPr>
          <w:t>10.1038/s41893-026-01914-8</w:t>
        </w:r>
      </w:hyperlink>
    </w:p>
    <w:p>
      <w:pPr>
        <w:spacing w:before="0" w:after="120"/>
      </w:pPr>
      <w:r>
        <w:rPr>
          <w:b/>
        </w:rPr>
        <w:t xml:space="preserve">Notes: </w:t>
      </w:r>
      <w:r>
        <w:t>abstract_source=rss_nature</w:t>
      </w:r>
    </w:p>
    <w:p>
      <w:pPr>
        <w:spacing w:before="0" w:after="80" w:lineRule="auto" w:line="276"/>
      </w:pPr>
      <w:r>
        <w:rPr>
          <w:b/>
        </w:rPr>
        <w:t xml:space="preserve">摘要（ZH）: </w:t>
      </w:r>
      <w:r>
        <w:t>土壤微生物群落蕴藏着多种遗传资源，这些资源支撑着它们提供重要生态系统服务（例如养分循环）的能力。在这里，作者从 1,609 个土壤宏基因组中绘制了全球土壤微生物遗传资源热点图，以为其保护提供可行的目标。</w:t>
      </w:r>
    </w:p>
    <w:p>
      <w:pPr>
        <w:spacing w:before="0" w:after="200" w:lineRule="auto" w:line="276"/>
      </w:pPr>
      <w:r>
        <w:rPr>
          <w:b/>
        </w:rPr>
        <w:t xml:space="preserve">Abstract (EN): </w:t>
      </w:r>
      <w:r>
        <w:t>Soil microbiomes harbour diverse genetic resources that underpin their capacity to provide crucial ecosystem services (for example, nutrient cycling). Here the authors map global hotspots of soil microbial genetic resources from 1,609 soil metagenomes to inform actionable targets for their protection.</w:t>
      </w:r>
    </w:p>
    <w:p>
      <w:pPr>
        <w:spacing w:before="120" w:after="120"/>
      </w:pPr>
      <w:r>
        <w:rPr>
          <w:sz w:val="18"/>
        </w:rPr>
        <w:t>——————————————————————————————————————————————————————————————————————</w:t>
      </w:r>
    </w:p>
    <w:p>
      <w:pPr>
        <w:spacing w:before="160" w:after="40" w:line="240" w:lineRule="auto"/>
      </w:pPr>
      <w:r>
        <w:rPr>
          <w:b/>
        </w:rPr>
        <w:t xml:space="preserve">[613] </w:t>
      </w:r>
      <w:hyperlink r:id="rId1681">
        <w:r>
          <w:rPr>
            <w:color w:val="1155CC"/>
            <w:u w:val="single"/>
          </w:rPr>
          <w:t>多营养生物环对土壤固碳的影响</w:t>
        </w:r>
      </w:hyperlink>
    </w:p>
    <w:p>
      <w:pPr>
        <w:spacing w:before="0" w:after="80"/>
      </w:pPr>
      <w:r>
        <w:rPr>
          <w:i/>
          <w:sz w:val="20"/>
        </w:rPr>
        <w:t>EN: Impacts of multitrophic biological loop on soil carbon sequestration</w:t>
      </w:r>
    </w:p>
    <w:p>
      <w:pPr>
        <w:spacing w:before="0" w:after="120"/>
      </w:pPr>
      <w:r>
        <w:rPr>
          <w:b/>
        </w:rPr>
        <w:t xml:space="preserve">Source: </w:t>
      </w:r>
      <w:r>
        <w:t>National Science Review Advance Access</w:t>
      </w:r>
      <w:r>
        <w:t xml:space="preserve">    </w:t>
      </w:r>
      <w:r>
        <w:rPr>
          <w:b/>
        </w:rPr>
        <w:t xml:space="preserve">Pub date: </w:t>
      </w:r>
      <w:r>
        <w:t>2026-08-06 00:00:00+00:00</w:t>
      </w:r>
      <w:r>
        <w:t xml:space="preserve">    </w:t>
      </w:r>
      <w:r>
        <w:rPr>
          <w:b/>
        </w:rPr>
        <w:t xml:space="preserve">DOI: </w:t>
      </w:r>
      <w:hyperlink r:id="rId1682">
        <w:r>
          <w:rPr>
            <w:color w:val="1155CC"/>
            <w:u w:val="single"/>
          </w:rPr>
          <w:t>10.1093/nsr/nwag475</w:t>
        </w:r>
      </w:hyperlink>
    </w:p>
    <w:p>
      <w:pPr>
        <w:spacing w:before="0" w:after="120"/>
      </w:pPr>
      <w:r>
        <w:rPr>
          <w:b/>
        </w:rPr>
        <w:t xml:space="preserve">Notes: </w:t>
      </w:r>
      <w:r>
        <w:t>abstract_source=crossref</w:t>
      </w:r>
    </w:p>
    <w:p>
      <w:pPr>
        <w:spacing w:before="0" w:after="80" w:lineRule="auto" w:line="276"/>
      </w:pPr>
      <w:r>
        <w:rPr>
          <w:b/>
        </w:rPr>
        <w:t xml:space="preserve">摘要（ZH）: </w:t>
      </w:r>
      <w:r>
        <w:t>土壤病毒、微生物和土壤动物之间的相互作用形成了统一的土壤生物循环，形成微生物坏死物并控制土壤碳储存。这项工作通过引入病毒介导的微生物碳泵扩展了微生物碳泵理论，为解释全球变化下的土壤碳固存提供了新的框架。</w:t>
      </w:r>
    </w:p>
    <w:p>
      <w:pPr>
        <w:spacing w:before="0" w:after="200" w:lineRule="auto" w:line="276"/>
      </w:pPr>
      <w:r>
        <w:rPr>
          <w:b/>
        </w:rPr>
        <w:t xml:space="preserve">Abstract (EN): </w:t>
      </w:r>
      <w:r>
        <w:t>Interactions among soil viruses, microbes and soil fauna form a unified soil biological loop that shapes microbial necromass and controls soil carbon storage. This work extends the microbial carbon pump theory by introducing the virus-mediated microbial carbon pump, offering a new framework to explain soil carbon sequestration under global change.</w:t>
      </w:r>
    </w:p>
    <w:p>
      <w:pPr>
        <w:spacing w:before="120" w:after="120"/>
      </w:pPr>
      <w:r>
        <w:rPr>
          <w:sz w:val="18"/>
        </w:rPr>
        <w:t>——————————————————————————————————————————————————————————————————————</w:t>
      </w:r>
    </w:p>
    <w:p>
      <w:pPr>
        <w:spacing w:before="160" w:after="40" w:line="240" w:lineRule="auto"/>
      </w:pPr>
      <w:r>
        <w:rPr>
          <w:b/>
        </w:rPr>
        <w:t xml:space="preserve">[614] </w:t>
      </w:r>
      <w:hyperlink r:id="rId1683">
        <w:r>
          <w:rPr>
            <w:color w:val="1155CC"/>
            <w:u w:val="single"/>
          </w:rPr>
          <w:t>微滴挤在一起模仿软组织</w:t>
        </w:r>
      </w:hyperlink>
    </w:p>
    <w:p>
      <w:pPr>
        <w:spacing w:before="0" w:after="80"/>
      </w:pPr>
      <w:r>
        <w:rPr>
          <w:i/>
          <w:sz w:val="20"/>
        </w:rPr>
        <w:t>EN: Microdroplets jam together to mimic soft tissues</w:t>
      </w:r>
    </w:p>
    <w:p>
      <w:pPr>
        <w:spacing w:before="0" w:after="120"/>
      </w:pPr>
      <w:r>
        <w:rPr>
          <w:b/>
        </w:rPr>
        <w:t xml:space="preserve">Source: </w:t>
      </w:r>
      <w:r>
        <w:t>Nature Materials</w:t>
      </w:r>
      <w:r>
        <w:t xml:space="preserve">    </w:t>
      </w:r>
      <w:r>
        <w:rPr>
          <w:b/>
        </w:rPr>
        <w:t xml:space="preserve">Pub date: </w:t>
      </w:r>
      <w:r>
        <w:t>2026-08-06 00:00:00+00:00</w:t>
      </w:r>
      <w:r>
        <w:t xml:space="preserve">    </w:t>
      </w:r>
      <w:r>
        <w:rPr>
          <w:b/>
        </w:rPr>
        <w:t xml:space="preserve">DOI: </w:t>
      </w:r>
      <w:hyperlink r:id="rId1684">
        <w:r>
          <w:rPr>
            <w:color w:val="1155CC"/>
            <w:u w:val="single"/>
          </w:rPr>
          <w:t>10.1038/s41563-026-02701-8</w:t>
        </w:r>
      </w:hyperlink>
    </w:p>
    <w:p>
      <w:pPr>
        <w:spacing w:before="0" w:after="120"/>
      </w:pPr>
      <w:r>
        <w:rPr>
          <w:b/>
        </w:rPr>
        <w:t xml:space="preserve">Notes: </w:t>
      </w:r>
      <w:r>
        <w:t>abstract_source=rss_nature</w:t>
      </w:r>
    </w:p>
    <w:p>
      <w:pPr>
        <w:spacing w:before="0" w:after="80" w:lineRule="auto" w:line="276"/>
      </w:pPr>
      <w:r>
        <w:rPr>
          <w:b/>
        </w:rPr>
        <w:t xml:space="preserve">摘要（ZH）: </w:t>
      </w:r>
      <w:r>
        <w:t>由液滴界面双层分隔的密集乳液能够实现仿生合成组织的高通量生产和打印。</w:t>
      </w:r>
    </w:p>
    <w:p>
      <w:pPr>
        <w:spacing w:before="0" w:after="200" w:lineRule="auto" w:line="276"/>
      </w:pPr>
      <w:r>
        <w:rPr>
          <w:b/>
        </w:rPr>
        <w:t xml:space="preserve">Abstract (EN): </w:t>
      </w:r>
      <w:r>
        <w:t>Densely packed emulsions compartmentalized by droplet interface bilayers enable high-throughput production and printing of biomimetic synthetic tissues.</w:t>
      </w:r>
    </w:p>
    <w:p>
      <w:pPr>
        <w:spacing w:before="120" w:after="120"/>
      </w:pPr>
      <w:r>
        <w:rPr>
          <w:sz w:val="18"/>
        </w:rPr>
        <w:t>——————————————————————————————————————————————————————————————————————</w:t>
      </w:r>
    </w:p>
    <w:p>
      <w:pPr>
        <w:spacing w:before="160" w:after="40" w:line="240" w:lineRule="auto"/>
      </w:pPr>
      <w:r>
        <w:rPr>
          <w:b/>
        </w:rPr>
        <w:t xml:space="preserve">[615] </w:t>
      </w:r>
      <w:hyperlink r:id="rId1685">
        <w:r>
          <w:rPr>
            <w:color w:val="1155CC"/>
            <w:u w:val="single"/>
          </w:rPr>
          <w:t>水力特征控制变暖下山地树木的相反范围变化</w:t>
        </w:r>
      </w:hyperlink>
    </w:p>
    <w:p>
      <w:pPr>
        <w:spacing w:before="0" w:after="80"/>
      </w:pPr>
      <w:r>
        <w:rPr>
          <w:i/>
          <w:sz w:val="20"/>
        </w:rPr>
        <w:t>EN: Hydraulic traits govern opposing range shifts of montane trees under warming</w:t>
      </w:r>
    </w:p>
    <w:p>
      <w:pPr>
        <w:spacing w:before="0" w:after="120"/>
      </w:pPr>
      <w:r>
        <w:rPr>
          <w:b/>
        </w:rPr>
        <w:t xml:space="preserve">Source: </w:t>
      </w:r>
      <w:r>
        <w:t>Nature Climate Change</w:t>
      </w:r>
      <w:r>
        <w:t xml:space="preserve">    </w:t>
      </w:r>
      <w:r>
        <w:rPr>
          <w:b/>
        </w:rPr>
        <w:t xml:space="preserve">Pub date: </w:t>
      </w:r>
      <w:r>
        <w:t>2026-08-06 00:00:00+00:00</w:t>
      </w:r>
      <w:r>
        <w:t xml:space="preserve">    </w:t>
      </w:r>
      <w:r>
        <w:rPr>
          <w:b/>
        </w:rPr>
        <w:t xml:space="preserve">DOI: </w:t>
      </w:r>
      <w:hyperlink r:id="rId1686">
        <w:r>
          <w:rPr>
            <w:color w:val="1155CC"/>
            <w:u w:val="single"/>
          </w:rPr>
          <w:t>10.1038/s41558-026-02726-6</w:t>
        </w:r>
      </w:hyperlink>
    </w:p>
    <w:p>
      <w:pPr>
        <w:spacing w:before="0" w:after="120"/>
      </w:pPr>
      <w:r>
        <w:rPr>
          <w:b/>
        </w:rPr>
        <w:t xml:space="preserve">Notes: </w:t>
      </w:r>
      <w:r>
        <w:t>abstract_source=rss_nature</w:t>
      </w:r>
    </w:p>
    <w:p>
      <w:pPr>
        <w:spacing w:before="0" w:after="80" w:lineRule="auto" w:line="276"/>
      </w:pPr>
      <w:r>
        <w:rPr>
          <w:b/>
        </w:rPr>
        <w:t xml:space="preserve">摘要（ZH）: </w:t>
      </w:r>
      <w:r>
        <w:t>作者将树木年代学记录与范围变化相结合，表明山地树种的变化与树木的水力特性密切相关。虽然对气候敏感的物种会随着气候变暖而向更高的海拔移动，但抗压物种却会向下坡扩张。</w:t>
      </w:r>
    </w:p>
    <w:p>
      <w:pPr>
        <w:spacing w:before="0" w:after="200" w:lineRule="auto" w:line="276"/>
      </w:pPr>
      <w:r>
        <w:rPr>
          <w:b/>
        </w:rPr>
        <w:t xml:space="preserve">Abstract (EN): </w:t>
      </w:r>
      <w:r>
        <w:t>The authors integrate dendrochronological records with range shifts to show that shifts in montane tree species are tightly linked to tree hydraulic properties. While climate-sensitive species track warming to higher elevations, stress-resistant species expand downslope.</w:t>
      </w:r>
    </w:p>
    <w:p>
      <w:pPr>
        <w:spacing w:before="120" w:after="120"/>
      </w:pPr>
      <w:r>
        <w:rPr>
          <w:sz w:val="18"/>
        </w:rPr>
        <w:t>——————————————————————————————————————————————————————————————————————</w:t>
      </w:r>
    </w:p>
    <w:p>
      <w:pPr>
        <w:spacing w:before="160" w:after="40" w:line="240" w:lineRule="auto"/>
      </w:pPr>
      <w:r>
        <w:rPr>
          <w:b/>
        </w:rPr>
        <w:t xml:space="preserve">[616] </w:t>
      </w:r>
      <w:hyperlink r:id="rId1687">
        <w:r>
          <w:rPr>
            <w:color w:val="1155CC"/>
            <w:u w:val="single"/>
          </w:rPr>
          <w:t>以韦尔方式扭转光线</w:t>
        </w:r>
      </w:hyperlink>
    </w:p>
    <w:p>
      <w:pPr>
        <w:spacing w:before="0" w:after="80"/>
      </w:pPr>
      <w:r>
        <w:rPr>
          <w:i/>
          <w:sz w:val="20"/>
        </w:rPr>
        <w:t>EN: Twisting light the Weyl way</w:t>
      </w:r>
    </w:p>
    <w:p>
      <w:pPr>
        <w:spacing w:before="0" w:after="120"/>
      </w:pPr>
      <w:r>
        <w:rPr>
          <w:b/>
        </w:rPr>
        <w:t xml:space="preserve">Source: </w:t>
      </w:r>
      <w:r>
        <w:t>Nature Materials</w:t>
      </w:r>
      <w:r>
        <w:t xml:space="preserve">    </w:t>
      </w:r>
      <w:r>
        <w:rPr>
          <w:b/>
        </w:rPr>
        <w:t xml:space="preserve">Pub date: </w:t>
      </w:r>
      <w:r>
        <w:t>2026-08-06 00:00:00+00:00</w:t>
      </w:r>
      <w:r>
        <w:t xml:space="preserve">    </w:t>
      </w:r>
      <w:r>
        <w:rPr>
          <w:b/>
        </w:rPr>
        <w:t xml:space="preserve">DOI: </w:t>
      </w:r>
      <w:hyperlink r:id="rId1688">
        <w:r>
          <w:rPr>
            <w:color w:val="1155CC"/>
            <w:u w:val="single"/>
          </w:rPr>
          <w:t>10.1038/s41563-026-02709-0</w:t>
        </w:r>
      </w:hyperlink>
    </w:p>
    <w:p>
      <w:pPr>
        <w:spacing w:before="0" w:after="120"/>
      </w:pPr>
      <w:r>
        <w:rPr>
          <w:b/>
        </w:rPr>
        <w:t xml:space="preserve">Notes: </w:t>
      </w:r>
      <w:r>
        <w:t>abstract_source=rss_nature</w:t>
      </w:r>
    </w:p>
    <w:p>
      <w:pPr>
        <w:spacing w:before="0" w:after="80" w:lineRule="auto" w:line="276"/>
      </w:pPr>
      <w:r>
        <w:rPr>
          <w:b/>
        </w:rPr>
        <w:t xml:space="preserve">摘要（ZH）: </w:t>
      </w:r>
      <w:r>
        <w:t>对 Mn(Bi,Sb)2Te4 合金施加磁场会引起同时发生的磁性和拓扑相变，从而在红外范围内产生出乎意料的强圆二色性。</w:t>
      </w:r>
    </w:p>
    <w:p>
      <w:pPr>
        <w:spacing w:before="0" w:after="200" w:lineRule="auto" w:line="276"/>
      </w:pPr>
      <w:r>
        <w:rPr>
          <w:b/>
        </w:rPr>
        <w:t xml:space="preserve">Abstract (EN): </w:t>
      </w:r>
      <w:r>
        <w:t>The application of a magnetic field to a Mn(Bi,Sb)2Te4 alloy induces concurrent magnetic and topological phase transitions, giving rise to unexpectedly strong circular dichroism in the infrared range.</w:t>
      </w:r>
    </w:p>
    <w:p>
      <w:pPr>
        <w:spacing w:before="120" w:after="120"/>
      </w:pPr>
      <w:r>
        <w:rPr>
          <w:sz w:val="18"/>
        </w:rPr>
        <w:t>——————————————————————————————————————————————————————————————————————</w:t>
      </w:r>
    </w:p>
    <w:p>
      <w:pPr>
        <w:spacing w:before="160" w:after="40" w:line="240" w:lineRule="auto"/>
      </w:pPr>
      <w:r>
        <w:rPr>
          <w:b/>
        </w:rPr>
        <w:t xml:space="preserve">[617] </w:t>
      </w:r>
      <w:hyperlink r:id="rId1689">
        <w:r>
          <w:rPr>
            <w:color w:val="1155CC"/>
            <w:u w:val="single"/>
          </w:rPr>
          <w:t>独立高效的吡啶酮支架：用于高对比度生物成像的通用余辉化学发光平台</w:t>
        </w:r>
      </w:hyperlink>
    </w:p>
    <w:p>
      <w:pPr>
        <w:spacing w:before="0" w:after="80"/>
      </w:pPr>
      <w:r>
        <w:rPr>
          <w:i/>
          <w:sz w:val="20"/>
        </w:rPr>
        <w:t>EN: Independent and Efficient Pyridone Scaffold: Universal Afterglow Chemiluminescence Platform for High-Contrast Bioimaging</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690">
        <w:r>
          <w:rPr>
            <w:color w:val="1155CC"/>
            <w:u w:val="single"/>
          </w:rPr>
          <w:t>10.1021/jacs.6c09236</w:t>
        </w:r>
      </w:hyperlink>
    </w:p>
    <w:p>
      <w:pPr>
        <w:spacing w:before="0" w:after="120"/>
      </w:pPr>
      <w:r>
        <w:rPr>
          <w:b/>
        </w:rPr>
        <w:t xml:space="preserve">Notes: </w:t>
      </w:r>
      <w:r>
        <w:t>abstract_source=crossref</w:t>
      </w:r>
    </w:p>
    <w:p>
      <w:pPr>
        <w:spacing w:before="0" w:after="80" w:lineRule="auto" w:line="276"/>
      </w:pPr>
      <w:r>
        <w:rPr>
          <w:b/>
        </w:rPr>
        <w:t xml:space="preserve">摘要（ZH）: </w:t>
      </w:r>
      <w:r>
        <w:t>摘要 有机余辉化学发光成像由于消除了实时激发光且生物毒性低，在高对比度生物医学应用中具有广阔的前景。然而，传统的分子设计策略面临着重大挑战。集成分子和多组分物理混合系统都存在固有的缺点，例如不可逆的底物消耗、发射蓝移和低效的能量转移，这最终限制了它们的性能和应用。为了解决这些问题，我们报告了一种独立且有效的吡啶酮支架，用于构建余辉分子。 2-吡啶酮被用作稳定的非消耗性底物，以防止耗尽和蓝移，而与中继单元的共价连接确保了有效的分子内能量转移。基于该支架，构建了一系列余辉化学发光分子（RB-Py、BDP-Py、HC-Py、CS-Py、Cy-Py）。用 Pluronic F127 封装形成纳米颗粒后，这些分子在 PBS 中表现出优异的余辉性能。开发了一种可激活的余辉化学发光探针（HFO-NPs），它可以在过氧亚硝酸盐（ONOO–）存在的情况下同时激活荧光和余辉信号。此外，我们成功地将其应用于 APAP 引起的早期肝损伤的精确诊断和 ONOO– 水平的可视化。总之，这些发现为有机余辉分子建立了新的范例，并为精确的分子传感和疾病诊断提供了强大的新平台。</w:t>
      </w:r>
    </w:p>
    <w:p>
      <w:pPr>
        <w:spacing w:before="0" w:after="200" w:lineRule="auto" w:line="276"/>
      </w:pPr>
      <w:r>
        <w:rPr>
          <w:b/>
        </w:rPr>
        <w:t xml:space="preserve">Abstract (EN): </w:t>
      </w:r>
      <w:r>
        <w:t>Organic afterglow chemiluminescence imaging holds great promise for high-contrast biomedical applications owing to its elimination of real-time excitation light and low biotoxicity. However, conventional molecular design strategies face significant challenges. Both integrated molecules and multicomponent physical hybrid systems suffer from inherent drawbacks, such as irreversible substrate consumption, emission blue-shift and inefficient energy transfer, which ultimately limit their performance and applications. To address these issues, we report an independent and efficient pyridone scaffold for constructing afterglow molecules. 2-pyridone was employed as a stable, nonconsumable substrate to prevent depletion and blue-shift, while covalent linkage with the relay unit ensured efficient intramolecular energy transfer. Based on this scaffold, a series of afterglow chemiluminescent molecules (RB-Py, BDP-Py, HC-Py, CS-Py, Cy-Py) were constructed. Upon encapsulation with Pluronic F127 to form nanoparticles, these molecules demonstrated excellent afterglow performance in PBS. An activatable afterglow chemiluminescence probe (HFO-NPs) was developed, which can simultaneously activate fluorescence and afterglow signals in the presence of peroxynitrite (ONOO–). Furthermore, we successfully applied it for the precise diagnosis of APAP-induced early liver injury and the visualization of ONOO– levels. Together, these findings establish a new paradigm for organic afterglow molecules and provide a powerful new platform for precise molecular sensing and disease diagnosis.</w:t>
      </w:r>
    </w:p>
    <w:p>
      <w:pPr>
        <w:spacing w:before="120" w:after="120"/>
      </w:pPr>
      <w:r>
        <w:rPr>
          <w:sz w:val="18"/>
        </w:rPr>
        <w:t>——————————————————————————————————————————————————————————————————————</w:t>
      </w:r>
    </w:p>
    <w:p>
      <w:pPr>
        <w:spacing w:before="160" w:after="40" w:line="240" w:lineRule="auto"/>
      </w:pPr>
      <w:r>
        <w:rPr>
          <w:b/>
        </w:rPr>
        <w:t xml:space="preserve">[618] </w:t>
      </w:r>
      <w:hyperlink r:id="rId1691">
        <w:r>
          <w:rPr>
            <w:color w:val="1155CC"/>
            <w:u w:val="single"/>
          </w:rPr>
          <w:t>通过单分子水平的振动-声子耦合进行表面声子介导的分子扩散</w:t>
        </w:r>
      </w:hyperlink>
    </w:p>
    <w:p>
      <w:pPr>
        <w:spacing w:before="0" w:after="80"/>
      </w:pPr>
      <w:r>
        <w:rPr>
          <w:i/>
          <w:sz w:val="20"/>
        </w:rPr>
        <w:t>EN: Surface Phonon-Mediated Molecular Diffusion via Vibration–Phonon Coupling at the Single-Molecule Level</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692">
        <w:r>
          <w:rPr>
            <w:color w:val="1155CC"/>
            <w:u w:val="single"/>
          </w:rPr>
          <w:t>10.1021/jacs.6c03768</w:t>
        </w:r>
      </w:hyperlink>
    </w:p>
    <w:p>
      <w:pPr>
        <w:spacing w:before="0" w:after="120"/>
      </w:pPr>
      <w:r>
        <w:rPr>
          <w:b/>
        </w:rPr>
        <w:t xml:space="preserve">Notes: </w:t>
      </w:r>
      <w:r>
        <w:t>abstract_source=crossref</w:t>
      </w:r>
    </w:p>
    <w:p>
      <w:pPr>
        <w:spacing w:before="0" w:after="80" w:lineRule="auto" w:line="276"/>
      </w:pPr>
      <w:r>
        <w:rPr>
          <w:b/>
        </w:rPr>
        <w:t xml:space="preserve">摘要（ZH）: </w:t>
      </w:r>
      <w:r>
        <w:t>摘要 了解在固体表面引起分子运动的基本机制对于阐明分子扩散和反应等基本表面过程至关重要。迄今为止，已经证明使用电子、热和光的几种激发途径可以诱导表面分子吸附物的振动激发。然而，尽管底物声子在各种化学过程中普遍重要，但其对吸附物行为的贡献尚未得到充分研究。在这里，我们通过研究 CO 在 Ag(100) 上外延生长的超薄 MgO 薄膜上的扩散机制揭示了表面声子可以主动诱导分子扩散的证据。利用扫描隧道显微镜的作用光谱和密度泛函理论计算，我们揭示了一种由表面声子介导的新型扩散途径，以及CO拉伸模式的传统振动激发。这种新观察到的扩散途径被确定为 MgO 的 Fuchs-Kliewer 声子模式，与 CO 基底拉伸运动相结合。这些发现为单分子水平上表面声子介导的分子运动提供了直接的机制见解，为理解表面分子动力学中的振动-声子耦合提供了明确的框架。</w:t>
      </w:r>
    </w:p>
    <w:p>
      <w:pPr>
        <w:spacing w:before="0" w:after="200" w:lineRule="auto" w:line="276"/>
      </w:pPr>
      <w:r>
        <w:rPr>
          <w:b/>
        </w:rPr>
        <w:t xml:space="preserve">Abstract (EN): </w:t>
      </w:r>
      <w:r>
        <w:t>Understanding the underlying mechanisms that induce molecular motion on solid surfaces is essential for elucidating elementary surface processes such as molecular diffusion and reactions. To date, several excitation pathways using electrons, heat, and light have been shown to induce the vibrational excitation of molecular adsorbates on surfaces. However, the contribution of substrate phonons to the behaviors of adsorbates has been underexplored despite its ubiquitous importance in various chemical processes. Here, we present evidence that surface phonons can actively induce molecular diffusion, as revealed by investigating the diffusion mechanism of CO on an ultrathin MgO film epitaxially grown on Ag(100). Using action spectroscopy with a scanning tunneling microscope and density functional theory calculations, we reveal a novel diffusion pathway mediated by surface phonons, along with the conventional vibrational excitation of the CO stretching mode. This newly observed diffusion pathway is identified as the Fuchs-Kliewer phonon mode of MgO, coupled with the CO-substrate stretching motion. These findings provide direct mechanistic insight into surface phonon-mediated molecular motion at the single-molecule level, offering a well-defined framework for understanding the vibration–phonon coupling in surface molecular dynamics.</w:t>
      </w:r>
    </w:p>
    <w:p>
      <w:pPr>
        <w:spacing w:before="120" w:after="120"/>
      </w:pPr>
      <w:r>
        <w:rPr>
          <w:sz w:val="18"/>
        </w:rPr>
        <w:t>——————————————————————————————————————————————————————————————————————</w:t>
      </w:r>
    </w:p>
    <w:p>
      <w:pPr>
        <w:spacing w:before="160" w:after="40" w:line="240" w:lineRule="auto"/>
      </w:pPr>
      <w:r>
        <w:rPr>
          <w:b/>
        </w:rPr>
        <w:t xml:space="preserve">[619] </w:t>
      </w:r>
      <w:hyperlink r:id="rId1693">
        <w:r>
          <w:rPr>
            <w:color w:val="1155CC"/>
            <w:u w:val="single"/>
          </w:rPr>
          <w:t>TEMPO+BF4介导的氧化纳扎罗夫环化和级联复分解不对称全合成委内瑞拉烯A</w:t>
        </w:r>
      </w:hyperlink>
    </w:p>
    <w:p>
      <w:pPr>
        <w:spacing w:before="0" w:after="80"/>
      </w:pPr>
      <w:r>
        <w:rPr>
          <w:i/>
          <w:sz w:val="20"/>
        </w:rPr>
        <w:t>EN: Asymmetric Total Synthesis of Venezuelaene A via TEMPO+BF4–-Mediated Oxidative Nazarov Cyclization and Cascade Metathesis</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694">
        <w:r>
          <w:rPr>
            <w:color w:val="1155CC"/>
            <w:u w:val="single"/>
          </w:rPr>
          <w:t>10.1021/jacs.6c09948</w:t>
        </w:r>
      </w:hyperlink>
    </w:p>
    <w:p>
      <w:pPr>
        <w:spacing w:before="0" w:after="120"/>
      </w:pPr>
      <w:r>
        <w:rPr>
          <w:b/>
        </w:rPr>
        <w:t xml:space="preserve">Notes: </w:t>
      </w:r>
      <w:r>
        <w:t>abstract_source=crossref</w:t>
      </w:r>
    </w:p>
    <w:p>
      <w:pPr>
        <w:spacing w:before="0" w:after="80" w:lineRule="auto" w:line="276"/>
      </w:pPr>
      <w:r>
        <w:rPr>
          <w:b/>
        </w:rPr>
        <w:t xml:space="preserve">摘要（ZH）: </w:t>
      </w:r>
      <w:r>
        <w:t>摘要 报道了委内瑞拉烯 A 的首次不对称全合成，委内瑞拉烯 A 是一种罕见的 [5-5-6-7] 四环二萜类化合物，具有高度紧张的转融合 [5-5] 双环基序以及密集功能化的环戊烷环和六个连续的立体中心。我们的方法强调 (1) TEMPO+BF4 介导的氧化 Nazarov 环化，快速组装带有关键 C15 四元中心的腙烷核心； (2) Stoltz脱羧烯丙基烷基化以高度非对映选择性地安装相邻的C3-季中心； （3）战略性分子内碳原子转移，克服了传统方法遇到的同系化和立体化学控制的巨大挑战； （4）烯-炔-烯级联复分解，有效形成[5-7]双环系统并最终形成整个四环骨架，代表了通过复分解反应构建高张力反式稠合[5-5]双环系统的第一个例子。</w:t>
      </w:r>
    </w:p>
    <w:p>
      <w:pPr>
        <w:spacing w:before="0" w:after="200" w:lineRule="auto" w:line="276"/>
      </w:pPr>
      <w:r>
        <w:rPr>
          <w:b/>
        </w:rPr>
        <w:t xml:space="preserve">Abstract (EN): </w:t>
      </w:r>
      <w:r>
        <w:t>The first and asymmetric total synthesis of venezuelaene A, a rare [5–5–6–7] tetracyclic diterpenoid featuring a highly strained trans-fused [5–5] bicyclic motif alongside a densely functionalized cyclopentane ring and six contiguous stereogenic centers, is reported. Our approach highlights (1) a TEMPO+BF4–-mediated oxidative Nazarov cyclization that rapidly assembles the hydrindane core bearing the key C15-quaternary center; (2) a Stoltz decarboxylative allylic alkylation to highly diastereoselectively install the adjacent C3-quaternary center; (3) a strategic intramolecular carbon atom transfer that overcomes formidable challenges of both homologation and stereochemical control encountered with conventional approaches; and (4) an ene-yne-ene cascade metathesis that efficiently forges the [5–7] bicyclic system and ultimately the entire tetracyclic skeleton, representing the first example of constructing a highly strained trans-fused [5–5] bicyclic ring system via a metathesis reaction.</w:t>
      </w:r>
    </w:p>
    <w:p>
      <w:pPr>
        <w:spacing w:before="120" w:after="120"/>
      </w:pPr>
      <w:r>
        <w:rPr>
          <w:sz w:val="18"/>
        </w:rPr>
        <w:t>——————————————————————————————————————————————————————————————————————</w:t>
      </w:r>
    </w:p>
    <w:p>
      <w:pPr>
        <w:spacing w:before="160" w:after="40" w:line="240" w:lineRule="auto"/>
      </w:pPr>
      <w:r>
        <w:rPr>
          <w:b/>
        </w:rPr>
        <w:t xml:space="preserve">[620] </w:t>
      </w:r>
      <w:hyperlink r:id="rId1695">
        <w:r>
          <w:rPr>
            <w:color w:val="1155CC"/>
            <w:u w:val="single"/>
          </w:rPr>
          <w:t>超声驱动的氮氧化物还原脱氧用于时空控制的前药激活</w:t>
        </w:r>
      </w:hyperlink>
    </w:p>
    <w:p>
      <w:pPr>
        <w:spacing w:before="0" w:after="80"/>
      </w:pPr>
      <w:r>
        <w:rPr>
          <w:i/>
          <w:sz w:val="20"/>
        </w:rPr>
        <w:t>EN: Ultrasound-Driven Reductive Deoxygenation of N -Oxides for Spatiotemporally Controlled Prodrug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696">
        <w:r>
          <w:rPr>
            <w:color w:val="1155CC"/>
            <w:u w:val="single"/>
          </w:rPr>
          <w:t>10.1021/jacs.6c07122</w:t>
        </w:r>
      </w:hyperlink>
    </w:p>
    <w:p>
      <w:pPr>
        <w:spacing w:before="0" w:after="120"/>
      </w:pPr>
      <w:r>
        <w:rPr>
          <w:b/>
        </w:rPr>
        <w:t xml:space="preserve">Notes: </w:t>
      </w:r>
      <w:r>
        <w:t>abstract_source=crossref</w:t>
      </w:r>
    </w:p>
    <w:p>
      <w:pPr>
        <w:spacing w:before="0" w:after="80" w:lineRule="auto" w:line="276"/>
      </w:pPr>
      <w:r>
        <w:rPr>
          <w:b/>
        </w:rPr>
        <w:t xml:space="preserve">摘要（ZH）: </w:t>
      </w:r>
      <w:r>
        <w:t>摘要：肿瘤内 N-氧化物前药的时空控制、肿瘤选择性激活仍然是癌症治疗中长期存在的挑战。在此，我们报告了一种由临床超声驱动的广泛适用的 N-氧化物还原脱氧策略，通过核黄素四丁酸酯 (TBR)/NADPH 氧化还原中继系统实现外部控制的前药激活。在温和的临床可翻译超声（1 MHz、2.0 W/cm2、50% 占空比）下，该平台通过单电子转移和氢原子转移促进有效的 N-O 键裂解。密度泛函理论计算支持所有基态步骤在热力学上都是有利的，吉布斯自由能变化（ΔG）为负，支持声化学氮氧化物还原的可行性。该方法对多种 N-氧化物化合物表现出广泛的底物通用性，包括临床研究的缺氧激活前药班诺蒽醌 (AQ4N)、喹啉 N-氧化物、8-羟基喹啉 N-氧化物、氯氮平 N-氧化物和奥氮平 N-氧化物。在缺氧的肿瘤细胞中，超声/TBR系统显着增强细胞内AQ4的形成，并将AQ4N的IC50从35.0 mg/L降低至2.8 mg/L。在体内，AQ4N、TBR 和超声的组合使瘤内 AQ4 的形成增加了约 24.1 倍，肿瘤抑制率达到 113.7%，优于 AQ4N 单一疗法 (82.3%)。这种声化学触发的激活平台绕过了肿瘤微环境刺激的异质性，并为精准药物生产提供了一个多功能的、外部控制的框架。</w:t>
      </w:r>
    </w:p>
    <w:p>
      <w:pPr>
        <w:spacing w:before="0" w:after="200" w:lineRule="auto" w:line="276"/>
      </w:pPr>
      <w:r>
        <w:rPr>
          <w:b/>
        </w:rPr>
        <w:t xml:space="preserve">Abstract (EN): </w:t>
      </w:r>
      <w:r>
        <w:t>Spatiotemporally controlled, tumor-selective activation of N-oxide prodrugs within tumors remains a longstanding challenge in cancer therapy. Herein, we report a broadly applicable strategy driven by clinical ultrasound for the reductive deoxygenation of N-oxides, enabling externally controlled prodrug activation via a riboflavin tetrabutyrate (TBR)/NADPH redox-relay system. Under mild, clinically translatable ultrasound (1 MHz, 2.0 W/cm2, 50% duty cycle), this platform promotes efficient N–O bond cleavage through single-electron transfer and hydrogen-atom transfer. Density functional theory calculations support that all ground-state steps are thermodynamically favorable with negative Gibbs free-energy changes (ΔG), supporting the feasibility of sonochemical N-oxide reduction. This method exhibits broad substrate generality toward diverse N-oxide compounds, including the clinically investigated hypoxia-activated prodrug banoxantrone (AQ4N), quinoline N-oxide, 8-hydroxyquinoline N-oxide, clozapine N-oxide, and olanzapine N-oxide. In hypoxic tumor cells, the ultrasound/TBR system enhances intracellular AQ4 formation significantly and reduces the IC50 of AQ4N from 35.0 to 2.8 mg/L. In vivo, the combination of AQ4N, TBR, and ultrasound increased intratumoral AQ4 formation by approximately 24.1-fold and achieved a tumor inhibition rate of 113.7%, outperforming AQ4N monotherapy (82.3%). This sonochemically triggered activation platform bypasses the heterogeneity of tumor-microenvironment stimuli and offers a versatile, externally controlled framework for precision prodrug chemotherapy with deep tissue penetration and clinical translatability.</w:t>
      </w:r>
    </w:p>
    <w:p>
      <w:pPr>
        <w:spacing w:before="120" w:after="120"/>
      </w:pPr>
      <w:r>
        <w:rPr>
          <w:sz w:val="18"/>
        </w:rPr>
        <w:t>——————————————————————————————————————————————————————————————————————</w:t>
      </w:r>
    </w:p>
    <w:p>
      <w:pPr>
        <w:spacing w:before="160" w:after="40" w:line="240" w:lineRule="auto"/>
      </w:pPr>
      <w:r>
        <w:rPr>
          <w:b/>
        </w:rPr>
        <w:t xml:space="preserve">[621] </w:t>
      </w:r>
      <w:hyperlink r:id="rId1697">
        <w:r>
          <w:rPr>
            <w:color w:val="1155CC"/>
            <w:u w:val="single"/>
          </w:rPr>
          <w:t>分层二氧化钛纳米管-氧化石墨烯-精氨酸界面可调节药物释放并增强抗菌膜性能</w:t>
        </w:r>
      </w:hyperlink>
    </w:p>
    <w:p>
      <w:pPr>
        <w:spacing w:before="0" w:after="80"/>
      </w:pPr>
      <w:r>
        <w:rPr>
          <w:i/>
          <w:sz w:val="20"/>
        </w:rPr>
        <w:t>EN: Hierarchical Titania Nanotube-Graphene Oxide-Arginine Interfaces for Tunable Drug Release and Enhanced Antibiofilm Performance</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698">
        <w:r>
          <w:rPr>
            <w:color w:val="1155CC"/>
            <w:u w:val="single"/>
          </w:rPr>
          <w:t>10.1021/acsami.6c08409</w:t>
        </w:r>
      </w:hyperlink>
    </w:p>
    <w:p>
      <w:pPr>
        <w:spacing w:before="0" w:after="120"/>
      </w:pPr>
      <w:r>
        <w:rPr>
          <w:b/>
        </w:rPr>
        <w:t xml:space="preserve">Notes: </w:t>
      </w:r>
      <w:r>
        <w:t>abstract_source=crossref</w:t>
      </w:r>
    </w:p>
    <w:p>
      <w:pPr>
        <w:spacing w:before="0" w:after="80" w:lineRule="auto" w:line="276"/>
      </w:pPr>
      <w:r>
        <w:rPr>
          <w:b/>
        </w:rPr>
        <w:t xml:space="preserve">摘要（ZH）: </w:t>
      </w:r>
      <w:r>
        <w:t>摘要 由耐多药病原体（例如耐甲氧西林金黄色葡萄球菌 (MRSA) 和表皮葡萄球菌 (S. epidermidis)）驱动的种植体相关感染 (IAI) 是导致反复种植失败的两种最具挑战性的微生物。为了缓解这个问题，我们为钛种植体表面开发了广谱、高效的抗菌膜涂层，并通过电化学方法用二氧化钛纳米管阵列（TNTA）对其进行了改性。由此产生的 TNTA 负载有万古霉素 (V-TNTA)，并涂有聚己内酯 (PCL) 纤维，其中包含功能化氧化石墨烯 (GO) 和 L-精氨酸 (VPGOA-TNTA)，以限制植入后 4 周早期生物膜的形成。采用光谱和显微表征技术来确认万古霉素的负载以及 GO 和 L-精氨酸的成功包被，包括高分辨率扫描电子显微镜 (HR-SEM) 和能量色散 X 射线光谱 (EDS)、透射电子显微镜 (TEM)、X 射线衍射 (XRD)、衰减全反射和傅里叶变换红外 (ATR-FTIR) 光谱以及润湿性分析。接下来，体外抗菌研究表明，VPGOA-TNTA 修饰的表面对 MRSA 和表皮葡萄球菌具有显着的抗菌和抗生物膜功效，如种植体表面的生长曲线、CFU/mL 和相对生物膜减少所证明的那样。活性氧（ROS）分析证实了 VPGOA-TNTA 增强的抗菌活性。此外，VPGOA-TNTA 证明了显着的细胞</w:t>
      </w:r>
    </w:p>
    <w:p>
      <w:pPr>
        <w:spacing w:before="0" w:after="200" w:lineRule="auto" w:line="276"/>
      </w:pPr>
      <w:r>
        <w:rPr>
          <w:b/>
        </w:rPr>
        <w:t xml:space="preserve">Abstract (EN): </w:t>
      </w:r>
      <w:r>
        <w:t>Implant-associated infections (IAIs) driven by multidrug-resistant pathogens, such as Methicillin-resistant Staphylococcus aureus (MRSA) and Staphylococcus epidermidis (S. epidermidis), are two of the most challenging organisms responsible for recurrent implant failures. To mitigate this problem, we have developed broad-spectrum, efficient antibiofilm coatings for the titanium implant surface, which is modified with titania nanotube arrays (TNTA) via electrochemical methods. The resulting TNTA loaded with vancomycin (V-TNTA) and coated with polycaprolactone (PCL) fibers incorporating functionalized graphene oxide (GO) and l-arginine (VPGOA-TNTA) to restrict biofilm formation during the early four-week post-implantation. Spectroscopic and microscopic characterization techniques were performed to confirm the loading of vancomycin and successful coating of GO and l-arginine, including high-resolution scanning electron microscopy (HR-SEM) with energy-dispersive X-ray spectroscopy (EDS), transmission electron microscopy (TEM), X-ray diffraction (XRD), attenuated total reflectance and Fourier transform infrared (ATR-FTIR) spectroscopy, and wettability analyses. Next, in vitro antibacterial investigations revealed significant antibacterial and antibiofilm efficacy of VPGOA-TNTA-modified surfaces against MRSA and S. epidermidis, as evidenced by growth curves, CFU/mL, and relative biofilm reduction on the implant surface. Reactive oxygen species (ROS) analysis confirmed the enhanced antibacterial activity of VPGOA-TNTA. Further, the VPGOA-TNTA demonstrated significant cell viability with MG63 cells. Notably, VPGOA-TNTA-modified surfaces also exhibited excellent hemocompatibility. Furthermore, a scratch assay with 3T3 fibroblasts demonstrated remarkable wound-healing activity. In addition, the Alzarin Red S (ARS) staining assay confirmed osteoblastic mineralization on VPGOA-TNTA, showing substantial calcium deposition in MG63 cells. Overall, our findings indicate that VPGOA-TNTA is a promising orthopedic implant material for eradicating the MRSA and S. epidermidis infections while promoting osseointegration.</w:t>
      </w:r>
    </w:p>
    <w:p>
      <w:pPr>
        <w:spacing w:before="120" w:after="120"/>
      </w:pPr>
      <w:r>
        <w:rPr>
          <w:sz w:val="18"/>
        </w:rPr>
        <w:t>——————————————————————————————————————————————————————————————————————</w:t>
      </w:r>
    </w:p>
    <w:p>
      <w:pPr>
        <w:spacing w:before="160" w:after="40" w:line="240" w:lineRule="auto"/>
      </w:pPr>
      <w:r>
        <w:rPr>
          <w:b/>
        </w:rPr>
        <w:t xml:space="preserve">[622] </w:t>
      </w:r>
      <w:hyperlink r:id="rId1699">
        <w:r>
          <w:rPr>
            <w:color w:val="1155CC"/>
            <w:u w:val="single"/>
          </w:rPr>
          <w:t>综合剪切稀化、剪切增稠效应和传递自修复能力的高冲击下自修复防腐涂层</w:t>
        </w:r>
      </w:hyperlink>
    </w:p>
    <w:p>
      <w:pPr>
        <w:spacing w:before="0" w:after="80"/>
      </w:pPr>
      <w:r>
        <w:rPr>
          <w:i/>
          <w:sz w:val="20"/>
        </w:rPr>
        <w:t>EN: Self-Healable Anti-Corrosion Coating under High Impacting via Integrating Shear Thinning, Shear Thickening Effects, and Transfer Self-Healing Ability</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700">
        <w:r>
          <w:rPr>
            <w:color w:val="1155CC"/>
            <w:u w:val="single"/>
          </w:rPr>
          <w:t>10.1021/acsami.6c06333</w:t>
        </w:r>
      </w:hyperlink>
    </w:p>
    <w:p>
      <w:pPr>
        <w:spacing w:before="0" w:after="120"/>
      </w:pPr>
      <w:r>
        <w:rPr>
          <w:b/>
        </w:rPr>
        <w:t xml:space="preserve">Notes: </w:t>
      </w:r>
      <w:r>
        <w:t>abstract_source=crossref</w:t>
      </w:r>
    </w:p>
    <w:p>
      <w:pPr>
        <w:spacing w:before="0" w:after="80" w:lineRule="auto" w:line="276"/>
      </w:pPr>
      <w:r>
        <w:rPr>
          <w:b/>
        </w:rPr>
        <w:t xml:space="preserve">摘要（ZH）: </w:t>
      </w:r>
      <w:r>
        <w:t>摘要 制备具有冲击耐久性的防腐涂层仍然是一个巨大的挑战。在这项工作中，通过引入B-O动态键制备了具有剪切硬化效应（SHE）的聚脲（BPUB）。此外，通过集成底部快速自修复涂层实现了转移自修复效果。研究发现，双层聚合物涂层具有对大尺寸划痕（~5 小时）的快速自愈能力和高抗冲击性（&gt;20 J/mm）。多层防腐涂层可修复冲击损伤，250天后仍保持高阻抗（1.32×1010Ω·cm2）。所制备的防腐涂料体系具有高抗冲击性、长期耐久性和室温自主快速自愈能力，为耐冲击防腐应用提供了广阔的应用前景。</w:t>
      </w:r>
    </w:p>
    <w:p>
      <w:pPr>
        <w:spacing w:before="0" w:after="200" w:lineRule="auto" w:line="276"/>
      </w:pPr>
      <w:r>
        <w:rPr>
          <w:b/>
        </w:rPr>
        <w:t xml:space="preserve">Abstract (EN): </w:t>
      </w:r>
      <w:r>
        <w:t>The preparation of anti-corrosive coatings with durability under impacting still remains a big challenge. In this work, polyureas (BPUB) with the shear hardening effect (SHE) were prepared by introducing B–O dynamic bonds. Besides, the transfer self-healing effect was realized by integrating a bottom fast self-healing coating. The two-layered polymer coating was found to combine fast self-healing toward large-size scratch (∼5 h) and high impact resistance (&amp;gt;20 J/mm). Multi-layered anti-corrosive coating can repair damage by impacting and preserve high impedance (1.32 × 1010 Ω·cm2) after 250 d. The prepared anti-corrosive coating system has high impact resistance, long-term durability, and room temperature autonomous fast self-healing ability, which provides a broad application prospect for impact-resistant anti-corrosive applications.</w:t>
      </w:r>
    </w:p>
    <w:p>
      <w:pPr>
        <w:spacing w:before="120" w:after="120"/>
      </w:pPr>
      <w:r>
        <w:rPr>
          <w:sz w:val="18"/>
        </w:rPr>
        <w:t>——————————————————————————————————————————————————————————————————————</w:t>
      </w:r>
    </w:p>
    <w:p>
      <w:pPr>
        <w:spacing w:before="160" w:after="40" w:line="240" w:lineRule="auto"/>
      </w:pPr>
      <w:r>
        <w:rPr>
          <w:b/>
        </w:rPr>
        <w:t xml:space="preserve">[623] </w:t>
      </w:r>
      <w:hyperlink r:id="rId1701">
        <w:r>
          <w:rPr>
            <w:color w:val="1155CC"/>
            <w:u w:val="single"/>
          </w:rPr>
          <w:t>用于非易失性存储器的大极化高熵柔性铁电薄膜</w:t>
        </w:r>
      </w:hyperlink>
    </w:p>
    <w:p>
      <w:pPr>
        <w:spacing w:before="0" w:after="80"/>
      </w:pPr>
      <w:r>
        <w:rPr>
          <w:i/>
          <w:sz w:val="20"/>
        </w:rPr>
        <w:t>EN: High-Entropy Flexible Ferroelectric Thin Film with Large Polarization for Nonvolatile Memory</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702">
        <w:r>
          <w:rPr>
            <w:color w:val="1155CC"/>
            <w:u w:val="single"/>
          </w:rPr>
          <w:t>10.1021/acsami.6c04917</w:t>
        </w:r>
      </w:hyperlink>
    </w:p>
    <w:p>
      <w:pPr>
        <w:spacing w:before="0" w:after="120"/>
      </w:pPr>
      <w:r>
        <w:rPr>
          <w:b/>
        </w:rPr>
        <w:t xml:space="preserve">Notes: </w:t>
      </w:r>
      <w:r>
        <w:t>abstract_source=crossref</w:t>
      </w:r>
    </w:p>
    <w:p>
      <w:pPr>
        <w:spacing w:before="0" w:after="80" w:lineRule="auto" w:line="276"/>
      </w:pPr>
      <w:r>
        <w:rPr>
          <w:b/>
        </w:rPr>
        <w:t xml:space="preserve">摘要（ZH）: </w:t>
      </w:r>
      <w:r>
        <w:t>摘要 柔性电子技术的快速发展对高性能非易失性存储器提出了迫切的需求。然而，传统的铁电薄膜在柔性应用中面临着性能和可靠性之间的内在权衡。在这项工作中，在柔性云母基板上成功制备了高熵Pb0.9Ba0.1Ti0.25Hf0.25Zr0.25Sn0.25O3（PBTHZS）铁电薄膜。基于熵工程，我们引入了多种阳离子固溶体来诱导原子尺度的结构局部无序和晶格畸变。这导致系统中电子分布的重新排列，并且与晶格膨胀的耦合增强了宏观极化。因此，PBTHZS薄膜表现出出色的铁电性能（Pr ~ 62.2 μC/cm2的剩余极化和Pm ~ 131.5 μC/cm2的最大极化）、高达108个开关周期的稳定疲劳耐受性、在25-120°C的宽温度范围和0.5-10 kHz的频率范围内最小的极化变化。此外，在不同弯曲条件下偏振特性没有明显变化。该研究表明，高熵策略有效增强了铁电非易失性存储器的极化性能，为下一代柔性电子器件的开发提供了途径。</w:t>
      </w:r>
    </w:p>
    <w:p>
      <w:pPr>
        <w:spacing w:before="0" w:after="200" w:lineRule="auto" w:line="276"/>
      </w:pPr>
      <w:r>
        <w:rPr>
          <w:b/>
        </w:rPr>
        <w:t xml:space="preserve">Abstract (EN): </w:t>
      </w:r>
      <w:r>
        <w:t>The rapid advancement of flexible electronics has created an urgent demand for high-performance nonvolatile memory. However, conventional ferroelectric films face an intrinsic trade-off between performance and reliability in flexible applications. In this work, a high-entropy Pb0.9Ba0.1Ti0.25Hf0.25Zr0.25Sn0.25O3 (PBTHZS) ferroelectric thin film is successfully fabricated on a flexible mica substrate. Based on entropy engineering, we introduced multiple cation solid solutions to induce structural local disorder and lattice distortion at the atomic scale. This leads to a rearrangement of electron distribution in the system, and the coupling with lattice expansion enhances macroscopic polarization. As a result, the PBTHZS thin film exhibits outstanding ferroelectric properties (remnant polarization of Pr ∼62.2 μC/cm2 and maximum polarization of Pm ∼131.5 μC/cm2), stable fatigue endurance up to 108 switching cycles, minimal polarization variation across a broad temperature range of 25–120 °C, and a frequency range of 0.5–10 kHz. Furthermore, there is no apparent variation in polarization characteristics under different bending conditions. This study demonstrates that the high-entropy strategy effectively enhances the polarization performance in ferroelectric nonvolatile memory, offering a pathway for the development of next-generation flexible electronic devices.</w:t>
      </w:r>
    </w:p>
    <w:p>
      <w:pPr>
        <w:spacing w:before="120" w:after="120"/>
      </w:pPr>
      <w:r>
        <w:rPr>
          <w:sz w:val="18"/>
        </w:rPr>
        <w:t>——————————————————————————————————————————————————————————————————————</w:t>
      </w:r>
    </w:p>
    <w:p>
      <w:pPr>
        <w:spacing w:before="160" w:after="40" w:line="240" w:lineRule="auto"/>
      </w:pPr>
      <w:r>
        <w:rPr>
          <w:b/>
        </w:rPr>
        <w:t xml:space="preserve">[624] </w:t>
      </w:r>
      <w:hyperlink r:id="rId1703">
        <w:r>
          <w:rPr>
            <w:color w:val="1155CC"/>
            <w:u w:val="single"/>
          </w:rPr>
          <w:t>一种可注射的双重细菌捕获纳米酶复合水凝胶，用于协同抗菌/抗炎治疗眼内炎</w:t>
        </w:r>
      </w:hyperlink>
    </w:p>
    <w:p>
      <w:pPr>
        <w:spacing w:before="0" w:after="80"/>
      </w:pPr>
      <w:r>
        <w:rPr>
          <w:i/>
          <w:sz w:val="20"/>
        </w:rPr>
        <w:t>EN: An Injectable Dual Bacterial-Trapping Nanozyme Composite Hydrogel for Synergistic Antibacterial/Anti-Inflammatory Therapy of Endophthalmitis</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704">
        <w:r>
          <w:rPr>
            <w:color w:val="1155CC"/>
            <w:u w:val="single"/>
          </w:rPr>
          <w:t>10.1021/acsami.6c06038</w:t>
        </w:r>
      </w:hyperlink>
    </w:p>
    <w:p>
      <w:pPr>
        <w:spacing w:before="0" w:after="120"/>
      </w:pPr>
      <w:r>
        <w:rPr>
          <w:b/>
        </w:rPr>
        <w:t xml:space="preserve">Notes: </w:t>
      </w:r>
      <w:r>
        <w:t>abstract_source=crossref</w:t>
      </w:r>
    </w:p>
    <w:p>
      <w:pPr>
        <w:spacing w:before="0" w:after="80" w:lineRule="auto" w:line="276"/>
      </w:pPr>
      <w:r>
        <w:rPr>
          <w:b/>
        </w:rPr>
        <w:t xml:space="preserve">摘要（ZH）: </w:t>
      </w:r>
      <w:r>
        <w:t>摘要 细菌性眼内炎（BE）的特点是严重的眼内细菌感染和持续的炎症。目前的治疗效果受到传统载体的被动扩散主导的药物释放动力学的影响，导致细菌清除不足和频繁的侵入性注射。在此，设计了一种可注射水凝胶，以实现协同的“诱捕和杀伤”和免疫调节疗法。该水凝胶基质是通过季铵化壳聚糖和氧化葡聚糖之间的动态席夫碱交联构建的，具有优异的可注射性和生物相容性。该水凝胶将硼酸修饰的铈金属有机框架（Ce-MOF）整合到这个动态多糖网络中，具有双重细菌捕获作用，这归因于硼酸介导的细菌表面与表面顺式二醇的共价结合和静电吸引力。这种“细菌富集”效应克服了扩散障碍，显着提高了胶囊化万古霉素的杀菌效率，导致剂量减少至临床用量的14-20%，但效果仍然相当。此外，利用 Ce-MOF 的过氧化氢酶和超氧化物歧化酶模拟活性，水凝胶可作为治疗性纳米酶，清除过量的活性氧 (ROS) 并下调促炎细胞因子。该集成平台经过综合体外和体内模型的验证，表现出卓越的细菌根除和炎症消退作用，呈现出一种积极的效果。</w:t>
      </w:r>
    </w:p>
    <w:p>
      <w:pPr>
        <w:spacing w:before="0" w:after="200" w:lineRule="auto" w:line="276"/>
      </w:pPr>
      <w:r>
        <w:rPr>
          <w:b/>
        </w:rPr>
        <w:t xml:space="preserve">Abstract (EN): </w:t>
      </w:r>
      <w:r>
        <w:t>Bacterial endophthalmitis (BE) is characterized by severe intraocular bacterial infection and sustained inflammation. Current therapeutic efficacy is compromised by the passive diffusion-dominated drug release kinetics of conventional carriers, leading to inadequate bacterial clearance and frequent invasive injections. Herein, an injectable hydrogel is engineered to achieve a synergistic “trap-and-kill” and immunomodulatory therapy. The hydrogel matrix is constructed via dynamic Schiff base crosslinking between quaternized chitosan and oxidized dextran, providing excellent injectability and biocompatibility. The hydrogel integrates boronic acid-decorated cerium metal-organic frameworks (Ce-MOFs) within this dynamic polysaccharide network, possessing dual bacterial-trapping attributed to boronic acid-mediated bacterial surface covalent binding to surface cis-diols and electrostatic attraction. This “bacterial enrichment” effect overcomes the diffusion barrier, markedly enhancing the bactericidal efficiency of the encapsulated vancomycin, resulting in a reduction in the dosage to as low as 14–20% of the clinical amount, yet the effect remains comparable. Furthermore, leveraging the catalase- and superoxide dismutase-mimicking activities of Ce-MOFs, the hydrogel functions as a therapeutic nanozyme to scavenge excessive reactive oxygen species (ROS) and downregulate pro-inflammatory cytokines. Validated by comprehensive in vitro and in vivo models, this integrated platform demonstrates superior bacterial eradication and inflammation resolution, which presents an active, robust therapeutic strategy for those deep-seated implant-associated infections.</w:t>
      </w:r>
    </w:p>
    <w:p>
      <w:pPr>
        <w:spacing w:before="120" w:after="120"/>
      </w:pPr>
      <w:r>
        <w:rPr>
          <w:sz w:val="18"/>
        </w:rPr>
        <w:t>——————————————————————————————————————————————————————————————————————</w:t>
      </w:r>
    </w:p>
    <w:p>
      <w:pPr>
        <w:spacing w:before="160" w:after="40" w:line="240" w:lineRule="auto"/>
      </w:pPr>
      <w:r>
        <w:rPr>
          <w:b/>
        </w:rPr>
        <w:t xml:space="preserve">[625] </w:t>
      </w:r>
      <w:hyperlink r:id="rId1705">
        <w:r>
          <w:rPr>
            <w:color w:val="1155CC"/>
            <w:u w:val="single"/>
          </w:rPr>
          <w:t>用于 1.5 T 手腕磁共振成像的高性能共形超材料</w:t>
        </w:r>
      </w:hyperlink>
    </w:p>
    <w:p>
      <w:pPr>
        <w:spacing w:before="0" w:after="80"/>
      </w:pPr>
      <w:r>
        <w:rPr>
          <w:i/>
          <w:sz w:val="20"/>
        </w:rPr>
        <w:t>EN: A High-Performance Conformal Metamaterial for 1.5 T Wrist Magnetic Resonance Imaging</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706">
        <w:r>
          <w:rPr>
            <w:color w:val="1155CC"/>
            <w:u w:val="single"/>
          </w:rPr>
          <w:t>10.1021/acsami.6c09276</w:t>
        </w:r>
      </w:hyperlink>
    </w:p>
    <w:p>
      <w:pPr>
        <w:spacing w:before="0" w:after="120"/>
      </w:pPr>
      <w:r>
        <w:rPr>
          <w:b/>
        </w:rPr>
        <w:t xml:space="preserve">Notes: </w:t>
      </w:r>
      <w:r>
        <w:t>abstract_source=crossref</w:t>
      </w:r>
    </w:p>
    <w:p>
      <w:pPr>
        <w:spacing w:before="0" w:after="80" w:lineRule="auto" w:line="276"/>
      </w:pPr>
      <w:r>
        <w:rPr>
          <w:b/>
        </w:rPr>
        <w:t xml:space="preserve">摘要（ZH）: </w:t>
      </w:r>
      <w:r>
        <w:t>摘要 提高信噪比（SNR）对于提高磁共振成像（MRI）的图像质量和诊断可靠性至关重要。然而，依赖于增加线圈通道数量的传统方法正在接近其物理和工程优化极限。近年来，人们探索了无线无源超材料，通过射频场调制来增强局部磁场，为提高信噪比提供了新途径。然而，大多数现有超材料结构的规则配置阻碍了它们与解剖轮廓的一致性，从而限制了空间填充因子并阻止了信噪比的进一步增强，而解剖学共形设计通常会导致非简并正交模式。这项研究提出了一种共形椭圆柱超材料，旨在实现均匀磁场增强并在非轴对称几何配置中恢复正交模简并性。这是通过横截面梯度阻抗设计和端环阻抗调谐来实现的。此外，还引入了非线性响应控制来消除对射频发射场的干扰。实验结果表明，当用于各种临床成像序列时，超材料产生的手腕 MR 图像的信噪比是使用商用柔性线圈获得的 4 倍以上。这项工作为非对称电磁结构中场分布和模态特性的协同调节提供了通用设计方法，建立了强大的技术</w:t>
      </w:r>
    </w:p>
    <w:p>
      <w:pPr>
        <w:spacing w:before="0" w:after="200" w:lineRule="auto" w:line="276"/>
      </w:pPr>
      <w:r>
        <w:rPr>
          <w:b/>
        </w:rPr>
        <w:t xml:space="preserve">Abstract (EN): </w:t>
      </w:r>
      <w:r>
        <w:t>Improving the signal-to-noise ratio (SNR) is crucial for enhancing image quality and diagnostic reliability in magnetic resonance imaging (MRI). However, traditional methods that rely on increasing the number of coil channels are approaching their physical and engineering optimization limits. In recent years, wireless, passive metamaterials have been explored for local magnetic field enhancement via radiofrequency field modulation, offering a new pathway to improve SNR. However, the regular configurations of most existing metamaterial structures hinder their conformance to anatomical contours, thereby limiting the spatial filling factor and preventing further SNR enhancement, while anatomically conformal designs often result in nondegenerate orthogonal modes. This study presents a conformal elliptical cylindrical metamaterial designed to achieve uniform magnetic-field enhancement and restore orthogonal-mode degeneracy in a non-axisymmetric geometric configuration. This is achieved through cross-sectional gradient impedance design and end-ring impedance tuning. Additionally, nonlinear response control is introduced to eliminate interference with the radiofrequency transmit field. Experimental results show that, when used in various clinical imaging sequences, the metamaterial yields wrist MR images with an SNR more than 4 times that obtained with a commercial flexible coil. This work provides a general design methodology for the synergistic regulation of field distributions and modal characteristics in asymmetric electromagnetic structures, establishing a robust technical foundation for the development of high-performance, anatomically conformal clinical MRI hardware.</w:t>
      </w:r>
    </w:p>
    <w:p>
      <w:pPr>
        <w:spacing w:before="120" w:after="120"/>
      </w:pPr>
      <w:r>
        <w:rPr>
          <w:sz w:val="18"/>
        </w:rPr>
        <w:t>——————————————————————————————————————————————————————————————————————</w:t>
      </w:r>
    </w:p>
    <w:p>
      <w:pPr>
        <w:spacing w:before="160" w:after="40" w:line="240" w:lineRule="auto"/>
      </w:pPr>
      <w:r>
        <w:rPr>
          <w:b/>
        </w:rPr>
        <w:t xml:space="preserve">[626] </w:t>
      </w:r>
      <w:hyperlink r:id="rId1707">
        <w:r>
          <w:rPr>
            <w:color w:val="1155CC"/>
            <w:u w:val="single"/>
          </w:rPr>
          <w:t>作者更正：黑磷纳米片促进线粒体氧化磷酸化，改善免疫治疗结果</w:t>
        </w:r>
      </w:hyperlink>
    </w:p>
    <w:p>
      <w:pPr>
        <w:spacing w:before="0" w:after="80"/>
      </w:pPr>
      <w:r>
        <w:rPr>
          <w:i/>
          <w:sz w:val="20"/>
        </w:rPr>
        <w:t>EN: Author Correction: Black phosphorus nanosheets boost mitochondrial oxidative phosphorylation improving immunotherapy outcomes</w:t>
      </w:r>
    </w:p>
    <w:p>
      <w:pPr>
        <w:spacing w:before="0" w:after="120"/>
      </w:pPr>
      <w:r>
        <w:rPr>
          <w:b/>
        </w:rPr>
        <w:t xml:space="preserve">Source: </w:t>
      </w:r>
      <w:r>
        <w:t>Nature Nanotechnology</w:t>
      </w:r>
      <w:r>
        <w:t xml:space="preserve">    </w:t>
      </w:r>
      <w:r>
        <w:rPr>
          <w:b/>
        </w:rPr>
        <w:t xml:space="preserve">Pub date: </w:t>
      </w:r>
      <w:r>
        <w:t>2026-08-06 00:00:00+00:00</w:t>
      </w:r>
      <w:r>
        <w:t xml:space="preserve">    </w:t>
      </w:r>
      <w:r>
        <w:rPr>
          <w:b/>
        </w:rPr>
        <w:t xml:space="preserve">DOI: </w:t>
      </w:r>
      <w:hyperlink r:id="rId1708">
        <w:r>
          <w:rPr>
            <w:color w:val="1155CC"/>
            <w:u w:val="single"/>
          </w:rPr>
          <w:t>10.1038/s41565-026-02248-4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[627] </w:t>
      </w:r>
      <w:hyperlink r:id="rId1709">
        <w:r>
          <w:rPr>
            <w:color w:val="1155CC"/>
            <w:u w:val="single"/>
          </w:rPr>
          <w:t>使用纳米传感器的光谱生物物理细胞术揭示了动脉粥样硬化中免疫细胞的重塑</w:t>
        </w:r>
      </w:hyperlink>
    </w:p>
    <w:p>
      <w:pPr>
        <w:spacing w:before="0" w:after="80"/>
      </w:pPr>
      <w:r>
        <w:rPr>
          <w:i/>
          <w:sz w:val="20"/>
        </w:rPr>
        <w:t>EN: Spectral biophysical cytometry with nanosensors reveals remodelling of immune cells in atherosclerosis</w:t>
      </w:r>
    </w:p>
    <w:p>
      <w:pPr>
        <w:spacing w:before="0" w:after="120"/>
      </w:pPr>
      <w:r>
        <w:rPr>
          <w:b/>
        </w:rPr>
        <w:t xml:space="preserve">Source: </w:t>
      </w:r>
      <w:r>
        <w:t>Nature Nanotechnology</w:t>
      </w:r>
      <w:r>
        <w:t xml:space="preserve">    </w:t>
      </w:r>
      <w:r>
        <w:rPr>
          <w:b/>
        </w:rPr>
        <w:t xml:space="preserve">Pub date: </w:t>
      </w:r>
      <w:r>
        <w:t>2026-08-06 00:00:00+00:00</w:t>
      </w:r>
      <w:r>
        <w:t xml:space="preserve">    </w:t>
      </w:r>
      <w:r>
        <w:rPr>
          <w:b/>
        </w:rPr>
        <w:t xml:space="preserve">DOI: </w:t>
      </w:r>
      <w:hyperlink r:id="rId1710">
        <w:r>
          <w:rPr>
            <w:color w:val="1155CC"/>
            <w:u w:val="single"/>
          </w:rPr>
          <w:t>10.1038/s41565-026-02236-8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的生物物理特性决定细胞生理学。利用这些特性进行生物医学应用需要能够同时测量数百万个细胞和不同细胞类型的多个参数。然而，当前的技术受到吞吐量和低维度的限制。在这里，我们介绍光谱生物物理细胞术（SBC），这是一个高通量平台，它将环境敏感纳米传感器与光谱流式细胞术相结合，以单细胞分辨率解析免疫细胞的多参数生物物理特性。通过使用报告膜顺序、线粒体电位和膜电位的荧光纳米传感器，SBC 能够同时量化不同免疫细胞群的关键细胞物理状态。当应用于外周血单核细胞时，SBC 揭示了细胞类型特异性的生物物理异质性，并识别了与动脉粥样硬化相关的独特重塑特征。特别是，T 细胞亚群表现出膜顺序和线粒体去极化的显着改变，反映了脂质组成和代谢途径的协调变化。与脂质组学和转录组学的整合表明，纳米传感器可以检测与脂质代谢失调和线粒体功能失调相关的生物物理变化，从而提供对疾病中免疫功能障碍的机制洞察。重要的是，SBC 使用商用仪器实现快速、标签高效的分析，从而实现可扩展的生物标志物发现</w:t>
      </w:r>
    </w:p>
    <w:p>
      <w:pPr>
        <w:spacing w:before="0" w:after="200" w:lineRule="auto" w:line="276"/>
      </w:pPr>
      <w:r>
        <w:rPr>
          <w:b/>
        </w:rPr>
        <w:t xml:space="preserve">Abstract (EN): </w:t>
      </w:r>
      <w:r>
        <w:t>The biophysical properties of cells determine cellular physiology. Leveraging these properties for biomedical applications demands the ability to measure multiple parameters simultaneously across millions of cells and diverse cell types. However, current technologies are limited by throughput and low dimensionality. Here we introduce spectral biophysical cytometry (SBC), a high-throughput platform that integrates environment-sensitive nanosensors with spectral flow cytometry to resolve multiparametric biophysical properties of immune cells at single-cell resolution. By using fluorescent nanosensors that report membrane order, mitochondrial potential and membrane potential, SBC enables simultaneous quantification of key cellular physical states across diverse immune cell populations. When applied to peripheral blood mononuclear cells, SBC reveals cell-type-specific biophysical heterogeneity and identifies distinct remodelling signatures associated with atherosclerosis. In particular, T-cell subsets exhibit substantial alterations in membrane order and mitochondrial depolarization, reflecting coordinated changes in lipid composition and metabolic pathways. Integration with lipidomics and transcriptomics demonstrates that the nanosensors can detect biophysical shifts that correlate with dysregulated lipid metabolism and mitochondrial function, providing mechanistic insight into immune dysfunction in disease. Importantly, SBC achieves rapid, label-efficient profiling using commercially available instrumentation, enabling scalable biomarker discovery directly from blood samples and establishing a powerful strategy for linking biophysical phenotypes to immune cell function.</w:t>
      </w:r>
    </w:p>
    <w:p>
      <w:pPr>
        <w:spacing w:before="120" w:after="120"/>
      </w:pPr>
      <w:r>
        <w:rPr>
          <w:sz w:val="18"/>
        </w:rPr>
        <w:t>——————————————————————————————————————————————————————————————————————</w:t>
      </w:r>
    </w:p>
    <w:p>
      <w:pPr>
        <w:spacing w:before="160" w:after="40" w:line="240" w:lineRule="auto"/>
      </w:pPr>
      <w:r>
        <w:rPr>
          <w:b/>
        </w:rPr>
        <w:t xml:space="preserve">[628] </w:t>
      </w:r>
      <w:hyperlink r:id="rId1711">
        <w:r>
          <w:rPr>
            <w:color w:val="1155CC"/>
            <w:u w:val="single"/>
          </w:rPr>
          <w:t>科学家们对英国物理和天文学的削减表示不满</w:t>
        </w:r>
      </w:hyperlink>
    </w:p>
    <w:p>
      <w:pPr>
        <w:spacing w:before="0" w:after="80"/>
      </w:pPr>
      <w:r>
        <w:rPr>
          <w:i/>
          <w:sz w:val="20"/>
        </w:rPr>
        <w:t>EN: Scientists up in arms about cuts to UK physics and astronomy</w:t>
      </w:r>
    </w:p>
    <w:p>
      <w:pPr>
        <w:spacing w:before="0" w:after="120"/>
      </w:pPr>
      <w:r>
        <w:rPr>
          <w:b/>
        </w:rPr>
        <w:t xml:space="preserve">Source: </w:t>
      </w:r>
      <w:r>
        <w:t>Nature</w:t>
      </w:r>
      <w:r>
        <w:t xml:space="preserve">    </w:t>
      </w:r>
      <w:r>
        <w:rPr>
          <w:b/>
        </w:rPr>
        <w:t xml:space="preserve">Pub date: </w:t>
      </w:r>
      <w:r>
        <w:t>2026-08-06 00:00:00+00:00</w:t>
      </w:r>
      <w:r>
        <w:t xml:space="preserve">    </w:t>
      </w:r>
      <w:r>
        <w:rPr>
          <w:b/>
        </w:rPr>
        <w:t xml:space="preserve">DOI: </w:t>
      </w:r>
      <w:hyperlink r:id="rId1712">
        <w:r>
          <w:rPr>
            <w:color w:val="1155CC"/>
            <w:u w:val="single"/>
          </w:rPr>
          <w:t>10.1038/d41586-026-02460-1</w:t>
        </w:r>
      </w:hyperlink>
    </w:p>
    <w:p>
      <w:pPr>
        <w:spacing w:before="0" w:after="120"/>
      </w:pPr>
      <w:r>
        <w:rPr>
          <w:b/>
        </w:rPr>
        <w:t xml:space="preserve">Notes: </w:t>
      </w:r>
      <w:r>
        <w:t>abstract_source=rss_nature</w:t>
      </w:r>
    </w:p>
    <w:p>
      <w:pPr>
        <w:spacing w:before="0" w:after="80" w:lineRule="auto" w:line="276"/>
      </w:pPr>
      <w:r>
        <w:rPr>
          <w:b/>
        </w:rPr>
        <w:t xml:space="preserve">摘要（ZH）: </w:t>
      </w:r>
      <w:r>
        <w:t>包括未来欧洲核子研究中心实验和标志性洛弗尔望远镜在内的项目的资助即将终止。</w:t>
      </w:r>
    </w:p>
    <w:p>
      <w:pPr>
        <w:spacing w:before="0" w:after="200" w:lineRule="auto" w:line="276"/>
      </w:pPr>
      <w:r>
        <w:rPr>
          <w:b/>
        </w:rPr>
        <w:t xml:space="preserve">Abstract (EN): </w:t>
      </w:r>
      <w:r>
        <w:t>Funding is being terminated for projects including a future CERN experiment and the iconic Lovell Telescope.</w:t>
      </w:r>
    </w:p>
    <w:p>
      <w:pPr>
        <w:spacing w:before="120" w:after="120"/>
      </w:pPr>
      <w:r>
        <w:rPr>
          <w:sz w:val="18"/>
        </w:rPr>
        <w:t>——————————————————————————————————————————————————————————————————————</w:t>
      </w:r>
    </w:p>
    <w:p>
      <w:pPr>
        <w:spacing w:before="160" w:after="40" w:line="240" w:lineRule="auto"/>
      </w:pPr>
      <w:r>
        <w:rPr>
          <w:b/>
        </w:rPr>
        <w:t xml:space="preserve">[629] </w:t>
      </w:r>
      <w:hyperlink r:id="rId1713">
        <w:r>
          <w:rPr>
            <w:color w:val="1155CC"/>
            <w:u w:val="single"/>
          </w:rPr>
          <w:t>通过配体调制定制 Mn2+ 激活卤化锌以增强 X 射线成像</w:t>
        </w:r>
      </w:hyperlink>
    </w:p>
    <w:p>
      <w:pPr>
        <w:spacing w:before="0" w:after="80"/>
      </w:pPr>
      <w:r>
        <w:rPr>
          <w:i/>
          <w:sz w:val="20"/>
        </w:rPr>
        <w:t>EN: Tailored Mn2+-Activated Zinc Halides for Enhanced X-ray Imaging via Ligand Modulation</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714">
        <w:r>
          <w:rPr>
            <w:color w:val="1155CC"/>
            <w:u w:val="single"/>
          </w:rPr>
          <w:t>10.1021/acsami.6c09694</w:t>
        </w:r>
      </w:hyperlink>
    </w:p>
    <w:p>
      <w:pPr>
        <w:spacing w:before="0" w:after="120"/>
      </w:pPr>
      <w:r>
        <w:rPr>
          <w:b/>
        </w:rPr>
        <w:t xml:space="preserve">Notes: </w:t>
      </w:r>
      <w:r>
        <w:t>abstract_source=crossref</w:t>
      </w:r>
    </w:p>
    <w:p>
      <w:pPr>
        <w:spacing w:before="0" w:after="80" w:lineRule="auto" w:line="276"/>
      </w:pPr>
      <w:r>
        <w:rPr>
          <w:b/>
        </w:rPr>
        <w:t xml:space="preserve">摘要（ZH）: </w:t>
      </w:r>
      <w:r>
        <w:t>摘要：无铅有机-无机金属卤化物由于其固有的辐射发光、溶液可加工性和经济可行性而成为 X 射线成像应用的有前景的候选者。然而，它们的发展在很大程度上仍然是经验性的，对控制辐射发光效率和稳定性的结构-性能关系的理解有限。在此，我们使用两种具有不同有机间隔基（T = C9H14BrN 和 D = C6H12N2）的零维（0D）混合金属锰锌溴化物系统来解决这一挑战，从而能够控制有机间隔基长度和金属-金属分离的调制。尽管两个系统都表现出接近一致的光致发光量子产率（PLQY），但它们表现出明显不同的闪烁响应。较长的有机阳离子 T 引起 Mn0.5Zn0.5Br4T 中较大的金属-金属分离，抑制非辐射相互作用，从而提高辐射发光效率和操作稳定性。优化后的系统 Mn0.5Zn0.5Br4T 可实现 76,000 个光子 MeV–1 的高光输出、出色的稳定性以及 112 nGy s–1 的超低检测限，比标准医疗诊断剂量率 (5.5 μGy s–1) 低约 50 倍。柔性大面积闪烁体进一步展示了高分辨率X射线成像能力。这项工作建立了一种将有机间隔物调制、混合金属成分和闪烁效率联系起来的结构-性能关系，为可扩展的高性能 X 射线闪烁体提供了合理的设计框架。</w:t>
      </w:r>
    </w:p>
    <w:p>
      <w:pPr>
        <w:spacing w:before="0" w:after="200" w:lineRule="auto" w:line="276"/>
      </w:pPr>
      <w:r>
        <w:rPr>
          <w:b/>
        </w:rPr>
        <w:t xml:space="preserve">Abstract (EN): </w:t>
      </w:r>
      <w:r>
        <w:t>Lead-free organic–inorganic metal halides have emerged as promising candidates for X-ray imaging applications owing to their intrinsic radioluminescence, solution processability, and economic viability. However, their development remains largely empirical, with limited understanding of the structure–property relationships governing radioluminescence efficiency and stability. Herein, we address this challenge using two zero-dimensional (0D) mixed-metal Mn-Zn bromide systems with distinct organic spacers (T = C9H14BrN and D = C6H12N2), enabling controlled modulation of organic spacer length and metal–metal separation. Although both systems exhibit near-unity photoluminescence quantum yields (PLQYs), they display markedly different scintillation responses. The larger metal–metal separation in Mn0.5Zn0.5Br4T, induced by the longer organic cation T, suppresses nonradiative interactions, leading to enhanced radioluminescence efficiency and operational stability. The optimized system, Mn0.5Zn0.5Br4T, achieves a high light yield of 76,000 photons MeV–1, excellent stability, and an ultralow detection limit of 112 nGy s–1—approximately 50 times lower than standard medical diagnostic dose rate (5.5 μGy s–1). Flexible large-area scintillators further demonstrate high-resolution X-ray imaging capability. This work establishes a structure–property relationship linking organic spacer modulation, mixed-metal composition, and scintillation efficiency, enabling a rational design framework for scalable, high-performance X-ray scintillators.</w:t>
      </w:r>
    </w:p>
    <w:p>
      <w:pPr>
        <w:spacing w:before="120" w:after="120"/>
      </w:pPr>
      <w:r>
        <w:rPr>
          <w:sz w:val="18"/>
        </w:rPr>
        <w:t>——————————————————————————————————————————————————————————————————————</w:t>
      </w:r>
    </w:p>
    <w:p>
      <w:pPr>
        <w:spacing w:before="160" w:after="40" w:line="240" w:lineRule="auto"/>
      </w:pPr>
      <w:r>
        <w:rPr>
          <w:b/>
        </w:rPr>
        <w:t xml:space="preserve">[630] </w:t>
      </w:r>
      <w:hyperlink r:id="rId1715">
        <w:r>
          <w:rPr>
            <w:color w:val="1155CC"/>
            <w:u w:val="single"/>
          </w:rPr>
          <w:t>人工智能代理正在检查科学文献，并发现几十年前的错误</w:t>
        </w:r>
      </w:hyperlink>
    </w:p>
    <w:p>
      <w:pPr>
        <w:spacing w:before="0" w:after="80"/>
      </w:pPr>
      <w:r>
        <w:rPr>
          <w:i/>
          <w:sz w:val="20"/>
        </w:rPr>
        <w:t>EN: AI agents are checking the scientific literature — and spotting decades-old errors</w:t>
      </w:r>
    </w:p>
    <w:p>
      <w:pPr>
        <w:spacing w:before="0" w:after="120"/>
      </w:pPr>
      <w:r>
        <w:rPr>
          <w:b/>
        </w:rPr>
        <w:t xml:space="preserve">Source: </w:t>
      </w:r>
      <w:r>
        <w:t>Nature</w:t>
      </w:r>
      <w:r>
        <w:t xml:space="preserve">    </w:t>
      </w:r>
      <w:r>
        <w:rPr>
          <w:b/>
        </w:rPr>
        <w:t xml:space="preserve">Pub date: </w:t>
      </w:r>
      <w:r>
        <w:t>2026-08-06 00:00:00+00:00</w:t>
      </w:r>
      <w:r>
        <w:t xml:space="preserve">    </w:t>
      </w:r>
      <w:r>
        <w:rPr>
          <w:b/>
        </w:rPr>
        <w:t xml:space="preserve">DOI: </w:t>
      </w:r>
      <w:hyperlink r:id="rId1716">
        <w:r>
          <w:rPr>
            <w:color w:val="1155CC"/>
            <w:u w:val="single"/>
          </w:rPr>
          <w:t>10.1038/d41586-026-02235-8</w:t>
        </w:r>
      </w:hyperlink>
    </w:p>
    <w:p>
      <w:pPr>
        <w:spacing w:before="0" w:after="120"/>
      </w:pPr>
      <w:r>
        <w:rPr>
          <w:b/>
        </w:rPr>
        <w:t xml:space="preserve">Notes: </w:t>
      </w:r>
      <w:r>
        <w:t>abstract_source=rss_nature</w:t>
      </w:r>
    </w:p>
    <w:p>
      <w:pPr>
        <w:spacing w:before="0" w:after="80" w:lineRule="auto" w:line="276"/>
      </w:pPr>
      <w:r>
        <w:rPr>
          <w:b/>
        </w:rPr>
        <w:t xml:space="preserve">摘要（ZH）: </w:t>
      </w:r>
      <w:r>
        <w:t>事实证明，该技术擅长在几十年前的论文和参考数据库中查找错误。</w:t>
      </w:r>
    </w:p>
    <w:p>
      <w:pPr>
        <w:spacing w:before="0" w:after="200" w:lineRule="auto" w:line="276"/>
      </w:pPr>
      <w:r>
        <w:rPr>
          <w:b/>
        </w:rPr>
        <w:t xml:space="preserve">Abstract (EN): </w:t>
      </w:r>
      <w:r>
        <w:t>The technology is proving adept at finding faults in decades-old papers and reference databases.</w:t>
      </w:r>
    </w:p>
    <w:p>
      <w:pPr>
        <w:spacing w:before="120" w:after="120"/>
      </w:pPr>
      <w:r>
        <w:rPr>
          <w:sz w:val="18"/>
        </w:rPr>
        <w:t>——————————————————————————————————————————————————————————————————————</w:t>
      </w:r>
    </w:p>
    <w:p>
      <w:pPr>
        <w:spacing w:before="160" w:after="40" w:line="240" w:lineRule="auto"/>
      </w:pPr>
      <w:r>
        <w:rPr>
          <w:b/>
        </w:rPr>
        <w:t xml:space="preserve">[631] </w:t>
      </w:r>
      <w:hyperlink r:id="rId1717">
        <w:r>
          <w:rPr>
            <w:color w:val="1155CC"/>
            <w:u w:val="single"/>
          </w:rPr>
          <w:t>用于红外带隙波函数工程的核/壳 HgCdTe/HgCdSe 量子点</w:t>
        </w:r>
      </w:hyperlink>
    </w:p>
    <w:p>
      <w:pPr>
        <w:spacing w:before="0" w:after="80"/>
      </w:pPr>
      <w:r>
        <w:rPr>
          <w:i/>
          <w:sz w:val="20"/>
        </w:rPr>
        <w:t>EN: Core/Shell HgCdTe/HgCdSe Quantum Dots for Wave Function Engineering with Infrared Band Gaps</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718">
        <w:r>
          <w:rPr>
            <w:color w:val="1155CC"/>
            <w:u w:val="single"/>
          </w:rPr>
          <w:t>10.1021/jacs.6c09034</w:t>
        </w:r>
      </w:hyperlink>
    </w:p>
    <w:p>
      <w:pPr>
        <w:spacing w:before="0" w:after="120"/>
      </w:pPr>
      <w:r>
        <w:rPr>
          <w:b/>
        </w:rPr>
        <w:t xml:space="preserve">Notes: </w:t>
      </w:r>
      <w:r>
        <w:t>abstract_source=crossref</w:t>
      </w:r>
    </w:p>
    <w:p>
      <w:pPr>
        <w:spacing w:before="0" w:after="80" w:lineRule="auto" w:line="276"/>
      </w:pPr>
      <w:r>
        <w:rPr>
          <w:b/>
        </w:rPr>
        <w:t xml:space="preserve">摘要（ZH）: </w:t>
      </w:r>
      <w:r>
        <w:t>摘要 半导体量子点（QD）是一类具有可调谐电子结构的纳米材料，能够精确控制光与物质的相互作用，适用于各种光电应用。汞镉硫属化物是一种用于红外光子应用的新兴量子点组合物，其异质结构有望扩展功能。在这里，我们介绍了核/壳 HgCdTe/HgCdSe 量子点，其红外带隙能量和电荷载流子波函数受域尺寸以及汞和镉的径向分布控制。通过核/壳 CdTe/CdSe 量子点的汞阳离子交换制备，汞可以选择性地富集在核或壳中，并且可以完全耗尽镉以生成 HgTe/HgSe 量子点。不同的合金化方式会在 I 型和 II 型排列之间移动能带偏移，其中电子和空穴分别共域或分离。整个红外光谱的宽带隙可调性以及在空气中的长期稳定性解决了化学稳定性低的 HgTe 和 HgCdTe 以及具有 n 型掺杂的 HgSe 和 HgCdSe 的 QD 同质结构的问题。光物理特征和振荡器强度以品质因数报告，并与量子力学计算进行比较。还引入了基于紫外 E1 临界点特征的光学计量方法来测定阳离子分布，这在小型核/壳量子点中是困难的。这些具有可控电荷载流子波函数的小带隙量子点为研究光致发光提供了新的机会</w:t>
      </w:r>
    </w:p>
    <w:p>
      <w:pPr>
        <w:spacing w:before="0" w:after="200" w:lineRule="auto" w:line="276"/>
      </w:pPr>
      <w:r>
        <w:rPr>
          <w:b/>
        </w:rPr>
        <w:t xml:space="preserve">Abstract (EN): </w:t>
      </w:r>
      <w:r>
        <w:t>Semiconductor quantum dots (QDs) are a class of nanomaterials with tunable electronic structure that enables precise control of light–matter interactions for diverse optoelectronic applications. Mercury cadmium chalcogenides are an emerging QD composition for infrared photonic applications, and their heterostructures are expected to expand functionality. Here, we introduce core/shell HgCdTe/HgCdSe QDs with bandgap energies in the infrared and charge carrier wave functions controlled by domain dimensions and the radial distribution of mercury and cadmium. As prepared via mercury cation exchange of core/shell CdTe/CdSe QDs, mercury can be selectively concentrated in either the core or shell, and can fully deplete cadmium to generate HgTe/HgSe QDs. Different alloying regimes shift band offsets between type-I and type-II alignments, in which the electron and hole are colocalized or separated, respectively. Broad bandgap tunability across the infrared spectra with long-term stability in air addresses problems of the constituent QD homostructures of HgTe and HgCdTe with low chemical stability and HgSe and HgCdSe with n-type doping. The photophysical features and oscillator strengths are reported as figures of merit and compared with quantum mechanical calculations. An optical metrology method based on ultraviolet E1 critical-point features is also introduced for assaying cation distributions, which is otherwise difficult in small core/shell QDs. These small-bandgap QDs with controllable charge carrier wave functions offer new opportunities to investigate photoluminescence, excited-state photophysics, and light–matter interactions at infrared wavelengths.</w:t>
      </w:r>
    </w:p>
    <w:p>
      <w:pPr>
        <w:spacing w:before="120" w:after="120"/>
      </w:pPr>
      <w:r>
        <w:rPr>
          <w:sz w:val="18"/>
        </w:rPr>
        <w:t>——————————————————————————————————————————————————————————————————————</w:t>
      </w:r>
    </w:p>
    <w:p>
      <w:pPr>
        <w:spacing w:before="160" w:after="40" w:line="240" w:lineRule="auto"/>
      </w:pPr>
      <w:r>
        <w:rPr>
          <w:b/>
        </w:rPr>
        <w:t xml:space="preserve">[632] </w:t>
      </w:r>
      <w:hyperlink r:id="rId1719">
        <w:r>
          <w:rPr>
            <w:color w:val="1155CC"/>
            <w:u w:val="single"/>
          </w:rPr>
          <w:t>通过激光驱动隧道穿过圆锥形交叉点对五肽中 OH 键进行位点特异性和模式特异性光解</w:t>
        </w:r>
      </w:hyperlink>
    </w:p>
    <w:p>
      <w:pPr>
        <w:spacing w:before="0" w:after="80"/>
      </w:pPr>
      <w:r>
        <w:rPr>
          <w:i/>
          <w:sz w:val="20"/>
        </w:rPr>
        <w:t>EN: Site-Specific and Mode-Specific Photodissociation of OH bonds in a Pentapeptide by Laser-Driven Tunneling through a Conical Intersection</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720">
        <w:r>
          <w:rPr>
            <w:color w:val="1155CC"/>
            <w:u w:val="single"/>
          </w:rPr>
          <w:t>10.1021/jacs.6c12616</w:t>
        </w:r>
      </w:hyperlink>
    </w:p>
    <w:p>
      <w:pPr>
        <w:spacing w:before="0" w:after="120"/>
      </w:pPr>
      <w:r>
        <w:rPr>
          <w:b/>
        </w:rPr>
        <w:t xml:space="preserve">Notes: </w:t>
      </w:r>
      <w:r>
        <w:t>abstract_source=crossref</w:t>
      </w:r>
    </w:p>
    <w:p>
      <w:pPr>
        <w:spacing w:before="0" w:after="80" w:lineRule="auto" w:line="276"/>
      </w:pPr>
      <w:r>
        <w:rPr>
          <w:b/>
        </w:rPr>
        <w:t xml:space="preserve">摘要（ZH）: </w:t>
      </w:r>
      <w:r>
        <w:t>摘要 使用激光选择性地破坏分子中的化学键的前景常常受到振动能级的固有非调和混合的阻碍，这种混合会导致与其他密集的其他振动态解离，而其他振动态不会解离。使用紫外-红外 (UV-IR) 双共振激发方案，我们演示了低温冷却的气相质子化五肽离子 [YGGYL+H]+ 中两个酪氨酸发色团 (Tyr, Y) 中 O-H 键的位点和模式选择性光解离，具有 231 种振动模式。这两个酪氨酸具有独特的紫外线吸收，电子起源彼此相距 324 cm-1，从而能够对 Y1 或 Y4 发色团的 1ππ* 态进行位点特异性电子激发。两个酪氨酸苯酚部分之一上 18OH 的同位素取代（形成 Y(18O)GGYL 或 YGGY(18O)L）会导致 OH 伸缩基波的红外吸收频率发生 −11 cm–1 的变化。由于在 1ππ* 态中 OH 伸缩基本位移相对于基态为 −72 cm–1，因此 UV-IR 光谱作为 IR-UV 时间延迟的函数绘制出了激发态红外光谱，并提供了一种将任一 OH 基团提升为 1ππ* 激发态下的 OH(v = 1) 的方法。使用短红外-紫外延迟时间的紫外-红外激发，我们观察到 OH 氢原子的位点选择性和模式选择性损失，只有当紫外和红外激发都在同一个 Tyr 发色团上时，氢原子才会有效损失，模式选择性大于 100:1。紫外和红外激发的其他组合不会产生任何可测量的氢原子损失。 S</w:t>
      </w:r>
    </w:p>
    <w:p>
      <w:pPr>
        <w:spacing w:before="0" w:after="200" w:lineRule="auto" w:line="276"/>
      </w:pPr>
      <w:r>
        <w:rPr>
          <w:b/>
        </w:rPr>
        <w:t xml:space="preserve">Abstract (EN): </w:t>
      </w:r>
      <w:r>
        <w:t>The prospect of using lasers to selectively break chemical bonds in molecules is often thwarted by the intrinsic anharmonic mixing of the vibrational levels that lead to dissociation with a dense manifold of other vibrational states that do not. Using an ultraviolet-infrared (UV-IR) double resonance excitation scheme, we demonstrate both site- and mode-selective photodissociation of the O–H bond in either of the two tyrosine chromophores (Tyr, Y) in a cryogenically cooled, gas phase protonated pentapeptide ion [YGGYL+H]+ with 231 vibrational modes. The two tyrosine’s have unique UV absorptions with electronic origins separated from one another by 324 cm–1, enabling site-specific electronic excitation of the 1ππ* state of the Y1 or Y4 chromophore. Isotopic substitution of 18OH on one of the two tyrosine’s phenol moiety (forming Y(18O)GGYL or YGGY(18O)L) produces a shift in the infrared absorption frequency of the OH stretch fundamental of −11 cm–1. Since the OH stretch fundamental shifts by −72 cm–1 in the 1ππ* state relative to the ground state, UV-IR spectra as a function of IR-UV time delay map out the excited state IR spectra and provides a means for promoting either OH group to OH(v = 1) in their 1ππ* excited state. Using UV-IR excitation at short IR-UV delay times, we observe site-selective and mode-selective loss of the OH hydrogen atom, which is efficiently lost only when both UV and IR excitation are on the same Tyr chromophore, with a mode-selectivity of greater than 100:1. No other combination of UV and IR excitation produces any measurable H atom loss. Since the OH stretch coordinate is the reaction coordinate for H atom loss, we identify tunneling underneath the 1ππ*/1πσOH* conical intersection (CI) as responsible for the mode-selectivity of the photofragmentation, and argue that tunneling through the CI following OH(v = 1) excitation is fast enough that it competes favorably over vibrational energy scrambling, making it possible to selectively fragment either OH bond in this large molecule with high fidelity.</w:t>
      </w:r>
    </w:p>
    <w:p>
      <w:pPr>
        <w:spacing w:before="120" w:after="120"/>
      </w:pPr>
      <w:r>
        <w:rPr>
          <w:sz w:val="18"/>
        </w:rPr>
        <w:t>——————————————————————————————————————————————————————————————————————</w:t>
      </w:r>
    </w:p>
    <w:p>
      <w:pPr>
        <w:spacing w:before="160" w:after="40" w:line="240" w:lineRule="auto"/>
      </w:pPr>
      <w:r>
        <w:rPr>
          <w:b/>
        </w:rPr>
        <w:t xml:space="preserve">[633] </w:t>
      </w:r>
      <w:hyperlink r:id="rId1721">
        <w:r>
          <w:rPr>
            <w:color w:val="1155CC"/>
            <w:u w:val="single"/>
          </w:rPr>
          <w:t>催化对映选择性 Sommelet-Hauser 重排</w:t>
        </w:r>
      </w:hyperlink>
    </w:p>
    <w:p>
      <w:pPr>
        <w:spacing w:before="0" w:after="80"/>
      </w:pPr>
      <w:r>
        <w:rPr>
          <w:i/>
          <w:sz w:val="20"/>
        </w:rPr>
        <w:t>EN: The Catalytic Enantioselective Sommelet–Hauser Rearrangement</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722">
        <w:r>
          <w:rPr>
            <w:color w:val="1155CC"/>
            <w:u w:val="single"/>
          </w:rPr>
          <w:t>10.1021/jacs.6c04476</w:t>
        </w:r>
      </w:hyperlink>
    </w:p>
    <w:p>
      <w:pPr>
        <w:spacing w:before="0" w:after="120"/>
      </w:pPr>
      <w:r>
        <w:rPr>
          <w:b/>
        </w:rPr>
        <w:t xml:space="preserve">Notes: </w:t>
      </w:r>
      <w:r>
        <w:t>abstract_source=crossref</w:t>
      </w:r>
    </w:p>
    <w:p>
      <w:pPr>
        <w:spacing w:before="0" w:after="80" w:lineRule="auto" w:line="276"/>
      </w:pPr>
      <w:r>
        <w:rPr>
          <w:b/>
        </w:rPr>
        <w:t xml:space="preserve">摘要（ZH）: </w:t>
      </w:r>
      <w:r>
        <w:t>摘要叶立德铵的 Sommelet-Hauser 重排包括（杂）芳香族取代基的脱芳构化 [2,3]-σ 重排，然后进行互变异构（重芳化），生成（杂）苄胺衍生物。尽管人们对该过程广泛感兴趣，但不对称变体之前依赖于化学计量手性辅助或手性转移策略来诱导立体控制。在这篇手稿中，使用路易斯碱性异硫脲催化剂演示了带有杂芳族取代基的铵叶立德的有机催化对映选择性 Sommelet-Hauser 重排，提供了一系列具有高至优异对映选择性（高达 98:2 er）的非天然 α-杂芳基 α-氨基酸衍生物。所开发的工艺可耐受具有吲哚基和苯并呋喃基取代基的环状和无环铵盐前体。使用一系列亲核试剂产生酰胺、酯和醇产物。计算分析表明，逐步过程（涉及初始 C-N 键断裂以生成离子对，然后形成无势垒 C-C 键）优于协同的 [2,3]-重排，通过畸变相互作用分析可深入了解控制该机制的因素。交叉实验，包括使用同位素异体盐衍生物来尽量减少底物的化学分化，没有显示出扰乱。累积的计算和实验证据的整体表明逐步重排涉及近乎瞬时的第二重组步骤，例如</w:t>
      </w:r>
    </w:p>
    <w:p>
      <w:pPr>
        <w:spacing w:before="0" w:after="200" w:lineRule="auto" w:line="276"/>
      </w:pPr>
      <w:r>
        <w:rPr>
          <w:b/>
        </w:rPr>
        <w:t xml:space="preserve">Abstract (EN): </w:t>
      </w:r>
      <w:r>
        <w:t>The Sommelet–Hauser rearrangement of ammonium ylides incorporates a dearomatizing [2,3]-sigmatropic rearrangement of a (hetero)aromatic substituent, followed by tautomerization (rearomatization), to generate (hetero)benzylic amine derivatives. Despite widespread interest in this process, asymmetric variants have previously relied upon stoichiometric chiral auxiliary or chirality transfer strategies to induce stereocontrol. In this manuscript, the organocatalytic enantioselective Sommelet–Hauser rearrangement of ammonium ylides bearing heteroaromatic substituents is demonstrated using a Lewis basic isothiourea catalyst, providing a series of unnatural α-heteroaryl α-amino acid derivatives with high to excellent enantioselectivity (up to 98:2 er). The developed process tolerates cyclic and acyclic ammonium salt precursors with indolyl and benzofuranyl substituents. A range of pronucleophiles was employed that lead to amide, ester, and alcohol products. Computational analysis revealed that a stepwise process (involving initial C–N bond cleavage to generate an ion pair, followed by a barrierless C–C bond formation) is favored over a concerted [2,3]-rearrangement, with distortion-interaction analysis providing insight into the factors that govern the mechanism. Crossover experiments, including the use of isotopologue salt derivatives to minimize chemical differentiation of substrates, showed no scrambling. The totality of accumulated computational and experimental evidence suggests a stepwise rearrangement involving a near-instantaneous second recombination step such that the overall process is indistinguishable from, and effectively, a concerted asynchronous rearrangement.</w:t>
      </w:r>
    </w:p>
    <w:p>
      <w:pPr>
        <w:spacing w:before="120" w:after="120"/>
      </w:pPr>
      <w:r>
        <w:rPr>
          <w:sz w:val="18"/>
        </w:rPr>
        <w:t>——————————————————————————————————————————————————————————————————————</w:t>
      </w:r>
    </w:p>
    <w:p>
      <w:pPr>
        <w:spacing w:before="160" w:after="40" w:line="240" w:lineRule="auto"/>
      </w:pPr>
      <w:r>
        <w:rPr>
          <w:b/>
        </w:rPr>
        <w:t xml:space="preserve">[634] </w:t>
      </w:r>
      <w:hyperlink r:id="rId1723">
        <w:r>
          <w:rPr>
            <w:color w:val="1155CC"/>
            <w:u w:val="single"/>
          </w:rPr>
          <w:t>与阴离子大小的自适应卤化物结合：触发分子笼中手性 D3 到三棱柱的变化</w:t>
        </w:r>
      </w:hyperlink>
    </w:p>
    <w:p>
      <w:pPr>
        <w:spacing w:before="0" w:after="80"/>
      </w:pPr>
      <w:r>
        <w:rPr>
          <w:i/>
          <w:sz w:val="20"/>
        </w:rPr>
        <w:t>EN: Adaptive Halide Binding with Anion Size: Triggering Chiral D3 to Trigonal Prism Changes in a Molecular Cage</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724">
        <w:r>
          <w:rPr>
            <w:color w:val="1155CC"/>
            <w:u w:val="single"/>
          </w:rPr>
          <w:t>10.1021/jacs.6c11035</w:t>
        </w:r>
      </w:hyperlink>
    </w:p>
    <w:p>
      <w:pPr>
        <w:spacing w:before="0" w:after="120"/>
      </w:pPr>
      <w:r>
        <w:rPr>
          <w:b/>
        </w:rPr>
        <w:t xml:space="preserve">Notes: </w:t>
      </w:r>
      <w:r>
        <w:t>abstract_source=crossref</w:t>
      </w:r>
    </w:p>
    <w:p>
      <w:pPr>
        <w:spacing w:before="0" w:after="80" w:lineRule="auto" w:line="276"/>
      </w:pPr>
      <w:r>
        <w:rPr>
          <w:b/>
        </w:rPr>
        <w:t xml:space="preserve">摘要（ZH）: </w:t>
      </w:r>
      <w:r>
        <w:t>摘要 我们报告了在气相低温冷却条件下结合在双环酰胺基穴状配体笼 (1) 内的卤化物离子 F–、Cl– 和 Br– 的红外光谱和结构分析。我们使用红外-紫外双共振方法记录了氢化物拉伸和指纹区域中低温冷却的气相离子的红外光谱。 NH 和 CH 拉伸区域的红外光谱非常简单，反映了所有三个 1·X– 配合物的高度对称结构。我们使用 NH、CH 和指纹区域中红外光谱的第一原理预测将实验光谱与计算出的候选结构进行比较。我们将 1·F– 配合物分配给一个 9 配位的 D3 对称结构，该结构包含六个 NH·F– 和三个芳香族 CH·F– H 键，与结晶固体中的情况非常相似，三角扭转角 α = 35°。虽然 1·F– 的气相结构和 X 射线结构相似，但晶体结构受到周围环境的压缩，两个桥头叔胺之间的距离比我们指定的气相结构短 0.58 Å。相比之下，1·Cl– 和 1·Br– 配合物根据其红外光​​谱被独特地指定为 C3h 对称结构，其中六个酰胺 N 形成 6 配位三角棱柱 (α = 0°) 结合口袋，而两个叔 N 在棱柱的三角形面上形成帽。为了容纳这些较大的卤化物离子，三个芳香环旋转，使得它们最近的CH基团几乎与笼中心的球形卤化物离子相切。</w:t>
      </w:r>
    </w:p>
    <w:p>
      <w:pPr>
        <w:spacing w:before="0" w:after="200" w:lineRule="auto" w:line="276"/>
      </w:pPr>
      <w:r>
        <w:rPr>
          <w:b/>
        </w:rPr>
        <w:t xml:space="preserve">Abstract (EN): </w:t>
      </w:r>
      <w:r>
        <w:t>We report the IR spectroscopy and structural analysis of the halide ions F–, Cl–, and Br– bound inside a bicyclic amide-based cryptand cage (1) under cryo-cooled conditions in the gas phase. We record infrared spectra of the cryo-cooled gas-phase ions in the hydride stretch and fingerprint regions using IR-UV double resonance methods. The IR spectra in the NH and CH stretch regions are remarkably simple, reflecting highly symmetric structures for all three 1·X– complexes. We compare the experimental spectra with calculated candidate structures using first-principles predictions of the infrared spectra in the NH, CH, and fingerprint regions. We assign the 1·F– complex to a 9-coordinate, D3 symmetry structure that contains six NH···F– and three aromatic CH···F– H-bonds, much as it does in the crystalline solid, with a trigonal twist angle α = 35°. While the gas-phase and X-ray structures of 1·F– are similar, the crystal structure is compressed by its surroundings, with the distance between the two bridgehead tertiary amines that is 0.58 Å shorter than our assigned gas-phase structure. In contrast, the 1·Cl– and 1·Br– complexes are uniquely assigned based on their infrared spectra to C3h symmetry structures in which the six amide N’s form a 6-coordinate trigonal prism (α = 0°) binding pocket, while the two tertiary N’s form caps on the prism’s triangular faces. To accommodate these larger halide ions, the three aromatic rings rotate so that their closest CH groups are nearly tangential to the spherical halide ion at the cage’s center.</w:t>
      </w:r>
    </w:p>
    <w:p>
      <w:pPr>
        <w:spacing w:before="120" w:after="120"/>
      </w:pPr>
      <w:r>
        <w:rPr>
          <w:sz w:val="18"/>
        </w:rPr>
        <w:t>——————————————————————————————————————————————————————————————————————</w:t>
      </w:r>
    </w:p>
    <w:p>
      <w:pPr>
        <w:spacing w:before="160" w:after="40" w:line="240" w:lineRule="auto"/>
      </w:pPr>
      <w:r>
        <w:rPr>
          <w:b/>
        </w:rPr>
        <w:t xml:space="preserve">[635] </w:t>
      </w:r>
      <w:hyperlink r:id="rId1725">
        <w:r>
          <w:rPr>
            <w:color w:val="1155CC"/>
            <w:u w:val="single"/>
          </w:rPr>
          <w:t>双齿氢键通过重塑零价铁界面上的动态水网络加速界面质子耦合电子转移动力学</w:t>
        </w:r>
      </w:hyperlink>
    </w:p>
    <w:p>
      <w:pPr>
        <w:spacing w:before="0" w:after="80"/>
      </w:pPr>
      <w:r>
        <w:rPr>
          <w:i/>
          <w:sz w:val="20"/>
        </w:rPr>
        <w:t>EN: Bidentate Hydrogen Bonds Accelerate Interfacial Proton-Coupled Electron Transfer Kinetics by Reshaping Dynamic Water Networks on Zero-Valent Iron Interfaces</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726">
        <w:r>
          <w:rPr>
            <w:color w:val="1155CC"/>
            <w:u w:val="single"/>
          </w:rPr>
          <w:t>10.1021/jacs.6c12004</w:t>
        </w:r>
      </w:hyperlink>
    </w:p>
    <w:p>
      <w:pPr>
        <w:spacing w:before="0" w:after="120"/>
      </w:pPr>
      <w:r>
        <w:rPr>
          <w:b/>
        </w:rPr>
        <w:t xml:space="preserve">Notes: </w:t>
      </w:r>
      <w:r>
        <w:t>abstract_source=crossref</w:t>
      </w:r>
    </w:p>
    <w:p>
      <w:pPr>
        <w:spacing w:before="0" w:after="80" w:lineRule="auto" w:line="276"/>
      </w:pPr>
      <w:r>
        <w:rPr>
          <w:b/>
        </w:rPr>
        <w:t xml:space="preserve">摘要（ZH）: </w:t>
      </w:r>
      <w:r>
        <w:t>摘要固液界面的质子耦合电子转移（PCET）对于解决零价铁（ZVI）材料在环境污染控制中因铁循环受阻而导致的效率降低至关重要。在这项研究中，我们报道了一种单宁酸改性的 ZVI (TA-ZVI)，它通过在外亥姆霍兹平面 (OHP) 设计界面氢键网络来加速 PCET。将邻位酚羟基接枝到ZVI上可以重构界面水网络，增加弱结合水/游离水的比例，增强界面溶剂化/极化弛豫，从而降低PCET的动力学势垒，促进H*的生成和利用。随后，H* 通过界面氢键网络通过热力学上有利的 Grotthuss 样途径传递到 Fe(III) 位点，从而加速铁循环并增强表面结合 Fe(II) 介导的 2e-ORR-Fenton 反应的活性。使用酚类类似物进行的机理研究表明，邻位酚羟基相对于对位/间位构型具有独特的有效性，这是由于形成了限制和稳定 H* 的双齿氢键。使用磺胺二甲嗪 (SMT) 作为模型污染物，TA-ZVI 的去除率达到 85%，明显优于原始 ZVI（仅去除 19.8%）。 TA-ZVI还能在真实废水基质中保持有效、连续的SMT去除，并在连续流膜反应器中保持稳定运行1000分钟。这项工作建立了动态​​氢</w:t>
      </w:r>
    </w:p>
    <w:p>
      <w:pPr>
        <w:spacing w:before="0" w:after="200" w:lineRule="auto" w:line="276"/>
      </w:pPr>
      <w:r>
        <w:rPr>
          <w:b/>
        </w:rPr>
        <w:t xml:space="preserve">Abstract (EN): </w:t>
      </w:r>
      <w:r>
        <w:t>Proton-coupled electron transfer (PCET) at the solid–liquid interface is crucial for addressing the efficiency reduction of zerovalent iron (ZVI) materials in environmental pollution control, which stems from hindered iron cycling. In this study, we report a tannic acid-modified ZVI (TA-ZVI) that accelerates PCET by engineering an interfacial hydrogen-bonding network at the outer Helmholtz plane (OHP). Grafting ortho-phenolic hydroxyl groups onto ZVI reconstructs the interfacial water network, increases the fraction of weakly bound/free water, and enhances interfacial solvation/polarization relaxation, thereby lowering the kinetic barrier for PCET and promoting the generation and utilization of H*. The H* is subsequently delivered through the interfacial hydrogen-bonding network via a thermodynamically favorable Grotthuss-like pathway to the Fe(III) sites, thereby accelerating the iron cycle and enhancing the activity of the surface-bound Fe(II)-mediated 2e– ORR-Fenton reaction. Mechanistic investigations using phenolic analogues identify that ortho-phenolic hydroxyl groups are uniquely effective relative to para-/meta-configurations, owing to the formation of bidentate hydrogen bonds that confine and stabilize H*. Using sulfamethazine (SMT) as a model contaminant, TA-ZVI achieves 85% removal, substantially outperforming pristine ZVI, which removes only 19.8%. TA-ZVI also maintains effective and continuous SMT removal in real wastewater matrices and sustains stable operation for 1000 min in a continuous-flow membrane reactor. This work establishes dynamic hydrogen-bond-network engineering as a molecular strategy for regulating interfacial PCET and enhancing ZVI-based oxidative remediation.</w:t>
      </w:r>
    </w:p>
    <w:p>
      <w:pPr>
        <w:spacing w:before="120" w:after="120"/>
      </w:pPr>
      <w:r>
        <w:rPr>
          <w:sz w:val="18"/>
        </w:rPr>
        <w:t>——————————————————————————————————————————————————————————————————————</w:t>
      </w:r>
    </w:p>
    <w:p>
      <w:pPr>
        <w:spacing w:before="160" w:after="40" w:line="240" w:lineRule="auto"/>
      </w:pPr>
      <w:r>
        <w:rPr>
          <w:b/>
        </w:rPr>
        <w:t xml:space="preserve">[636] </w:t>
      </w:r>
      <w:hyperlink r:id="rId1727">
        <w:r>
          <w:rPr>
            <w:color w:val="1155CC"/>
            <w:u w:val="single"/>
          </w:rPr>
          <w:t>使用分子束外延的台地介导的 WS2 生长：对晶格取向和晶界形成的影响</w:t>
        </w:r>
      </w:hyperlink>
    </w:p>
    <w:p>
      <w:pPr>
        <w:spacing w:before="0" w:after="80"/>
      </w:pPr>
      <w:r>
        <w:rPr>
          <w:i/>
          <w:sz w:val="20"/>
        </w:rPr>
        <w:t>EN: Terrace-Mediated Growth of WS2 Using Molecular Beam Epitaxy: Impact on Lattice Orientation and Grain Boundary Formation</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728">
        <w:r>
          <w:rPr>
            <w:color w:val="1155CC"/>
            <w:u w:val="single"/>
          </w:rPr>
          <w:t>10.1021/acsami.6c03330</w:t>
        </w:r>
      </w:hyperlink>
    </w:p>
    <w:p>
      <w:pPr>
        <w:spacing w:before="0" w:after="120"/>
      </w:pPr>
      <w:r>
        <w:rPr>
          <w:b/>
        </w:rPr>
        <w:t xml:space="preserve">Notes: </w:t>
      </w:r>
      <w:r>
        <w:t>abstract_source=crossref</w:t>
      </w:r>
    </w:p>
    <w:p>
      <w:pPr>
        <w:spacing w:before="0" w:after="80" w:lineRule="auto" w:line="276"/>
      </w:pPr>
      <w:r>
        <w:rPr>
          <w:b/>
        </w:rPr>
        <w:t xml:space="preserve">摘要（ZH）: </w:t>
      </w:r>
      <w:r>
        <w:t>摘要 WS2 等硫基过渡金属二硫属化物 (TMD) 表现出与石墨烯的晶格失配，而 MoSe2 和 WSe2 等 Se 基化合物则表现出更相称的行为。该注册使得石墨烯上的外延 WS2（无需过渡金属基底）成为探索底层界面现象的理想平台。然而，利用分子束外延（MBE）控制合成它仍然是一个艰巨的挑战。在这里，我们展示了在超高真空（UHV）下使用两步法在高度取向热解石墨（HOPG）上外延生长WS2和在SiC上外延双层石墨烯。扫描隧道显微镜和光谱 (STM/S) 揭示了明显的莫尔周期性（在这项工作中扭转角为 3° 和 19.1°），以及小角度下阶地介导的晶界形成。在外延石墨烯上，我们展示了高度取向的 WS2 薄膜的生长。这些发现建立了外延 WS2 生长的稳健策略，为研究晶格失配二维异质结构的形成机制和新兴特性开辟了途径。</w:t>
      </w:r>
    </w:p>
    <w:p>
      <w:pPr>
        <w:spacing w:before="0" w:after="200" w:lineRule="auto" w:line="276"/>
      </w:pPr>
      <w:r>
        <w:rPr>
          <w:b/>
        </w:rPr>
        <w:t xml:space="preserve">Abstract (EN): </w:t>
      </w:r>
      <w:r>
        <w:t>Sulfur-based transition metal dichalcogenides (TMDs) such as WS2 exhibit a lattice mismatch with graphene, in contrast to the more commensurate behavior of Se-based compounds like MoSe2 and WSe2. This registry makes epitaxial WS2 on graphene, without transition metal substrates, an ideal platform for exploring the underlying interfacial phenomena. However, its controlled synthesis with molecular beam epitaxy (MBE) remains a formidable challenge. Here, we demonstrate the epitaxial growth of WS2 on highly oriented pyrolytic graphite (HOPG) and epitaxial bilayer graphene on SiC using a two-step method under ultra-high vacuum (UHV). Scanning tunneling microscopy and spectroscopy (STM/S) reveal pronounced moiré periodicities—in this work at 3 and 19.1° twist angles—along with terrace-mediated grain boundary formation at small angles. On epitaxial graphene, we demonstrate the growth of highly oriented WS2 films. These findings establish a robust strategy for epitaxial WS2 growth, opening avenues for investigating the formation mechanisms and emergent properties of lattice-mismatched two-dimensional heterostructures.</w:t>
      </w:r>
    </w:p>
    <w:p>
      <w:pPr>
        <w:spacing w:before="120" w:after="120"/>
      </w:pPr>
      <w:r>
        <w:rPr>
          <w:sz w:val="18"/>
        </w:rPr>
        <w:t>——————————————————————————————————————————————————————————————————————</w:t>
      </w:r>
    </w:p>
    <w:p>
      <w:pPr>
        <w:spacing w:before="160" w:after="40" w:line="240" w:lineRule="auto"/>
      </w:pPr>
      <w:r>
        <w:rPr>
          <w:b/>
        </w:rPr>
        <w:t xml:space="preserve">[637] </w:t>
      </w:r>
      <w:hyperlink r:id="rId1729">
        <w:r>
          <w:rPr>
            <w:color w:val="1155CC"/>
            <w:u w:val="single"/>
          </w:rPr>
          <w:t>异构体衍生碳点的空间构型定向筛选，用于食品中亚硝酸盐的高选择性传感和体内成像</w:t>
        </w:r>
      </w:hyperlink>
    </w:p>
    <w:p>
      <w:pPr>
        <w:spacing w:before="0" w:after="80"/>
      </w:pPr>
      <w:r>
        <w:rPr>
          <w:i/>
          <w:sz w:val="20"/>
        </w:rPr>
        <w:t>EN: Spatial Configuration-Directed Screening of Isomer-Derived Carbon Dots for Highly Selective Sensing of Nitrite in Food and In Vivo Imaging</w:t>
      </w:r>
    </w:p>
    <w:p>
      <w:pPr>
        <w:spacing w:before="0" w:after="120"/>
      </w:pPr>
      <w:r>
        <w:rPr>
          <w:b/>
        </w:rPr>
        <w:t xml:space="preserve">Source: </w:t>
      </w:r>
      <w:r>
        <w:t>ACS Applied Materials &amp; Interfaces: Latest Articles (ACS Publications)</w:t>
      </w:r>
      <w:r>
        <w:t xml:space="preserve">    </w:t>
      </w:r>
      <w:r>
        <w:rPr>
          <w:b/>
        </w:rPr>
        <w:t xml:space="preserve">Pub date: </w:t>
      </w:r>
      <w:r>
        <w:t>2026-08-06 00:00:00+00:00</w:t>
      </w:r>
      <w:r>
        <w:t xml:space="preserve">    </w:t>
      </w:r>
      <w:r>
        <w:rPr>
          <w:b/>
        </w:rPr>
        <w:t xml:space="preserve">DOI: </w:t>
      </w:r>
      <w:hyperlink r:id="rId1730">
        <w:r>
          <w:rPr>
            <w:color w:val="1155CC"/>
            <w:u w:val="single"/>
          </w:rPr>
          <w:t>10.1021/acsami.6c12261</w:t>
        </w:r>
      </w:hyperlink>
    </w:p>
    <w:p>
      <w:pPr>
        <w:spacing w:before="0" w:after="120"/>
      </w:pPr>
      <w:r>
        <w:rPr>
          <w:b/>
        </w:rPr>
        <w:t xml:space="preserve">Notes: </w:t>
      </w:r>
      <w:r>
        <w:t>abstract_source=crossref</w:t>
      </w:r>
    </w:p>
    <w:p>
      <w:pPr>
        <w:spacing w:before="0" w:after="80" w:lineRule="auto" w:line="276"/>
      </w:pPr>
      <w:r>
        <w:rPr>
          <w:b/>
        </w:rPr>
        <w:t xml:space="preserve">摘要（ZH）: </w:t>
      </w:r>
      <w:r>
        <w:t>摘要 基于碳量子点（CD）的荧光传感技术因其高灵敏度和操作简单性而受到广泛关注。然而，通过前体空间构型控制来调节碳点性能和传感机制的研究仍然相对不发达。本研究采用联苯胺的三种异构体作为碳源，通过溶剂热法合成相应的CD。通过实验表征和密度泛函理论计算验证，由于异构体诱导的聚合差异，CD 的尺寸分布和能带结构显着不同。其中，由间苯二胺合成的MPD-CD表现出最良好的综合性能。基于 MPD-CD 的荧光传感器实现了对食品中 NO2- 的高灵敏检测，检测限为 0.22 µM，主要通过 MPD-CD 与 NO2- 之间的重氮化偶联反应引起静态荧光猝灭。此外，与 100 µg/mL MPD-CD 一起孵育后，细胞活力超过 80%，从而能够成功应用于小鼠体内成像。该研究为筛选和设计高性能CD荧光传感平台提供了理论和实验基础，在食品安全检测和生物成像分析方面具有广阔的应用前景。</w:t>
      </w:r>
    </w:p>
    <w:p>
      <w:pPr>
        <w:spacing w:before="0" w:after="200" w:lineRule="auto" w:line="276"/>
      </w:pPr>
      <w:r>
        <w:rPr>
          <w:b/>
        </w:rPr>
        <w:t xml:space="preserve">Abstract (EN): </w:t>
      </w:r>
      <w:r>
        <w:t>Fluorescence sensing technology based on carbon quantum dots (CDs) has garnered significant attention due to its high sensitivity and operational simplicity. However, research on regulating CDs' performance and sensing mechanisms through spatial configuration control of precursors remains relatively underdeveloped. This study employed three isomers of benzidine as carbon sources, synthesizing corresponding CDs via a solvothermal method. The size distribution and band structure of the CDs were significantly different due to isomer-induced polymerization differences, as validated by both experimental characterization and density functional theory calculations. Among these, MPD-CDs synthesized from m-phenylenediamine exhibited the most favorable comprehensive performance. A fluorescence sensor based on MPD-CDs achieved highly sensitive detection of NO2– in food, with a detection limit of 0.22 µM, primarily through diazotization−coupling reactions between MPD-CDs and NO2– causing static fluorescence quenching. Furthermore, cell viability exceeded 80% after incubation with 100 µg/mL MPD-CDs, enabling successful application in mouse in vivo imaging. This study provides theoretical and experimental foundations for screening and designing high-performance CD-based fluorescent sensing platforms, offering broad application prospects in food safety detection and bioimaging analysis.</w:t>
      </w:r>
    </w:p>
    <w:p>
      <w:pPr>
        <w:spacing w:before="120" w:after="120"/>
      </w:pPr>
      <w:r>
        <w:rPr>
          <w:sz w:val="18"/>
        </w:rPr>
        <w:t>——————————————————————————————————————————————————————————————————————</w:t>
      </w:r>
    </w:p>
    <w:p>
      <w:pPr>
        <w:spacing w:before="160" w:after="40" w:line="240" w:lineRule="auto"/>
      </w:pPr>
      <w:r>
        <w:rPr>
          <w:b/>
        </w:rPr>
        <w:t xml:space="preserve">[638] </w:t>
      </w:r>
      <w:hyperlink r:id="rId1731">
        <w:r>
          <w:rPr>
            <w:color w:val="1155CC"/>
            <w:u w:val="single"/>
          </w:rPr>
          <w:t>(1 S ,3 R ,5 R )-3-氨基-6,6-二氟双环[3.1.0]己烷-1-甲酸失活鸟氨酸转氨酶的应力消除驱动开环机制的设计和阐明</w:t>
        </w:r>
      </w:hyperlink>
    </w:p>
    <w:p>
      <w:pPr>
        <w:spacing w:before="0" w:after="80"/>
      </w:pPr>
      <w:r>
        <w:rPr>
          <w:i/>
          <w:sz w:val="20"/>
        </w:rPr>
        <w:t>EN: Design and Elucidation of a Strain-Relief-Driven Ring Opening Mechanism of Inactivation of Ornithine Aminotransferase by (1 S ,3 R ,5 R )-3-Amino-6,6-difluorobicyclo[3.1.0]hexane-1-carboxylic Acid</w:t>
      </w:r>
    </w:p>
    <w:p>
      <w:pPr>
        <w:spacing w:before="0" w:after="120"/>
      </w:pPr>
      <w:r>
        <w:rPr>
          <w:b/>
        </w:rPr>
        <w:t xml:space="preserve">Source: </w:t>
      </w:r>
      <w:r>
        <w:t>Journal of the American Chemical Society: Latest Articles (ACS Publications)</w:t>
      </w:r>
      <w:r>
        <w:t xml:space="preserve">    </w:t>
      </w:r>
      <w:r>
        <w:rPr>
          <w:b/>
        </w:rPr>
        <w:t xml:space="preserve">Pub date: </w:t>
      </w:r>
      <w:r>
        <w:t>2026-08-06 00:00:00+00:00</w:t>
      </w:r>
      <w:r>
        <w:t xml:space="preserve">    </w:t>
      </w:r>
      <w:r>
        <w:rPr>
          <w:b/>
        </w:rPr>
        <w:t xml:space="preserve">DOI: </w:t>
      </w:r>
      <w:hyperlink r:id="rId1732">
        <w:r>
          <w:rPr>
            <w:color w:val="1155CC"/>
            <w:u w:val="single"/>
          </w:rPr>
          <w:t>10.1021/jacs.6c11041</w:t>
        </w:r>
      </w:hyperlink>
    </w:p>
    <w:p>
      <w:pPr>
        <w:spacing w:before="0" w:after="120"/>
      </w:pPr>
      <w:r>
        <w:rPr>
          <w:b/>
        </w:rPr>
        <w:t xml:space="preserve">Notes: </w:t>
      </w:r>
      <w:r>
        <w:t>abstract_source=crossref</w:t>
      </w:r>
    </w:p>
    <w:p>
      <w:pPr>
        <w:spacing w:before="0" w:after="80" w:lineRule="auto" w:line="276"/>
      </w:pPr>
      <w:r>
        <w:rPr>
          <w:b/>
        </w:rPr>
        <w:t xml:space="preserve">摘要（ZH）: </w:t>
      </w:r>
      <w:r>
        <w:t>摘要 人鸟氨酸转氨酶 (hOAT) 是一种 5′-磷酸吡哆醛 (PLP) 依赖性酶，由于在谷氨酰胺和脯氨酸的合成中发挥重要作用，因此与多种癌症有关。抑制 hOAT 可能为治疗多种癌症提供新方法。近年来，通过基于机制的失活选择性抑制 hOAT 在肝细胞癌的治疗中显示出了前景。受最近报道的 hOAT 选择性 δ-去质子化和先前提出的环应变介导的失活机制的启发，我们设计、合成并评估了 (1S,3R,5R)-3-氨基-6,6-二氟双环[3.1.0]己烷-1-羧酸 (5)，这是一种时间依赖性 hOAT 抑制剂。结构和机制研究验证了所提出的5的机制，它经历开环机制形成紧密结合在hOAT活性位点的PLP-失活剂加合物。使用完整蛋白质质谱、19F NMR光谱、瞬态动力学研究、X射线晶体学和QM计算来确定最终加合物并探索5的失活机制。这是hOAT活性位点开环事件的首次报道。</w:t>
      </w:r>
    </w:p>
    <w:p>
      <w:pPr>
        <w:spacing w:before="0" w:after="200" w:lineRule="auto" w:line="276"/>
      </w:pPr>
      <w:r>
        <w:rPr>
          <w:b/>
        </w:rPr>
        <w:t xml:space="preserve">Abstract (EN): </w:t>
      </w:r>
      <w:r>
        <w:t>Human ornithine aminotransferase (hOAT) is a pyridoxal 5′-phosphate (PLP)-dependent enzyme that has been implicated in several cancers due to the essential role in the synthesis of glutamine and proline. Inhibition of hOAT may provide a novel method to treat a variety of cancers. In recent years, selective inhibition of hOAT through mechanism-based inactivation has shown promise in the treatment of hepatocellular carcinoma. Inspired by the recently reported hOAT-selective δ-deprotonation and previously proposed ring-strain mediated mechanisms of inactivation, we designed, synthesized, and evaluated (1S,3R,5R)-3-amino-6,6-difluorobicyclo[3.1.0]hexane-1-carboxylic acid (5), a time-dependent inhibitor of hOAT. Structural and mechanistic studies validated the proposed mechanism of 5, which undergoes a ring-opening mechanism to form a PLP-inactivator adduct that is tightly bound in the active site of hOAT. Intact protein mass spectrometry, 19F NMR spectroscopy, transient-state kinetic studies, X-ray crystallography, and QM calculations were used to determine the final adduct and explore the mechanism of inactivation of 5. This is the first report of a ring-opening event in the active site of hOAT.</w:t>
      </w:r>
    </w:p>
    <w:p>
      <w:pPr>
        <w:spacing w:before="120" w:after="120"/>
      </w:pPr>
      <w:r>
        <w:rPr>
          <w:sz w:val="18"/>
        </w:rPr>
        <w:t>——————————————————————————————————————————————————————————————————————</w:t>
      </w:r>
    </w:p>
    <w:p>
      <w:pPr>
        <w:spacing w:before="160" w:after="40" w:line="240" w:lineRule="auto"/>
      </w:pPr>
      <w:r>
        <w:rPr>
          <w:b/>
        </w:rPr>
        <w:t xml:space="preserve">[639] </w:t>
      </w:r>
      <w:hyperlink r:id="rId1733">
        <w:r>
          <w:rPr>
            <w:color w:val="1155CC"/>
            <w:u w:val="single"/>
          </w:rPr>
          <w:t>印度应该如何对待人工智能？</w:t>
        </w:r>
      </w:hyperlink>
    </w:p>
    <w:p>
      <w:pPr>
        <w:spacing w:before="0" w:after="80"/>
      </w:pPr>
      <w:r>
        <w:rPr>
          <w:i/>
          <w:sz w:val="20"/>
        </w:rPr>
        <w:t>EN: How should India approach AI?</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34">
        <w:r>
          <w:rPr>
            <w:color w:val="1155CC"/>
            <w:u w:val="single"/>
          </w:rPr>
          <w:t>10.1126/science.ael0463</w:t>
        </w:r>
      </w:hyperlink>
    </w:p>
    <w:p>
      <w:pPr>
        <w:spacing w:before="0" w:after="120"/>
      </w:pPr>
      <w:r>
        <w:rPr>
          <w:b/>
        </w:rPr>
        <w:t xml:space="preserve">Notes: </w:t>
      </w:r>
      <w:r>
        <w:t>abstract_source=crossref</w:t>
      </w:r>
    </w:p>
    <w:p>
      <w:pPr>
        <w:spacing w:before="0" w:after="80" w:lineRule="auto" w:line="276"/>
      </w:pPr>
      <w:r>
        <w:rPr>
          <w:b/>
        </w:rPr>
        <w:t xml:space="preserve">摘要（ZH）: </w:t>
      </w:r>
      <w:r>
        <w:t>在不稳定的地缘政治环境中，各国都在寻求获得人工智能（AI）能力，这被视为对经济增长、科学研究和国家安全至关重要。很少有国家像印度一样将主权置于其人工智能战略的中心，也很少有国家有能力实现这一目标。但要做到这一点，它需要超越基础设施——芯片、数据中心和大型语言模型——并更多地关注它们之上的应用层：人工智能代理、完成现实世界工作的软件和工具。如果这一努力成功，印度可能会开创一个其他国家可以效仿的真正人工智能主权模板。</w:t>
      </w:r>
    </w:p>
    <w:p>
      <w:pPr>
        <w:spacing w:before="0" w:after="200" w:lineRule="auto" w:line="276"/>
      </w:pPr>
      <w:r>
        <w:rPr>
          <w:b/>
        </w:rPr>
        <w:t xml:space="preserve">Abstract (EN): </w:t>
      </w:r>
      <w:r>
        <w:t>In an unstable geopolitical environment, countries are looking to secure access to artificial intelligence (AI) capabilities, which are seen as essential to economic growth, scientific research, and national security. Few have placed sovereignty as squarely at the center of their AI strategy as India—and few are as well positioned to achieve it. But to do so, it needs to look beyond infrastructure—chips, data centers, and large language models—and pay more attention to the application layer above them: AI agents, the software and tools that accomplish real-world work. If the effort succeeds, India may pioneer a template for genuine AI sovereignty that other nations can follow.</w:t>
      </w:r>
    </w:p>
    <w:p>
      <w:pPr>
        <w:spacing w:before="120" w:after="120"/>
      </w:pPr>
      <w:r>
        <w:rPr>
          <w:sz w:val="18"/>
        </w:rPr>
        <w:t>——————————————————————————————————————————————————————————————————————</w:t>
      </w:r>
    </w:p>
    <w:p>
      <w:pPr>
        <w:spacing w:before="160" w:after="40" w:line="240" w:lineRule="auto"/>
      </w:pPr>
      <w:r>
        <w:rPr>
          <w:b/>
        </w:rPr>
        <w:t xml:space="preserve">[640] </w:t>
      </w:r>
      <w:hyperlink r:id="rId1735">
        <w:r>
          <w:rPr>
            <w:color w:val="1155CC"/>
            <w:u w:val="single"/>
          </w:rPr>
          <w:t>登革热疫苗需要长期监测</w:t>
        </w:r>
      </w:hyperlink>
    </w:p>
    <w:p>
      <w:pPr>
        <w:spacing w:before="0" w:after="80"/>
      </w:pPr>
      <w:r>
        <w:rPr>
          <w:i/>
          <w:sz w:val="20"/>
        </w:rPr>
        <w:t>EN: Dengue vaccines need long-term surveillance</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36">
        <w:r>
          <w:rPr>
            <w:color w:val="1155CC"/>
            <w:u w:val="single"/>
          </w:rPr>
          <w:t>10.1126/science.aej9456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[641] </w:t>
      </w:r>
      <w:hyperlink r:id="rId1737">
        <w:r>
          <w:rPr>
            <w:color w:val="1155CC"/>
            <w:u w:val="single"/>
          </w:rPr>
          <w:t>极端气候暴露地下水风险</w:t>
        </w:r>
      </w:hyperlink>
    </w:p>
    <w:p>
      <w:pPr>
        <w:spacing w:before="0" w:after="80"/>
      </w:pPr>
      <w:r>
        <w:rPr>
          <w:i/>
          <w:sz w:val="20"/>
        </w:rPr>
        <w:t>EN: Climate extremes expose groundwater risks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38">
        <w:r>
          <w:rPr>
            <w:color w:val="1155CC"/>
            <w:u w:val="single"/>
          </w:rPr>
          <w:t>10.1126/science.aek2112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[642] </w:t>
      </w:r>
      <w:hyperlink r:id="rId1739">
        <w:r>
          <w:rPr>
            <w:color w:val="1155CC"/>
            <w:u w:val="single"/>
          </w:rPr>
          <w:t>是什么引发了大气中巨大的氧气激增？</w:t>
        </w:r>
      </w:hyperlink>
    </w:p>
    <w:p>
      <w:pPr>
        <w:spacing w:before="0" w:after="80"/>
      </w:pPr>
      <w:r>
        <w:rPr>
          <w:i/>
          <w:sz w:val="20"/>
        </w:rPr>
        <w:t>EN: What triggered the atmosphere’s great oxygen surge?</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40">
        <w:r>
          <w:rPr>
            <w:color w:val="1155CC"/>
            <w:u w:val="single"/>
          </w:rPr>
          <w:t>10.1126/science.ael2156</w:t>
        </w:r>
      </w:hyperlink>
    </w:p>
    <w:p>
      <w:pPr>
        <w:spacing w:before="0" w:after="120"/>
      </w:pPr>
      <w:r>
        <w:rPr>
          <w:b/>
        </w:rPr>
        <w:t xml:space="preserve">Notes: </w:t>
      </w:r>
      <w:r>
        <w:t>abstract_source=crossref</w:t>
      </w:r>
    </w:p>
    <w:p>
      <w:pPr>
        <w:spacing w:before="0" w:after="80" w:lineRule="auto" w:line="276"/>
      </w:pPr>
      <w:r>
        <w:rPr>
          <w:b/>
        </w:rPr>
        <w:t xml:space="preserve">摘要（ZH）: </w:t>
      </w:r>
      <w:r>
        <w:t>全球冰层或海洋变化可能解释了气体上升的神秘滞后</w:t>
      </w:r>
    </w:p>
    <w:p>
      <w:pPr>
        <w:spacing w:before="0" w:after="200" w:lineRule="auto" w:line="276"/>
      </w:pPr>
      <w:r>
        <w:rPr>
          <w:b/>
        </w:rPr>
        <w:t xml:space="preserve">Abstract (EN): </w:t>
      </w:r>
      <w:r>
        <w:t>Global ice or ocean changes may explain a mysterious lag in the gas’ rise</w:t>
      </w:r>
    </w:p>
    <w:p>
      <w:pPr>
        <w:spacing w:before="120" w:after="120"/>
      </w:pPr>
      <w:r>
        <w:rPr>
          <w:sz w:val="18"/>
        </w:rPr>
        <w:t>——————————————————————————————————————————————————————————————————————</w:t>
      </w:r>
    </w:p>
    <w:p>
      <w:pPr>
        <w:spacing w:before="160" w:after="40" w:line="240" w:lineRule="auto"/>
      </w:pPr>
      <w:r>
        <w:rPr>
          <w:b/>
        </w:rPr>
        <w:t xml:space="preserve">[643] </w:t>
      </w:r>
      <w:hyperlink r:id="rId1741">
        <w:r>
          <w:rPr>
            <w:color w:val="1155CC"/>
            <w:u w:val="single"/>
          </w:rPr>
          <w:t>NASA 的 PUNCH 增强了太空天气预报</w:t>
        </w:r>
      </w:hyperlink>
    </w:p>
    <w:p>
      <w:pPr>
        <w:spacing w:before="0" w:after="80"/>
      </w:pPr>
      <w:r>
        <w:rPr>
          <w:i/>
          <w:sz w:val="20"/>
        </w:rPr>
        <w:t>EN: NASA’s PUNCH punches up space weather forecasts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42">
        <w:r>
          <w:rPr>
            <w:color w:val="1155CC"/>
            <w:u w:val="single"/>
          </w:rPr>
          <w:t>10.1126/science.ael2154</w:t>
        </w:r>
      </w:hyperlink>
    </w:p>
    <w:p>
      <w:pPr>
        <w:spacing w:before="0" w:after="120"/>
      </w:pPr>
      <w:r>
        <w:rPr>
          <w:b/>
        </w:rPr>
        <w:t xml:space="preserve">Notes: </w:t>
      </w:r>
      <w:r>
        <w:t>abstract_source=crossref</w:t>
      </w:r>
    </w:p>
    <w:p>
      <w:pPr>
        <w:spacing w:before="0" w:after="80" w:lineRule="auto" w:line="276"/>
      </w:pPr>
      <w:r>
        <w:rPr>
          <w:b/>
        </w:rPr>
        <w:t xml:space="preserve">摘要（ZH）: </w:t>
      </w:r>
      <w:r>
        <w:t>卫星四重奏展示了预测太阳爆炸到达地球的破纪录能力</w:t>
      </w:r>
    </w:p>
    <w:p>
      <w:pPr>
        <w:spacing w:before="0" w:after="200" w:lineRule="auto" w:line="276"/>
      </w:pPr>
      <w:r>
        <w:rPr>
          <w:b/>
        </w:rPr>
        <w:t xml:space="preserve">Abstract (EN): </w:t>
      </w:r>
      <w:r>
        <w:t>Satellite quartet demonstrates record-breaking ability to predict solar explosions’ arrivals at Earth</w:t>
      </w:r>
    </w:p>
    <w:p>
      <w:pPr>
        <w:spacing w:before="120" w:after="120"/>
      </w:pPr>
      <w:r>
        <w:rPr>
          <w:sz w:val="18"/>
        </w:rPr>
        <w:t>——————————————————————————————————————————————————————————————————————</w:t>
      </w:r>
    </w:p>
    <w:p>
      <w:pPr>
        <w:spacing w:before="160" w:after="40" w:line="240" w:lineRule="auto"/>
      </w:pPr>
      <w:r>
        <w:rPr>
          <w:b/>
        </w:rPr>
        <w:t xml:space="preserve">[644] </w:t>
      </w:r>
      <w:hyperlink r:id="rId1743">
        <w:r>
          <w:rPr>
            <w:color w:val="1155CC"/>
            <w:u w:val="single"/>
          </w:rPr>
          <w:t>偶像的基因</w:t>
        </w:r>
      </w:hyperlink>
    </w:p>
    <w:p>
      <w:pPr>
        <w:spacing w:before="0" w:after="80"/>
      </w:pPr>
      <w:r>
        <w:rPr>
          <w:i/>
          <w:sz w:val="20"/>
        </w:rPr>
        <w:t>EN: Genes of an icon</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44">
        <w:r>
          <w:rPr>
            <w:color w:val="1155CC"/>
            <w:u w:val="single"/>
          </w:rPr>
          <w:t>10.1126/science.ael2158</w:t>
        </w:r>
      </w:hyperlink>
    </w:p>
    <w:p>
      <w:pPr>
        <w:spacing w:before="0" w:after="120"/>
      </w:pPr>
      <w:r>
        <w:rPr>
          <w:b/>
        </w:rPr>
        <w:t xml:space="preserve">Notes: </w:t>
      </w:r>
      <w:r>
        <w:t>abstract_source=crossref</w:t>
      </w:r>
    </w:p>
    <w:p>
      <w:pPr>
        <w:spacing w:before="0" w:after="80" w:lineRule="auto" w:line="276"/>
      </w:pPr>
      <w:r>
        <w:rPr>
          <w:b/>
        </w:rPr>
        <w:t xml:space="preserve">摘要（ZH）: </w:t>
      </w:r>
      <w:r>
        <w:t>科学家在野牛的 DNA 中找到了了解这些动物过去的线索，以及保护其未来的关键</w:t>
      </w:r>
    </w:p>
    <w:p>
      <w:pPr>
        <w:spacing w:before="0" w:after="200" w:lineRule="auto" w:line="276"/>
      </w:pPr>
      <w:r>
        <w:rPr>
          <w:b/>
        </w:rPr>
        <w:t xml:space="preserve">Abstract (EN): </w:t>
      </w:r>
      <w:r>
        <w:t>In the DNA of bison, scientists find clues to the animals’ past—and keys to safeguarding their future</w:t>
      </w:r>
    </w:p>
    <w:p>
      <w:pPr>
        <w:spacing w:before="120" w:after="120"/>
      </w:pPr>
      <w:r>
        <w:rPr>
          <w:sz w:val="18"/>
        </w:rPr>
        <w:t>——————————————————————————————————————————————————————————————————————</w:t>
      </w:r>
    </w:p>
    <w:p>
      <w:pPr>
        <w:spacing w:before="160" w:after="40" w:line="240" w:lineRule="auto"/>
      </w:pPr>
      <w:r>
        <w:rPr>
          <w:b/>
        </w:rPr>
        <w:t xml:space="preserve">[645] </w:t>
      </w:r>
      <w:hyperlink r:id="rId1745">
        <w:r>
          <w:rPr>
            <w:color w:val="1155CC"/>
            <w:u w:val="single"/>
          </w:rPr>
          <w:t>关于危险生物学研究的新规则受到不同的评价</w:t>
        </w:r>
      </w:hyperlink>
    </w:p>
    <w:p>
      <w:pPr>
        <w:spacing w:before="0" w:after="80"/>
      </w:pPr>
      <w:r>
        <w:rPr>
          <w:i/>
          <w:sz w:val="20"/>
        </w:rPr>
        <w:t>EN: New rules on risky biology studies get mixed reviews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46">
        <w:r>
          <w:rPr>
            <w:color w:val="1155CC"/>
            <w:u w:val="single"/>
          </w:rPr>
          <w:t>10.1126/science.ael2157</w:t>
        </w:r>
      </w:hyperlink>
    </w:p>
    <w:p>
      <w:pPr>
        <w:spacing w:before="0" w:after="120"/>
      </w:pPr>
      <w:r>
        <w:rPr>
          <w:b/>
        </w:rPr>
        <w:t xml:space="preserve">Notes: </w:t>
      </w:r>
      <w:r>
        <w:t>abstract_source=crossref</w:t>
      </w:r>
    </w:p>
    <w:p>
      <w:pPr>
        <w:spacing w:before="0" w:after="80" w:lineRule="auto" w:line="276"/>
      </w:pPr>
      <w:r>
        <w:rPr>
          <w:b/>
        </w:rPr>
        <w:t xml:space="preserve">摘要（ZH）: </w:t>
      </w:r>
      <w:r>
        <w:t>扩大对病原体“危险”功能获得研究的禁令</w:t>
      </w:r>
    </w:p>
    <w:p>
      <w:pPr>
        <w:spacing w:before="0" w:after="200" w:lineRule="auto" w:line="276"/>
      </w:pPr>
      <w:r>
        <w:rPr>
          <w:b/>
        </w:rPr>
        <w:t xml:space="preserve">Abstract (EN): </w:t>
      </w:r>
      <w:r>
        <w:t>Bans widen on “dangerous” gain-of-function studies for pathogens</w:t>
      </w:r>
    </w:p>
    <w:p>
      <w:pPr>
        <w:spacing w:before="120" w:after="120"/>
      </w:pPr>
      <w:r>
        <w:rPr>
          <w:sz w:val="18"/>
        </w:rPr>
        <w:t>——————————————————————————————————————————————————————————————————————</w:t>
      </w:r>
    </w:p>
    <w:p>
      <w:pPr>
        <w:spacing w:before="160" w:after="40" w:line="240" w:lineRule="auto"/>
      </w:pPr>
      <w:r>
        <w:rPr>
          <w:b/>
        </w:rPr>
        <w:t xml:space="preserve">[646] </w:t>
      </w:r>
      <w:hyperlink r:id="rId1747">
        <w:r>
          <w:rPr>
            <w:color w:val="1155CC"/>
            <w:u w:val="single"/>
          </w:rPr>
          <w:t>下一个图灵测试：重新构想人工智能的概念和措施</w:t>
        </w:r>
      </w:hyperlink>
    </w:p>
    <w:p>
      <w:pPr>
        <w:spacing w:before="0" w:after="80"/>
      </w:pPr>
      <w:r>
        <w:rPr>
          <w:i/>
          <w:sz w:val="20"/>
        </w:rPr>
        <w:t>EN: The next Turing tests: Reimagining conceptions and measures of AI</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48">
        <w:r>
          <w:rPr>
            <w:color w:val="1155CC"/>
            <w:u w:val="single"/>
          </w:rPr>
          <w:t>10.1126/science.aee3176</w:t>
        </w:r>
      </w:hyperlink>
    </w:p>
    <w:p>
      <w:pPr>
        <w:spacing w:before="0" w:after="120"/>
      </w:pPr>
      <w:r>
        <w:rPr>
          <w:b/>
        </w:rPr>
        <w:t xml:space="preserve">Notes: </w:t>
      </w:r>
      <w:r>
        <w:t>abstract_source=crossref</w:t>
      </w:r>
    </w:p>
    <w:p>
      <w:pPr>
        <w:spacing w:before="0" w:after="80" w:lineRule="auto" w:line="276"/>
      </w:pPr>
      <w:r>
        <w:rPr>
          <w:b/>
        </w:rPr>
        <w:t xml:space="preserve">摘要（ZH）: </w:t>
      </w:r>
      <w:r>
        <w:t>评估人工智能进展的新方法应围绕多样性、伙伴关系和系统性建立</w:t>
      </w:r>
    </w:p>
    <w:p>
      <w:pPr>
        <w:spacing w:before="0" w:after="200" w:lineRule="auto" w:line="276"/>
      </w:pPr>
      <w:r>
        <w:rPr>
          <w:b/>
        </w:rPr>
        <w:t xml:space="preserve">Abstract (EN): </w:t>
      </w:r>
      <w:r>
        <w:t>New approaches to evaluating progress of AI should be built around diversity, partnership, and systemicity</w:t>
      </w:r>
    </w:p>
    <w:p>
      <w:pPr>
        <w:spacing w:before="120" w:after="120"/>
      </w:pPr>
      <w:r>
        <w:rPr>
          <w:sz w:val="18"/>
        </w:rPr>
        <w:t>——————————————————————————————————————————————————————————————————————</w:t>
      </w:r>
    </w:p>
    <w:p>
      <w:pPr>
        <w:spacing w:before="160" w:after="40" w:line="240" w:lineRule="auto"/>
      </w:pPr>
      <w:r>
        <w:rPr>
          <w:b/>
        </w:rPr>
        <w:t xml:space="preserve">[647] </w:t>
      </w:r>
      <w:hyperlink r:id="rId1749">
        <w:r>
          <w:rPr>
            <w:color w:val="1155CC"/>
            <w:u w:val="single"/>
          </w:rPr>
          <w:t>每周一次的艾滋病药物注射越来越近，但疫苗研究面临新问题</w:t>
        </w:r>
      </w:hyperlink>
    </w:p>
    <w:p>
      <w:pPr>
        <w:spacing w:before="0" w:after="80"/>
      </w:pPr>
      <w:r>
        <w:rPr>
          <w:i/>
          <w:sz w:val="20"/>
        </w:rPr>
        <w:t>EN: Weekly HIV pill moves closer but vaccine studies face new questions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50">
        <w:r>
          <w:rPr>
            <w:color w:val="1155CC"/>
            <w:u w:val="single"/>
          </w:rPr>
          <w:t>10.1126/science.ael2155</w:t>
        </w:r>
      </w:hyperlink>
    </w:p>
    <w:p>
      <w:pPr>
        <w:spacing w:before="0" w:after="120"/>
      </w:pPr>
      <w:r>
        <w:rPr>
          <w:b/>
        </w:rPr>
        <w:t xml:space="preserve">Notes: </w:t>
      </w:r>
      <w:r>
        <w:t>abstract_source=crossref</w:t>
      </w:r>
    </w:p>
    <w:p>
      <w:pPr>
        <w:spacing w:before="0" w:after="80" w:lineRule="auto" w:line="276"/>
      </w:pPr>
      <w:r>
        <w:rPr>
          <w:b/>
        </w:rPr>
        <w:t xml:space="preserve">摘要（ZH）: </w:t>
      </w:r>
      <w:r>
        <w:t>研究人员希望疫苗能够产生的强效抗体在一项重大试验中并没有预防艾滋病毒</w:t>
      </w:r>
    </w:p>
    <w:p>
      <w:pPr>
        <w:spacing w:before="0" w:after="200" w:lineRule="auto" w:line="276"/>
      </w:pPr>
      <w:r>
        <w:rPr>
          <w:b/>
        </w:rPr>
        <w:t xml:space="preserve">Abstract (EN): </w:t>
      </w:r>
      <w:r>
        <w:t>Potent antibodies that researchers hope vaccines can elicit didn’t prevent HIV in a major trial</w:t>
      </w:r>
    </w:p>
    <w:p>
      <w:pPr>
        <w:spacing w:before="120" w:after="120"/>
      </w:pPr>
      <w:r>
        <w:rPr>
          <w:sz w:val="18"/>
        </w:rPr>
        <w:t>——————————————————————————————————————————————————————————————————————</w:t>
      </w:r>
    </w:p>
    <w:p>
      <w:pPr>
        <w:spacing w:before="160" w:after="40" w:line="240" w:lineRule="auto"/>
      </w:pPr>
      <w:r>
        <w:rPr>
          <w:b/>
        </w:rPr>
        <w:t xml:space="preserve">[648] </w:t>
      </w:r>
      <w:hyperlink r:id="rId1751">
        <w:r>
          <w:rPr>
            <w:color w:val="1155CC"/>
            <w:u w:val="single"/>
          </w:rPr>
          <w:t>人工智能设计的病毒基因组</w:t>
        </w:r>
      </w:hyperlink>
    </w:p>
    <w:p>
      <w:pPr>
        <w:spacing w:before="0" w:after="80"/>
      </w:pPr>
      <w:r>
        <w:rPr>
          <w:i/>
          <w:sz w:val="20"/>
        </w:rPr>
        <w:t>EN: AI-designed viral genomes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52">
        <w:r>
          <w:rPr>
            <w:color w:val="1155CC"/>
            <w:u w:val="single"/>
          </w:rPr>
          <w:t>10.1126/science.aej8512</w:t>
        </w:r>
      </w:hyperlink>
    </w:p>
    <w:p>
      <w:pPr>
        <w:spacing w:before="0" w:after="120"/>
      </w:pPr>
      <w:r>
        <w:rPr>
          <w:b/>
        </w:rPr>
        <w:t xml:space="preserve">Notes: </w:t>
      </w:r>
      <w:r>
        <w:t>abstract_source=crossref</w:t>
      </w:r>
    </w:p>
    <w:p>
      <w:pPr>
        <w:spacing w:before="0" w:after="80" w:lineRule="auto" w:line="276"/>
      </w:pPr>
      <w:r>
        <w:rPr>
          <w:b/>
        </w:rPr>
        <w:t xml:space="preserve">摘要（ZH）: </w:t>
      </w:r>
      <w:r>
        <w:t>功能性病毒基因组的产生具有紧迫的生物安全和生物安保意义</w:t>
      </w:r>
    </w:p>
    <w:p>
      <w:pPr>
        <w:spacing w:before="0" w:after="200" w:lineRule="auto" w:line="276"/>
      </w:pPr>
      <w:r>
        <w:rPr>
          <w:b/>
        </w:rPr>
        <w:t xml:space="preserve">Abstract (EN): </w:t>
      </w:r>
      <w:r>
        <w:t>The generation of functional viral genomes has urgent biosafety and biosecurity implications</w:t>
      </w:r>
    </w:p>
    <w:p>
      <w:pPr>
        <w:spacing w:before="120" w:after="120"/>
      </w:pPr>
      <w:r>
        <w:rPr>
          <w:sz w:val="18"/>
        </w:rPr>
        <w:t>——————————————————————————————————————————————————————————————————————</w:t>
      </w:r>
    </w:p>
    <w:p>
      <w:pPr>
        <w:spacing w:before="160" w:after="40" w:line="240" w:lineRule="auto"/>
      </w:pPr>
      <w:r>
        <w:rPr>
          <w:b/>
        </w:rPr>
        <w:t xml:space="preserve">[649] </w:t>
      </w:r>
      <w:hyperlink r:id="rId1753">
        <w:r>
          <w:rPr>
            <w:color w:val="1155CC"/>
            <w:u w:val="single"/>
          </w:rPr>
          <w:t>报告称埃博拉病毒在雷达下肆虐了几个月</w:t>
        </w:r>
      </w:hyperlink>
    </w:p>
    <w:p>
      <w:pPr>
        <w:spacing w:before="0" w:after="80"/>
      </w:pPr>
      <w:r>
        <w:rPr>
          <w:i/>
          <w:sz w:val="20"/>
        </w:rPr>
        <w:t>EN: Ebola raged below the radar for months, report says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54">
        <w:r>
          <w:rPr>
            <w:color w:val="1155CC"/>
            <w:u w:val="single"/>
          </w:rPr>
          <w:t>10.1126/science.ael2153</w:t>
        </w:r>
      </w:hyperlink>
    </w:p>
    <w:p>
      <w:pPr>
        <w:spacing w:before="0" w:after="120"/>
      </w:pPr>
      <w:r>
        <w:rPr>
          <w:b/>
        </w:rPr>
        <w:t xml:space="preserve">Notes: </w:t>
      </w:r>
      <w:r>
        <w:t>abstract_source=crossref</w:t>
      </w:r>
    </w:p>
    <w:p>
      <w:pPr>
        <w:spacing w:before="0" w:after="80" w:lineRule="auto" w:line="276"/>
      </w:pPr>
      <w:r>
        <w:rPr>
          <w:b/>
        </w:rPr>
        <w:t xml:space="preserve">摘要（ZH）: </w:t>
      </w:r>
      <w:r>
        <w:t>在 5 月 15 日宣布疫情爆发之前，一个充满恐惧的刚果采矿小镇已造成数百人死亡</w:t>
      </w:r>
    </w:p>
    <w:p>
      <w:pPr>
        <w:spacing w:before="0" w:after="200" w:lineRule="auto" w:line="276"/>
      </w:pPr>
      <w:r>
        <w:rPr>
          <w:b/>
        </w:rPr>
        <w:t xml:space="preserve">Abstract (EN): </w:t>
      </w:r>
      <w:r>
        <w:t>A Congolese mining town gripped by fear saw hundreds of deaths before the outbreak was declared on 15 May</w:t>
      </w:r>
    </w:p>
    <w:p>
      <w:pPr>
        <w:spacing w:before="120" w:after="120"/>
      </w:pPr>
      <w:r>
        <w:rPr>
          <w:sz w:val="18"/>
        </w:rPr>
        <w:t>——————————————————————————————————————————————————————————————————————</w:t>
      </w:r>
    </w:p>
    <w:p>
      <w:pPr>
        <w:spacing w:before="160" w:after="40" w:line="240" w:lineRule="auto"/>
      </w:pPr>
      <w:r>
        <w:rPr>
          <w:b/>
        </w:rPr>
        <w:t xml:space="preserve">[650] </w:t>
      </w:r>
      <w:hyperlink r:id="rId1755">
        <w:r>
          <w:rPr>
            <w:color w:val="1155CC"/>
            <w:u w:val="single"/>
          </w:rPr>
          <w:t>倾听风暴震动地球的声音</w:t>
        </w:r>
      </w:hyperlink>
    </w:p>
    <w:p>
      <w:pPr>
        <w:spacing w:before="0" w:after="80"/>
      </w:pPr>
      <w:r>
        <w:rPr>
          <w:i/>
          <w:sz w:val="20"/>
        </w:rPr>
        <w:t>EN: Listening to storms as they shake Earth</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56">
        <w:r>
          <w:rPr>
            <w:color w:val="1155CC"/>
            <w:u w:val="single"/>
          </w:rPr>
          <w:t>10.1126/science.aek0553</w:t>
        </w:r>
      </w:hyperlink>
    </w:p>
    <w:p>
      <w:pPr>
        <w:spacing w:before="0" w:after="120"/>
      </w:pPr>
      <w:r>
        <w:rPr>
          <w:b/>
        </w:rPr>
        <w:t xml:space="preserve">Notes: </w:t>
      </w:r>
      <w:r>
        <w:t>abstract_source=crossref</w:t>
      </w:r>
    </w:p>
    <w:p>
      <w:pPr>
        <w:spacing w:before="0" w:after="80" w:lineRule="auto" w:line="276"/>
      </w:pPr>
      <w:r>
        <w:rPr>
          <w:b/>
        </w:rPr>
        <w:t xml:space="preserve">摘要（ZH）: </w:t>
      </w:r>
      <w:r>
        <w:t>地震仪网络测量了飓风艾萨克登陆期间的大气湍流</w:t>
      </w:r>
    </w:p>
    <w:p>
      <w:pPr>
        <w:spacing w:before="0" w:after="200" w:lineRule="auto" w:line="276"/>
      </w:pPr>
      <w:r>
        <w:rPr>
          <w:b/>
        </w:rPr>
        <w:t xml:space="preserve">Abstract (EN): </w:t>
      </w:r>
      <w:r>
        <w:t>A network of seismometers measured atmospheric turbulence during Hurricane Isaac’s landfall</w:t>
      </w:r>
    </w:p>
    <w:p>
      <w:pPr>
        <w:spacing w:before="120" w:after="120"/>
      </w:pPr>
      <w:r>
        <w:rPr>
          <w:sz w:val="18"/>
        </w:rPr>
        <w:t>——————————————————————————————————————————————————————————————————————</w:t>
      </w:r>
    </w:p>
    <w:p>
      <w:pPr>
        <w:spacing w:before="160" w:after="40" w:line="240" w:lineRule="auto"/>
      </w:pPr>
      <w:r>
        <w:rPr>
          <w:b/>
        </w:rPr>
        <w:t xml:space="preserve">[651] </w:t>
      </w:r>
      <w:hyperlink r:id="rId1757">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58">
        <w:r>
          <w:rPr>
            <w:color w:val="1155CC"/>
            <w:u w:val="single"/>
          </w:rPr>
          <w:t>10.1126/science.ael1781</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[652] </w:t>
      </w:r>
      <w:hyperlink r:id="rId1759">
        <w:r>
          <w:rPr>
            <w:color w:val="1155CC"/>
            <w:u w:val="single"/>
          </w:rPr>
          <w:t>真菌在皮肤上安家落户</w:t>
        </w:r>
      </w:hyperlink>
    </w:p>
    <w:p>
      <w:pPr>
        <w:spacing w:before="0" w:after="80"/>
      </w:pPr>
      <w:r>
        <w:rPr>
          <w:i/>
          <w:sz w:val="20"/>
        </w:rPr>
        <w:t>EN: A fungus makes itself at home on skin</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60">
        <w:r>
          <w:rPr>
            <w:color w:val="1155CC"/>
            <w:u w:val="single"/>
          </w:rPr>
          <w:t>10.1126/science.aek0194</w:t>
        </w:r>
      </w:hyperlink>
    </w:p>
    <w:p>
      <w:pPr>
        <w:spacing w:before="0" w:after="120"/>
      </w:pPr>
      <w:r>
        <w:rPr>
          <w:b/>
        </w:rPr>
        <w:t xml:space="preserve">Notes: </w:t>
      </w:r>
      <w:r>
        <w:t>abstract_source=crossref</w:t>
      </w:r>
    </w:p>
    <w:p>
      <w:pPr>
        <w:spacing w:before="0" w:after="80" w:lineRule="auto" w:line="276"/>
      </w:pPr>
      <w:r>
        <w:rPr>
          <w:b/>
        </w:rPr>
        <w:t xml:space="preserve">摘要（ZH）: </w:t>
      </w:r>
      <w:r>
        <w:t>耳念珠菌</w:t>
      </w:r>
      <w:r>
        <w:t xml:space="preserve"> </w:t>
      </w:r>
      <w:r>
        <w:t>抑制宿主抗真菌防御，建立有利的皮肤生态位</w:t>
      </w:r>
    </w:p>
    <w:p>
      <w:pPr>
        <w:spacing w:before="0" w:after="200" w:lineRule="auto" w:line="276"/>
      </w:pPr>
      <w:r>
        <w:rPr>
          <w:b/>
        </w:rPr>
        <w:t xml:space="preserve">Abstract (EN): </w:t>
      </w:r>
      <w:r>
        <w:t>Candida auris</w:t>
      </w:r>
      <w:r>
        <w:t xml:space="preserve"> </w:t>
      </w:r>
      <w:r>
        <w:t>represses host antifungal defense to establish a favorable cutaneous niche</w:t>
      </w:r>
    </w:p>
    <w:p>
      <w:pPr>
        <w:spacing w:before="120" w:after="120"/>
      </w:pPr>
      <w:r>
        <w:rPr>
          <w:sz w:val="18"/>
        </w:rPr>
        <w:t>——————————————————————————————————————————————————————————————————————</w:t>
      </w:r>
    </w:p>
    <w:p>
      <w:pPr>
        <w:spacing w:before="160" w:after="40" w:line="240" w:lineRule="auto"/>
      </w:pPr>
      <w:r>
        <w:rPr>
          <w:b/>
        </w:rPr>
        <w:t xml:space="preserve">[653] </w:t>
      </w:r>
      <w:hyperlink r:id="rId1761">
        <w:r>
          <w:rPr>
            <w:color w:val="1155CC"/>
            <w:u w:val="single"/>
          </w:rPr>
          <w:t>视觉脑假说</w:t>
        </w:r>
      </w:hyperlink>
    </w:p>
    <w:p>
      <w:pPr>
        <w:spacing w:before="0" w:after="80"/>
      </w:pPr>
      <w:r>
        <w:rPr>
          <w:i/>
          <w:sz w:val="20"/>
        </w:rPr>
        <w:t>EN: The visual brain hypothesis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62">
        <w:r>
          <w:rPr>
            <w:color w:val="1155CC"/>
            <w:u w:val="single"/>
          </w:rPr>
          <w:t>10.1126/science.aek0212</w:t>
        </w:r>
      </w:hyperlink>
    </w:p>
    <w:p>
      <w:pPr>
        <w:spacing w:before="0" w:after="120"/>
      </w:pPr>
      <w:r>
        <w:rPr>
          <w:b/>
        </w:rPr>
        <w:t xml:space="preserve">Notes: </w:t>
      </w:r>
      <w:r>
        <w:t>abstract_source=crossref</w:t>
      </w:r>
    </w:p>
    <w:p>
      <w:pPr>
        <w:spacing w:before="0" w:after="80" w:lineRule="auto" w:line="276"/>
      </w:pPr>
      <w:r>
        <w:rPr>
          <w:b/>
        </w:rPr>
        <w:t xml:space="preserve">摘要（ZH）: </w:t>
      </w:r>
      <w:r>
        <w:t>灵长类颅骨的虚拟模型支持视觉系统对大脑大小的影响</w:t>
      </w:r>
    </w:p>
    <w:p>
      <w:pPr>
        <w:spacing w:before="0" w:after="200" w:lineRule="auto" w:line="276"/>
      </w:pPr>
      <w:r>
        <w:rPr>
          <w:b/>
        </w:rPr>
        <w:t xml:space="preserve">Abstract (EN): </w:t>
      </w:r>
      <w:r>
        <w:t>Virtual models of primate crania support visual system influence on brain size</w:t>
      </w:r>
    </w:p>
    <w:p>
      <w:pPr>
        <w:spacing w:before="120" w:after="120"/>
      </w:pPr>
      <w:r>
        <w:rPr>
          <w:sz w:val="18"/>
        </w:rPr>
        <w:t>——————————————————————————————————————————————————————————————————————</w:t>
      </w:r>
    </w:p>
    <w:p>
      <w:pPr>
        <w:spacing w:before="160" w:after="40" w:line="240" w:lineRule="auto"/>
      </w:pPr>
      <w:r>
        <w:rPr>
          <w:b/>
        </w:rPr>
        <w:t xml:space="preserve">[654] </w:t>
      </w:r>
      <w:hyperlink r:id="rId1763">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64">
        <w:r>
          <w:rPr>
            <w:color w:val="1155CC"/>
            <w:u w:val="single"/>
          </w:rPr>
          <w:t>10.1126/science.ael1780</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[655] </w:t>
      </w:r>
      <w:hyperlink r:id="rId1765">
        <w:r>
          <w:rPr>
            <w:color w:val="1155CC"/>
            <w:u w:val="single"/>
          </w:rPr>
          <w:t>科学出版范式发生变化</w:t>
        </w:r>
      </w:hyperlink>
    </w:p>
    <w:p>
      <w:pPr>
        <w:spacing w:before="0" w:after="80"/>
      </w:pPr>
      <w:r>
        <w:rPr>
          <w:i/>
          <w:sz w:val="20"/>
        </w:rPr>
        <w:t>EN: Change comes for science publishing paradigms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66">
        <w:r>
          <w:rPr>
            <w:color w:val="1155CC"/>
            <w:u w:val="single"/>
          </w:rPr>
          <w:t>10.1126/science.aej0108</w:t>
        </w:r>
      </w:hyperlink>
    </w:p>
    <w:p>
      <w:pPr>
        <w:spacing w:before="0" w:after="120"/>
      </w:pPr>
      <w:r>
        <w:rPr>
          <w:b/>
        </w:rPr>
        <w:t xml:space="preserve">Notes: </w:t>
      </w:r>
      <w:r>
        <w:t>abstract_source=crossref</w:t>
      </w:r>
    </w:p>
    <w:p>
      <w:pPr>
        <w:spacing w:before="0" w:after="80" w:lineRule="auto" w:line="276"/>
      </w:pPr>
      <w:r>
        <w:rPr>
          <w:b/>
        </w:rPr>
        <w:t xml:space="preserve">摘要（ZH）: </w:t>
      </w:r>
      <w:r>
        <w:t>两位内部人士将最近为增加研究机会所做的努力视为问题，而不是进展</w:t>
      </w:r>
    </w:p>
    <w:p>
      <w:pPr>
        <w:spacing w:before="0" w:after="200" w:lineRule="auto" w:line="276"/>
      </w:pPr>
      <w:r>
        <w:rPr>
          <w:b/>
        </w:rPr>
        <w:t xml:space="preserve">Abstract (EN): </w:t>
      </w:r>
      <w:r>
        <w:t>A pair of insiders cast recent efforts to increase access to research as problems, not progress</w:t>
      </w:r>
    </w:p>
    <w:p>
      <w:pPr>
        <w:spacing w:before="120" w:after="120"/>
      </w:pPr>
      <w:r>
        <w:rPr>
          <w:sz w:val="18"/>
        </w:rPr>
        <w:t>——————————————————————————————————————————————————————————————————————</w:t>
      </w:r>
    </w:p>
    <w:p>
      <w:pPr>
        <w:spacing w:before="160" w:after="40" w:line="240" w:lineRule="auto"/>
      </w:pPr>
      <w:r>
        <w:rPr>
          <w:b/>
        </w:rPr>
        <w:t xml:space="preserve">[656] </w:t>
      </w:r>
      <w:hyperlink r:id="rId1767">
        <w:r>
          <w:rPr>
            <w:color w:val="1155CC"/>
            <w:u w:val="single"/>
          </w:rPr>
          <w:t>用于周围环境磁力测量的悬浮传感器</w:t>
        </w:r>
      </w:hyperlink>
    </w:p>
    <w:p>
      <w:pPr>
        <w:spacing w:before="0" w:after="80"/>
      </w:pPr>
      <w:r>
        <w:rPr>
          <w:i/>
          <w:sz w:val="20"/>
        </w:rPr>
        <w:t>EN: Levitated sensor for magnetometry in ambient environment</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68">
        <w:r>
          <w:rPr>
            <w:color w:val="1155CC"/>
            <w:u w:val="single"/>
          </w:rPr>
          <w:t>10.1126/science.adx1707</w:t>
        </w:r>
      </w:hyperlink>
    </w:p>
    <w:p>
      <w:pPr>
        <w:spacing w:before="0" w:after="120"/>
      </w:pPr>
      <w:r>
        <w:rPr>
          <w:b/>
        </w:rPr>
        <w:t xml:space="preserve">Notes: </w:t>
      </w:r>
      <w:r>
        <w:t>abstract_source=crossref</w:t>
      </w:r>
    </w:p>
    <w:p>
      <w:pPr>
        <w:spacing w:before="0" w:after="80" w:lineRule="auto" w:line="276"/>
      </w:pPr>
      <w:r>
        <w:rPr>
          <w:b/>
        </w:rPr>
        <w:t xml:space="preserve">摘要（ZH）: </w:t>
      </w:r>
      <w:r>
        <w:t>悬浮粒子系统作为快速发展的精密传感平台而受到关注，通过消除机械接触和相关噪声来提供低损耗、高度隔离的环境。目前的室温悬浮技术主要对加速度敏感，将它们与高灵敏度磁传感集成仍然具有挑战性。在这项工作中，我们展示了一种抗磁稳定磁悬浮磁力计，其中磁体的运动是通过光学方式检测的。我们实现了每平方根赫兹 32 飞特斯拉的灵敏度，足以满足生物学、化学和基础物理领域的广泛应用，与超导量子干涉装置和原子磁力计的性能相匹配，同时具有在室温和地球磁场下运行的优势。</w:t>
      </w:r>
    </w:p>
    <w:p>
      <w:pPr>
        <w:spacing w:before="0" w:after="200" w:lineRule="auto" w:line="276"/>
      </w:pPr>
      <w:r>
        <w:rPr>
          <w:b/>
        </w:rPr>
        <w:t xml:space="preserve">Abstract (EN): </w:t>
      </w:r>
      <w:r>
        <w:t>Levitated particle systems have gained attention as a rapidly advancing platform for precision sensing, offering low-loss, highly isolated environments by eliminating mechanical contact and associated noise. Current room-temperature levitation techniques are primarily sensitive to acceleration, and it remains challenging to integrate them with high-sensitivity magnetic sensing. In this work, we demonstrate a diamagnetically stabilized magnetically levitated magnet magnetometer, where the motion of the magnet is detected optically. We achieved a sensitivity of 32 femtoteslas per square root of Hertz, which is adequate for a wide range of applications in biology, chemistry, and fundamental physics, matching the performance of superconducting quantum interference devices and atomic magnetometers, while offering the advantage of operating at room temperature and under Earth’s magnetic field.</w:t>
      </w:r>
    </w:p>
    <w:p>
      <w:pPr>
        <w:spacing w:before="120" w:after="120"/>
      </w:pPr>
      <w:r>
        <w:rPr>
          <w:sz w:val="18"/>
        </w:rPr>
        <w:t>——————————————————————————————————————————————————————————————————————</w:t>
      </w:r>
    </w:p>
    <w:p>
      <w:pPr>
        <w:spacing w:before="160" w:after="40" w:line="240" w:lineRule="auto"/>
      </w:pPr>
      <w:r>
        <w:rPr>
          <w:b/>
        </w:rPr>
        <w:t xml:space="preserve">[657] </w:t>
      </w:r>
      <w:hyperlink r:id="rId1769">
        <w:r>
          <w:rPr>
            <w:color w:val="1155CC"/>
            <w:u w:val="single"/>
          </w:rPr>
          <w:t>膳食糖在人类进化中的核心作用</w:t>
        </w:r>
      </w:hyperlink>
    </w:p>
    <w:p>
      <w:pPr>
        <w:spacing w:before="0" w:after="80"/>
      </w:pPr>
      <w:r>
        <w:rPr>
          <w:i/>
          <w:sz w:val="20"/>
        </w:rPr>
        <w:t>EN: A central role for dietary sugars in human evolution</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70">
        <w:r>
          <w:rPr>
            <w:color w:val="1155CC"/>
            <w:u w:val="single"/>
          </w:rPr>
          <w:t>10.1126/science.aed8437</w:t>
        </w:r>
      </w:hyperlink>
    </w:p>
    <w:p>
      <w:pPr>
        <w:spacing w:before="0" w:after="120"/>
      </w:pPr>
      <w:r>
        <w:rPr>
          <w:b/>
        </w:rPr>
        <w:t xml:space="preserve">Notes: </w:t>
      </w:r>
      <w:r>
        <w:t>abstract_source=crossref</w:t>
      </w:r>
    </w:p>
    <w:p>
      <w:pPr>
        <w:spacing w:before="0" w:after="80" w:lineRule="auto" w:line="276"/>
      </w:pPr>
      <w:r>
        <w:rPr>
          <w:b/>
        </w:rPr>
        <w:t xml:space="preserve">摘要（ZH）: </w:t>
      </w:r>
      <w:r>
        <w:t>我们的祖先吃什么？目前对人类进化中饮食的理解是基于丰富的动物食物和对火的掌握，而这对于早期人类来说是不可能的。利用多种证据，包括扩大的大脑和繁殖的代谢需求，我们模拟了 400 万年进化过程中常量营养素的分布。在烹饪使淀粉易于消化之前，水果和蜂蜜中的糖提供了葡萄糖，这是大脑的首选燃料。模型表明，糖提供了超过 25% 的膳食能量，满足了必需的葡萄糖需求。捣碎和烹饪专门释放葡萄糖，而不仅仅是能量。因此，更大大脑的进化过程既涉及碳水化合物食品，也涉及动物食品：从甜糖到煮熟的淀粉，从咀嚼到加工，从填塞到先进的营养提取。</w:t>
      </w:r>
    </w:p>
    <w:p>
      <w:pPr>
        <w:spacing w:before="0" w:after="200" w:lineRule="auto" w:line="276"/>
      </w:pPr>
      <w:r>
        <w:rPr>
          <w:b/>
        </w:rPr>
        <w:t xml:space="preserve">Abstract (EN): </w:t>
      </w:r>
      <w:r>
        <w:t>What did our ancestors eat? Current understanding of diet in human evolution is predicated on abundant animal foods and mastery of fire, both unlikely for early hominins. Using multiple lines of evidence, including the metabolic requirements of an enlarging brain and reproduction, we model macronutrient distribution across 4 million years of evolution. Before cooking made starch easily digestible, the sugars in fruit and honey provided glucose, the brain’s preferred fuel. Modeling suggests that sugars provided &amp;gt;25% of dietary energy, fulfilling obligatory glucose demand. Pounding and cooking released glucose specifically, not merely energy. The evolution of a bigger brain is therefore a story of carbohydrate foods as much as animal foods: from sweet sugars to cooked starch, from chewing to processing, and from wadging to advanced nutrient extraction.</w:t>
      </w:r>
    </w:p>
    <w:p>
      <w:pPr>
        <w:spacing w:before="120" w:after="120"/>
      </w:pPr>
      <w:r>
        <w:rPr>
          <w:sz w:val="18"/>
        </w:rPr>
        <w:t>——————————————————————————————————————————————————————————————————————</w:t>
      </w:r>
    </w:p>
    <w:p>
      <w:pPr>
        <w:spacing w:before="160" w:after="40" w:line="240" w:lineRule="auto"/>
      </w:pPr>
      <w:r>
        <w:rPr>
          <w:b/>
        </w:rPr>
        <w:t xml:space="preserve">[658] </w:t>
      </w:r>
      <w:hyperlink r:id="rId1771">
        <w:r>
          <w:rPr>
            <w:color w:val="1155CC"/>
            <w:u w:val="single"/>
          </w:rPr>
          <w:t>由于变暖引起的火灾和产甲烷作用，西伯利亚甲烷排放量在十年间翻了一番</w:t>
        </w:r>
      </w:hyperlink>
    </w:p>
    <w:p>
      <w:pPr>
        <w:spacing w:before="0" w:after="80"/>
      </w:pPr>
      <w:r>
        <w:rPr>
          <w:i/>
          <w:sz w:val="20"/>
        </w:rPr>
        <w:t>EN: Decadal doubling of Siberian methane emissions due to warming-induced fires and methanogenesis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72">
        <w:r>
          <w:rPr>
            <w:color w:val="1155CC"/>
            <w:u w:val="single"/>
          </w:rPr>
          <w:t>10.1126/science.aea5828</w:t>
        </w:r>
      </w:hyperlink>
    </w:p>
    <w:p>
      <w:pPr>
        <w:spacing w:before="0" w:after="120"/>
      </w:pPr>
      <w:r>
        <w:rPr>
          <w:b/>
        </w:rPr>
        <w:t xml:space="preserve">Notes: </w:t>
      </w:r>
      <w:r>
        <w:t>abstract_source=crossref</w:t>
      </w:r>
    </w:p>
    <w:p>
      <w:pPr>
        <w:spacing w:before="0" w:after="80" w:lineRule="auto" w:line="276"/>
      </w:pPr>
      <w:r>
        <w:rPr>
          <w:b/>
        </w:rPr>
        <w:t xml:space="preserve">摘要（ZH）: </w:t>
      </w:r>
      <w:r>
        <w:t>北部永久冻土地区的大气碳含量是其两倍，很容易受到加速变暖的影响。永久冻土融化产生的甲烷排放最终可能会导致气候-碳反馈。我们对大气甲烷数据的分析表明，西伯利亚生长季甲烷排放量增加了 12.0 ± 1.9 太克甲烷 (TgCH</w:t>
      </w:r>
      <w:r>
        <w:rPr>
          <w:vertAlign w:val="subscript"/>
        </w:rPr>
        <w:t>4</w:t>
      </w:r>
      <w:r>
        <w:t>）（2010-2023 年期间每年 5%）。我们揭示了与高压系统和独特的海陆相互作用相关的西伯利亚水文趋势的对比。西伯利亚东部地区温暖、干燥的气候增加了与火灾相关的排放（0.7 ± 0.1 TgCH</w:t>
      </w:r>
      <w:r>
        <w:rPr>
          <w:vertAlign w:val="subscript"/>
        </w:rPr>
        <w:t>4</w:t>
      </w:r>
      <w:r>
        <w:t>年</w:t>
      </w:r>
      <w:r>
        <w:t xml:space="preserve"> </w:t>
      </w:r>
      <w:r>
        <w:t>−2</w:t>
      </w:r>
      <w:r>
        <w:t xml:space="preserve"> </w:t>
      </w:r>
      <w:r>
        <w:t>），西西伯利亚西部的湿润条件促进了与湿地相关的排放（0.4 ± 0.1 TgCH</w:t>
      </w:r>
      <w:r>
        <w:rPr>
          <w:vertAlign w:val="subscript"/>
        </w:rPr>
        <w:t>4</w:t>
      </w:r>
      <w:r>
        <w:t>年</w:t>
      </w:r>
      <w:r>
        <w:t xml:space="preserve"> </w:t>
      </w:r>
      <w:r>
        <w:t>−2</w:t>
      </w:r>
      <w:r>
        <w:t xml:space="preserve"> </w:t>
      </w:r>
      <w:r>
        <w:t>）。最高气温与排放量之间的弱非线性关系表明，到 2050 年，西伯利亚排放量的增加可能会抵消气候目标所需的全球甲烷减排量的约 20%，其中西伯利亚东部在预计增量中占主导地位。</w:t>
      </w:r>
    </w:p>
    <w:p>
      <w:pPr>
        <w:spacing w:before="0" w:after="200" w:lineRule="auto" w:line="276"/>
      </w:pPr>
      <w:r>
        <w:rPr>
          <w:b/>
        </w:rPr>
        <w:t xml:space="preserve">Abstract (EN): </w:t>
      </w:r>
      <w:r>
        <w:t>The northern permafrost region, which stores double the amount of carbon in the atmosphere, is vulnerable to accelerated warming. Methane emissions from thawing permafrost may eventually result in a climate-carbon feedback. Our analysis of atmospheric methane data shows that Siberian growing-season methane emissions have increased by 12.0 ± 1.9 teragrams of methane (TgCH</w:t>
      </w:r>
      <w:r>
        <w:rPr>
          <w:vertAlign w:val="subscript"/>
        </w:rPr>
        <w:t>4</w:t>
      </w:r>
      <w:r>
        <w:t>) (5% per year) over the period 2010–2023. We reveal contrasting Siberian hydrological trends linked to high-pressure systems and distinct air-sea-land interactions. Warmer, drier conditions over eastern Siberia enhance fire-related emissions (0.7 ± 0.1 TgCH</w:t>
      </w:r>
      <w:r>
        <w:rPr>
          <w:vertAlign w:val="subscript"/>
        </w:rPr>
        <w:t>4</w:t>
      </w:r>
      <w:r>
        <w:t>year</w:t>
      </w:r>
      <w:r>
        <w:t xml:space="preserve"> </w:t>
      </w:r>
      <w:r>
        <w:t>−2</w:t>
      </w:r>
      <w:r>
        <w:t xml:space="preserve"> </w:t>
      </w:r>
      <w:r>
        <w:t>), and wetter conditions over western Siberia promote wetland-related emissions (0.4 ± 0.1 TgCH</w:t>
      </w:r>
      <w:r>
        <w:rPr>
          <w:vertAlign w:val="subscript"/>
        </w:rPr>
        <w:t>4</w:t>
      </w:r>
      <w:r>
        <w:t>year</w:t>
      </w:r>
      <w:r>
        <w:t xml:space="preserve"> </w:t>
      </w:r>
      <w:r>
        <w:t>−2</w:t>
      </w:r>
      <w:r>
        <w:t xml:space="preserve"> </w:t>
      </w:r>
      <w:r>
        <w:t>). Weakly nonlinear relationships between temperature maxima and emissions suggest that by 2050, higher Siberian emissions could offset about 20% of the global methane reduction required for climate targets, with eastern Siberia dominating the projected increase.</w:t>
      </w:r>
    </w:p>
    <w:p>
      <w:pPr>
        <w:spacing w:before="120" w:after="120"/>
      </w:pPr>
      <w:r>
        <w:rPr>
          <w:sz w:val="18"/>
        </w:rPr>
        <w:t>——————————————————————————————————————————————————————————————————————</w:t>
      </w:r>
    </w:p>
    <w:p>
      <w:pPr>
        <w:spacing w:before="160" w:after="40" w:line="240" w:lineRule="auto"/>
      </w:pPr>
      <w:r>
        <w:rPr>
          <w:b/>
        </w:rPr>
        <w:t xml:space="preserve">[659] </w:t>
      </w:r>
      <w:hyperlink r:id="rId1773">
        <w:r>
          <w:rPr>
            <w:color w:val="1155CC"/>
            <w:u w:val="single"/>
          </w:rPr>
          <w:t>化石证据支持视觉在灵长类新皮质模块化进化中的作用</w:t>
        </w:r>
      </w:hyperlink>
    </w:p>
    <w:p>
      <w:pPr>
        <w:spacing w:before="0" w:after="80"/>
      </w:pPr>
      <w:r>
        <w:rPr>
          <w:i/>
          <w:sz w:val="20"/>
        </w:rPr>
        <w:t>EN: Fossil evidence favors a role for vision in the modular evolution of the primate neocortex</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74">
        <w:r>
          <w:rPr>
            <w:color w:val="1155CC"/>
            <w:u w:val="single"/>
          </w:rPr>
          <w:t>10.1126/science.aee3541</w:t>
        </w:r>
      </w:hyperlink>
    </w:p>
    <w:p>
      <w:pPr>
        <w:spacing w:before="0" w:after="120"/>
      </w:pPr>
      <w:r>
        <w:rPr>
          <w:b/>
        </w:rPr>
        <w:t xml:space="preserve">Notes: </w:t>
      </w:r>
      <w:r>
        <w:t>abstract_source=crossref</w:t>
      </w:r>
    </w:p>
    <w:p>
      <w:pPr>
        <w:spacing w:before="0" w:after="80" w:lineRule="auto" w:line="276"/>
      </w:pPr>
      <w:r>
        <w:rPr>
          <w:b/>
        </w:rPr>
        <w:t xml:space="preserve">摘要（ZH）: </w:t>
      </w:r>
      <w:r>
        <w:t>新皮质扩张是冠灵长类动物的一项关键创新，尽管新皮质如何进化的化石证据仍然难以捉摸。我们使用现存灵长类动物和始新世-中新世化石灵长类动物的虚拟大脑内铸件研究了新皮质的进化。我们发现，冠灵长类进化枝的新皮质尺寸平行增加，眼镜猴和类人猿迅速增加。尽管灵长类动物的额叶通常被描述为不成比例地扩张，但我们表明它是逐渐进化的，遵循异速生长的常见模式。相比之下，单鼻动物的非额叶新皮质区域相对于大脑大小而言经历了快速增加。新皮质的扩张与视孔面积的增加同时发生，表明视觉感觉输入在功能上与灵长类新皮质的模块化进化相关。</w:t>
      </w:r>
    </w:p>
    <w:p>
      <w:pPr>
        <w:spacing w:before="0" w:after="200" w:lineRule="auto" w:line="276"/>
      </w:pPr>
      <w:r>
        <w:rPr>
          <w:b/>
        </w:rPr>
        <w:t xml:space="preserve">Abstract (EN): </w:t>
      </w:r>
      <w:r>
        <w:t>Neocortical expansion is a key innovation of crown primates, although fossil evidence for how the neocortex has evolved remains elusive. We studied neocortical evolution using virtual brain endocasts from extant and Eocene-Miocene fossil primates. We found that neocortex size increased in parallel across crown primate clades, with rapid increases in tarsiers and anthropoids. Although the frontal lobe is commonly described as having expanded disproportionately in primates, we show that it evolved gradually, following a common pattern for allometric scaling. By contrast, nonfrontal neocortical regions underwent rapid increases relative to brain size in haplorhines. Neocortical expansion occurred in concert with increases in optic foramen area, suggesting that visual sensory inputs are functionally tied to modular evolution of the primate neocortex.</w:t>
      </w:r>
    </w:p>
    <w:p>
      <w:pPr>
        <w:spacing w:before="120" w:after="120"/>
      </w:pPr>
      <w:r>
        <w:rPr>
          <w:sz w:val="18"/>
        </w:rPr>
        <w:t>——————————————————————————————————————————————————————————————————————</w:t>
      </w:r>
    </w:p>
    <w:p>
      <w:pPr>
        <w:spacing w:before="160" w:after="40" w:line="240" w:lineRule="auto"/>
      </w:pPr>
      <w:r>
        <w:rPr>
          <w:b/>
        </w:rPr>
        <w:t xml:space="preserve">[660] </w:t>
      </w:r>
      <w:hyperlink r:id="rId1775">
        <w:r>
          <w:rPr>
            <w:color w:val="1155CC"/>
            <w:u w:val="single"/>
          </w:rPr>
          <w:t>协调线粒体货物的驱动蛋白和动力蛋白运输的分子开关</w:t>
        </w:r>
      </w:hyperlink>
    </w:p>
    <w:p>
      <w:pPr>
        <w:spacing w:before="0" w:after="80"/>
      </w:pPr>
      <w:r>
        <w:rPr>
          <w:i/>
          <w:sz w:val="20"/>
        </w:rPr>
        <w:t>EN: A molecular switch for coordinating kinesin and dynein transport of mitochondrial cargo</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76">
        <w:r>
          <w:rPr>
            <w:color w:val="1155CC"/>
            <w:u w:val="single"/>
          </w:rPr>
          <w:t>10.1126/science.aeh1475</w:t>
        </w:r>
      </w:hyperlink>
    </w:p>
    <w:p>
      <w:pPr>
        <w:spacing w:before="0" w:after="120"/>
      </w:pPr>
      <w:r>
        <w:rPr>
          <w:b/>
        </w:rPr>
        <w:t xml:space="preserve">Notes: </w:t>
      </w:r>
      <w:r>
        <w:t>abstract_source=crossref</w:t>
      </w:r>
    </w:p>
    <w:p>
      <w:pPr>
        <w:spacing w:before="0" w:after="80" w:lineRule="auto" w:line="276"/>
      </w:pPr>
      <w:r>
        <w:rPr>
          <w:b/>
        </w:rPr>
        <w:t xml:space="preserve">摘要（ZH）: </w:t>
      </w:r>
      <w:r>
        <w:t>线粒体响应压力和局部能量需求的细胞分布由基于微管的分子马达驱动蛋白和动力蛋白的相对活动控制。这两个相反极性的微管马达之间的切换机制仍然未知。在这项研究中，我们将细胞合成货物运输测定与 AlphaFold2 引导的诱变结合起来，以确定线粒体接头蛋白 [运输驱动蛋白结合蛋白 (TRAK)] 中的调节螺旋，该螺旋介导驱动蛋白和动力蛋白驱动的运输之间的切换。螺旋序列的差异解释了为什么两种几乎相同的 TRAK 亚型主要以相反的方向运输线粒体。应激激活激酶对调节螺旋的磷酸化导致动力蛋白的激活和驱动蛋白的解离。我们的结果揭示了协调线粒体响应细胞内信号的定向运输的分子机制。</w:t>
      </w:r>
    </w:p>
    <w:p>
      <w:pPr>
        <w:spacing w:before="0" w:after="200" w:lineRule="auto" w:line="276"/>
      </w:pPr>
      <w:r>
        <w:rPr>
          <w:b/>
        </w:rPr>
        <w:t xml:space="preserve">Abstract (EN): </w:t>
      </w:r>
      <w:r>
        <w:t>The cellular distribution of mitochondria in response to stress and local energy needs is governed by the relative activities of the microtubule-based molecular motors kinesin and dynein. The mechanism for switching between these two opposite-polarity microtubule motors remains unknown. In this study, we coupled a cellular synthetic cargo transport assay with AlphaFold2-guided mutagenesis to identify a regulatory helix in the mitochondrial adaptor protein [trafficking kinesin-binding protein (TRAK)] that mediates switching between kinesin- and dynein-driven transport. Differences in the helix sequence explained why two near-identical TRAK isoforms transported mitochondria in predominantly opposite directions. Phosphorylation of the regulatory helix by stress-activated kinases caused the activation of dynein and dissociation of kinesin. Our results reveal a molecular mechanism for coordinating the directional transport of mitochondria in response to intracellular signals.</w:t>
      </w:r>
    </w:p>
    <w:p>
      <w:pPr>
        <w:spacing w:before="120" w:after="120"/>
      </w:pPr>
      <w:r>
        <w:rPr>
          <w:sz w:val="18"/>
        </w:rPr>
        <w:t>——————————————————————————————————————————————————————————————————————</w:t>
      </w:r>
    </w:p>
    <w:p>
      <w:pPr>
        <w:spacing w:before="160" w:after="40" w:line="240" w:lineRule="auto"/>
      </w:pPr>
      <w:r>
        <w:rPr>
          <w:b/>
        </w:rPr>
        <w:t xml:space="preserve">[661] </w:t>
      </w:r>
      <w:hyperlink r:id="rId1777">
        <w:r>
          <w:rPr>
            <w:color w:val="1155CC"/>
            <w:u w:val="single"/>
          </w:rPr>
          <w:t>飓风登陆期间的湍流地震声印记</w:t>
        </w:r>
      </w:hyperlink>
    </w:p>
    <w:p>
      <w:pPr>
        <w:spacing w:before="0" w:after="80"/>
      </w:pPr>
      <w:r>
        <w:rPr>
          <w:i/>
          <w:sz w:val="20"/>
        </w:rPr>
        <w:t>EN: Turbulent seismoacoustic imprints during a hurricane landfall</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78">
        <w:r>
          <w:rPr>
            <w:color w:val="1155CC"/>
            <w:u w:val="single"/>
          </w:rPr>
          <w:t>10.1126/science.adt7323</w:t>
        </w:r>
      </w:hyperlink>
    </w:p>
    <w:p>
      <w:pPr>
        <w:spacing w:before="0" w:after="120"/>
      </w:pPr>
      <w:r>
        <w:rPr>
          <w:b/>
        </w:rPr>
        <w:t xml:space="preserve">Notes: </w:t>
      </w:r>
      <w:r>
        <w:t>abstract_source=crossref</w:t>
      </w:r>
    </w:p>
    <w:p>
      <w:pPr>
        <w:spacing w:before="0" w:after="80" w:lineRule="auto" w:line="276"/>
      </w:pPr>
      <w:r>
        <w:rPr>
          <w:b/>
        </w:rPr>
        <w:t xml:space="preserve">摘要（ZH）: </w:t>
      </w:r>
      <w:r>
        <w:t>飓风演变受到飓风边界层 (HBL) 湍流的影响，通常使用飞机飞行和塔台来测量飓风边界层。通过对登陆飓风的案例研究，我们表明地震声学数据也可用于 HBL 湍流分析。我们确定了 HBL 湍流对次声压力和地震位移的贡献，通过将大涡模拟（用气象数据校准）与准静态弹性变形模型相结合来验证我们的解释。湍流压力场的对流速度是这种压力-位移耦合的关键。对于大气研究，连续次声压可作为 10 米风速的代表，压力谱的惯性子范围提供约 100 至 200 米表层顶部附近湍流耗散率的估计，补充约 10 米处的便携式塔数据。</w:t>
      </w:r>
    </w:p>
    <w:p>
      <w:pPr>
        <w:spacing w:before="0" w:after="200" w:lineRule="auto" w:line="276"/>
      </w:pPr>
      <w:r>
        <w:rPr>
          <w:b/>
        </w:rPr>
        <w:t xml:space="preserve">Abstract (EN): </w:t>
      </w:r>
      <w:r>
        <w:t>Hurricane evolution is affected by turbulence in the hurricane boundary layer (HBL), which is typically measured using aircraft flights and towers. Through a case study of a landfalling hurricane, we show that seismoacoustic data can also be used for HBL turbulence analysis. We identified contributions of HBL turbulence in infrasound pressure and seismic displacement, validating our interpretation by combining large-eddy simulation, calibrated with meteorological data, with quasi-static elastic deformation modeling. The convection velocity of the turbulent pressure field is key to this pressure–displacement coupling. For atmospheric studies, continuous infrasound pressure serves as a proxy for 10-meter wind speed, and the inertial subrange of pressure spectra provides an estimate of the turbulent dissipation rate near the top of the surface layer at ~100 to 200 meters, complementing portable tower data at ~10 meters.</w:t>
      </w:r>
    </w:p>
    <w:p>
      <w:pPr>
        <w:spacing w:before="120" w:after="120"/>
      </w:pPr>
      <w:r>
        <w:rPr>
          <w:sz w:val="18"/>
        </w:rPr>
        <w:t>——————————————————————————————————————————————————————————————————————</w:t>
      </w:r>
    </w:p>
    <w:p>
      <w:pPr>
        <w:spacing w:before="160" w:after="40" w:line="240" w:lineRule="auto"/>
      </w:pPr>
      <w:r>
        <w:rPr>
          <w:b/>
        </w:rPr>
        <w:t xml:space="preserve">[662] </w:t>
      </w:r>
      <w:hyperlink r:id="rId1779">
        <w:r>
          <w:rPr>
            <w:color w:val="1155CC"/>
            <w:u w:val="single"/>
          </w:rPr>
          <w:t>我未来的代价</w:t>
        </w:r>
      </w:hyperlink>
    </w:p>
    <w:p>
      <w:pPr>
        <w:spacing w:before="0" w:after="80"/>
      </w:pPr>
      <w:r>
        <w:rPr>
          <w:i/>
          <w:sz w:val="20"/>
        </w:rPr>
        <w:t>EN: The price of my future</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80">
        <w:r>
          <w:rPr>
            <w:color w:val="1155CC"/>
            <w:u w:val="single"/>
          </w:rPr>
          <w:t>10.1126/science.ael1782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[663] </w:t>
      </w:r>
      <w:hyperlink r:id="rId1781">
        <w:r>
          <w:rPr>
            <w:color w:val="1155CC"/>
            <w:u w:val="single"/>
          </w:rPr>
          <w:t>钙可以调节蜗牛粘液材料的多种功能</w:t>
        </w:r>
      </w:hyperlink>
    </w:p>
    <w:p>
      <w:pPr>
        <w:spacing w:before="0" w:after="80"/>
      </w:pPr>
      <w:r>
        <w:rPr>
          <w:i/>
          <w:sz w:val="20"/>
        </w:rPr>
        <w:t>EN: Calcium tunes snail mucus–based materials to multiple functions</w:t>
      </w:r>
    </w:p>
    <w:p>
      <w:pPr>
        <w:spacing w:before="0" w:after="120"/>
      </w:pPr>
      <w:r>
        <w:rPr>
          <w:b/>
        </w:rPr>
        <w:t xml:space="preserve">Source: </w:t>
      </w:r>
      <w:r>
        <w:t>AAAS: Science: Table of Contents</w:t>
      </w:r>
      <w:r>
        <w:t xml:space="preserve">    </w:t>
      </w:r>
      <w:r>
        <w:rPr>
          <w:b/>
        </w:rPr>
        <w:t xml:space="preserve">Pub date: </w:t>
      </w:r>
      <w:r>
        <w:t>2026-08-06 06:00:12+00:00</w:t>
      </w:r>
      <w:r>
        <w:t xml:space="preserve">    </w:t>
      </w:r>
      <w:r>
        <w:rPr>
          <w:b/>
        </w:rPr>
        <w:t xml:space="preserve">DOI: </w:t>
      </w:r>
      <w:hyperlink r:id="rId1782">
        <w:r>
          <w:rPr>
            <w:color w:val="1155CC"/>
            <w:u w:val="single"/>
          </w:rPr>
          <w:t>10.1126/science.adx7367</w:t>
        </w:r>
      </w:hyperlink>
    </w:p>
    <w:p>
      <w:pPr>
        <w:spacing w:before="0" w:after="120"/>
      </w:pPr>
      <w:r>
        <w:rPr>
          <w:b/>
        </w:rPr>
        <w:t xml:space="preserve">Notes: </w:t>
      </w:r>
      <w:r>
        <w:t>abstract_source=crossref</w:t>
      </w:r>
    </w:p>
    <w:p>
      <w:pPr>
        <w:spacing w:before="0" w:after="80" w:lineRule="auto" w:line="276"/>
      </w:pPr>
      <w:r>
        <w:rPr>
          <w:b/>
        </w:rPr>
        <w:t xml:space="preserve">摘要（ZH）: </w:t>
      </w:r>
      <w:r>
        <w:t>粘液被称为粘性液体；然而，蜗牛制造的各种粘液基材料具有更高的内聚力，并针对不同甚至对抗的功能进行定制，包括润滑、粘附、保护和防御。为了深入了解这种多功能性，我们采用多学科方法研究了蜗牛产生的五种不同的粘液材料</w:t>
      </w:r>
      <w:r>
        <w:t xml:space="preserve"> </w:t>
      </w:r>
      <w:r>
        <w:t>洋葱</w:t>
      </w:r>
      <w:r>
        <w:t xml:space="preserve"> </w:t>
      </w:r>
      <w:r>
        <w:t>。我们的结果表明，蜗牛使用 VI 型胶原蛋白作为主要结构成分，并在粘液分泌过程中添加无定形碳酸钙 (ACC)。 ACC 在湿粘液类型中充当离子源，最有可能用于交联，或在干燥粘液类型中充当矿物质前体。这些发现揭示了这些粘弹性材料的多功能性，这些材料能够根据钙和蛋白质含量在非常不同的特性之间切换。</w:t>
      </w:r>
    </w:p>
    <w:p>
      <w:pPr>
        <w:spacing w:before="0" w:after="200" w:lineRule="auto" w:line="276"/>
      </w:pPr>
      <w:r>
        <w:rPr>
          <w:b/>
        </w:rPr>
        <w:t xml:space="preserve">Abstract (EN): </w:t>
      </w:r>
      <w:r>
        <w:t>Mucus is known as a viscous fluid; yet, snails manufacture various mucus-based materials with much higher cohesion and tailored to different and even antagonistic functions, including lubrication, adhesion, protection, and defense. To gain insight into this versatility, we use a multidisciplinary approach to investigate five different mucus-based materials produced by the snail</w:t>
      </w:r>
      <w:r>
        <w:t xml:space="preserve"> </w:t>
      </w:r>
      <w:r>
        <w:t>Cepaea nemoralis</w:t>
      </w:r>
      <w:r>
        <w:t xml:space="preserve"> </w:t>
      </w:r>
      <w:r>
        <w:t>. Our results demonstrate that snails use collagen VI as a main structural component and add amorphous calcium carbonate (ACC) during mucus secretion. ACC functions as an ion source in wet mucus types, most likely for cross-linking, or as a mineral precursor in dry mucus types. These findings shed light on the versatility of these viscoelastic materials, which are able to switch between very different properties on the basis of calcium and protein content.</w:t>
      </w:r>
    </w:p>
    <w:p>
      <w:pPr>
        <w:spacing w:before="120" w:after="120"/>
      </w:pPr>
      <w:r>
        <w:rPr>
          <w:sz w:val="18"/>
        </w:rPr>
        <w:t>——————————————————————————————————————————————————————————————————————</w:t>
      </w:r>
    </w:p>
    <w:p>
      <w:pPr>
        <w:spacing w:before="160" w:after="40" w:line="240" w:lineRule="auto"/>
      </w:pPr>
      <w:r>
        <w:rPr>
          <w:b/>
        </w:rPr>
        <w:t xml:space="preserve">[664] </w:t>
      </w:r>
      <w:hyperlink r:id="rId1783">
        <w:r>
          <w:rPr>
            <w:color w:val="1155CC"/>
            <w:u w:val="single"/>
          </w:rPr>
          <w:t>具有 Kagome 晶格的 ScIr2 手性晶体的非常规超导性</w:t>
        </w:r>
      </w:hyperlink>
    </w:p>
    <w:p>
      <w:pPr>
        <w:spacing w:before="0" w:after="80"/>
      </w:pPr>
      <w:r>
        <w:rPr>
          <w:i/>
          <w:sz w:val="20"/>
        </w:rPr>
        <w:t>EN: Unconventional Superconductivity in ScIr2 Chiral Crystal With a Kagome Lattice</w:t>
      </w:r>
    </w:p>
    <w:p>
      <w:pPr>
        <w:spacing w:before="0" w:after="120"/>
      </w:pPr>
      <w:r>
        <w:rPr>
          <w:b/>
        </w:rPr>
        <w:t xml:space="preserve">Source: </w:t>
      </w:r>
      <w:r>
        <w:t>Wiley: Advanced Materials: Table of Contents</w:t>
      </w:r>
      <w:r>
        <w:t xml:space="preserve">    </w:t>
      </w:r>
      <w:r>
        <w:rPr>
          <w:b/>
        </w:rPr>
        <w:t xml:space="preserve">Pub date: </w:t>
      </w:r>
      <w:r>
        <w:t>2026-08-06 06:04:48+00:00</w:t>
      </w:r>
      <w:r>
        <w:t xml:space="preserve">    </w:t>
      </w:r>
      <w:r>
        <w:rPr>
          <w:b/>
        </w:rPr>
        <w:t xml:space="preserve">DOI: </w:t>
      </w:r>
      <w:hyperlink r:id="rId1784">
        <w:r>
          <w:rPr>
            <w:color w:val="1155CC"/>
            <w:u w:val="single"/>
          </w:rPr>
          <w:t>10.1002/adma.74399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戈薇晶格的材料具有由能带拓扑、自旋轨道耦合、磁性和电子关联之间的相互作用驱动的奇异量子现象。虽然戈薇材料的磁性已得到广泛研究，但由于合适材料的可用性有限，其非常规超导性（SC）在很大程度上仍未得到探索。在这里，我们通过将μ子自旋光谱测量与能带结构计算相结合，报告了该族中非常规SC的证据。母体经历了从高立方相到低菱面体相的结构相变，而 Ir kagome 层尽管略有扭曲，但仍然存在。尽管结构转变被硅取代所抑制，但双能隙模型仍然可以很好地描述超导配对。由于至少一个间隙存在节点，这表明这是一种非常规 SC。其非常规性质可以用费米能级附近出现的独特平带来解释，导致该族中存在很强的电子相关性。此外， 的低相呈现出 Ir 手性链；因此，它可以归类为拓扑手性晶体。总体而言，该家族的不寻常特性使其成为研究非常规 SC、平带和手性之间相互作用的有趣但罕见的系统。</w:t>
      </w:r>
    </w:p>
    <w:p>
      <w:pPr>
        <w:spacing w:before="0" w:after="200" w:lineRule="auto" w:line="276"/>
      </w:pPr>
      <w:r>
        <w:rPr>
          <w:b/>
        </w:rPr>
        <w:t xml:space="preserve">Abstract (EN): </w:t>
      </w:r>
      <w:r>
        <w:t>Materials with a kagome lattice host exotic quantum phenomena driven by the interplay between band topology, spin–orbit coupling, magnetism, and electronic correlations. While the magnetism of kagome materials has been widely investigated, their unconventional superconductivity (SC) remains largely unexplored due to the limited availability of suitable materials. Here, we report evidence of unconventional SC in the  family by combining muon‐spin spectroscopy measurements with band‐structure calculations. The parent  undergoes a structural phase transition from a high‐ cubic‐ to a low‐ rhombohedral phase, while the Ir kagome layer remains, albeit slightly, distorted. Although the structural transition is suppressed by Si substitution, the superconducting pairing of  remains well described by a two‐gap model. Since at least one of the gaps exhibits nodes, this indicates an unconventional SC. Its unconventional nature can be explained by the distinct flat bands occurring near the Fermi level, leading to strong electronic correlations in the  family. Moreover, the low‐ phase of  exhibits an Ir chiral chain; therefore, it can be classified as a topological chiral crystal. Overall, the unusual properties of the  family make it an interesting, albeit rare, system for studying the interplay between unconventional SC, flat bands, and chirality.</w:t>
      </w:r>
    </w:p>
    <w:p>
      <w:pPr>
        <w:spacing w:before="120" w:after="120"/>
      </w:pPr>
      <w:r>
        <w:rPr>
          <w:sz w:val="18"/>
        </w:rPr>
        <w:t>——————————————————————————————————————————————————————————————————————</w:t>
      </w:r>
    </w:p>
    <w:p>
      <w:pPr>
        <w:spacing w:before="160" w:after="40" w:line="240" w:lineRule="auto"/>
      </w:pPr>
      <w:r>
        <w:rPr>
          <w:b/>
        </w:rPr>
        <w:t xml:space="preserve">[665] </w:t>
      </w:r>
      <w:hyperlink r:id="rId1785">
        <w:r>
          <w:rPr>
            <w:color w:val="1155CC"/>
            <w:u w:val="single"/>
          </w:rPr>
          <w:t>使用基因组语言模型的噬菌体生成设计</w:t>
        </w:r>
      </w:hyperlink>
    </w:p>
    <w:p>
      <w:pPr>
        <w:spacing w:before="0" w:after="80"/>
      </w:pPr>
      <w:r>
        <w:rPr>
          <w:i/>
          <w:sz w:val="20"/>
        </w:rPr>
        <w:t>EN: Generative design of bacteriophages with genome language models</w:t>
      </w:r>
    </w:p>
    <w:p>
      <w:pPr>
        <w:spacing w:before="0" w:after="120"/>
      </w:pPr>
      <w:r>
        <w:rPr>
          <w:b/>
        </w:rPr>
        <w:t xml:space="preserve">Source: </w:t>
      </w:r>
      <w:r>
        <w:t>AAAS: Science: Table of Contents</w:t>
      </w:r>
      <w:r>
        <w:t xml:space="preserve">    </w:t>
      </w:r>
      <w:r>
        <w:rPr>
          <w:b/>
        </w:rPr>
        <w:t xml:space="preserve">Pub date: </w:t>
      </w:r>
      <w:r>
        <w:t>2026-08-06 07:00:00+00:00</w:t>
      </w:r>
      <w:r>
        <w:t xml:space="preserve">    </w:t>
      </w:r>
      <w:r>
        <w:rPr>
          <w:b/>
        </w:rPr>
        <w:t xml:space="preserve">DOI: </w:t>
      </w:r>
      <w:hyperlink r:id="rId1786">
        <w:r>
          <w:rPr>
            <w:color w:val="1155CC"/>
            <w:u w:val="single"/>
          </w:rPr>
          <w:t>10.1126/science.aec2657</w:t>
        </w:r>
      </w:hyperlink>
    </w:p>
    <w:p>
      <w:pPr>
        <w:spacing w:before="0" w:after="120"/>
      </w:pPr>
      <w:r>
        <w:rPr>
          <w:b/>
        </w:rPr>
        <w:t xml:space="preserve">Notes: </w:t>
      </w:r>
      <w:r>
        <w:t>abstract_source=crossref</w:t>
      </w:r>
    </w:p>
    <w:p>
      <w:pPr>
        <w:spacing w:before="0" w:after="80" w:lineRule="auto" w:line="276"/>
      </w:pPr>
      <w:r>
        <w:rPr>
          <w:b/>
        </w:rPr>
        <w:t xml:space="preserve">摘要（ZH）: </w:t>
      </w:r>
      <w:r>
        <w:t>许多重要的生物学功能不是由单个基因产生，而是由整个基因组编码的复杂相互作用产生。我们报告了使用基因组语言模型的完整噬菌体基因组的首次生成设计。我们使用噬菌体 ΦX174 作为我们的设计模板，生成了具有目标宿主向性的可行噬菌体。实验测试产生了 16 个在实验室条件下具有不同适应度的噬菌体。冷冻电子显微镜证实，生成的噬菌体在其衣壳中利用了进化上遥远的 DNA 包装蛋白。生成的噬菌体混合物迅速克服了 ΦX174 耐药性</w:t>
      </w:r>
      <w:r>
        <w:t xml:space="preserve"> </w:t>
      </w:r>
      <w:r>
        <w:t>大肠杆菌</w:t>
      </w:r>
      <w:r>
        <w:t xml:space="preserve"> </w:t>
      </w:r>
      <w:r>
        <w:t>菌株，展示了一条针对快速进化的细菌病原体的人工智能产生的噬菌体疗法的道路。这项工作为在基因组规模上设计各种合成噬菌体和有用的生物系统提供了蓝图。</w:t>
      </w:r>
    </w:p>
    <w:p>
      <w:pPr>
        <w:spacing w:before="0" w:after="200" w:lineRule="auto" w:line="276"/>
      </w:pPr>
      <w:r>
        <w:rPr>
          <w:b/>
        </w:rPr>
        <w:t xml:space="preserve">Abstract (EN): </w:t>
      </w:r>
      <w:r>
        <w:t>Many important biological functions arise not from single genes but from complex interactions encoded by entire genomes. We report the first generative design of complete bacteriophage genomes using genome language models. We generated viable bacteriophages with target host tropism, using the phage ΦX174 as our design template. Experimental testing yielded 16 phages with diverse fitness profiles in laboratory conditions. Cryo–electron microscopy confirmed that a generated phage utilizes an evolutionarily distant DNA packaging protein in its capsid. A cocktail of generated phages rapidly overcomes ΦX174-resistant</w:t>
      </w:r>
      <w:r>
        <w:t xml:space="preserve"> </w:t>
      </w:r>
      <w:r>
        <w:t>Escherichia coli</w:t>
      </w:r>
      <w:r>
        <w:t xml:space="preserve"> </w:t>
      </w:r>
      <w:r>
        <w:t>strains, demonstrating a path toward artificial intelligence–generated phage therapies against rapidly evolving bacterial pathogens. This work provides a blueprint for the design of diverse synthetic bacteriophages and useful biological systems at the genome scale.</w:t>
      </w:r>
    </w:p>
    <w:p>
      <w:pPr>
        <w:spacing w:before="120" w:after="120"/>
      </w:pPr>
      <w:r>
        <w:rPr>
          <w:sz w:val="18"/>
        </w:rPr>
        <w:t>——————————————————————————————————————————————————————————————————————</w:t>
      </w:r>
    </w:p>
    <w:p>
      <w:pPr>
        <w:spacing w:before="160" w:after="40" w:line="240" w:lineRule="auto"/>
      </w:pPr>
      <w:r>
        <w:rPr>
          <w:b/>
        </w:rPr>
        <w:t xml:space="preserve">[666] </w:t>
      </w:r>
      <w:hyperlink r:id="rId1787">
        <w:r>
          <w:rPr>
            <w:color w:val="1155CC"/>
            <w:u w:val="single"/>
          </w:rPr>
          <w:t>真菌病原体耳念珠菌暴露几丁质以触发 IFNγ 并持续存在于毛囊中</w:t>
        </w:r>
      </w:hyperlink>
    </w:p>
    <w:p>
      <w:pPr>
        <w:spacing w:before="0" w:after="80"/>
      </w:pPr>
      <w:r>
        <w:rPr>
          <w:i/>
          <w:sz w:val="20"/>
        </w:rPr>
        <w:t>EN: The fungal pathogen Candida auris exposes chitin to trigger IFNγ and persist in hair follicles</w:t>
      </w:r>
    </w:p>
    <w:p>
      <w:pPr>
        <w:spacing w:before="0" w:after="120"/>
      </w:pPr>
      <w:r>
        <w:rPr>
          <w:b/>
        </w:rPr>
        <w:t xml:space="preserve">Source: </w:t>
      </w:r>
      <w:r>
        <w:t>AAAS: Science: Table of Contents</w:t>
      </w:r>
      <w:r>
        <w:t xml:space="preserve">    </w:t>
      </w:r>
      <w:r>
        <w:rPr>
          <w:b/>
        </w:rPr>
        <w:t xml:space="preserve">Pub date: </w:t>
      </w:r>
      <w:r>
        <w:t>2026-08-06 07:00:00+00:00</w:t>
      </w:r>
      <w:r>
        <w:t xml:space="preserve">    </w:t>
      </w:r>
      <w:r>
        <w:rPr>
          <w:b/>
        </w:rPr>
        <w:t xml:space="preserve">DOI: </w:t>
      </w:r>
      <w:hyperlink r:id="rId1788">
        <w:r>
          <w:rPr>
            <w:color w:val="1155CC"/>
            <w:u w:val="single"/>
          </w:rPr>
          <w:t>10.1126/science.adu6688</w:t>
        </w:r>
      </w:hyperlink>
    </w:p>
    <w:p>
      <w:pPr>
        <w:spacing w:before="0" w:after="120"/>
      </w:pPr>
      <w:r>
        <w:rPr>
          <w:b/>
        </w:rPr>
        <w:t xml:space="preserve">Notes: </w:t>
      </w:r>
      <w:r>
        <w:t>abstract_source=crossref</w:t>
      </w:r>
    </w:p>
    <w:p>
      <w:pPr>
        <w:spacing w:before="0" w:after="80" w:lineRule="auto" w:line="276"/>
      </w:pPr>
      <w:r>
        <w:rPr>
          <w:b/>
        </w:rPr>
        <w:t xml:space="preserve">摘要（ZH）: </w:t>
      </w:r>
      <w:r>
        <w:t>耳念珠菌</w:t>
      </w:r>
      <w:r>
        <w:t xml:space="preserve"> </w:t>
      </w:r>
      <w:r>
        <w:t>是一种引起重大公共卫生问题的多重耐药真菌，其在皮肤上持续存在的机制（致命爆发的主要风险因素）仍不清楚。在这项研究中，我们比较了皮肤定植</w:t>
      </w:r>
      <w:r>
        <w:t xml:space="preserve"> </w:t>
      </w:r>
      <w:r>
        <w:t>耳念珠菌</w:t>
      </w:r>
      <w:r>
        <w:t xml:space="preserve"> </w:t>
      </w:r>
      <w:r>
        <w:t>与</w:t>
      </w:r>
      <w:r>
        <w:t xml:space="preserve"> </w:t>
      </w:r>
      <w:r>
        <w:t>白色念珠菌</w:t>
      </w:r>
      <w:r>
        <w:t xml:space="preserve"> </w:t>
      </w:r>
      <w:r>
        <w:t>阐明小鼠中独特的真菌-免疫相互作用。</w:t>
      </w:r>
      <w:r>
        <w:t xml:space="preserve"> </w:t>
      </w:r>
      <w:r>
        <w:t>耳念珠菌</w:t>
      </w:r>
      <w:r>
        <w:t xml:space="preserve"> </w:t>
      </w:r>
      <w:r>
        <w:t>表现出增强的皮肤持久性、毛囊向性和直接毛发结合。鉴于</w:t>
      </w:r>
      <w:r>
        <w:t xml:space="preserve"> </w:t>
      </w:r>
      <w:r>
        <w:t>白色念珠菌</w:t>
      </w:r>
      <w:r>
        <w:t xml:space="preserve"> </w:t>
      </w:r>
      <w:r>
        <w:t>触发 3/17 型偏态灭菌抗真菌免疫反应，</w:t>
      </w:r>
      <w:r>
        <w:t xml:space="preserve"> </w:t>
      </w:r>
      <w:r>
        <w:t>耳念珠菌</w:t>
      </w:r>
      <w:r>
        <w:t xml:space="preserve"> </w:t>
      </w:r>
      <w:r>
        <w:t>触发针对毛囊的 1 型干扰素-γ (IFNγ) 驱动的反应。 IFNγ增强</w:t>
      </w:r>
      <w:r>
        <w:t xml:space="preserve"> </w:t>
      </w:r>
      <w:r>
        <w:t>耳念珠菌</w:t>
      </w:r>
      <w:r>
        <w:t xml:space="preserve"> </w:t>
      </w:r>
      <w:r>
        <w:t>通过向角质形成细胞发出信号并抑制上皮抗真菌防御程序来定植。遗传和生化方法表明，响应与皮肤相关的线索，</w:t>
      </w:r>
      <w:r>
        <w:t xml:space="preserve"> </w:t>
      </w:r>
      <w:r>
        <w:t>耳念珠菌</w:t>
      </w:r>
      <w:r>
        <w:t xml:space="preserve"> </w:t>
      </w:r>
      <w:r>
        <w:t>增加细胞壁几丁质暴露，触发 1 型免疫并促进真菌持久性。</w:t>
      </w:r>
    </w:p>
    <w:p>
      <w:pPr>
        <w:spacing w:before="0" w:after="200" w:lineRule="auto" w:line="276"/>
      </w:pPr>
      <w:r>
        <w:rPr>
          <w:b/>
        </w:rPr>
        <w:t xml:space="preserve">Abstract (EN): </w:t>
      </w:r>
      <w:r>
        <w:t>Candida auris</w:t>
      </w:r>
      <w:r>
        <w:t xml:space="preserve"> </w:t>
      </w:r>
      <w:r>
        <w:t>is a multidrug-resistant fungus of major public health concern whose mechanisms for persistence on skin, a major risk factor for deadly outbreaks, remain unclear. In this study, we compared skin colonization by</w:t>
      </w:r>
      <w:r>
        <w:t xml:space="preserve"> </w:t>
      </w:r>
      <w:r>
        <w:t>C. auris</w:t>
      </w:r>
      <w:r>
        <w:t xml:space="preserve"> </w:t>
      </w:r>
      <w:r>
        <w:t>versus</w:t>
      </w:r>
      <w:r>
        <w:t xml:space="preserve"> </w:t>
      </w:r>
      <w:r>
        <w:t>C. albicans</w:t>
      </w:r>
      <w:r>
        <w:t xml:space="preserve"> </w:t>
      </w:r>
      <w:r>
        <w:t>to illuminate distinct fungal-immune interactions in mice.</w:t>
      </w:r>
      <w:r>
        <w:t xml:space="preserve"> </w:t>
      </w:r>
      <w:r>
        <w:t>C. auris</w:t>
      </w:r>
      <w:r>
        <w:t xml:space="preserve"> </w:t>
      </w:r>
      <w:r>
        <w:t>exhibited enhanced skin persistence, hair follicle tropism, and direct hair binding. Whereas</w:t>
      </w:r>
      <w:r>
        <w:t xml:space="preserve"> </w:t>
      </w:r>
      <w:r>
        <w:t>C. albicans</w:t>
      </w:r>
      <w:r>
        <w:t xml:space="preserve"> </w:t>
      </w:r>
      <w:r>
        <w:t>triggered a type 3/17–skewed sterilizing antifungal immune response,</w:t>
      </w:r>
      <w:r>
        <w:t xml:space="preserve"> </w:t>
      </w:r>
      <w:r>
        <w:t>C. auris</w:t>
      </w:r>
      <w:r>
        <w:t xml:space="preserve"> </w:t>
      </w:r>
      <w:r>
        <w:t>triggered a type 1 interferon-γ (IFNγ)–driven response directed toward hair follicles. IFNγ enhanced</w:t>
      </w:r>
      <w:r>
        <w:t xml:space="preserve"> </w:t>
      </w:r>
      <w:r>
        <w:t>C. auris</w:t>
      </w:r>
      <w:r>
        <w:t xml:space="preserve"> </w:t>
      </w:r>
      <w:r>
        <w:t>colonization by signaling to keratinocytes and repressing epithelial antifungal defense programs. Genetic and biochemical approaches demonstrated that, in response to cues associated with the skin,</w:t>
      </w:r>
      <w:r>
        <w:t xml:space="preserve"> </w:t>
      </w:r>
      <w:r>
        <w:t>C. auris</w:t>
      </w:r>
      <w:r>
        <w:t xml:space="preserve"> </w:t>
      </w:r>
      <w:r>
        <w:t>increases cell wall chitin exposure, triggering type 1 immunity and promoting fungal persistence.</w:t>
      </w:r>
    </w:p>
    <w:p>
      <w:pPr>
        <w:spacing w:before="120" w:after="120"/>
      </w:pPr>
      <w:r>
        <w:rPr>
          <w:sz w:val="18"/>
        </w:rPr>
        <w:t>——————————————————————————————————————————————————————————————————————</w:t>
      </w:r>
    </w:p>
    <w:p>
      <w:pPr>
        <w:spacing w:before="160" w:after="40" w:line="240" w:lineRule="auto"/>
      </w:pPr>
      <w:r>
        <w:rPr>
          <w:b/>
        </w:rPr>
        <w:t xml:space="preserve">[667] </w:t>
      </w:r>
      <w:hyperlink r:id="rId1789">
        <w:r>
          <w:rPr>
            <w:color w:val="1155CC"/>
            <w:u w:val="single"/>
          </w:rPr>
          <w:t>细菌脂肪酸酶劫持核酸感应 Toll 样受体信号传导</w:t>
        </w:r>
      </w:hyperlink>
    </w:p>
    <w:p>
      <w:pPr>
        <w:spacing w:before="0" w:after="80"/>
      </w:pPr>
      <w:r>
        <w:rPr>
          <w:i/>
          <w:sz w:val="20"/>
        </w:rPr>
        <w:t>EN: A bacterial fatty acid enzyme hijacks nucleic acid–sensing Toll-like receptor signaling</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790">
        <w:r>
          <w:rPr>
            <w:color w:val="1155CC"/>
            <w:u w:val="single"/>
          </w:rPr>
          <w:t>10.1073/pnas.2620143123</w:t>
        </w:r>
      </w:hyperlink>
    </w:p>
    <w:p>
      <w:pPr>
        <w:spacing w:before="0" w:after="120"/>
      </w:pPr>
      <w:r>
        <w:rPr>
          <w:b/>
        </w:rPr>
        <w:t xml:space="preserve">Notes: </w:t>
      </w:r>
      <w:r>
        <w:t>abstract_source=crossref</w:t>
      </w:r>
    </w:p>
    <w:p>
      <w:pPr>
        <w:spacing w:before="0" w:after="80" w:lineRule="auto" w:line="276"/>
      </w:pPr>
      <w:r>
        <w:rPr>
          <w:b/>
        </w:rPr>
        <w:t xml:space="preserve">摘要（ZH）: </w:t>
      </w:r>
      <w:r>
        <w:t>先天免疫识别通过将微生物检测与宿主防御联系起来来塑造感染结果。尽管模式识别受体是根据它们检测的配体（脂质、肽聚糖或核酸）进行分类的，但这些途径之间的串扰越来越受到人们的认可。</w:t>
      </w:r>
      <w:r>
        <w:t xml:space="preserve"> </w:t>
      </w:r>
      <w:r>
        <w:t>金黄色葡萄球菌</w:t>
      </w:r>
      <w:r>
        <w:t xml:space="preserve"> </w:t>
      </w:r>
      <w:r>
        <w:t>是皮肤和软组织感染的主要原因，可以在细胞内持续存在，逃避免疫和抗生素。在这里，我们描述了一种基于脂质的免疫逃避策略，其中</w:t>
      </w:r>
      <w:r>
        <w:t xml:space="preserve"> </w:t>
      </w:r>
      <w:r>
        <w:t>金黄色葡萄球菌</w:t>
      </w:r>
      <w:r>
        <w:t xml:space="preserve"> </w:t>
      </w:r>
      <w:r>
        <w:t>油酸水合酶 (OhyA) 将宿主脂肪酸转化为羟基化脂质，拮抗 TLR3–TRIF–IRF7 信号传导（一条由双链 RNA 激活的途径）。删除</w:t>
      </w:r>
      <w:r>
        <w:t xml:space="preserve"> </w:t>
      </w:r>
      <w:r>
        <w:t>奥希A</w:t>
      </w:r>
      <w:r>
        <w:t xml:space="preserve"> </w:t>
      </w:r>
      <w:r>
        <w:t>释放这条通路，触发细菌快速清除，而 TLR3、TRIF 或 IRF7 的缺失则恢复了细菌的持久性，从而为抗病毒信号通路建立了非典型的抗菌作用。这些发现确定了细菌脂质代谢和抗病毒免疫机制之间以前未被认识的界面，强调了病原体如何操纵跨界信号传导来逃避细胞内免疫。</w:t>
      </w:r>
    </w:p>
    <w:p>
      <w:pPr>
        <w:spacing w:before="0" w:after="200" w:lineRule="auto" w:line="276"/>
      </w:pPr>
      <w:r>
        <w:rPr>
          <w:b/>
        </w:rPr>
        <w:t xml:space="preserve">Abstract (EN): </w:t>
      </w:r>
      <w:r>
        <w:t>Innate immune recognition shapes infection outcomes by linking microbial detection to host defense. Although pattern recognition receptors are classified by the ligands they detect (lipids, peptidoglycans, or nucleic acids) cross-talk between these pathways is increasingly recognized.</w:t>
      </w:r>
      <w:r>
        <w:t xml:space="preserve"> </w:t>
      </w:r>
      <w:r>
        <w:t>Staphylococcus aureus</w:t>
      </w:r>
      <w:r>
        <w:t xml:space="preserve"> </w:t>
      </w:r>
      <w:r>
        <w:t>, a major cause of skin and soft tissue infections, can persist intracellularly, evading immunity and antibiotics. Here, we describe a lipid-based immune evasion strategy in which the</w:t>
      </w:r>
      <w:r>
        <w:t xml:space="preserve"> </w:t>
      </w:r>
      <w:r>
        <w:t>S. aureus</w:t>
      </w:r>
      <w:r>
        <w:t xml:space="preserve"> </w:t>
      </w:r>
      <w:r>
        <w:t>enzyme oleate hydratase (OhyA) converts host fatty acids into hydroxylated lipids that antagonize TLR3–TRIF–IRF7 signaling, a pathway activated by double-stranded RNA. Deletion of</w:t>
      </w:r>
      <w:r>
        <w:t xml:space="preserve"> </w:t>
      </w:r>
      <w:r>
        <w:t>ohyA</w:t>
      </w:r>
      <w:r>
        <w:t xml:space="preserve"> </w:t>
      </w:r>
      <w:r>
        <w:t>unleashed this pathway, triggering rapid bacterial clearance, whereas loss of TLR3, TRIF, or IRF7 restored bacterial persistence, establishing a noncanonical antibacterial role for an antiviral signaling pathway. These findings identify a previously unrecognized interface between bacterial lipid metabolism and antiviral immune machinery, highlighting how pathogens manipulate cross-kingdom signaling to evade intracellular immunity.</w:t>
      </w:r>
    </w:p>
    <w:p>
      <w:pPr>
        <w:spacing w:before="120" w:after="120"/>
      </w:pPr>
      <w:r>
        <w:rPr>
          <w:sz w:val="18"/>
        </w:rPr>
        <w:t>——————————————————————————————————————————————————————————————————————</w:t>
      </w:r>
    </w:p>
    <w:p>
      <w:pPr>
        <w:spacing w:before="160" w:after="40" w:line="240" w:lineRule="auto"/>
      </w:pPr>
      <w:r>
        <w:rPr>
          <w:b/>
        </w:rPr>
        <w:t xml:space="preserve">[668] </w:t>
      </w:r>
      <w:hyperlink r:id="rId1791">
        <w:r>
          <w:rPr>
            <w:color w:val="1155CC"/>
            <w:u w:val="single"/>
          </w:rPr>
          <w:t>大脑导航回路中 θ 扫描的自适应调制</w:t>
        </w:r>
      </w:hyperlink>
    </w:p>
    <w:p>
      <w:pPr>
        <w:spacing w:before="0" w:after="80"/>
      </w:pPr>
      <w:r>
        <w:rPr>
          <w:i/>
          <w:sz w:val="20"/>
        </w:rPr>
        <w:t>EN: Adaptive modulation of theta sweeps in the brain’s navigation circuit</w:t>
      </w:r>
    </w:p>
    <w:p>
      <w:pPr>
        <w:spacing w:before="0" w:after="120"/>
      </w:pPr>
      <w:r>
        <w:rPr>
          <w:b/>
        </w:rPr>
        <w:t xml:space="preserve">Source: </w:t>
      </w:r>
      <w:r>
        <w:t>AAAS: Science: Table of Contents</w:t>
      </w:r>
      <w:r>
        <w:t xml:space="preserve">    </w:t>
      </w:r>
      <w:r>
        <w:rPr>
          <w:b/>
        </w:rPr>
        <w:t xml:space="preserve">Pub date: </w:t>
      </w:r>
      <w:r>
        <w:t>2026-08-06 07:00:00+00:00</w:t>
      </w:r>
      <w:r>
        <w:t xml:space="preserve">    </w:t>
      </w:r>
      <w:r>
        <w:rPr>
          <w:b/>
        </w:rPr>
        <w:t xml:space="preserve">DOI: </w:t>
      </w:r>
      <w:hyperlink r:id="rId1792">
        <w:r>
          <w:rPr>
            <w:color w:val="1155CC"/>
            <w:u w:val="single"/>
          </w:rPr>
          <w:t>10.1126/science.aef4184</w:t>
        </w:r>
      </w:hyperlink>
    </w:p>
    <w:p>
      <w:pPr>
        <w:spacing w:before="0" w:after="120"/>
      </w:pPr>
      <w:r>
        <w:rPr>
          <w:b/>
        </w:rPr>
        <w:t xml:space="preserve">Notes: </w:t>
      </w:r>
      <w:r>
        <w:t>abstract_source=crossref</w:t>
      </w:r>
    </w:p>
    <w:p>
      <w:pPr>
        <w:spacing w:before="0" w:after="80" w:lineRule="auto" w:line="276"/>
      </w:pPr>
      <w:r>
        <w:rPr>
          <w:b/>
        </w:rPr>
        <w:t xml:space="preserve">摘要（ZH）: </w:t>
      </w:r>
      <w:r>
        <w:t>高效的导航需要优先考虑来自行为相关位置的信息。在大鼠中，这种选择性采样可能源于网格和位置细胞群中的θ节奏扫描，这些细胞群以左右交替的模式扫描附近的空间，并由旁轴方向信号协调。这种交替促进了探索过程中均匀的空间覆盖，但扫描是否可以灵活地调整以满足即时需求仍然未知。通过对自由行为的老鼠进行大规模神经像素记录，我们发现扫描和方向信号是快速动态调节的：它们在追逐过程中跟踪移动目标，在静止过程中先于定向反应，并在向后运动过程中反向——所有这些都不需要事先对目标位置进行空间学习。类似的调节发生在快速眼动 (REM) 睡眠期间。总之，这些发现将扫描确定为一种灵活的、类似注意力的机制，用于选择性地采样异中心认知图。</w:t>
      </w:r>
    </w:p>
    <w:p>
      <w:pPr>
        <w:spacing w:before="0" w:after="200" w:lineRule="auto" w:line="276"/>
      </w:pPr>
      <w:r>
        <w:rPr>
          <w:b/>
        </w:rPr>
        <w:t xml:space="preserve">Abstract (EN): </w:t>
      </w:r>
      <w:r>
        <w:t>Efficient navigation requires prioritizing information from behaviorally relevant locations. In rats, such selective sampling may arise from theta-paced sweeps in grid and place cell populations, which scan nearby space in a left-right alternating pattern coordinated by parasubicular direction signals. This alternation promotes uniform spatial coverage during exploration, but whether sweeps can be flexibly tuned to moment-to-moment demands remains unknown. Using large-scale Neuropixels recordings in freely behaving rats, we show that sweeps and direction signals are rapidly and dynamically modulated: They track moving targets during pursuit, precede orienting responses during immobility, and reverse during backward locomotion—all without prior spatial learning of goal locations. Comparable modulation occurs during rapid eye movement (REM) sleep. Together, these findings identify sweeps as a flexible, attention-like mechanism for selectively sampling allocentric cognitive maps.</w:t>
      </w:r>
    </w:p>
    <w:p>
      <w:pPr>
        <w:spacing w:before="120" w:after="120"/>
      </w:pPr>
      <w:r>
        <w:rPr>
          <w:sz w:val="18"/>
        </w:rPr>
        <w:t>——————————————————————————————————————————————————————————————————————</w:t>
      </w:r>
    </w:p>
    <w:p>
      <w:pPr>
        <w:spacing w:before="160" w:after="40" w:line="240" w:lineRule="auto"/>
      </w:pPr>
      <w:r>
        <w:rPr>
          <w:b/>
        </w:rPr>
        <w:t xml:space="preserve">[669] </w:t>
      </w:r>
      <w:hyperlink r:id="rId1793">
        <w:r>
          <w:rPr>
            <w:color w:val="1155CC"/>
            <w:u w:val="single"/>
          </w:rPr>
          <w:t>通过烯烃自由基阳离子生成进行烷基 C-X 合成子的邻位取代</w:t>
        </w:r>
      </w:hyperlink>
    </w:p>
    <w:p>
      <w:pPr>
        <w:spacing w:before="0" w:after="80"/>
      </w:pPr>
      <w:r>
        <w:rPr>
          <w:i/>
          <w:sz w:val="20"/>
        </w:rPr>
        <w:t>EN: Vicinal disubstitution of alkyl C–X synthons via alkene radical cation generation</w:t>
      </w:r>
    </w:p>
    <w:p>
      <w:pPr>
        <w:spacing w:before="0" w:after="120"/>
      </w:pPr>
      <w:r>
        <w:rPr>
          <w:b/>
        </w:rPr>
        <w:t xml:space="preserve">Source: </w:t>
      </w:r>
      <w:r>
        <w:t>AAAS: Science: Table of Contents</w:t>
      </w:r>
      <w:r>
        <w:t xml:space="preserve">    </w:t>
      </w:r>
      <w:r>
        <w:rPr>
          <w:b/>
        </w:rPr>
        <w:t xml:space="preserve">Pub date: </w:t>
      </w:r>
      <w:r>
        <w:t>2026-08-06 07:00:00+00:00</w:t>
      </w:r>
      <w:r>
        <w:t xml:space="preserve">    </w:t>
      </w:r>
      <w:r>
        <w:rPr>
          <w:b/>
        </w:rPr>
        <w:t xml:space="preserve">DOI: </w:t>
      </w:r>
      <w:hyperlink r:id="rId1794">
        <w:r>
          <w:rPr>
            <w:color w:val="1155CC"/>
            <w:u w:val="single"/>
          </w:rPr>
          <w:t>10.1126/science.aef0766</w:t>
        </w:r>
      </w:hyperlink>
    </w:p>
    <w:p>
      <w:pPr>
        <w:spacing w:before="0" w:after="120"/>
      </w:pPr>
      <w:r>
        <w:rPr>
          <w:b/>
        </w:rPr>
        <w:t xml:space="preserve">Notes: </w:t>
      </w:r>
      <w:r>
        <w:t>abstract_source=crossref</w:t>
      </w:r>
    </w:p>
    <w:p>
      <w:pPr>
        <w:spacing w:before="0" w:after="80" w:lineRule="auto" w:line="276"/>
      </w:pPr>
      <w:r>
        <w:rPr>
          <w:b/>
        </w:rPr>
        <w:t xml:space="preserve">摘要（ZH）: </w:t>
      </w:r>
      <w:r>
        <w:t>在有机化学中，两个相邻碳的官能化通常从烯烃或已经二取代的前体开始。在这里，我们报告了一种放能激活模式，可直接从单官能 C(sp</w:t>
      </w:r>
      <w:r>
        <w:rPr>
          <w:vertAlign w:val="subscript"/>
        </w:rPr>
        <w:t>3</w:t>
      </w:r>
      <w:r>
        <w:t>)–X 通过光氧化还原触发的氢原子抽象 (HAT) 和自旋中心转移 (SCS) 过程进行处理。计算表明，电子离域和氢键溶剂分子网络促进了协调一致的 [HAT+SCS] 机制。该催化平台用于设计亲电反应性（C-X）从一种碳转移到另一种碳，我们将其称为亲电穿梭。因此，两种亲核试剂可用于从同型苄基 C-X 合成子构建 1,2-双官能化加合物，提供双唑结构并证明与其他亲核试剂类别的兼容性。我们开发了一套不同于传统合成逻辑的转换，其中烷基 C-X 支架仅限于单位点取代，现在将它们转变为用于构建邻位复杂性的非直观前体。</w:t>
      </w:r>
    </w:p>
    <w:p>
      <w:pPr>
        <w:spacing w:before="0" w:after="200" w:lineRule="auto" w:line="276"/>
      </w:pPr>
      <w:r>
        <w:rPr>
          <w:b/>
        </w:rPr>
        <w:t xml:space="preserve">Abstract (EN): </w:t>
      </w:r>
      <w:r>
        <w:t>In organic chemistry, functionalization of two adjacent carbons often starts from alkenes or already disubstituted precursors. Here, we report an exergonic activation mode that directly generates alkene radical cation intermediates from monofunctional C(sp</w:t>
      </w:r>
      <w:r>
        <w:rPr>
          <w:vertAlign w:val="subscript"/>
        </w:rPr>
        <w:t>3</w:t>
      </w:r>
      <w:r>
        <w:t>)–X handles through a photoredox-triggered hydrogen-atom abstraction (HAT) and spin-center shift (SCS) process. Computations show that electron delocalization and a network of hydrogen-bonding solvent molecules facilitate a concerted [HAT+SCS] mechanism. The catalytic platform was used to design a transfer of electrophilic reactivity (C–X) from one carbon to another, which we refer to as electrophilic shuttling. Thus, two nucleophiles can be used in the construction of 1,2-difunctionalization adducts from homobenzylic C–X synthons, delivering bisazole architectures and demonstrating compatibility with other nucleophile classes. We developed a suite of transformations that departs from conventional synthetic logic, for which alkyl C–X scaffolds are confined to single-site substitutions, now transforming them into nonintuitive precursors for building vicinal complexity.</w:t>
      </w:r>
    </w:p>
    <w:p>
      <w:pPr>
        <w:spacing w:before="120" w:after="120"/>
      </w:pPr>
      <w:r>
        <w:rPr>
          <w:sz w:val="18"/>
        </w:rPr>
        <w:t>——————————————————————————————————————————————————————————————————————</w:t>
      </w:r>
    </w:p>
    <w:p>
      <w:pPr>
        <w:spacing w:before="160" w:after="40" w:line="240" w:lineRule="auto"/>
      </w:pPr>
      <w:r>
        <w:rPr>
          <w:b/>
        </w:rPr>
        <w:t xml:space="preserve">[670] </w:t>
      </w:r>
      <w:hyperlink r:id="rId1795">
        <w:r>
          <w:rPr>
            <w:color w:val="1155CC"/>
            <w:u w:val="single"/>
          </w:rPr>
          <w:t>聚集动力学定义 IAPP 蛋白毒性的时间窗口</w:t>
        </w:r>
      </w:hyperlink>
    </w:p>
    <w:p>
      <w:pPr>
        <w:spacing w:before="0" w:after="80"/>
      </w:pPr>
      <w:r>
        <w:rPr>
          <w:i/>
          <w:sz w:val="20"/>
        </w:rPr>
        <w:t>EN: Aggregation kinetics define the temporal window of IAPP proteotoxicity</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796">
        <w:r>
          <w:rPr>
            <w:color w:val="1155CC"/>
            <w:u w:val="single"/>
          </w:rPr>
          <w:t>10.1073/pnas.2615786123</w:t>
        </w:r>
      </w:hyperlink>
    </w:p>
    <w:p>
      <w:pPr>
        <w:spacing w:before="0" w:after="120"/>
      </w:pPr>
      <w:r>
        <w:rPr>
          <w:b/>
        </w:rPr>
        <w:t xml:space="preserve">Notes: </w:t>
      </w:r>
      <w:r>
        <w:t>abstract_source=crossref</w:t>
      </w:r>
    </w:p>
    <w:p>
      <w:pPr>
        <w:spacing w:before="0" w:after="80" w:lineRule="auto" w:line="276"/>
      </w:pPr>
      <w:r>
        <w:rPr>
          <w:b/>
        </w:rPr>
        <w:t xml:space="preserve">摘要（ZH）: </w:t>
      </w:r>
      <w:r>
        <w:t>胰岛淀粉样蛋白多肽 (IAPP) 聚集形成淀粉样蛋白会导致 2 型糖尿病中的 β 细胞功能障碍，但有毒物质的身份和时间持续性尚未解决。竞争模型将毒性归因于成熟原纤维、原纤维生长或在滞后期或通过二次成核形成的瞬时前原纤维中间体。在这里，我们通过将时间分辨的 β 细胞功能测定与跨多个扰动和序列变体的 IAPP 聚集的同步生物物理测量相结合来直接测试这些模型。在 22 项独立实验中，滞后时间范围超过 450 倍，我们发现最大毒性发生在滞后阶段，并随着原纤维积累而下降。 β细胞功能障碍的持续时间与滞后期长度呈线性关系，建立聚集动力学作为毒性发生、峰值和终止的定量预测因子。改变聚集动力学的扰动，包括浓度、温度和序列，可以预见地改变毒性的时间窗口。与糖尿病相关的 S20G 变体在压缩的时间窗口内产生更高的峰值毒性，而较慢聚集的变体则在不增加其强度的情况下延长毒性。这些结果通过证明短暂的滞后期中间体而不是生长期过程或成熟原纤维主导β细胞功能障碍来解决竞争模型，并建立聚集动力学作为细胞暴露于有毒中间体的时间和持续时间的预测因子。</w:t>
      </w:r>
    </w:p>
    <w:p>
      <w:pPr>
        <w:spacing w:before="0" w:after="200" w:lineRule="auto" w:line="276"/>
      </w:pPr>
      <w:r>
        <w:rPr>
          <w:b/>
        </w:rPr>
        <w:t xml:space="preserve">Abstract (EN): </w:t>
      </w:r>
      <w:r>
        <w:t>Aggregation of islet amyloid polypeptide (IAPP) to form amyloid contributes to β-cell dysfunction in type 2 diabetes, yet the identity and temporal persistence of the toxic species is unresolved. Competing models attribute toxicity to mature fibrils, fibril growth, or transient prefibrillar intermediates formed during the lag phase or via secondary nucleation. Here, we directly test these models by combining time-resolved β-cell functional assays with concurrent biophysical measurements of IAPP aggregation across multiple perturbations and sequence variants. Across 22 independent experiments spanning more than a 450-fold range in lag times, we find that maximal toxicity occurs during the lag phase and declines as fibrils accumulate. The duration of β-cell dysfunction scales linearly with lag phase length, establishing aggregation kinetics as a quantitative predictor of the onset, peak, and termination of toxicity. Perturbations that alter aggregation kinetics, including concentration, temperature, and sequence, predictably shift the temporal window of toxicity. The diabetes-associated S20G variant produces higher peak toxicity over a compressed time window, whereas the slower-aggregating variants examined prolong toxicity without increasing its magnitude. These results resolve competing models by demonstrating that transient lag-phase intermediates, rather than growth phase processes or mature fibrils, dominate β-cell dysfunction, and establish aggregation kinetics as a predictor of the timing and duration of cellular exposure to toxic intermediates.</w:t>
      </w:r>
    </w:p>
    <w:p>
      <w:pPr>
        <w:spacing w:before="120" w:after="120"/>
      </w:pPr>
      <w:r>
        <w:rPr>
          <w:sz w:val="18"/>
        </w:rPr>
        <w:t>——————————————————————————————————————————————————————————————————————</w:t>
      </w:r>
    </w:p>
    <w:p>
      <w:pPr>
        <w:spacing w:before="160" w:after="40" w:line="240" w:lineRule="auto"/>
      </w:pPr>
      <w:r>
        <w:rPr>
          <w:b/>
        </w:rPr>
        <w:t xml:space="preserve">[671] </w:t>
      </w:r>
      <w:hyperlink r:id="rId1797">
        <w:r>
          <w:rPr>
            <w:color w:val="1155CC"/>
            <w:u w:val="single"/>
          </w:rPr>
          <w:t>科学与政策之间的桥梁：IPBES 如何重新定义全球保护政策及其社会影响之路</w:t>
        </w:r>
      </w:hyperlink>
    </w:p>
    <w:p>
      <w:pPr>
        <w:spacing w:before="0" w:after="80"/>
      </w:pPr>
      <w:r>
        <w:rPr>
          <w:i/>
          <w:sz w:val="20"/>
        </w:rPr>
        <w:t>EN: The bridge between science and policy: How IPBES redefined global conservation policy and its path to societal impact</w:t>
      </w:r>
    </w:p>
    <w:p>
      <w:pPr>
        <w:spacing w:before="0" w:after="120"/>
      </w:pPr>
      <w:r>
        <w:rPr>
          <w:b/>
        </w:rPr>
        <w:t xml:space="preserve">Source: </w:t>
      </w:r>
      <w:r>
        <w:t>AAAS: Science: Table of Contents</w:t>
      </w:r>
      <w:r>
        <w:t xml:space="preserve">    </w:t>
      </w:r>
      <w:r>
        <w:rPr>
          <w:b/>
        </w:rPr>
        <w:t xml:space="preserve">Pub date: </w:t>
      </w:r>
      <w:r>
        <w:t>2026-08-06 07:00:00+00:00</w:t>
      </w:r>
      <w:r>
        <w:t xml:space="preserve">    </w:t>
      </w:r>
      <w:r>
        <w:rPr>
          <w:b/>
        </w:rPr>
        <w:t xml:space="preserve">DOI: </w:t>
      </w:r>
      <w:hyperlink r:id="rId1798">
        <w:r>
          <w:rPr>
            <w:color w:val="1155CC"/>
            <w:u w:val="single"/>
          </w:rPr>
          <w:t>10.1126/science.aek0207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[672] </w:t>
      </w:r>
      <w:hyperlink r:id="rId1799">
        <w:r>
          <w:rPr>
            <w:color w:val="1155CC"/>
            <w:u w:val="single"/>
          </w:rPr>
          <w:t>AI 驱动的 PROTAC 设计通过消除 CLIP1-LTK 融合蛋白来克服致癌弹性</w:t>
        </w:r>
      </w:hyperlink>
    </w:p>
    <w:p>
      <w:pPr>
        <w:spacing w:before="0" w:after="80"/>
      </w:pPr>
      <w:r>
        <w:rPr>
          <w:i/>
          <w:sz w:val="20"/>
        </w:rPr>
        <w:t>EN: AI-driven PROTAC design overcomes oncogenic resilience by eliminating the CLIP1–LTK fusion protein</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800">
        <w:r>
          <w:rPr>
            <w:color w:val="1155CC"/>
            <w:u w:val="single"/>
          </w:rPr>
          <w:t>10.1073/pnas.2535979123</w:t>
        </w:r>
      </w:hyperlink>
    </w:p>
    <w:p>
      <w:pPr>
        <w:spacing w:before="0" w:after="120"/>
      </w:pPr>
      <w:r>
        <w:rPr>
          <w:b/>
        </w:rPr>
        <w:t xml:space="preserve">Notes: </w:t>
      </w:r>
      <w:r>
        <w:t>abstract_source=crossref</w:t>
      </w:r>
    </w:p>
    <w:p>
      <w:pPr>
        <w:spacing w:before="0" w:after="80" w:lineRule="auto" w:line="276"/>
      </w:pPr>
      <w:r>
        <w:rPr>
          <w:b/>
        </w:rPr>
        <w:t xml:space="preserve">摘要（ZH）: </w:t>
      </w:r>
      <w:r>
        <w:t>含 CAP-Gly 结构域的连接蛋白 1 (CLIP1)-白细胞酪氨酸激酶 (LTK) 作为致癌融合蛋白的发现揭示了其独特的依赖性，不仅依赖于 LTK 激酶活性，而且依赖于 CLIP1 介导的多聚化，这是一种驱动致癌信号传导的非催化功能。虽然这种融合目前以间变性淋巴瘤激酶抑制剂为目标，但它们对激酶抑制的专门关注使支架功能保持完整，因此需要完整的蛋白质清除策略。在这里，我们报告了人工智能引导开发的一流蛋白水解靶向嵌合体（PROTAC），旨在选择性降解 CLIP1-LTK 融合蛋白。通过将三元复杂预测的深度学习模型与基于结构的分子优化相结合，我们设计了 DCL05，一种 CLIP1-LTK 融合蛋白的口服生物可利用降解剂，实现了皮摩尔降解效力（DC</w:t>
      </w:r>
      <w:r>
        <w:rPr>
          <w:vertAlign w:val="subscript"/>
        </w:rPr>
        <w:t>50</w:t>
      </w:r>
      <w:r>
        <w:t>= 40 pM）和强大的抗肿瘤活性。在体外和体内，DCL05 在广泛的 LTK 耐药相关突变中始终优于现有激酶抑制剂。总的来说，我们的研究探索了 LTK 的耐药相关背景，并建立了结构引导的 PROTAC 开发管道，为克服激酶驱动的癌症的获得性耐药提供了一种有前景的治疗策略。</w:t>
      </w:r>
    </w:p>
    <w:p>
      <w:pPr>
        <w:spacing w:before="0" w:after="200" w:lineRule="auto" w:line="276"/>
      </w:pPr>
      <w:r>
        <w:rPr>
          <w:b/>
        </w:rPr>
        <w:t xml:space="preserve">Abstract (EN): </w:t>
      </w:r>
      <w:r>
        <w:t>The discovery of CAP-Gly domain-containing linker protein 1(CLIP1)–Leukocyte tyrosine kinase (LTK) as an oncogenic fusion reveals a unique dependency not only on LTK kinase activity but also on CLIP1-mediated multimerization, a noncatalytic function that drives oncogenic signaling. While this fusion is currently targeted with anaplastic lymphoma kinase inhibitors, their exclusive focus on kinase inhibition leaves the scaffolding function intact, necessitating a complete protein clearance strategy. Here, we report the AI-guided development of a first-in-class proteolysis-targeting chimera (PROTAC) designed to selectively degrade the CLIP1–LTK fusion protein. By integrating deep learning models for ternary complex prediction with structure-based molecular optimization, we designed DCL05, an orally bioavailable degrader of CLIP1–LTK fusion protein, achieving picomolar degradation potency (DC</w:t>
      </w:r>
      <w:r>
        <w:rPr>
          <w:vertAlign w:val="subscript"/>
        </w:rPr>
        <w:t>50</w:t>
      </w:r>
      <w:r>
        <w:t>= 40 pM) and robust antitumor activity. DCL05 consistently outperformed existing kinase inhibitors across a broad spectrum of LTK resistance-associated mutations, both in vitro and in vivo. Collectively, our study explores resistance-associated contexts of LTK and establishes a structure-guided PROTAC development pipeline, providing a promising therapeutic strategy for overcoming acquired resistance in kinase-driven cancers.</w:t>
      </w:r>
    </w:p>
    <w:p>
      <w:pPr>
        <w:spacing w:before="120" w:after="120"/>
      </w:pPr>
      <w:r>
        <w:rPr>
          <w:sz w:val="18"/>
        </w:rPr>
        <w:t>——————————————————————————————————————————————————————————————————————</w:t>
      </w:r>
    </w:p>
    <w:p>
      <w:pPr>
        <w:spacing w:before="160" w:after="40" w:line="240" w:lineRule="auto"/>
      </w:pPr>
      <w:r>
        <w:rPr>
          <w:b/>
        </w:rPr>
        <w:t xml:space="preserve">[673] </w:t>
      </w:r>
      <w:hyperlink r:id="rId1801">
        <w:r>
          <w:rPr>
            <w:color w:val="1155CC"/>
            <w:u w:val="single"/>
          </w:rPr>
          <w:t>大城市的隐性偏见改变得更慢</w:t>
        </w:r>
      </w:hyperlink>
    </w:p>
    <w:p>
      <w:pPr>
        <w:spacing w:before="0" w:after="80"/>
      </w:pPr>
      <w:r>
        <w:rPr>
          <w:i/>
          <w:sz w:val="20"/>
        </w:rPr>
        <w:t>EN: Implicit biases change more slowly in larger cities</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802">
        <w:r>
          <w:rPr>
            <w:color w:val="1155CC"/>
            <w:u w:val="single"/>
          </w:rPr>
          <w:t>10.1073/pnas.2514189123</w:t>
        </w:r>
      </w:hyperlink>
    </w:p>
    <w:p>
      <w:pPr>
        <w:spacing w:before="0" w:after="120"/>
      </w:pPr>
      <w:r>
        <w:rPr>
          <w:b/>
        </w:rPr>
        <w:t xml:space="preserve">Notes: </w:t>
      </w:r>
      <w:r>
        <w:t>abstract_source=crossref</w:t>
      </w:r>
    </w:p>
    <w:p>
      <w:pPr>
        <w:spacing w:before="0" w:after="80" w:lineRule="auto" w:line="276"/>
      </w:pPr>
      <w:r>
        <w:rPr>
          <w:b/>
        </w:rPr>
        <w:t xml:space="preserve">摘要（ZH）: </w:t>
      </w:r>
      <w:r>
        <w:t>尽管平等得到广泛认可，但隐性偏见仍然是歧视的一个因素。尽管在过去二十年里，性、种族和肤色偏见大幅减少，但目前仍缺乏描述偏见如何以及为何发生变化的定量理论。在这里，我提出了一种隐性偏见变化理论，该理论重点关注文化信息造成的暴露变化以及这些变化的速度如何因地理位置而变化。与之前的研究结果相比，该模型做出了违反直觉的预测，包括 1) 大城市的偏见变化更慢，2) 一次性干预措施在大城市的效果较差。我使用 1400 万次对 14 岁以上美国居民的隐性偏见进行的测试以及来自 1150 人的实验数据来证实这些预测。记录控制隐性偏见变化的典型时间尺度和模式是设计干预措施的重要一步，这些干预措施可以促进进一步减少偏见并防止偏见增加。</w:t>
      </w:r>
    </w:p>
    <w:p>
      <w:pPr>
        <w:spacing w:before="0" w:after="200" w:lineRule="auto" w:line="276"/>
      </w:pPr>
      <w:r>
        <w:rPr>
          <w:b/>
        </w:rPr>
        <w:t xml:space="preserve">Abstract (EN): </w:t>
      </w:r>
      <w:r>
        <w:t>Implicit biases remain a contributor to discrimination despite widespread endorsement of equality. Although there has been a large-scale reduction in sexuality, race, and skin tone biases in the past two decades, there is a current shortage of quantitative theories that describe how and why biases change. Here, I present a theory of implicit bias change, which focuses on changes in exposure due to cultural information and how the speed of these changes varies geographically. This model makes counterintuitive predictions when compared with previous findings, including 1) that biases change more slowly in larger cities and 2) that one-off interventions are less effective in larger cities. I confirm these predictions using 14 million tests of implicit biases from U.S. residents over 14 y and experimental data from 1,150 individuals. Documenting the typical timescales and patterns that govern implicit bias change is an important step toward designing interventions that can facilitate further reductions in biases and prevent biases from increasing.</w:t>
      </w:r>
    </w:p>
    <w:p>
      <w:pPr>
        <w:spacing w:before="120" w:after="120"/>
      </w:pPr>
      <w:r>
        <w:rPr>
          <w:sz w:val="18"/>
        </w:rPr>
        <w:t>——————————————————————————————————————————————————————————————————————</w:t>
      </w:r>
    </w:p>
    <w:p>
      <w:pPr>
        <w:spacing w:before="160" w:after="40" w:line="240" w:lineRule="auto"/>
      </w:pPr>
      <w:r>
        <w:rPr>
          <w:b/>
        </w:rPr>
        <w:t xml:space="preserve">[674] </w:t>
      </w:r>
      <w:hyperlink r:id="rId1803">
        <w:r>
          <w:rPr>
            <w:color w:val="1155CC"/>
            <w:u w:val="single"/>
          </w:rPr>
          <w:t>聚合酶ι促进吸烟模型和铂化疗诱导的SBS31突变特征中的C&gt;T替代</w:t>
        </w:r>
      </w:hyperlink>
    </w:p>
    <w:p>
      <w:pPr>
        <w:spacing w:before="0" w:after="80"/>
      </w:pPr>
      <w:r>
        <w:rPr>
          <w:i/>
          <w:sz w:val="20"/>
        </w:rPr>
        <w:t>EN: Polymerase ι promotes C&gt;T substitutions in smoking models and in the platinum chemotherapy–induced SBS31 mutation signature</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804">
        <w:r>
          <w:rPr>
            <w:color w:val="1155CC"/>
            <w:u w:val="single"/>
          </w:rPr>
          <w:t>10.1073/pnas.2526551123</w:t>
        </w:r>
      </w:hyperlink>
    </w:p>
    <w:p>
      <w:pPr>
        <w:spacing w:before="0" w:after="120"/>
      </w:pPr>
      <w:r>
        <w:rPr>
          <w:b/>
        </w:rPr>
        <w:t xml:space="preserve">Notes: </w:t>
      </w:r>
      <w:r>
        <w:t>abstract_source=crossref</w:t>
      </w:r>
    </w:p>
    <w:p>
      <w:pPr>
        <w:spacing w:before="0" w:after="80" w:lineRule="auto" w:line="276"/>
      </w:pPr>
      <w:r>
        <w:rPr>
          <w:b/>
        </w:rPr>
        <w:t xml:space="preserve">摘要（ZH）: </w:t>
      </w:r>
      <w:r>
        <w:t>DNA 损伤偶尔会通过跨损伤合成 (TLS)（一种有效但容易出错的 DNA 损伤耐受途径）在 DNA 修复熟练的细胞中导致突变。在人类基因组中，存在三种密切相关的 Y 家族 TLS 聚合酶（η、κ 和 ι）。聚合酶 η 专门用于 UV 加合物的无差错复制，而聚合酶 κ 则已知可在各种杂环 DNA 加合物上进行复制。聚合酶 ι 的功能不太清楚，几个脊椎动物进化枝、酵母、大多数鸟类和植物都缺失该基因。使用野生型和 TLS 聚合酶（</w:t>
      </w:r>
      <w:r>
        <w:t xml:space="preserve"> </w:t>
      </w:r>
      <w:r>
        <w:t>波尔赫</w:t>
      </w:r>
      <w:r>
        <w:t xml:space="preserve"> </w:t>
      </w:r>
      <w:r>
        <w:t>,</w:t>
      </w:r>
      <w:r>
        <w:t xml:space="preserve"> </w:t>
      </w:r>
      <w:r>
        <w:t>波尔克</w:t>
      </w:r>
      <w:r>
        <w:t xml:space="preserve"> </w:t>
      </w:r>
      <w:r>
        <w:t>,</w:t>
      </w:r>
      <w:r>
        <w:t xml:space="preserve"> </w:t>
      </w:r>
      <w:r>
        <w:t>波利</w:t>
      </w:r>
      <w:r>
        <w:t xml:space="preserve"> </w:t>
      </w:r>
      <w:r>
        <w:t>）敲除人类 TK6 和 RPE-1 细胞系并进行全基因组测序，我们将这些聚合酶与常见化疗药物顺铂和模拟烟雾化合物 4-硝基喹啉-1-氧化物 (4-NQO) 诱导的诱变联系起来。我们发现聚合酶 ι 在顺铂和 4-NQO 病变处特异性引入 C&gt;T 突变，这在另外两个细胞系中得到了证实。使用非负矩阵分解，我们得出了聚合酶ι特异性碱基替换特征，其对应于COSMIC癌症突变特征SBS31，余弦相似度为0.97。通过分析 3500 多个人类转移性肿瘤的突变谱，我们发现铂处理样本中的 SBS31 和吸烟相关癌症中的 SBS92 与聚合酶 ι 表达相关。我们的研究表明聚合酶 ι 具有体内诱变功能，并强调了其作用</w:t>
      </w:r>
    </w:p>
    <w:p>
      <w:pPr>
        <w:spacing w:before="0" w:after="200" w:lineRule="auto" w:line="276"/>
      </w:pPr>
      <w:r>
        <w:rPr>
          <w:b/>
        </w:rPr>
        <w:t xml:space="preserve">Abstract (EN): </w:t>
      </w:r>
      <w:r>
        <w:t>DNA damage occasionally leads to mutations even in DNA repair–proficient cells via translesion synthesis (TLS), an efficient but error-prone DNA damage tolerance pathway. In the human genome, there are three closely related Y-family TLS polymerases (η, κ, and ι). Polymerase η is specialized for the error-free replication of UV adducts, while polymerase κ is known to replicate over various heterocyclic DNA adducts. The function of polymerase ι is less clear and this gene is missing from several vertebrate clades, yeast, most birds, and plants. Using wild-type and TLS polymerase (</w:t>
      </w:r>
      <w:r>
        <w:t xml:space="preserve"> </w:t>
      </w:r>
      <w:r>
        <w:t>POLH</w:t>
      </w:r>
      <w:r>
        <w:t xml:space="preserve"> </w:t>
      </w:r>
      <w:r>
        <w:t>,</w:t>
      </w:r>
      <w:r>
        <w:t xml:space="preserve"> </w:t>
      </w:r>
      <w:r>
        <w:t>POLK</w:t>
      </w:r>
      <w:r>
        <w:t xml:space="preserve"> </w:t>
      </w:r>
      <w:r>
        <w:t>,</w:t>
      </w:r>
      <w:r>
        <w:t xml:space="preserve"> </w:t>
      </w:r>
      <w:r>
        <w:t>POLI</w:t>
      </w:r>
      <w:r>
        <w:t xml:space="preserve"> </w:t>
      </w:r>
      <w:r>
        <w:t>) knockout human TK6 and RPE-1 cell lines and whole genome sequencing, we associate these polymerases to mutagenesis induced by the common chemotherapy agent cisplatin and the smoke-mimicking compound 4-nitroquinoline-1-oxide (4-NQO). We found that polymerase ι specifically introduces C&amp;gt;T mutations at both cisplatin and 4-NQO lesions, confirmed in two further cell lines. Using non-negative matrix factorization, we derived a polymerase ι–specific base substitution signature, which corresponds to COSMIC cancer mutational signature SBS31 with a cosine similarity of 0.97. By analyzing the mutational spectra in more than 3500 human metastatic tumors, we showed that SBS31 in platinum-treated samples and SBS92 in smoking-related cancers is associated with polymerase ι expression. Our study suggests an in vivo mutagenic function for polymerase ι and highlights its role in tissue-dependent chemotherapy–induced mutagenesis that may contribute to tumor heterogeneity.</w:t>
      </w:r>
    </w:p>
    <w:p>
      <w:pPr>
        <w:spacing w:before="120" w:after="120"/>
      </w:pPr>
      <w:r>
        <w:rPr>
          <w:sz w:val="18"/>
        </w:rPr>
        <w:t>——————————————————————————————————————————————————————————————————————</w:t>
      </w:r>
    </w:p>
    <w:p>
      <w:pPr>
        <w:spacing w:before="160" w:after="40" w:line="240" w:lineRule="auto"/>
      </w:pPr>
      <w:r>
        <w:rPr>
          <w:b/>
        </w:rPr>
        <w:t xml:space="preserve">[675] </w:t>
      </w:r>
      <w:hyperlink r:id="rId1805">
        <w:r>
          <w:rPr>
            <w:color w:val="1155CC"/>
            <w:u w:val="single"/>
          </w:rPr>
          <w:t>多功能微型机器人：利用磁性微粒的光热效应进行光和磁控制</w:t>
        </w:r>
      </w:hyperlink>
    </w:p>
    <w:p>
      <w:pPr>
        <w:spacing w:before="0" w:after="80"/>
      </w:pPr>
      <w:r>
        <w:rPr>
          <w:i/>
          <w:sz w:val="20"/>
        </w:rPr>
        <w:t>EN: Multifunctional miniature robots: Harnessing the photothermal effect of magnetic microparticles for light and magnetic control</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806">
        <w:r>
          <w:rPr>
            <w:color w:val="1155CC"/>
            <w:u w:val="single"/>
          </w:rPr>
          <w:t>10.1073/pnas.2610882123</w:t>
        </w:r>
      </w:hyperlink>
    </w:p>
    <w:p>
      <w:pPr>
        <w:spacing w:before="0" w:after="120"/>
      </w:pPr>
      <w:r>
        <w:rPr>
          <w:b/>
        </w:rPr>
        <w:t xml:space="preserve">Notes: </w:t>
      </w:r>
      <w:r>
        <w:t>abstract_source=crossref</w:t>
      </w:r>
    </w:p>
    <w:p>
      <w:pPr>
        <w:spacing w:before="0" w:after="80" w:lineRule="auto" w:line="276"/>
      </w:pPr>
      <w:r>
        <w:rPr>
          <w:b/>
        </w:rPr>
        <w:t xml:space="preserve">摘要（ZH）: </w:t>
      </w:r>
      <w:r>
        <w:t>在复杂环境中开发具有多模式移动性的微型机器人仍然具有挑战性。本研究开发了基于磁性颗粒掺杂液晶弹性体（LCE）的微型机器人，该机器人集成了多组分功能掺杂材料和 LCE 分子取向工程。由于具有光热效应的磁性颗粒和5CB增塑剂的协同引入，该机器人在陆地和水下环境中都表现出快速的光热响应。在陆地环境中，设计的光磁双场耦合策略重塑了机器人的物理边界，提高了机器人的越障能力，实现了非对称全方向双模跳跃。在水下环境中，机器人利用频率激光扑动诱导尾流涡环来克服适度的雷诺数阻力。特别是，利用局部光场的空间分辨率，通过切换照射位置打破流体对称性，成功实现了高效的定向推进和灵活的转向控制，大大缓解了全局施加磁场的空间控制限制。最后，我们展示了设计的微型机器人在高精度癌细胞靶向光热治疗方面的潜在应用。我们预计新开发的双响应多功能微型机器人将在靶向药物输送和微创手术等医疗领域得到广泛的应用。</w:t>
      </w:r>
    </w:p>
    <w:p>
      <w:pPr>
        <w:spacing w:before="0" w:after="200" w:lineRule="auto" w:line="276"/>
      </w:pPr>
      <w:r>
        <w:rPr>
          <w:b/>
        </w:rPr>
        <w:t xml:space="preserve">Abstract (EN): </w:t>
      </w:r>
      <w:r>
        <w:t>Developing miniature robots with multimodal mobility in complex environments remains challenging. This study developed miniature robots based on magnetic particle–doped liquid crystal elastomers (LCEs) that integrate multicomponent functional doped materials and LCE molecular orientation engineering. Thanks to the synergistic introduction of magnetic particles with photothermal effects and 5CB plasticizer, the robot exhibits fast photothermal response in both terrestrial and underwater environments. In the terrestrial environment, the designed photomagnetic dual-field coupling strategy reshapes the physical boundaries of robots, improving their obstacle-crossing ability and achieving asymmetric full-orientation dual-mode jumping. In the underwater environment, the robot utilizes frequency laser flapping to induce wake vortex rings to overcome moderate Reynolds number drag. Especially, by utilizing the spatial resolution of the local light field, it successfully achieves efficient directional propulsion and flexible steering control by switching the irradiation position to break fluid symmetry, substantially alleviating the spatial-control limitations of globally applied magnetic fields. Finally, we demonstrated potential applications of designed miniature robots on targeted photothermal therapy of cancer cells with high accuracy. We expect that the newly developed dual-responsive and multifunctional miniature robots will find broad medical applications, such as targeted drug delivery and minimally invasive surgery.</w:t>
      </w:r>
    </w:p>
    <w:p>
      <w:pPr>
        <w:spacing w:before="120" w:after="120"/>
      </w:pPr>
      <w:r>
        <w:rPr>
          <w:sz w:val="18"/>
        </w:rPr>
        <w:t>——————————————————————————————————————————————————————————————————————</w:t>
      </w:r>
    </w:p>
    <w:p>
      <w:pPr>
        <w:spacing w:before="160" w:after="40" w:line="240" w:lineRule="auto"/>
      </w:pPr>
      <w:r>
        <w:rPr>
          <w:b/>
        </w:rPr>
        <w:t xml:space="preserve">[676] </w:t>
      </w:r>
      <w:hyperlink r:id="rId1807">
        <w:r>
          <w:rPr>
            <w:color w:val="1155CC"/>
            <w:u w:val="single"/>
          </w:rPr>
          <w:t>宿主炎症衍生的柠檬酸盐通过促进生长和激活毒力来增强鼠伤寒沙门氏菌的发病机制</w:t>
        </w:r>
      </w:hyperlink>
    </w:p>
    <w:p>
      <w:pPr>
        <w:spacing w:before="0" w:after="80"/>
      </w:pPr>
      <w:r>
        <w:rPr>
          <w:i/>
          <w:sz w:val="20"/>
        </w:rPr>
        <w:t>EN: Host inflammation–derived citrate enhances Salmonella Typhimurium pathogenesis by fueling growth and activating virulence</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808">
        <w:r>
          <w:rPr>
            <w:color w:val="1155CC"/>
            <w:u w:val="single"/>
          </w:rPr>
          <w:t>10.1073/pnas.2608715123</w:t>
        </w:r>
      </w:hyperlink>
    </w:p>
    <w:p>
      <w:pPr>
        <w:spacing w:before="0" w:after="120"/>
      </w:pPr>
      <w:r>
        <w:rPr>
          <w:b/>
        </w:rPr>
        <w:t xml:space="preserve">Notes: </w:t>
      </w:r>
      <w:r>
        <w:t>abstract_source=crossref</w:t>
      </w:r>
    </w:p>
    <w:p>
      <w:pPr>
        <w:spacing w:before="0" w:after="80" w:lineRule="auto" w:line="276"/>
      </w:pPr>
      <w:r>
        <w:rPr>
          <w:b/>
        </w:rPr>
        <w:t xml:space="preserve">摘要（ZH）: </w:t>
      </w:r>
      <w:r>
        <w:t>肠沙门氏菌</w:t>
      </w:r>
      <w:r>
        <w:t xml:space="preserve"> </w:t>
      </w:r>
      <w:r>
        <w:t>鼠伤寒血清型（</w:t>
      </w:r>
      <w:r>
        <w:t xml:space="preserve"> </w:t>
      </w:r>
      <w:r>
        <w:t>S</w:t>
      </w:r>
      <w:r>
        <w:t xml:space="preserve"> </w:t>
      </w:r>
      <w:r>
        <w:t>Tm)感染在宿主定植期间引发强烈的肠道炎症反应。尽管宿主炎症反应通常起到防御机制的作用，</w:t>
      </w:r>
      <w:r>
        <w:t xml:space="preserve"> </w:t>
      </w:r>
      <w:r>
        <w:t>S</w:t>
      </w:r>
      <w:r>
        <w:t xml:space="preserve"> </w:t>
      </w:r>
      <w:r>
        <w:t>Tm 通过选择炎症衍生的代谢物来增加细菌增殖和肠道定植来破坏这些过程。在这里，我们证明</w:t>
      </w:r>
      <w:r>
        <w:t xml:space="preserve"> </w:t>
      </w:r>
      <w:r>
        <w:t>S</w:t>
      </w:r>
      <w:r>
        <w:t xml:space="preserve"> </w:t>
      </w:r>
      <w:r>
        <w:t>Tm 诱导的肠道炎症导致管腔柠檬酸盐的显着积累，其在</w:t>
      </w:r>
      <w:r>
        <w:t xml:space="preserve"> </w:t>
      </w:r>
      <w:r>
        <w:t>S</w:t>
      </w:r>
      <w:r>
        <w:t xml:space="preserve"> </w:t>
      </w:r>
      <w:r>
        <w:t>Tm 发病机制，既作为支持细菌生长的厌氧发酵底物，又作为毒力激活信号分子。从机制上讲，CitAB 双组分系统检测发炎肠道中柠檬酸浓度升高，启动柠檬酸发酵基因的转录激活，以促进</w:t>
      </w:r>
      <w:r>
        <w:t xml:space="preserve"> </w:t>
      </w:r>
      <w:r>
        <w:t>S</w:t>
      </w:r>
      <w:r>
        <w:t xml:space="preserve"> </w:t>
      </w:r>
      <w:r>
        <w:t>Tm 管腔增殖。此外，CitAB 介导的柠檬酸传感直接上调</w:t>
      </w:r>
      <w:r>
        <w:t xml:space="preserve"> </w:t>
      </w:r>
      <w:r>
        <w:t>希尔德</w:t>
      </w:r>
      <w:r>
        <w:t xml:space="preserve"> </w:t>
      </w:r>
      <w:r>
        <w:t>，其编码的主调节器</w:t>
      </w:r>
      <w:r>
        <w:t xml:space="preserve"> </w:t>
      </w:r>
      <w:r>
        <w:t>沙门氏菌</w:t>
      </w:r>
      <w:r>
        <w:t xml:space="preserve"> </w:t>
      </w:r>
      <w:r>
        <w:t>致病性岛1，从而增强III型分泌系统依赖性上皮侵袭。柠檬酸厌氧发酵途径或柠檬酸介导的毒力调节途径的遗传破坏严重损害了肠道定植和侵袭能力</w:t>
      </w:r>
    </w:p>
    <w:p>
      <w:pPr>
        <w:spacing w:before="0" w:after="200" w:lineRule="auto" w:line="276"/>
      </w:pPr>
      <w:r>
        <w:rPr>
          <w:b/>
        </w:rPr>
        <w:t xml:space="preserve">Abstract (EN): </w:t>
      </w:r>
      <w:r>
        <w:t>Salmonella enterica</w:t>
      </w:r>
      <w:r>
        <w:t xml:space="preserve"> </w:t>
      </w:r>
      <w:r>
        <w:t>serovar Typhimurium (</w:t>
      </w:r>
      <w:r>
        <w:t xml:space="preserve"> </w:t>
      </w:r>
      <w:r>
        <w:t>S</w:t>
      </w:r>
      <w:r>
        <w:t xml:space="preserve"> </w:t>
      </w:r>
      <w:r>
        <w:t>Tm) infection triggers robust intestinal inflammatory responses during host colonization. Although host inflammatory responses typically function as defense mechanisms,</w:t>
      </w:r>
      <w:r>
        <w:t xml:space="preserve"> </w:t>
      </w:r>
      <w:r>
        <w:t>S</w:t>
      </w:r>
      <w:r>
        <w:t xml:space="preserve"> </w:t>
      </w:r>
      <w:r>
        <w:t>Tm subverts these processes by co-opting inflammation-derived metabolites to increase both bacterial proliferation and intestinal colonization. Here, we demonstrate that</w:t>
      </w:r>
      <w:r>
        <w:t xml:space="preserve"> </w:t>
      </w:r>
      <w:r>
        <w:t>S</w:t>
      </w:r>
      <w:r>
        <w:t xml:space="preserve"> </w:t>
      </w:r>
      <w:r>
        <w:t>Tm-induced intestinal inflammation results in the significant accumulation of luminal citrate, which plays dual roles in</w:t>
      </w:r>
      <w:r>
        <w:t xml:space="preserve"> </w:t>
      </w:r>
      <w:r>
        <w:t>S</w:t>
      </w:r>
      <w:r>
        <w:t xml:space="preserve"> </w:t>
      </w:r>
      <w:r>
        <w:t>Tm pathogenesis, serving as both an anaerobic fermentation substrate to support bacterial growth and a virulence-activating signaling molecule. Mechanistically, the CitAB two-component system detects elevated citrate concentrations in the inflamed intestine, initiating the transcriptional activation of citrate fermentation genes to facilitate</w:t>
      </w:r>
      <w:r>
        <w:t xml:space="preserve"> </w:t>
      </w:r>
      <w:r>
        <w:t>S</w:t>
      </w:r>
      <w:r>
        <w:t xml:space="preserve"> </w:t>
      </w:r>
      <w:r>
        <w:t>Tm luminal proliferation. Moreover, CitAB-mediated citrate sensing directly upregulates</w:t>
      </w:r>
      <w:r>
        <w:t xml:space="preserve"> </w:t>
      </w:r>
      <w:r>
        <w:t>hilD</w:t>
      </w:r>
      <w:r>
        <w:t xml:space="preserve"> </w:t>
      </w:r>
      <w:r>
        <w:t>, which encodes the master regulator of</w:t>
      </w:r>
      <w:r>
        <w:t xml:space="preserve"> </w:t>
      </w:r>
      <w:r>
        <w:t>Salmonella</w:t>
      </w:r>
      <w:r>
        <w:t xml:space="preserve"> </w:t>
      </w:r>
      <w:r>
        <w:t>Pathogenicity Island 1, thereby enhancing type III secretion system-dependent epithelial invasion. Genetic disruption of either citrate anaerobic fermentation pathway or citrate-mediated virulence-regulating pathway severely compromises both intestinal colonization and invasive capacity of</w:t>
      </w:r>
      <w:r>
        <w:t xml:space="preserve"> </w:t>
      </w:r>
      <w:r>
        <w:t>S</w:t>
      </w:r>
      <w:r>
        <w:t xml:space="preserve"> </w:t>
      </w:r>
      <w:r>
        <w:t>Tm. These findings underscore citrate-responsive pathways as promising therapeutic targets for simultaneously disrupting</w:t>
      </w:r>
      <w:r>
        <w:t xml:space="preserve"> </w:t>
      </w:r>
      <w:r>
        <w:t>S</w:t>
      </w:r>
      <w:r>
        <w:t xml:space="preserve"> </w:t>
      </w:r>
      <w:r>
        <w:t>Tm metabolic adaptability and virulence.</w:t>
      </w:r>
    </w:p>
    <w:p>
      <w:pPr>
        <w:spacing w:before="120" w:after="120"/>
      </w:pPr>
      <w:r>
        <w:rPr>
          <w:sz w:val="18"/>
        </w:rPr>
        <w:t>——————————————————————————————————————————————————————————————————————</w:t>
      </w:r>
    </w:p>
    <w:p>
      <w:pPr>
        <w:spacing w:before="160" w:after="40" w:line="240" w:lineRule="auto"/>
      </w:pPr>
      <w:r>
        <w:rPr>
          <w:b/>
        </w:rPr>
        <w:t xml:space="preserve">[677] </w:t>
      </w:r>
      <w:hyperlink r:id="rId1809">
        <w:r>
          <w:rPr>
            <w:color w:val="1155CC"/>
            <w:u w:val="single"/>
          </w:rPr>
          <w:t>保幼激素受体依赖于保守结构域接口来实现二聚化依赖性活性</w:t>
        </w:r>
      </w:hyperlink>
    </w:p>
    <w:p>
      <w:pPr>
        <w:spacing w:before="0" w:after="80"/>
      </w:pPr>
      <w:r>
        <w:rPr>
          <w:i/>
          <w:sz w:val="20"/>
        </w:rPr>
        <w:t>EN: Juvenile hormone receptor relies on conserved domain interfaces for dimerization-dependent activity</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810">
        <w:r>
          <w:rPr>
            <w:color w:val="1155CC"/>
            <w:u w:val="single"/>
          </w:rPr>
          <w:t>10.1073/pnas.2605755123</w:t>
        </w:r>
      </w:hyperlink>
    </w:p>
    <w:p>
      <w:pPr>
        <w:spacing w:before="0" w:after="120"/>
      </w:pPr>
      <w:r>
        <w:rPr>
          <w:b/>
        </w:rPr>
        <w:t xml:space="preserve">Notes: </w:t>
      </w:r>
      <w:r>
        <w:t>abstract_source=crossref</w:t>
      </w:r>
    </w:p>
    <w:p>
      <w:pPr>
        <w:spacing w:before="0" w:after="80" w:lineRule="auto" w:line="276"/>
      </w:pPr>
      <w:r>
        <w:rPr>
          <w:b/>
        </w:rPr>
        <w:t xml:space="preserve">摘要（ZH）: </w:t>
      </w:r>
      <w:r>
        <w:t>保幼激素（JH）对昆虫至关重要。在</w:t>
      </w:r>
      <w:r>
        <w:t xml:space="preserve"> </w:t>
      </w:r>
      <w:r>
        <w:t>果蝇</w:t>
      </w:r>
      <w:r>
        <w:t xml:space="preserve"> </w:t>
      </w:r>
      <w:r>
        <w:t>，JH 通过基本的螺旋-环-螺旋-PER-ARNT-SIM (bHLH-PAS) 蛋白甲氧乙烯耐受 (MET) 及其旁系同源生殖细胞表达 (GCE) 发出信号。 JH 与 MET 或 GCE 的 PAS-B 结构域的结合触发 DNA 结合的转录活性 JH 受体 (JHR) 异二聚体的组装，该异二聚体包含 MET 或 GCE 及其伴侣泰曼 (TAI)。 JHR 复合物激活的分子机制仍不清楚。在这里，我们使用</w:t>
      </w:r>
      <w:r>
        <w:t xml:space="preserve"> </w:t>
      </w:r>
      <w:r>
        <w:t>果蝇</w:t>
      </w:r>
      <w:r>
        <w:t xml:space="preserve"> </w:t>
      </w:r>
      <w:r>
        <w:t>GCE 蛋白可解决 JHR 信号传导中其他 PAS 结构域 (PAS-A) 可能至关重要但尚未探索的功能。我们发现带电氨基酸残基在昆虫和哺乳动物 bHLH-PAS 蛋白的 PAS-A 结构域内高度保守，是体外和体内 JHR 信号传导所必需的。这些位点的突变不会影响 GCE 将 JH 与其 PAS-B 结构域结合的能力。然而，它们会损害 JH 诱导的 GCE 入核、GCE 与伴侣热休克蛋白 HSP83 的解离以及与 TAI 的二聚化，从而阻止 DNA 结合和转录 JHR 活性。发育中的果蝇中突变的 GCE 变体的功能也受到损害。分子模型表明，带电荷的 GCE PAS-A 残基的突变会改变对域内和域间相互作用至关重要的天然盐桥。这反过来会导致两个 GCE PAS 域的非本机配置，使它们与 TAI 二聚化不兼容，并可能增强 GCE 附加</w:t>
      </w:r>
    </w:p>
    <w:p>
      <w:pPr>
        <w:spacing w:before="0" w:after="200" w:lineRule="auto" w:line="276"/>
      </w:pPr>
      <w:r>
        <w:rPr>
          <w:b/>
        </w:rPr>
        <w:t xml:space="preserve">Abstract (EN): </w:t>
      </w:r>
      <w:r>
        <w:t>Juvenile hormone (JH) is vital to insects. In</w:t>
      </w:r>
      <w:r>
        <w:t xml:space="preserve"> </w:t>
      </w:r>
      <w:r>
        <w:t>Drosophila</w:t>
      </w:r>
      <w:r>
        <w:t xml:space="preserve"> </w:t>
      </w:r>
      <w:r>
        <w:t>, JH signals through a basic helix–loop–helix-PER-ARNT-SIM (bHLH-PAS) protein methoprene-tolerant (MET) and its paralog germ cell-expressed (GCE). Binding of JH to the PAS-B domain of MET or GCE triggers the assembly of a DNA-bound, transcriptionally active JH receptor (JHR) heterodimer comprising either MET or GCE and their partner taiman (TAI). Molecular mechanisms of the JHR complex activation remain unclear. Here, we use the</w:t>
      </w:r>
      <w:r>
        <w:t xml:space="preserve"> </w:t>
      </w:r>
      <w:r>
        <w:t>Drosophila</w:t>
      </w:r>
      <w:r>
        <w:t xml:space="preserve"> </w:t>
      </w:r>
      <w:r>
        <w:t>GCE protein to address the presumably critical but as yet unexplored function of the other PAS domain (PAS-A) in JHR signaling. We show that charged amino acid residues, highly conserved within the PAS-A domain across insect and mammalian bHLH-PAS proteins, are required for JHR signaling in vitro and in vivo. Mutations at these sites do not affect the ability of GCE to bind JH to its PAS-B domain. However, they compromise the JH-induced nuclear import of GCE, its dissociation from the chaperone heat-shock protein HSP83, and dimerization with TAI, consequently preventing the DNA binding and transcriptional JHR activities. Functionality of the mutated GCE variants in developing flies is also impaired. Molecular modeling suggests that mutations of the charged GCE PAS-A residues alter the natural salt bridges critical for intra- and interdomain interactions. This in turn causes non-native configurations of both GCE PAS domains, making them incompatible with TAI dimerization and possibly augmenting GCE attachment to HSP83. These results suggest that JHR signaling critically depends on interactions between PAS-A and PAS-B domains which are allosterically coupled.</w:t>
      </w:r>
    </w:p>
    <w:p>
      <w:pPr>
        <w:spacing w:before="120" w:after="120"/>
      </w:pPr>
      <w:r>
        <w:rPr>
          <w:sz w:val="18"/>
        </w:rPr>
        <w:t>——————————————————————————————————————————————————————————————————————</w:t>
      </w:r>
    </w:p>
    <w:p>
      <w:pPr>
        <w:spacing w:before="160" w:after="40" w:line="240" w:lineRule="auto"/>
      </w:pPr>
      <w:r>
        <w:rPr>
          <w:b/>
        </w:rPr>
        <w:t xml:space="preserve">[678] </w:t>
      </w:r>
      <w:hyperlink r:id="rId1811">
        <w:r>
          <w:rPr>
            <w:color w:val="1155CC"/>
            <w:u w:val="single"/>
          </w:rPr>
          <w:t>催产素可以增加对性格信任度低的男性的信任度</w:t>
        </w:r>
      </w:hyperlink>
    </w:p>
    <w:p>
      <w:pPr>
        <w:spacing w:before="0" w:after="80"/>
      </w:pPr>
      <w:r>
        <w:rPr>
          <w:i/>
          <w:sz w:val="20"/>
        </w:rPr>
        <w:t>EN: Oxytocin increases trust in men low in dispositional trust</w:t>
      </w:r>
    </w:p>
    <w:p>
      <w:pPr>
        <w:spacing w:before="0" w:after="120"/>
      </w:pPr>
      <w:r>
        <w:rPr>
          <w:b/>
        </w:rPr>
        <w:t xml:space="preserve">Source: </w:t>
      </w:r>
      <w:r>
        <w:t>Proceedings of the National Academy of Sciences: Keyword search for query</w:t>
      </w:r>
      <w:r>
        <w:t xml:space="preserve">    </w:t>
      </w:r>
      <w:r>
        <w:rPr>
          <w:b/>
        </w:rPr>
        <w:t xml:space="preserve">Pub date: </w:t>
      </w:r>
      <w:r>
        <w:t>2026-08-06 07:00:00+00:00</w:t>
      </w:r>
      <w:r>
        <w:t xml:space="preserve">    </w:t>
      </w:r>
      <w:r>
        <w:rPr>
          <w:b/>
        </w:rPr>
        <w:t xml:space="preserve">DOI: </w:t>
      </w:r>
      <w:hyperlink r:id="rId1812">
        <w:r>
          <w:rPr>
            <w:color w:val="1155CC"/>
            <w:u w:val="single"/>
          </w:rPr>
          <w:t>10.1073/pnas.2602655123</w:t>
        </w:r>
      </w:hyperlink>
    </w:p>
    <w:p>
      <w:pPr>
        <w:spacing w:before="0" w:after="120"/>
      </w:pPr>
      <w:r>
        <w:rPr>
          <w:b/>
        </w:rPr>
        <w:t xml:space="preserve">Notes: </w:t>
      </w:r>
      <w:r>
        <w:t>abstract_source=crossref</w:t>
      </w:r>
    </w:p>
    <w:p>
      <w:pPr>
        <w:spacing w:before="0" w:after="80" w:lineRule="auto" w:line="276"/>
      </w:pPr>
      <w:r>
        <w:rPr>
          <w:b/>
        </w:rPr>
        <w:t xml:space="preserve">摘要（ZH）: </w:t>
      </w:r>
      <w:r>
        <w:t>近年来，人们越来越怀疑催产素（OT）对社会行为的影响。低功耗、HARKing（已知结果后进行假设）和复制失败使该领域变得阴云密布。在这里，我们通过一项高效的预先注册研究直接解决这些问题，该研究提供了强有力的证据，证明加班对信任倾向较低的男性的信任有因果影响。我们招募了 359 名信任度较低的男性，他们以完全匿名的方式参与了一场信任游戏。结果表明，OT 管理显着增加了大约 15% 的信任行为，在有或没有人格特质控制的回归模型中具有一致的效果。对先前低信任度个体样本 (n = 219) 进行的汇总数据分析进一步强化了这一结论，信任度显着增加了 16.9%。没有发现 OT 和性格信任程度之间存在交互作用，这表明 OT 的影响可能在低信任范围内是一致的。这些发现有力地证明了 OT 选择性增强信任的作用。通过将 OT 的影响隔离在明确定义的亚群和实验环境中，这项研究解决了关于信任的神经生物学决定因素的争论中的一个关键问题。</w:t>
      </w:r>
    </w:p>
    <w:p>
      <w:pPr>
        <w:spacing w:before="0" w:after="200" w:lineRule="auto" w:line="276"/>
      </w:pPr>
      <w:r>
        <w:rPr>
          <w:b/>
        </w:rPr>
        <w:t xml:space="preserve">Abstract (EN): </w:t>
      </w:r>
      <w:r>
        <w:t>In recent years, increasing skepticism regarding oxytocin’s (OT) influence on social behavior arose. Low power, HARKing (hypothesizing after the results are known), and replication failures have clouded the field. Here, we directly address these concerns with a high-powered, preregistered study that offers robust evidence for a causal effect of OT on trust among males with a low disposition to trust. We recruited 359 low-trusting men who participated in a trust game with complete anonymity. Results show that OT administration significantly increased trusting behavior by roughly 15%, with consistent effects across regression models with and without controls for personality traits. A pooled data analysis incorporating a previous sample (n = 219) of low-trusting individuals further strengthens this conclusion, yielding a statistically significant 16.9% increase in trust. No interaction effect was found between OT and the degree of dispositional trust, suggesting OT’s effect may be uniform across the low-trusting spectrum. These findings present a strong case for OT’s selective trust-enhancing role. By isolating OT’s impact within a well-defined subpopulation and experimental context, this study resolves a key question in the debate over neurobiological determinants of trust.</w:t>
      </w:r>
    </w:p>
    <w:p>
      <w:pPr>
        <w:spacing w:before="120" w:after="120"/>
      </w:pPr>
      <w:r>
        <w:rPr>
          <w:sz w:val="18"/>
        </w:rPr>
        <w:t>——————————————————————————————————————————————————————————————————————</w:t>
      </w:r>
    </w:p>
    <w:p>
      <w:pPr>
        <w:spacing w:before="160" w:after="40" w:line="240" w:lineRule="auto"/>
      </w:pPr>
      <w:r>
        <w:rPr>
          <w:b/>
        </w:rPr>
        <w:t xml:space="preserve">[679] </w:t>
      </w:r>
      <w:hyperlink r:id="rId1813">
        <w:r>
          <w:rPr>
            <w:color w:val="1155CC"/>
            <w:u w:val="single"/>
          </w:rPr>
          <w:t>化学诱导的皮肤肿瘤由上毛囊的长寿干细胞产生</w:t>
        </w:r>
      </w:hyperlink>
    </w:p>
    <w:p>
      <w:pPr>
        <w:spacing w:before="0" w:after="80"/>
      </w:pPr>
      <w:r>
        <w:rPr>
          <w:i/>
          <w:sz w:val="20"/>
        </w:rPr>
        <w:t>EN: Chemically induced skin tumors arise from long-lived stem cells of the upper hair follicle</w:t>
      </w:r>
    </w:p>
    <w:p>
      <w:pPr>
        <w:spacing w:before="0" w:after="120"/>
      </w:pPr>
      <w:r>
        <w:rPr>
          <w:b/>
        </w:rPr>
        <w:t xml:space="preserve">Source: </w:t>
      </w:r>
      <w:r>
        <w:t>AAAS: Science: Table of Contents</w:t>
      </w:r>
      <w:r>
        <w:t xml:space="preserve">    </w:t>
      </w:r>
      <w:r>
        <w:rPr>
          <w:b/>
        </w:rPr>
        <w:t xml:space="preserve">Pub date: </w:t>
      </w:r>
      <w:r>
        <w:t>2026-08-06 07:00:00+00:00</w:t>
      </w:r>
      <w:r>
        <w:t xml:space="preserve">    </w:t>
      </w:r>
      <w:r>
        <w:rPr>
          <w:b/>
        </w:rPr>
        <w:t xml:space="preserve">DOI: </w:t>
      </w:r>
      <w:hyperlink r:id="rId1814">
        <w:r>
          <w:rPr>
            <w:color w:val="1155CC"/>
            <w:u w:val="single"/>
          </w:rPr>
          <w:t>10.1126/science.adv8291</w:t>
        </w:r>
      </w:hyperlink>
    </w:p>
    <w:p>
      <w:pPr>
        <w:spacing w:before="0" w:after="120"/>
      </w:pPr>
      <w:r>
        <w:rPr>
          <w:b/>
        </w:rPr>
        <w:t xml:space="preserve">Notes: </w:t>
      </w:r>
      <w:r>
        <w:t>abstract_source=crossref</w:t>
      </w:r>
    </w:p>
    <w:p>
      <w:pPr>
        <w:spacing w:before="0" w:after="80" w:lineRule="auto" w:line="276"/>
      </w:pPr>
      <w:r>
        <w:rPr>
          <w:b/>
        </w:rPr>
        <w:t xml:space="preserve">摘要（ZH）: </w:t>
      </w:r>
      <w:r>
        <w:t>癌细胞起源的鉴定是癌症生物学中的一个基本问题。我们使用独立小鼠皮肤干细胞群的荧光谱系追踪、单细胞转录组学和双链测序来鉴定化学诱导的皮肤肿瘤的起源。肿瘤主要来源于</w:t>
      </w:r>
      <w:r>
        <w:t xml:space="preserve"> </w:t>
      </w:r>
      <w:r>
        <w:t>Lgr6</w:t>
      </w:r>
      <w:r>
        <w:t xml:space="preserve"> </w:t>
      </w:r>
      <w:r>
        <w:t>+</w:t>
      </w:r>
      <w:r>
        <w:t xml:space="preserve"> </w:t>
      </w:r>
      <w:r>
        <w:t>和/或</w:t>
      </w:r>
      <w:r>
        <w:t xml:space="preserve"> </w:t>
      </w:r>
      <w:r>
        <w:t>利格1</w:t>
      </w:r>
      <w:r>
        <w:t xml:space="preserve"> </w:t>
      </w:r>
      <w:r>
        <w:t>+</w:t>
      </w:r>
      <w:r>
        <w:t xml:space="preserve"> </w:t>
      </w:r>
      <w:r>
        <w:t>上毛囊的干细胞，但很少来自毛囊的干细胞</w:t>
      </w:r>
      <w:r>
        <w:t xml:space="preserve"> </w:t>
      </w:r>
      <w:r>
        <w:t>Lgr5</w:t>
      </w:r>
      <w:r>
        <w:t xml:space="preserve"> </w:t>
      </w:r>
      <w:r>
        <w:t>+</w:t>
      </w:r>
      <w:r>
        <w:t xml:space="preserve"> </w:t>
      </w:r>
      <w:r>
        <w:t>和</w:t>
      </w:r>
      <w:r>
        <w:t xml:space="preserve"> </w:t>
      </w:r>
      <w:r>
        <w:t>克尔特19</w:t>
      </w:r>
      <w:r>
        <w:t xml:space="preserve"> </w:t>
      </w:r>
      <w:r>
        <w:t>+</w:t>
      </w:r>
      <w:r>
        <w:t xml:space="preserve"> </w:t>
      </w:r>
      <w:r>
        <w:t>毛囊膨出。</w:t>
      </w:r>
      <w:r>
        <w:t xml:space="preserve"> </w:t>
      </w:r>
      <w:r>
        <w:t>Lgr6</w:t>
      </w:r>
      <w:r>
        <w:t xml:space="preserve"> </w:t>
      </w:r>
      <w:r>
        <w:t>+</w:t>
      </w:r>
      <w:r>
        <w:t xml:space="preserve"> </w:t>
      </w:r>
      <w:r>
        <w:t>由二甲基苯并蒽启动的干细胞对肿瘤促进剂治疗作出反应，导致携带经典的启动细胞的克隆扩增</w:t>
      </w:r>
      <w:r>
        <w:t xml:space="preserve"> </w:t>
      </w:r>
      <w:r>
        <w:t>赫拉斯</w:t>
      </w:r>
      <w:r>
        <w:t xml:space="preserve"> </w:t>
      </w:r>
      <w:r>
        <w:t>Q61L突变。自发突变</w:t>
      </w:r>
      <w:r>
        <w:t xml:space="preserve"> </w:t>
      </w:r>
      <w:r>
        <w:t>克拉斯</w:t>
      </w:r>
      <w:r>
        <w:t xml:space="preserve"> </w:t>
      </w:r>
      <w:r>
        <w:t>也克隆扩增但不会产生肿瘤，除非</w:t>
      </w:r>
      <w:r>
        <w:t xml:space="preserve"> </w:t>
      </w:r>
      <w:r>
        <w:t>赫拉斯</w:t>
      </w:r>
      <w:r>
        <w:t xml:space="preserve"> </w:t>
      </w:r>
      <w:r>
        <w:t>基因被删除，从而揭示了之间的竞争性相互作用</w:t>
      </w:r>
      <w:r>
        <w:t xml:space="preserve"> </w:t>
      </w:r>
      <w:r>
        <w:t>赫拉斯</w:t>
      </w:r>
      <w:r>
        <w:t xml:space="preserve"> </w:t>
      </w:r>
      <w:r>
        <w:t>和</w:t>
      </w:r>
      <w:r>
        <w:t xml:space="preserve"> </w:t>
      </w:r>
      <w:r>
        <w:t>克拉斯</w:t>
      </w:r>
      <w:r>
        <w:t xml:space="preserve"> </w:t>
      </w:r>
      <w:r>
        <w:t>影响克隆选择的途径。</w:t>
      </w:r>
    </w:p>
    <w:p>
      <w:pPr>
        <w:spacing w:before="0" w:after="200" w:lineRule="auto" w:line="276"/>
      </w:pPr>
      <w:r>
        <w:rPr>
          <w:b/>
        </w:rPr>
        <w:t xml:space="preserve">Abstract (EN): </w:t>
      </w:r>
      <w:r>
        <w:t>The identification of the cancer cell of origin is a fundamental issue in cancer biology. We used fluorescent lineage tracing of independent mouse skin stem cell populations, single-cell transcriptomics, and duplex sequencing to identify the origin of chemically induced skin tumors. Tumors arose predominantly from</w:t>
      </w:r>
      <w:r>
        <w:t xml:space="preserve"> </w:t>
      </w:r>
      <w:r>
        <w:t>Lgr6</w:t>
      </w:r>
      <w:r>
        <w:t xml:space="preserve"> </w:t>
      </w:r>
      <w:r>
        <w:t>+</w:t>
      </w:r>
      <w:r>
        <w:t xml:space="preserve"> </w:t>
      </w:r>
      <w:r>
        <w:t>and/or</w:t>
      </w:r>
      <w:r>
        <w:t xml:space="preserve"> </w:t>
      </w:r>
      <w:r>
        <w:t>Lrig1</w:t>
      </w:r>
      <w:r>
        <w:t xml:space="preserve"> </w:t>
      </w:r>
      <w:r>
        <w:t>+</w:t>
      </w:r>
      <w:r>
        <w:t xml:space="preserve"> </w:t>
      </w:r>
      <w:r>
        <w:t>stem cells of the upper hair follicle but only very rarely from the</w:t>
      </w:r>
      <w:r>
        <w:t xml:space="preserve"> </w:t>
      </w:r>
      <w:r>
        <w:t>Lgr5</w:t>
      </w:r>
      <w:r>
        <w:t xml:space="preserve"> </w:t>
      </w:r>
      <w:r>
        <w:t>+</w:t>
      </w:r>
      <w:r>
        <w:t xml:space="preserve"> </w:t>
      </w:r>
      <w:r>
        <w:t>and</w:t>
      </w:r>
      <w:r>
        <w:t xml:space="preserve"> </w:t>
      </w:r>
      <w:r>
        <w:t>Krt19</w:t>
      </w:r>
      <w:r>
        <w:t xml:space="preserve"> </w:t>
      </w:r>
      <w:r>
        <w:t>+</w:t>
      </w:r>
      <w:r>
        <w:t xml:space="preserve"> </w:t>
      </w:r>
      <w:r>
        <w:t>hair follicle bulge.</w:t>
      </w:r>
      <w:r>
        <w:t xml:space="preserve"> </w:t>
      </w:r>
      <w:r>
        <w:t>Lgr6</w:t>
      </w:r>
      <w:r>
        <w:t xml:space="preserve"> </w:t>
      </w:r>
      <w:r>
        <w:t>+</w:t>
      </w:r>
      <w:r>
        <w:t xml:space="preserve"> </w:t>
      </w:r>
      <w:r>
        <w:t>stem cells initiated by dimethylbenzanthracene responded to tumor promoter treatment, resulting in clonal expansion of initiated cells carrying the canonical</w:t>
      </w:r>
      <w:r>
        <w:t xml:space="preserve"> </w:t>
      </w:r>
      <w:r>
        <w:t>Hras</w:t>
      </w:r>
      <w:r>
        <w:t xml:space="preserve"> </w:t>
      </w:r>
      <w:r>
        <w:t>Q61L mutation. Spontaneous mutations in</w:t>
      </w:r>
      <w:r>
        <w:t xml:space="preserve"> </w:t>
      </w:r>
      <w:r>
        <w:t>Kras</w:t>
      </w:r>
      <w:r>
        <w:t xml:space="preserve"> </w:t>
      </w:r>
      <w:r>
        <w:t>also clonally expanded but did not generate tumors unless the</w:t>
      </w:r>
      <w:r>
        <w:t xml:space="preserve"> </w:t>
      </w:r>
      <w:r>
        <w:t>Hras</w:t>
      </w:r>
      <w:r>
        <w:t xml:space="preserve"> </w:t>
      </w:r>
      <w:r>
        <w:t>gene was deleted, thus revealing a competitive interaction between the</w:t>
      </w:r>
      <w:r>
        <w:t xml:space="preserve"> </w:t>
      </w:r>
      <w:r>
        <w:t>Hras</w:t>
      </w:r>
      <w:r>
        <w:t xml:space="preserve"> </w:t>
      </w:r>
      <w:r>
        <w:t>and</w:t>
      </w:r>
      <w:r>
        <w:t xml:space="preserve"> </w:t>
      </w:r>
      <w:r>
        <w:t>Kras</w:t>
      </w:r>
      <w:r>
        <w:t xml:space="preserve"> </w:t>
      </w:r>
      <w:r>
        <w:t>pathways that influences clonal selection.</w:t>
      </w:r>
    </w:p>
    <w:p>
      <w:pPr>
        <w:spacing w:before="120" w:after="120"/>
      </w:pPr>
      <w:r>
        <w:rPr>
          <w:sz w:val="18"/>
        </w:rPr>
        <w:t>——————————————————————————————————————————————————————————————————————</w:t>
      </w:r>
    </w:p>
    <w:p>
      <w:pPr>
        <w:spacing w:before="160" w:after="40" w:line="240" w:lineRule="auto"/>
      </w:pPr>
      <w:r>
        <w:rPr>
          <w:b/>
        </w:rPr>
        <w:t xml:space="preserve">[680] </w:t>
      </w:r>
      <w:hyperlink r:id="rId1815">
        <w:r>
          <w:rPr>
            <w:color w:val="1155CC"/>
            <w:u w:val="single"/>
          </w:rPr>
          <w:t>通过贝叶斯模型对核质量表进行平均，量化基于物理的稀有同位素生产截面预测的不确定性</w:t>
        </w:r>
      </w:hyperlink>
    </w:p>
    <w:p>
      <w:pPr>
        <w:spacing w:before="0" w:after="80"/>
      </w:pPr>
      <w:r>
        <w:rPr>
          <w:i/>
          <w:sz w:val="20"/>
        </w:rPr>
        <w:t>EN: Quantifying uncertainty in physics-based predictions of rare-isotope production cross sections via Bayesian-inspired model averaging across nuclear mass tables</w:t>
      </w:r>
    </w:p>
    <w:p>
      <w:pPr>
        <w:spacing w:before="0" w:after="120"/>
      </w:pPr>
      <w:r>
        <w:rPr>
          <w:b/>
        </w:rPr>
        <w:t xml:space="preserve">Source: </w:t>
      </w:r>
      <w:r>
        <w:t>Recent Articles in Phys. Rev. C</w:t>
      </w:r>
      <w:r>
        <w:t xml:space="preserve">    </w:t>
      </w:r>
      <w:r>
        <w:rPr>
          <w:b/>
        </w:rPr>
        <w:t xml:space="preserve">Pub date: </w:t>
      </w:r>
      <w:r>
        <w:t>2026-08-06 10:00:00+00:00</w:t>
      </w:r>
      <w:r>
        <w:t xml:space="preserve">    </w:t>
      </w:r>
      <w:r>
        <w:rPr>
          <w:b/>
        </w:rPr>
        <w:t xml:space="preserve">DOI: </w:t>
      </w:r>
      <w:hyperlink r:id="rId1816">
        <w:r>
          <w:rPr>
            <w:color w:val="1155CC"/>
            <w:u w:val="single"/>
          </w:rPr>
          <w:t>10.1103/rd5c-4m5w</w:t>
        </w:r>
      </w:hyperlink>
    </w:p>
    <w:p>
      <w:pPr>
        <w:spacing w:before="0" w:after="120"/>
      </w:pPr>
      <w:r>
        <w:rPr>
          <w:b/>
        </w:rPr>
        <w:t xml:space="preserve">Notes: </w:t>
      </w:r>
      <w:r>
        <w:t>abstract_source=rss_description</w:t>
      </w:r>
    </w:p>
    <w:p>
      <w:pPr>
        <w:spacing w:before="0" w:after="80" w:lineRule="auto" w:line="276"/>
      </w:pPr>
      <w:r>
        <w:rPr>
          <w:b/>
        </w:rPr>
        <w:t xml:space="preserve">摘要（ZH）: </w:t>
      </w:r>
      <w:r>
        <w:t>作者：O. B. Tarasov 发现新同位素首先要知道去哪里寻找。预测稀有同位素的产量很困难，因为不同的核质量模型可能给出截然不同的结果，从而使实验计划变得不确定。这项工作引入了一种受贝叶斯启发的模型平均框架，该框架将基于 12 个核质量表的磨损-消融计算结合到一个统计加权预测中。氪 78 和氙 124 的实验数据用于确定哪种计算更可靠，并将所得趋势转移到钼 92 和钐 144 射弹上。该方法提供了预测的横截面和不确定性估计，为选择主梁和估计产量提供了更可靠的基础。该方法应用于 FRIB 的富质子碎裂，确定了几种有前途的新同位素搜索候选物，其预期生产率高于每天一个事件。它可以帮助研究人员更有效地计划实验并探索核图表中仍然未知的区域。 Rev. C 114, 024603] 于 2026 年 8 月 6 日星期四发布</w:t>
      </w:r>
    </w:p>
    <w:p>
      <w:pPr>
        <w:spacing w:before="0" w:after="200" w:lineRule="auto" w:line="276"/>
      </w:pPr>
      <w:r>
        <w:rPr>
          <w:b/>
        </w:rPr>
        <w:t xml:space="preserve">Abstract (EN): </w:t>
      </w:r>
      <w:r>
        <w:t>Author(s): O. B. TarasovDiscovering new isotopes begins with knowing where to look. Predicting rare-isotope production is difficult because different nuclear-mass models can give substantially different results, making the planning of experiments uncertain. This work introduces a Bayesian-inspired model-averaging framework that combines abrasion–ablation calculations based on 12 nuclear mass tables into one statistically weighted prediction. Experimental data for krypton-78 and xenon-124 are used to determine which calculations are more reliable, and the resulting trends are transferred to molybdenum-92 and samarium-144 projectiles. The method provides predicted cross sections together with uncertainty estimates, giving a more reliable basis for selecting primary beams and estimating yields. Applied to proton-rich fragmentation at FRIB, the approach identifies several promising candidates for new-isotope searches with expected production rates above one event per day. It can help researchers plan experiments more effectively and explore still-unknown regions of the nuclear chart.[Phys. Rev. C 114, 024603] Published Thu Aug 06, 2026</w:t>
      </w:r>
    </w:p>
    <w:p>
      <w:pPr>
        <w:spacing w:before="120" w:after="120"/>
      </w:pPr>
      <w:r>
        <w:rPr>
          <w:sz w:val="18"/>
        </w:rPr>
        <w:t>——————————————————————————————————————————————————————————————————————</w:t>
      </w:r>
    </w:p>
    <w:p>
      <w:pPr>
        <w:spacing w:before="160" w:after="40" w:line="240" w:lineRule="auto"/>
      </w:pPr>
      <w:r>
        <w:rPr>
          <w:b/>
        </w:rPr>
        <w:t xml:space="preserve">[681] </w:t>
      </w:r>
      <w:hyperlink r:id="rId1817">
        <w:r>
          <w:rPr>
            <w:color w:val="1155CC"/>
            <w:u w:val="single"/>
          </w:rPr>
          <w:t>$N=50$ 同音素与 p35-i3 哈密顿量的电磁特性</w:t>
        </w:r>
      </w:hyperlink>
    </w:p>
    <w:p>
      <w:pPr>
        <w:spacing w:before="0" w:after="80"/>
      </w:pPr>
      <w:r>
        <w:rPr>
          <w:i/>
          <w:sz w:val="20"/>
        </w:rPr>
        <w:t>EN: Electromagnetic properties of the $N=50$ isotones with the p35-i3 Hamiltonian</w:t>
      </w:r>
    </w:p>
    <w:p>
      <w:pPr>
        <w:spacing w:before="0" w:after="120"/>
      </w:pPr>
      <w:r>
        <w:rPr>
          <w:b/>
        </w:rPr>
        <w:t xml:space="preserve">Source: </w:t>
      </w:r>
      <w:r>
        <w:t>Recent Articles in Phys. Rev. C</w:t>
      </w:r>
      <w:r>
        <w:t xml:space="preserve">    </w:t>
      </w:r>
      <w:r>
        <w:rPr>
          <w:b/>
        </w:rPr>
        <w:t xml:space="preserve">Pub date: </w:t>
      </w:r>
      <w:r>
        <w:t>2026-08-06 10:00:00+00:00</w:t>
      </w:r>
      <w:r>
        <w:t xml:space="preserve">    </w:t>
      </w:r>
      <w:r>
        <w:rPr>
          <w:b/>
        </w:rPr>
        <w:t xml:space="preserve">DOI: </w:t>
      </w:r>
      <w:hyperlink r:id="rId1818">
        <w:r>
          <w:rPr>
            <w:color w:val="1155CC"/>
            <w:u w:val="single"/>
          </w:rPr>
          <w:t>10.1103/wsvx-3nln</w:t>
        </w:r>
      </w:hyperlink>
    </w:p>
    <w:p>
      <w:pPr>
        <w:spacing w:before="0" w:after="120"/>
      </w:pPr>
      <w:r>
        <w:rPr>
          <w:b/>
        </w:rPr>
        <w:t xml:space="preserve">Notes: </w:t>
      </w:r>
      <w:r>
        <w:t>abstract_source=rss_description</w:t>
      </w:r>
    </w:p>
    <w:p>
      <w:pPr>
        <w:spacing w:before="0" w:after="80" w:lineRule="auto" w:line="276"/>
      </w:pPr>
      <w:r>
        <w:rPr>
          <w:b/>
        </w:rPr>
        <w:t xml:space="preserve">摘要（ZH）: </w:t>
      </w:r>
      <w:r>
        <w:t>作者：J. A. Purcell 和 B. A. Brown 位于 $^{78}\mathrm{Ni}$ 和 $^{100}\mathrm{Sn}$ 之间的具有 50 个中子的原子核提供了质子核壳层模型的基准研究${0{f}_{5/2},1{p}_{3/2},1{p}_{1/2},0{g}_{9/2}}$模型空间。最近获得了该模型空间的新哈密顿量……[物理。 Rev. C 114, 024312] 于 2026 年 8 月 6 日星期四发布</w:t>
      </w:r>
    </w:p>
    <w:p>
      <w:pPr>
        <w:spacing w:before="0" w:after="200" w:lineRule="auto" w:line="276"/>
      </w:pPr>
      <w:r>
        <w:rPr>
          <w:b/>
        </w:rPr>
        <w:t xml:space="preserve">Abstract (EN): </w:t>
      </w:r>
      <w:r>
        <w:t>Author(s): J. A. Purcell and B. A. BrownThe nuclei with 50 neutrons that lie between $^{78}\mathrm{Ni}$ and $^{100}\mathrm{Sn}$ have provided benchmark studies of the nuclear shell model for protons in the ${0{f}_{5/2},1{p}_{3/2},1{p}_{1/2},0{g}_{9/2}}$ model space. New Hamiltonians for this model space have recently been obtained based o…[Phys. Rev. C 114, 024312] Published Thu Aug 06, 2026</w:t>
      </w:r>
    </w:p>
    <w:p>
      <w:pPr>
        <w:spacing w:before="120" w:after="120"/>
      </w:pPr>
      <w:r>
        <w:rPr>
          <w:sz w:val="18"/>
        </w:rPr>
        <w:t>——————————————————————————————————————————————————————————————————————</w:t>
      </w:r>
    </w:p>
    <w:p>
      <w:pPr>
        <w:spacing w:before="160" w:after="40" w:line="240" w:lineRule="auto"/>
      </w:pPr>
      <w:r>
        <w:rPr>
          <w:b/>
        </w:rPr>
        <w:t xml:space="preserve">[682] </w:t>
      </w:r>
      <w:hyperlink r:id="rId1819">
        <w:r>
          <w:rPr>
            <w:color w:val="1155CC"/>
            <w:u w:val="single"/>
          </w:rPr>
          <w:t>6 MeV/核子的二中子转移 $^{1}\mathrm{H}(^{11}\mathrm{Li},^{9}\mathrm{Li})^{3}\mathrm{H}$</w:t>
        </w:r>
      </w:hyperlink>
    </w:p>
    <w:p>
      <w:pPr>
        <w:spacing w:before="0" w:after="80"/>
      </w:pPr>
      <w:r>
        <w:rPr>
          <w:i/>
          <w:sz w:val="20"/>
        </w:rPr>
        <w:t>EN: Two-neutron transfer $^{1}\mathrm{H}(^{11}\mathrm{Li},^{9}\mathrm{Li})^{3}\mathrm{H}$ at 6 MeV/nucleon</w:t>
      </w:r>
    </w:p>
    <w:p>
      <w:pPr>
        <w:spacing w:before="0" w:after="120"/>
      </w:pPr>
      <w:r>
        <w:rPr>
          <w:b/>
        </w:rPr>
        <w:t xml:space="preserve">Source: </w:t>
      </w:r>
      <w:r>
        <w:t>Recent Articles in Phys. Rev. C</w:t>
      </w:r>
      <w:r>
        <w:t xml:space="preserve">    </w:t>
      </w:r>
      <w:r>
        <w:rPr>
          <w:b/>
        </w:rPr>
        <w:t xml:space="preserve">Pub date: </w:t>
      </w:r>
      <w:r>
        <w:t>2026-08-06 10:00:00+00:00</w:t>
      </w:r>
      <w:r>
        <w:t xml:space="preserve">    </w:t>
      </w:r>
      <w:r>
        <w:rPr>
          <w:b/>
        </w:rPr>
        <w:t xml:space="preserve">DOI: </w:t>
      </w:r>
      <w:hyperlink r:id="rId1820">
        <w:r>
          <w:rPr>
            <w:color w:val="1155CC"/>
            <w:u w:val="single"/>
          </w:rPr>
          <w:t>10.1103/lht6-4fyl</w:t>
        </w:r>
      </w:hyperlink>
    </w:p>
    <w:p>
      <w:pPr>
        <w:spacing w:before="0" w:after="120"/>
      </w:pPr>
      <w:r>
        <w:rPr>
          <w:b/>
        </w:rPr>
        <w:t xml:space="preserve">Notes: </w:t>
      </w:r>
      <w:r>
        <w:t>abstract_source=rss_description</w:t>
      </w:r>
    </w:p>
    <w:p>
      <w:pPr>
        <w:spacing w:before="0" w:after="80" w:lineRule="auto" w:line="276"/>
      </w:pPr>
      <w:r>
        <w:rPr>
          <w:b/>
        </w:rPr>
        <w:t xml:space="preserve">摘要（ZH）: </w:t>
      </w:r>
      <w:r>
        <w:t>作者：X. Wang、J. L. Ferreira、J. Lubian、J. Tanaka、R. Kanungo、A. Sanetullaev、M. Alcorta、C. Burbadge、G. Christian、B. Davids、J. Even、G. Hackman、J. Henderson、S. Ishimoto、S. Kaur、M. Keefe、R. Krücken、K. G. Leach、E. Padilla-Rodal、J. S. Randhawa、P. Ruotsalainen、O. Workman 和 I. Tanihata 对每个核子 6 MeV 下 $^{1}\mathrm{H}(^{11}\mathrm{Li},^{9}\mathrm{Li})^{3}\mathrm{H}$ 反应的测量产生了过渡到$^{9}\mathrm{Li}$ 基态以及 2.69 和 4.30 MeV 激发态。观察到向 4.30 MeV $(5/{2}^{−})$ 状态的转变…[Phys. Rev. C 114, 024313] 于 2026 年 8 月 6 日星期四发布</w:t>
      </w:r>
    </w:p>
    <w:p>
      <w:pPr>
        <w:spacing w:before="0" w:after="200" w:lineRule="auto" w:line="276"/>
      </w:pPr>
      <w:r>
        <w:rPr>
          <w:b/>
        </w:rPr>
        <w:t xml:space="preserve">Abstract (EN): </w:t>
      </w:r>
      <w:r>
        <w:t>Author(s): X. Wang, J. L. Ferreira, J. Lubian, J. Tanaka, R. Kanungo, A. Sanetullaev, M. Alcorta, C. Burbadge, G. Christian, B. Davids, J. Even, G. Hackman, J. Henderson, S. Ishimoto, S. Kaur, M. Keefe, R. Krücken, K. G. Leach, E. Padilla-Rodal, J. S. Randhawa, P. Ruotsalainen, O. Workman, and I. TanihataMeasurements of the $^{1}\mathrm{H}(^{11}\mathrm{Li},^{9}\mathrm{Li})^{3}\mathrm{H}$ reaction at 6 MeV per nucleon yield differential cross sections for transitions to the $^{9}\mathrm{Li}$ ground and 2.69 and 4.30 MeV excited states. The transition to the 4.30 MeV $(5/{2}^{−})$ state is observed fo…[Phys. Rev. C 114, 024313] Published Thu Aug 06, 2026</w:t>
      </w:r>
    </w:p>
    <w:p>
      <w:pPr>
        <w:spacing w:before="120" w:after="120"/>
      </w:pPr>
      <w:r>
        <w:rPr>
          <w:sz w:val="18"/>
        </w:rPr>
        <w:t>——————————————————————————————————————————————————————————————————————</w:t>
      </w:r>
    </w:p>
    <w:p>
      <w:pPr>
        <w:spacing w:before="160" w:after="40" w:line="240" w:lineRule="auto"/>
      </w:pPr>
      <w:r>
        <w:rPr>
          <w:b/>
        </w:rPr>
        <w:t xml:space="preserve">[683] </w:t>
      </w:r>
      <w:hyperlink r:id="rId1821">
        <w:r>
          <w:rPr>
            <w:color w:val="1155CC"/>
            <w:u w:val="single"/>
          </w:rPr>
          <w:t>多核子转移反应中 $^{100}\mathrm{Sn}$ 附近产生未知的缺中子同位素</w:t>
        </w:r>
      </w:hyperlink>
    </w:p>
    <w:p>
      <w:pPr>
        <w:spacing w:before="0" w:after="80"/>
      </w:pPr>
      <w:r>
        <w:rPr>
          <w:i/>
          <w:sz w:val="20"/>
        </w:rPr>
        <w:t>EN: Production of unknown neutron-deficient isotopes near $^{100}\mathrm{Sn}$ in multinucleon transfer reactions</w:t>
      </w:r>
    </w:p>
    <w:p>
      <w:pPr>
        <w:spacing w:before="0" w:after="120"/>
      </w:pPr>
      <w:r>
        <w:rPr>
          <w:b/>
        </w:rPr>
        <w:t xml:space="preserve">Source: </w:t>
      </w:r>
      <w:r>
        <w:t>Recent Articles in Phys. Rev. C</w:t>
      </w:r>
      <w:r>
        <w:t xml:space="preserve">    </w:t>
      </w:r>
      <w:r>
        <w:rPr>
          <w:b/>
        </w:rPr>
        <w:t xml:space="preserve">Pub date: </w:t>
      </w:r>
      <w:r>
        <w:t>2026-08-06 10:00:00+00:00</w:t>
      </w:r>
      <w:r>
        <w:t xml:space="preserve">    </w:t>
      </w:r>
      <w:r>
        <w:rPr>
          <w:b/>
        </w:rPr>
        <w:t xml:space="preserve">DOI: </w:t>
      </w:r>
      <w:hyperlink r:id="rId1822">
        <w:r>
          <w:rPr>
            <w:color w:val="1155CC"/>
            <w:u w:val="single"/>
          </w:rPr>
          <w:t>10.1103/y6zq-hrsj</w:t>
        </w:r>
      </w:hyperlink>
    </w:p>
    <w:p>
      <w:pPr>
        <w:spacing w:before="0" w:after="120"/>
      </w:pPr>
      <w:r>
        <w:rPr>
          <w:b/>
        </w:rPr>
        <w:t xml:space="preserve">Notes: </w:t>
      </w:r>
      <w:r>
        <w:t>abstract_source=rss_description</w:t>
      </w:r>
    </w:p>
    <w:p>
      <w:pPr>
        <w:spacing w:before="0" w:after="80" w:lineRule="auto" w:line="276"/>
      </w:pPr>
      <w:r>
        <w:rPr>
          <w:b/>
        </w:rPr>
        <w:t xml:space="preserve">摘要（ZH）: </w:t>
      </w:r>
      <w:r>
        <w:t>作者：唐娜、马思英、张新锐、李成、李晶晶、安荣和张丰寿远离$β$稳定线的缺中子同位素的性质对于探索质子滴水线和壳层演化的位置至关重要。双魔核 $^{100}\mathrm{Sn}$ 附近的原子核为探索核结构特性提供了潜在的途径。 …[物理。 Rev. C 114, 024604] 于 2026 年 8 月 6 日星期四发布</w:t>
      </w:r>
    </w:p>
    <w:p>
      <w:pPr>
        <w:spacing w:before="0" w:after="200" w:lineRule="auto" w:line="276"/>
      </w:pPr>
      <w:r>
        <w:rPr>
          <w:b/>
        </w:rPr>
        <w:t xml:space="preserve">Abstract (EN): </w:t>
      </w:r>
      <w:r>
        <w:t>Author(s): Na Tang, Si Ying Ma, Xin-Rui Zhang, Cheng Li, Jing-Jing Li, Rong An, and Feng-Shou ZhangThe properties of neutron-deficient isotopes far from the $β$-stability line are crucial for exploring the position of the proton drip line and shell evolution. Nuclei in the vicinity of the doubly magic nucleus $^{100}\mathrm{Sn}$ provide a potential access to explore nuclear structure properties. …[Phys. Rev. C 114, 024604] Published Thu Aug 06,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11311?dgcid=rss_sd_all" TargetMode="External"/><Relationship Id="rId10" Type="http://schemas.openxmlformats.org/officeDocument/2006/relationships/hyperlink" Target="https://doi.org/10.1016/j.apenergy.2026.128475" TargetMode="External"/><Relationship Id="rId11" Type="http://schemas.openxmlformats.org/officeDocument/2006/relationships/hyperlink" Target="https://www.nmlett.org/index.php/nml/article/view/2616" TargetMode="External"/><Relationship Id="rId12" Type="http://schemas.openxmlformats.org/officeDocument/2006/relationships/hyperlink" Target="https://doi.org/10.1007/s40820-026-02250-4" TargetMode="External"/><Relationship Id="rId13" Type="http://schemas.openxmlformats.org/officeDocument/2006/relationships/hyperlink" Target="https://advanced.onlinelibrary.wiley.com/doi/10.1002/adma.74419?af=R" TargetMode="External"/><Relationship Id="rId14" Type="http://schemas.openxmlformats.org/officeDocument/2006/relationships/hyperlink" Target="https://doi.org/10.1002/adma.74419" TargetMode="External"/><Relationship Id="rId15" Type="http://schemas.openxmlformats.org/officeDocument/2006/relationships/hyperlink" Target="https://advanced.onlinelibrary.wiley.com/doi/10.1002/adma.74382?af=R" TargetMode="External"/><Relationship Id="rId16" Type="http://schemas.openxmlformats.org/officeDocument/2006/relationships/hyperlink" Target="https://doi.org/10.1002/adma.74382" TargetMode="External"/><Relationship Id="rId17" Type="http://schemas.openxmlformats.org/officeDocument/2006/relationships/hyperlink" Target="https://advanced.onlinelibrary.wiley.com/doi/10.1002/adma.74407?af=R" TargetMode="External"/><Relationship Id="rId18" Type="http://schemas.openxmlformats.org/officeDocument/2006/relationships/hyperlink" Target="https://doi.org/10.1002/adma.74407" TargetMode="External"/><Relationship Id="rId19" Type="http://schemas.openxmlformats.org/officeDocument/2006/relationships/hyperlink" Target="https://www.sciencedirect.com/science/article/pii/S0306261926012328?dgcid=rss_sd_all" TargetMode="External"/><Relationship Id="rId20" Type="http://schemas.openxmlformats.org/officeDocument/2006/relationships/hyperlink" Target="https://doi.org/10.1016/j.apenergy.2026.128576" TargetMode="External"/><Relationship Id="rId21" Type="http://schemas.openxmlformats.org/officeDocument/2006/relationships/hyperlink" Target="https://www.sciencedirect.com/science/article/pii/S0306261926012286?dgcid=rss_sd_all" TargetMode="External"/><Relationship Id="rId22" Type="http://schemas.openxmlformats.org/officeDocument/2006/relationships/hyperlink" Target="https://doi.org/10.1016/j.apenergy.2026.128572" TargetMode="External"/><Relationship Id="rId23" Type="http://schemas.openxmlformats.org/officeDocument/2006/relationships/hyperlink" Target="https://advanced.onlinelibrary.wiley.com/doi/10.1002/adma.74469?af=R" TargetMode="External"/><Relationship Id="rId24" Type="http://schemas.openxmlformats.org/officeDocument/2006/relationships/hyperlink" Target="https://doi.org/10.1002/adma.74469" TargetMode="External"/><Relationship Id="rId25" Type="http://schemas.openxmlformats.org/officeDocument/2006/relationships/hyperlink" Target="https://advanced.onlinelibrary.wiley.com/doi/10.1002/adma.74388?af=R" TargetMode="External"/><Relationship Id="rId26" Type="http://schemas.openxmlformats.org/officeDocument/2006/relationships/hyperlink" Target="https://doi.org/10.1002/adma.74388" TargetMode="External"/><Relationship Id="rId27" Type="http://schemas.openxmlformats.org/officeDocument/2006/relationships/hyperlink" Target="https://advanced.onlinelibrary.wiley.com/doi/10.1002/adma.74315?af=R" TargetMode="External"/><Relationship Id="rId28" Type="http://schemas.openxmlformats.org/officeDocument/2006/relationships/hyperlink" Target="https://doi.org/10.1002/adma.74315" TargetMode="External"/><Relationship Id="rId29" Type="http://schemas.openxmlformats.org/officeDocument/2006/relationships/hyperlink" Target="https://pubs.acs.org/jacsat/article/doi/10.1021/jacs.6c05503/5238517/Mixed-Ligand-Driven-Phase-Pure-2D-Perovskite-for" TargetMode="External"/><Relationship Id="rId30" Type="http://schemas.openxmlformats.org/officeDocument/2006/relationships/hyperlink" Target="https://doi.org/10.1021/jacs.6c05503" TargetMode="External"/><Relationship Id="rId31" Type="http://schemas.openxmlformats.org/officeDocument/2006/relationships/hyperlink" Target="https://www.nature.com/articles/s41563-026-02703-6" TargetMode="External"/><Relationship Id="rId32" Type="http://schemas.openxmlformats.org/officeDocument/2006/relationships/hyperlink" Target="https://doi.org/10.1038/s41563-026-02703-6" TargetMode="External"/><Relationship Id="rId33" Type="http://schemas.openxmlformats.org/officeDocument/2006/relationships/hyperlink" Target="https://pubs.acs.org/aamick/article/doi/10.1021/acsami.6c12131/5238583/Bulk-Heterojunction-Like-Triplet-Recombination" TargetMode="External"/><Relationship Id="rId34" Type="http://schemas.openxmlformats.org/officeDocument/2006/relationships/hyperlink" Target="https://doi.org/10.1021/acsami.6c12131" TargetMode="External"/><Relationship Id="rId35" Type="http://schemas.openxmlformats.org/officeDocument/2006/relationships/hyperlink" Target="https://pubs.acs.org/aamick/article/doi/10.1021/acsami.6c11467/5242089/Dipole-Moment-Tuned-Self-Assembled-Monolayers-for" TargetMode="External"/><Relationship Id="rId36" Type="http://schemas.openxmlformats.org/officeDocument/2006/relationships/hyperlink" Target="https://doi.org/10.1021/acsami.6c11467" TargetMode="External"/><Relationship Id="rId37" Type="http://schemas.openxmlformats.org/officeDocument/2006/relationships/hyperlink" Target="https://advanced.onlinelibrary.wiley.com/doi/10.1002/adma.74415?af=R" TargetMode="External"/><Relationship Id="rId38" Type="http://schemas.openxmlformats.org/officeDocument/2006/relationships/hyperlink" Target="https://doi.org/10.1002/adma.74415" TargetMode="External"/><Relationship Id="rId39" Type="http://schemas.openxmlformats.org/officeDocument/2006/relationships/hyperlink" Target="https://pubs.acs.org/aamick/article/doi/10.1021/acsami.6c11057/5243620/Fluorinated-Phenethylammonium-and-Pre-Annealing" TargetMode="External"/><Relationship Id="rId40" Type="http://schemas.openxmlformats.org/officeDocument/2006/relationships/hyperlink" Target="https://doi.org/10.1021/acsami.6c11057" TargetMode="External"/><Relationship Id="rId41" Type="http://schemas.openxmlformats.org/officeDocument/2006/relationships/hyperlink" Target="https://pubs.acs.org/jacsat/article/doi/10.1021/jacs.6c05512/5242163/Laporte-Rule-Guided-Molecular-Symmetry-Control-of" TargetMode="External"/><Relationship Id="rId42" Type="http://schemas.openxmlformats.org/officeDocument/2006/relationships/hyperlink" Target="https://doi.org/10.1021/jacs.6c05512" TargetMode="External"/><Relationship Id="rId43" Type="http://schemas.openxmlformats.org/officeDocument/2006/relationships/hyperlink" Target="https://pubs.acs.org/jacsat/article/doi/10.1021/jacs.6c12975/5242154/Lowering-the-to-Phase-Transition-Barrier-via-a" TargetMode="External"/><Relationship Id="rId44" Type="http://schemas.openxmlformats.org/officeDocument/2006/relationships/hyperlink" Target="https://doi.org/10.1021/jacs.6c12975" TargetMode="External"/><Relationship Id="rId45" Type="http://schemas.openxmlformats.org/officeDocument/2006/relationships/hyperlink" Target="https://pubs.acs.org/aamick/article/doi/10.1021/acsami.6c08807/5243710/Electrode-Engineering-for-Advanced-Organic" TargetMode="External"/><Relationship Id="rId46" Type="http://schemas.openxmlformats.org/officeDocument/2006/relationships/hyperlink" Target="https://doi.org/10.1021/acsami.6c08807" TargetMode="External"/><Relationship Id="rId47" Type="http://schemas.openxmlformats.org/officeDocument/2006/relationships/hyperlink" Target="https://www.nature.com/articles/s41563-026-02664-w" TargetMode="External"/><Relationship Id="rId48" Type="http://schemas.openxmlformats.org/officeDocument/2006/relationships/hyperlink" Target="https://doi.org/10.1038/s41563-026-02664-w" TargetMode="External"/><Relationship Id="rId49" Type="http://schemas.openxmlformats.org/officeDocument/2006/relationships/hyperlink" Target="https://pubs.acs.org/jacsat/article/doi/10.1021/jacs.6c09915/5243577/Trifluoromethylthio-Engineering-Enables-a-Balanced" TargetMode="External"/><Relationship Id="rId50" Type="http://schemas.openxmlformats.org/officeDocument/2006/relationships/hyperlink" Target="https://doi.org/10.1021/jacs.6c09915" TargetMode="External"/><Relationship Id="rId51" Type="http://schemas.openxmlformats.org/officeDocument/2006/relationships/hyperlink" Target="https://advanced.onlinelibrary.wiley.com/doi/10.1002/adma.74461?af=R" TargetMode="External"/><Relationship Id="rId52" Type="http://schemas.openxmlformats.org/officeDocument/2006/relationships/hyperlink" Target="https://doi.org/10.1002/adma.74461" TargetMode="External"/><Relationship Id="rId53" Type="http://schemas.openxmlformats.org/officeDocument/2006/relationships/hyperlink" Target="https://advanced.onlinelibrary.wiley.com/doi/10.1002/adma.74452?af=R" TargetMode="External"/><Relationship Id="rId54" Type="http://schemas.openxmlformats.org/officeDocument/2006/relationships/hyperlink" Target="https://doi.org/10.1002/adma.74452" TargetMode="External"/><Relationship Id="rId55" Type="http://schemas.openxmlformats.org/officeDocument/2006/relationships/hyperlink" Target="https://advanced.onlinelibrary.wiley.com/doi/10.1002/adma.74441?af=R" TargetMode="External"/><Relationship Id="rId56" Type="http://schemas.openxmlformats.org/officeDocument/2006/relationships/hyperlink" Target="https://doi.org/10.1002/adma.74441" TargetMode="External"/><Relationship Id="rId57" Type="http://schemas.openxmlformats.org/officeDocument/2006/relationships/hyperlink" Target="https://www.sciencedirect.com/science/article/pii/S0306261926012419?dgcid=rss_sd_all" TargetMode="External"/><Relationship Id="rId58" Type="http://schemas.openxmlformats.org/officeDocument/2006/relationships/hyperlink" Target="https://doi.org/10.1016/j.apenergy.2026.128585" TargetMode="External"/><Relationship Id="rId59" Type="http://schemas.openxmlformats.org/officeDocument/2006/relationships/hyperlink" Target="https://pubs.acs.org/aelccp/article/doi/10.1021/acsenergylett.6c01114/5246483/Large-Polaron-Screening-Delays-Mobility-Roll-Off" TargetMode="External"/><Relationship Id="rId60" Type="http://schemas.openxmlformats.org/officeDocument/2006/relationships/hyperlink" Target="https://doi.org/10.1021/acsenergylett.6c01114" TargetMode="External"/><Relationship Id="rId61" Type="http://schemas.openxmlformats.org/officeDocument/2006/relationships/hyperlink" Target="https://www.nature.com/articles/s41560-026-02125-3" TargetMode="External"/><Relationship Id="rId62" Type="http://schemas.openxmlformats.org/officeDocument/2006/relationships/hyperlink" Target="https://doi.org/10.1038/s41560-026-02125-3" TargetMode="External"/><Relationship Id="rId63" Type="http://schemas.openxmlformats.org/officeDocument/2006/relationships/hyperlink" Target="https://www.nature.com/articles/s41586-026-10970-1" TargetMode="External"/><Relationship Id="rId64" Type="http://schemas.openxmlformats.org/officeDocument/2006/relationships/hyperlink" Target="https://doi.org/10.1038/s41586-026-10970-1" TargetMode="External"/><Relationship Id="rId65" Type="http://schemas.openxmlformats.org/officeDocument/2006/relationships/hyperlink" Target="https://www.nature.com/articles/s41467-026-76097-z" TargetMode="External"/><Relationship Id="rId66" Type="http://schemas.openxmlformats.org/officeDocument/2006/relationships/hyperlink" Target="https://www.sciencedirect.com/science/article/pii/S0306261926012663?dgcid=rss_sd_all" TargetMode="External"/><Relationship Id="rId67" Type="http://schemas.openxmlformats.org/officeDocument/2006/relationships/hyperlink" Target="https://doi.org/10.1016/j.apenergy.2026.128610" TargetMode="External"/><Relationship Id="rId68" Type="http://schemas.openxmlformats.org/officeDocument/2006/relationships/hyperlink" Target="https://advanced.onlinelibrary.wiley.com/doi/10.1002/aenm.71372?af=R" TargetMode="External"/><Relationship Id="rId69" Type="http://schemas.openxmlformats.org/officeDocument/2006/relationships/hyperlink" Target="https://doi.org/10.1002/aenm.71372" TargetMode="External"/><Relationship Id="rId70" Type="http://schemas.openxmlformats.org/officeDocument/2006/relationships/hyperlink" Target="https://advanced.onlinelibrary.wiley.com/doi/10.1002/adma.74438?af=R" TargetMode="External"/><Relationship Id="rId71" Type="http://schemas.openxmlformats.org/officeDocument/2006/relationships/hyperlink" Target="https://doi.org/10.1002/adma.74438" TargetMode="External"/><Relationship Id="rId72" Type="http://schemas.openxmlformats.org/officeDocument/2006/relationships/hyperlink" Target="https://advanced.onlinelibrary.wiley.com/doi/10.1002/adma.74521?af=R" TargetMode="External"/><Relationship Id="rId73" Type="http://schemas.openxmlformats.org/officeDocument/2006/relationships/hyperlink" Target="https://doi.org/10.1002/adma.74521" TargetMode="External"/><Relationship Id="rId74" Type="http://schemas.openxmlformats.org/officeDocument/2006/relationships/hyperlink" Target="https://advanced.onlinelibrary.wiley.com/doi/10.1002/adma.74486?af=R" TargetMode="External"/><Relationship Id="rId75" Type="http://schemas.openxmlformats.org/officeDocument/2006/relationships/hyperlink" Target="https://doi.org/10.1002/adma.74486" TargetMode="External"/><Relationship Id="rId76" Type="http://schemas.openxmlformats.org/officeDocument/2006/relationships/hyperlink" Target="https://onlinelibrary.wiley.com/doi/10.1002/anie.2691122?af=R" TargetMode="External"/><Relationship Id="rId77" Type="http://schemas.openxmlformats.org/officeDocument/2006/relationships/hyperlink" Target="https://doi.org/10.1002/anie.2691122" TargetMode="External"/><Relationship Id="rId78" Type="http://schemas.openxmlformats.org/officeDocument/2006/relationships/hyperlink" Target="https://onlinelibrary.wiley.com/doi/10.1002/anie.2425823?af=R" TargetMode="External"/><Relationship Id="rId79" Type="http://schemas.openxmlformats.org/officeDocument/2006/relationships/hyperlink" Target="https://doi.org/10.1002/anie.2425823" TargetMode="External"/><Relationship Id="rId80" Type="http://schemas.openxmlformats.org/officeDocument/2006/relationships/hyperlink" Target="https://onlinelibrary.wiley.com/doi/10.1002/anie.3883037?af=R" TargetMode="External"/><Relationship Id="rId81" Type="http://schemas.openxmlformats.org/officeDocument/2006/relationships/hyperlink" Target="https://doi.org/10.1002/anie.3883037" TargetMode="External"/><Relationship Id="rId82" Type="http://schemas.openxmlformats.org/officeDocument/2006/relationships/hyperlink" Target="https://pubs.acs.org/aamick/article/doi/10.1021/acsami.6c09864/5249729/The-Modulation-Strategies-Applications-and-Future" TargetMode="External"/><Relationship Id="rId83" Type="http://schemas.openxmlformats.org/officeDocument/2006/relationships/hyperlink" Target="https://doi.org/10.1021/acsami.6c09864" TargetMode="External"/><Relationship Id="rId84" Type="http://schemas.openxmlformats.org/officeDocument/2006/relationships/hyperlink" Target="https://advanced.onlinelibrary.wiley.com/doi/10.1002/aenm.71392?af=R" TargetMode="External"/><Relationship Id="rId85" Type="http://schemas.openxmlformats.org/officeDocument/2006/relationships/hyperlink" Target="https://doi.org/10.1002/aenm.71392" TargetMode="External"/><Relationship Id="rId86" Type="http://schemas.openxmlformats.org/officeDocument/2006/relationships/hyperlink" Target="https://advanced.onlinelibrary.wiley.com/doi/10.1002/adma.74526?af=R" TargetMode="External"/><Relationship Id="rId87" Type="http://schemas.openxmlformats.org/officeDocument/2006/relationships/hyperlink" Target="https://doi.org/10.1002/adma.74526" TargetMode="External"/><Relationship Id="rId88" Type="http://schemas.openxmlformats.org/officeDocument/2006/relationships/hyperlink" Target="https://www.nature.com/articles/s41560-026-02118-2" TargetMode="External"/><Relationship Id="rId89" Type="http://schemas.openxmlformats.org/officeDocument/2006/relationships/hyperlink" Target="https://doi.org/10.1038/s41560-026-02118-2" TargetMode="External"/><Relationship Id="rId90" Type="http://schemas.openxmlformats.org/officeDocument/2006/relationships/hyperlink" Target="https://advanced.onlinelibrary.wiley.com/doi/10.1002/adma.74354?af=R" TargetMode="External"/><Relationship Id="rId91" Type="http://schemas.openxmlformats.org/officeDocument/2006/relationships/hyperlink" Target="https://doi.org/10.1002/adma.74354" TargetMode="External"/><Relationship Id="rId92" Type="http://schemas.openxmlformats.org/officeDocument/2006/relationships/hyperlink" Target="https://advanced.onlinelibrary.wiley.com/doi/10.1002/adma.74405?af=R" TargetMode="External"/><Relationship Id="rId93" Type="http://schemas.openxmlformats.org/officeDocument/2006/relationships/hyperlink" Target="https://doi.org/10.1002/adma.74405" TargetMode="External"/><Relationship Id="rId94" Type="http://schemas.openxmlformats.org/officeDocument/2006/relationships/hyperlink" Target="https://advanced.onlinelibrary.wiley.com/doi/10.1002/adma.74313?af=R" TargetMode="External"/><Relationship Id="rId95" Type="http://schemas.openxmlformats.org/officeDocument/2006/relationships/hyperlink" Target="https://doi.org/10.1002/adma.74313" TargetMode="External"/><Relationship Id="rId96" Type="http://schemas.openxmlformats.org/officeDocument/2006/relationships/hyperlink" Target="https://pubs.acs.org/aamick/article/doi/10.1021/acsami.6c06432/5238442/Mechanistic-Insight-into-Transition-Metal-Tm-Cu-Fe" TargetMode="External"/><Relationship Id="rId97" Type="http://schemas.openxmlformats.org/officeDocument/2006/relationships/hyperlink" Target="https://doi.org/10.1021/acsami.6c06432" TargetMode="External"/><Relationship Id="rId98" Type="http://schemas.openxmlformats.org/officeDocument/2006/relationships/hyperlink" Target="https://advanced.onlinelibrary.wiley.com/doi/10.1002/adma.74356?af=R" TargetMode="External"/><Relationship Id="rId99" Type="http://schemas.openxmlformats.org/officeDocument/2006/relationships/hyperlink" Target="https://doi.org/10.1002/adma.74356" TargetMode="External"/><Relationship Id="rId100" Type="http://schemas.openxmlformats.org/officeDocument/2006/relationships/hyperlink" Target="https://pubs.acs.org/jacsat/article/doi/10.1021/jacs.6c05295/5242277/Spin-State-Engineering-of-Manganese-Boosts-the" TargetMode="External"/><Relationship Id="rId101" Type="http://schemas.openxmlformats.org/officeDocument/2006/relationships/hyperlink" Target="https://doi.org/10.1021/jacs.6c05295" TargetMode="External"/><Relationship Id="rId102" Type="http://schemas.openxmlformats.org/officeDocument/2006/relationships/hyperlink" Target="https://pubs.acs.org/aelccp/article/doi/10.1021/acsenergylett.6c01995/5242290/Distinct-Microstructural-Evolution-of-Li-and-Mn" TargetMode="External"/><Relationship Id="rId103" Type="http://schemas.openxmlformats.org/officeDocument/2006/relationships/hyperlink" Target="https://doi.org/10.1021/acsenergylett.6c01995" TargetMode="External"/><Relationship Id="rId104" Type="http://schemas.openxmlformats.org/officeDocument/2006/relationships/hyperlink" Target="https://www.nature.com/articles/s41467-026-76366-x" TargetMode="External"/><Relationship Id="rId105" Type="http://schemas.openxmlformats.org/officeDocument/2006/relationships/hyperlink" Target="https://www.nature.com/articles/s41467-026-74444-8" TargetMode="External"/><Relationship Id="rId106" Type="http://schemas.openxmlformats.org/officeDocument/2006/relationships/hyperlink" Target="https://pubs.acs.org/jacsat/article/doi/10.1021/jacs.6c11308/5243340/Unveiling-Dual-Interface-Coordination" TargetMode="External"/><Relationship Id="rId107" Type="http://schemas.openxmlformats.org/officeDocument/2006/relationships/hyperlink" Target="https://doi.org/10.1021/jacs.6c11308" TargetMode="External"/><Relationship Id="rId108" Type="http://schemas.openxmlformats.org/officeDocument/2006/relationships/hyperlink" Target="https://advanced.onlinelibrary.wiley.com/doi/10.1002/aenm.71389?af=R" TargetMode="External"/><Relationship Id="rId109" Type="http://schemas.openxmlformats.org/officeDocument/2006/relationships/hyperlink" Target="https://doi.org/10.1002/aenm.71389" TargetMode="External"/><Relationship Id="rId110" Type="http://schemas.openxmlformats.org/officeDocument/2006/relationships/hyperlink" Target="https://advanced.onlinelibrary.wiley.com/doi/10.1002/aenm.71375?af=R" TargetMode="External"/><Relationship Id="rId111" Type="http://schemas.openxmlformats.org/officeDocument/2006/relationships/hyperlink" Target="https://doi.org/10.1002/aenm.71375" TargetMode="External"/><Relationship Id="rId112" Type="http://schemas.openxmlformats.org/officeDocument/2006/relationships/hyperlink" Target="https://advanced.onlinelibrary.wiley.com/doi/10.1002/aenm.71380?af=R" TargetMode="External"/><Relationship Id="rId113" Type="http://schemas.openxmlformats.org/officeDocument/2006/relationships/hyperlink" Target="https://doi.org/10.1002/aenm.71380" TargetMode="External"/><Relationship Id="rId114" Type="http://schemas.openxmlformats.org/officeDocument/2006/relationships/hyperlink" Target="https://advanced.onlinelibrary.wiley.com/doi/10.1002/aenm.71400?af=R" TargetMode="External"/><Relationship Id="rId115" Type="http://schemas.openxmlformats.org/officeDocument/2006/relationships/hyperlink" Target="https://doi.org/10.1002/aenm.71400" TargetMode="External"/><Relationship Id="rId116" Type="http://schemas.openxmlformats.org/officeDocument/2006/relationships/hyperlink" Target="https://advanced.onlinelibrary.wiley.com/doi/10.1002/adma.74445?af=R" TargetMode="External"/><Relationship Id="rId117" Type="http://schemas.openxmlformats.org/officeDocument/2006/relationships/hyperlink" Target="https://doi.org/10.1002/adma.74445" TargetMode="External"/><Relationship Id="rId118" Type="http://schemas.openxmlformats.org/officeDocument/2006/relationships/hyperlink" Target="https://advanced.onlinelibrary.wiley.com/doi/10.1002/adma.74442?af=R" TargetMode="External"/><Relationship Id="rId119" Type="http://schemas.openxmlformats.org/officeDocument/2006/relationships/hyperlink" Target="https://doi.org/10.1002/adma.74442" TargetMode="External"/><Relationship Id="rId120" Type="http://schemas.openxmlformats.org/officeDocument/2006/relationships/hyperlink" Target="https://www.nature.com/articles/s41467-026-76399-2" TargetMode="External"/><Relationship Id="rId121" Type="http://schemas.openxmlformats.org/officeDocument/2006/relationships/hyperlink" Target="https://onlinelibrary.wiley.com/doi/10.1002/anie.5007458?af=R" TargetMode="External"/><Relationship Id="rId122" Type="http://schemas.openxmlformats.org/officeDocument/2006/relationships/hyperlink" Target="https://doi.org/10.1002/anie.5007458" TargetMode="External"/><Relationship Id="rId123" Type="http://schemas.openxmlformats.org/officeDocument/2006/relationships/hyperlink" Target="https://onlinelibrary.wiley.com/doi/10.1002/anie.4447296?af=R" TargetMode="External"/><Relationship Id="rId124" Type="http://schemas.openxmlformats.org/officeDocument/2006/relationships/hyperlink" Target="https://doi.org/10.1002/anie.4447296" TargetMode="External"/><Relationship Id="rId125" Type="http://schemas.openxmlformats.org/officeDocument/2006/relationships/hyperlink" Target="https://onlinelibrary.wiley.com/doi/10.1002/anie.8321379?af=R" TargetMode="External"/><Relationship Id="rId126" Type="http://schemas.openxmlformats.org/officeDocument/2006/relationships/hyperlink" Target="https://doi.org/10.1002/anie.8321379" TargetMode="External"/><Relationship Id="rId127" Type="http://schemas.openxmlformats.org/officeDocument/2006/relationships/hyperlink" Target="https://onlinelibrary.wiley.com/doi/10.1002/anie.2534734?af=R" TargetMode="External"/><Relationship Id="rId128" Type="http://schemas.openxmlformats.org/officeDocument/2006/relationships/hyperlink" Target="https://doi.org/10.1002/anie.2534734" TargetMode="External"/><Relationship Id="rId129" Type="http://schemas.openxmlformats.org/officeDocument/2006/relationships/hyperlink" Target="https://onlinelibrary.wiley.com/doi/10.1002/anie.5861510?af=R" TargetMode="External"/><Relationship Id="rId130" Type="http://schemas.openxmlformats.org/officeDocument/2006/relationships/hyperlink" Target="https://doi.org/10.1002/anie.5861510" TargetMode="External"/><Relationship Id="rId131" Type="http://schemas.openxmlformats.org/officeDocument/2006/relationships/hyperlink" Target="https://pubs.acs.org/jacsat/article/doi/10.1021/jacs.6c08547/5247104/Electron-Push-Pull-Effect-Drives-Reversible-Six" TargetMode="External"/><Relationship Id="rId132" Type="http://schemas.openxmlformats.org/officeDocument/2006/relationships/hyperlink" Target="https://doi.org/10.1021/jacs.6c08547" TargetMode="External"/><Relationship Id="rId133" Type="http://schemas.openxmlformats.org/officeDocument/2006/relationships/hyperlink" Target="https://pubs.acs.org/aamick/article/doi/10.1021/acsami.6c11510/5249728/Exploring-Multi-Transition-Metal-NASICON" TargetMode="External"/><Relationship Id="rId134" Type="http://schemas.openxmlformats.org/officeDocument/2006/relationships/hyperlink" Target="https://doi.org/10.1021/acsami.6c11510" TargetMode="External"/><Relationship Id="rId135" Type="http://schemas.openxmlformats.org/officeDocument/2006/relationships/hyperlink" Target="https://advanced.onlinelibrary.wiley.com/doi/10.1002/aenm.71404?af=R" TargetMode="External"/><Relationship Id="rId136" Type="http://schemas.openxmlformats.org/officeDocument/2006/relationships/hyperlink" Target="https://doi.org/10.1002/aenm.71404" TargetMode="External"/><Relationship Id="rId137" Type="http://schemas.openxmlformats.org/officeDocument/2006/relationships/hyperlink" Target="https://advanced.onlinelibrary.wiley.com/doi/10.1002/aenm.71382?af=R" TargetMode="External"/><Relationship Id="rId138" Type="http://schemas.openxmlformats.org/officeDocument/2006/relationships/hyperlink" Target="https://doi.org/10.1002/aenm.71382" TargetMode="External"/><Relationship Id="rId139" Type="http://schemas.openxmlformats.org/officeDocument/2006/relationships/hyperlink" Target="https://pubs.acs.org/aamick/article/doi/10.1021/acsami.6c10487/5238686/Deciphering-Bulk-Lithium-Dendrite-Evolution-in" TargetMode="External"/><Relationship Id="rId140" Type="http://schemas.openxmlformats.org/officeDocument/2006/relationships/hyperlink" Target="https://doi.org/10.1021/acsami.6c10487" TargetMode="External"/><Relationship Id="rId141" Type="http://schemas.openxmlformats.org/officeDocument/2006/relationships/hyperlink" Target="https://pubs.acs.org/aamick/article/doi/10.1021/acsami.6c07460/5243300/Engineering-Hexaazatriphenylene-Covalent-Organic" TargetMode="External"/><Relationship Id="rId142" Type="http://schemas.openxmlformats.org/officeDocument/2006/relationships/hyperlink" Target="https://doi.org/10.1021/acsami.6c07460" TargetMode="External"/><Relationship Id="rId143" Type="http://schemas.openxmlformats.org/officeDocument/2006/relationships/hyperlink" Target="https://advanced.onlinelibrary.wiley.com/doi/10.1002/adma.74503?af=R" TargetMode="External"/><Relationship Id="rId144" Type="http://schemas.openxmlformats.org/officeDocument/2006/relationships/hyperlink" Target="https://doi.org/10.1002/adma.74503" TargetMode="External"/><Relationship Id="rId145" Type="http://schemas.openxmlformats.org/officeDocument/2006/relationships/hyperlink" Target="https://pubs.acs.org/aelccp/article/doi/10.1021/acsenergylett.6c01946/5246579/Decoupling-Sodium-Metal-Artifacts-from-Hard-Carbon" TargetMode="External"/><Relationship Id="rId146" Type="http://schemas.openxmlformats.org/officeDocument/2006/relationships/hyperlink" Target="https://doi.org/10.1021/acsenergylett.6c01946" TargetMode="External"/><Relationship Id="rId147" Type="http://schemas.openxmlformats.org/officeDocument/2006/relationships/hyperlink" Target="https://pubs.acs.org/aamick/article/doi/10.1021/acsami.6c10211/5243716/Hybrid-Interface-Enables-Dendrite-Free-Aqueous-Zn" TargetMode="External"/><Relationship Id="rId148" Type="http://schemas.openxmlformats.org/officeDocument/2006/relationships/hyperlink" Target="https://doi.org/10.1021/acsami.6c10211" TargetMode="External"/><Relationship Id="rId149" Type="http://schemas.openxmlformats.org/officeDocument/2006/relationships/hyperlink" Target="https://www.science.org/doi/abs/10.1126/sciadv.aeh4699?af=R" TargetMode="External"/><Relationship Id="rId150" Type="http://schemas.openxmlformats.org/officeDocument/2006/relationships/hyperlink" Target="https://doi.org/10.1126/sciadv.aeh4699" TargetMode="External"/><Relationship Id="rId151" Type="http://schemas.openxmlformats.org/officeDocument/2006/relationships/hyperlink" Target="https://advanced.onlinelibrary.wiley.com/doi/10.1002/adma.74496?af=R" TargetMode="External"/><Relationship Id="rId152" Type="http://schemas.openxmlformats.org/officeDocument/2006/relationships/hyperlink" Target="https://doi.org/10.1002/adma.74496" TargetMode="External"/><Relationship Id="rId153" Type="http://schemas.openxmlformats.org/officeDocument/2006/relationships/hyperlink" Target="https://advanced.onlinelibrary.wiley.com/doi/10.1002/aenm.71393?af=R" TargetMode="External"/><Relationship Id="rId154" Type="http://schemas.openxmlformats.org/officeDocument/2006/relationships/hyperlink" Target="https://doi.org/10.1002/aenm.71393" TargetMode="External"/><Relationship Id="rId155" Type="http://schemas.openxmlformats.org/officeDocument/2006/relationships/hyperlink" Target="https://advanced.onlinelibrary.wiley.com/doi/10.1002/adma.74536?af=R" TargetMode="External"/><Relationship Id="rId156" Type="http://schemas.openxmlformats.org/officeDocument/2006/relationships/hyperlink" Target="https://doi.org/10.1002/adma.74536" TargetMode="External"/><Relationship Id="rId157" Type="http://schemas.openxmlformats.org/officeDocument/2006/relationships/hyperlink" Target="https://onlinelibrary.wiley.com/doi/10.1002/anie.5417029?af=R" TargetMode="External"/><Relationship Id="rId158" Type="http://schemas.openxmlformats.org/officeDocument/2006/relationships/hyperlink" Target="https://doi.org/10.1002/anie.5417029" TargetMode="External"/><Relationship Id="rId159" Type="http://schemas.openxmlformats.org/officeDocument/2006/relationships/hyperlink" Target="https://pubs.acs.org/aamick/article/doi/10.1021/acsami.6c12562/5249195/MoO3-x-Incorporated-Covalent-Organic-Framework" TargetMode="External"/><Relationship Id="rId160" Type="http://schemas.openxmlformats.org/officeDocument/2006/relationships/hyperlink" Target="https://doi.org/10.1021/acsami.6c12562" TargetMode="External"/><Relationship Id="rId161" Type="http://schemas.openxmlformats.org/officeDocument/2006/relationships/hyperlink" Target="https://pubs.acs.org/aamick/article/doi/10.1021/acsami.6c04962/5246705/Kinetic-Controlled-Dissolution-Diffusion" TargetMode="External"/><Relationship Id="rId162" Type="http://schemas.openxmlformats.org/officeDocument/2006/relationships/hyperlink" Target="https://doi.org/10.1021/acsami.6c04962" TargetMode="External"/><Relationship Id="rId163" Type="http://schemas.openxmlformats.org/officeDocument/2006/relationships/hyperlink" Target="https://www.nature.com/articles/s41467-026-75537-0" TargetMode="External"/><Relationship Id="rId164" Type="http://schemas.openxmlformats.org/officeDocument/2006/relationships/hyperlink" Target="https://www.nature.com/articles/s41586-026-10921-w" TargetMode="External"/><Relationship Id="rId165" Type="http://schemas.openxmlformats.org/officeDocument/2006/relationships/hyperlink" Target="https://doi.org/10.1038/s41586-026-10921-w" TargetMode="External"/><Relationship Id="rId166" Type="http://schemas.openxmlformats.org/officeDocument/2006/relationships/hyperlink" Target="https://www.cell.com/joule/fulltext/S2542-4351(26)00285-0?rss=yes" TargetMode="External"/><Relationship Id="rId167" Type="http://schemas.openxmlformats.org/officeDocument/2006/relationships/hyperlink" Target="https://doi.org/10.1016/j.joule.2026.102601" TargetMode="External"/><Relationship Id="rId168" Type="http://schemas.openxmlformats.org/officeDocument/2006/relationships/hyperlink" Target="https://onlinelibrary.wiley.com/doi/10.1002/anie.9595705?af=R" TargetMode="External"/><Relationship Id="rId169" Type="http://schemas.openxmlformats.org/officeDocument/2006/relationships/hyperlink" Target="https://doi.org/10.1002/anie.9595705" TargetMode="External"/><Relationship Id="rId170" Type="http://schemas.openxmlformats.org/officeDocument/2006/relationships/hyperlink" Target="https://pubs.acs.org/aamick/article/doi/10.1021/acsami.6c10476/5242079/Ion-Transport-in-Supramolecular-Ionic-Liquid" TargetMode="External"/><Relationship Id="rId171" Type="http://schemas.openxmlformats.org/officeDocument/2006/relationships/hyperlink" Target="https://doi.org/10.1021/acsami.6c10476" TargetMode="External"/><Relationship Id="rId172" Type="http://schemas.openxmlformats.org/officeDocument/2006/relationships/hyperlink" Target="https://pubs.acs.org/aamick/article/doi/10.1021/acsami.6c09266/5243574/Tuning-Carbonate-Solvation-via-Electrolyte" TargetMode="External"/><Relationship Id="rId173" Type="http://schemas.openxmlformats.org/officeDocument/2006/relationships/hyperlink" Target="https://doi.org/10.1021/acsami.6c09266" TargetMode="External"/><Relationship Id="rId174" Type="http://schemas.openxmlformats.org/officeDocument/2006/relationships/hyperlink" Target="https://advanced.onlinelibrary.wiley.com/doi/10.1002/aenm.71383?af=R" TargetMode="External"/><Relationship Id="rId175" Type="http://schemas.openxmlformats.org/officeDocument/2006/relationships/hyperlink" Target="https://doi.org/10.1002/aenm.71383" TargetMode="External"/><Relationship Id="rId176" Type="http://schemas.openxmlformats.org/officeDocument/2006/relationships/hyperlink" Target="https://advanced.onlinelibrary.wiley.com/doi/10.1002/adma.74446?af=R" TargetMode="External"/><Relationship Id="rId177" Type="http://schemas.openxmlformats.org/officeDocument/2006/relationships/hyperlink" Target="https://doi.org/10.1002/adma.74446" TargetMode="External"/><Relationship Id="rId178" Type="http://schemas.openxmlformats.org/officeDocument/2006/relationships/hyperlink" Target="https://advanced.onlinelibrary.wiley.com/doi/10.1002/adma.74465?af=R" TargetMode="External"/><Relationship Id="rId179" Type="http://schemas.openxmlformats.org/officeDocument/2006/relationships/hyperlink" Target="https://doi.org/10.1002/adma.74465" TargetMode="External"/><Relationship Id="rId180" Type="http://schemas.openxmlformats.org/officeDocument/2006/relationships/hyperlink" Target="https://advanced.onlinelibrary.wiley.com/doi/10.1002/aenm.71378?af=R" TargetMode="External"/><Relationship Id="rId181" Type="http://schemas.openxmlformats.org/officeDocument/2006/relationships/hyperlink" Target="https://doi.org/10.1002/aenm.71378" TargetMode="External"/><Relationship Id="rId182" Type="http://schemas.openxmlformats.org/officeDocument/2006/relationships/hyperlink" Target="https://advanced.onlinelibrary.wiley.com/doi/10.1002/aenm.71386?af=R" TargetMode="External"/><Relationship Id="rId183" Type="http://schemas.openxmlformats.org/officeDocument/2006/relationships/hyperlink" Target="https://doi.org/10.1002/aenm.71386" TargetMode="External"/><Relationship Id="rId184" Type="http://schemas.openxmlformats.org/officeDocument/2006/relationships/hyperlink" Target="https://advanced.onlinelibrary.wiley.com/doi/10.1002/adma.74436?af=R" TargetMode="External"/><Relationship Id="rId185" Type="http://schemas.openxmlformats.org/officeDocument/2006/relationships/hyperlink" Target="https://doi.org/10.1002/adma.74436" TargetMode="External"/><Relationship Id="rId186" Type="http://schemas.openxmlformats.org/officeDocument/2006/relationships/hyperlink" Target="https://advanced.onlinelibrary.wiley.com/doi/10.1002/adma.74466?af=R" TargetMode="External"/><Relationship Id="rId187" Type="http://schemas.openxmlformats.org/officeDocument/2006/relationships/hyperlink" Target="https://doi.org/10.1002/adma.74466" TargetMode="External"/><Relationship Id="rId188" Type="http://schemas.openxmlformats.org/officeDocument/2006/relationships/hyperlink" Target="https://advanced.onlinelibrary.wiley.com/doi/10.1002/adma.74480?af=R" TargetMode="External"/><Relationship Id="rId189" Type="http://schemas.openxmlformats.org/officeDocument/2006/relationships/hyperlink" Target="https://doi.org/10.1002/adma.74480" TargetMode="External"/><Relationship Id="rId190" Type="http://schemas.openxmlformats.org/officeDocument/2006/relationships/hyperlink" Target="https://onlinelibrary.wiley.com/doi/10.1002/anie.6421920?af=R" TargetMode="External"/><Relationship Id="rId191" Type="http://schemas.openxmlformats.org/officeDocument/2006/relationships/hyperlink" Target="https://doi.org/10.1002/anie.6421920" TargetMode="External"/><Relationship Id="rId192" Type="http://schemas.openxmlformats.org/officeDocument/2006/relationships/hyperlink" Target="https://pubs.acs.org/aamick/article/doi/10.1021/acsami.6c09896/5249764/Aqueous-Rechargeable-Magnesium-Battery-with-a-High" TargetMode="External"/><Relationship Id="rId193" Type="http://schemas.openxmlformats.org/officeDocument/2006/relationships/hyperlink" Target="https://doi.org/10.1021/acsami.6c09896" TargetMode="External"/><Relationship Id="rId194" Type="http://schemas.openxmlformats.org/officeDocument/2006/relationships/hyperlink" Target="https://www.sciencedirect.com/science/article/pii/S0306261926011803?dgcid=rss_sd_all" TargetMode="External"/><Relationship Id="rId195" Type="http://schemas.openxmlformats.org/officeDocument/2006/relationships/hyperlink" Target="https://www.sciencedirect.com/science/article/pii/S0306261926011748?dgcid=rss_sd_all" TargetMode="External"/><Relationship Id="rId196" Type="http://schemas.openxmlformats.org/officeDocument/2006/relationships/hyperlink" Target="https://doi.org/10.1016/j.apenergy.2026.128518" TargetMode="External"/><Relationship Id="rId197" Type="http://schemas.openxmlformats.org/officeDocument/2006/relationships/hyperlink" Target="https://www.cell.com/joule/fulltext/S2542-4351(26)00286-2?rss=yes" TargetMode="External"/><Relationship Id="rId198" Type="http://schemas.openxmlformats.org/officeDocument/2006/relationships/hyperlink" Target="https://doi.org/10.1016/j.joule.2026.102602" TargetMode="External"/><Relationship Id="rId199" Type="http://schemas.openxmlformats.org/officeDocument/2006/relationships/hyperlink" Target="https://www.sciencedirect.com/science/article/pii/S0306261926012079?dgcid=rss_sd_all" TargetMode="External"/><Relationship Id="rId200" Type="http://schemas.openxmlformats.org/officeDocument/2006/relationships/hyperlink" Target="https://doi.org/10.1016/j.apenergy.2026.128551" TargetMode="External"/><Relationship Id="rId201" Type="http://schemas.openxmlformats.org/officeDocument/2006/relationships/hyperlink" Target="https://www.sciencedirect.com/science/article/pii/S0306261926011608?dgcid=rss_sd_all" TargetMode="External"/><Relationship Id="rId202" Type="http://schemas.openxmlformats.org/officeDocument/2006/relationships/hyperlink" Target="https://doi.org/10.1016/j.apenergy.2026.128504" TargetMode="External"/><Relationship Id="rId203" Type="http://schemas.openxmlformats.org/officeDocument/2006/relationships/hyperlink" Target="https://onlinelibrary.wiley.com/doi/10.1002/anie.8622158?af=R" TargetMode="External"/><Relationship Id="rId204" Type="http://schemas.openxmlformats.org/officeDocument/2006/relationships/hyperlink" Target="https://doi.org/10.1002/anie.8622158" TargetMode="External"/><Relationship Id="rId205" Type="http://schemas.openxmlformats.org/officeDocument/2006/relationships/hyperlink" Target="https://www.sciencedirect.com/science/article/pii/S0306261926011785?dgcid=rss_sd_all" TargetMode="External"/><Relationship Id="rId206" Type="http://schemas.openxmlformats.org/officeDocument/2006/relationships/hyperlink" Target="https://doi.org/10.1016/j.apenergy.2026.128522" TargetMode="External"/><Relationship Id="rId207" Type="http://schemas.openxmlformats.org/officeDocument/2006/relationships/hyperlink" Target="https://pubs.acs.org/aamick/article/doi/10.1021/acsami.6c11411/5238576/Nitrogen-Doped-Carbon-Nanofibers-Embedded-with" TargetMode="External"/><Relationship Id="rId208" Type="http://schemas.openxmlformats.org/officeDocument/2006/relationships/hyperlink" Target="https://doi.org/10.1021/acsami.6c11411" TargetMode="External"/><Relationship Id="rId209" Type="http://schemas.openxmlformats.org/officeDocument/2006/relationships/hyperlink" Target="https://advanced.onlinelibrary.wiley.com/doi/10.1002/adma.74494?af=R" TargetMode="External"/><Relationship Id="rId210" Type="http://schemas.openxmlformats.org/officeDocument/2006/relationships/hyperlink" Target="https://doi.org/10.1002/adma.74494" TargetMode="External"/><Relationship Id="rId211" Type="http://schemas.openxmlformats.org/officeDocument/2006/relationships/hyperlink" Target="https://advanced.onlinelibrary.wiley.com/doi/10.1002/adma.74443?af=R" TargetMode="External"/><Relationship Id="rId212" Type="http://schemas.openxmlformats.org/officeDocument/2006/relationships/hyperlink" Target="https://doi.org/10.1002/adma.74443" TargetMode="External"/><Relationship Id="rId213" Type="http://schemas.openxmlformats.org/officeDocument/2006/relationships/hyperlink" Target="https://www.sciencedirect.com/science/article/pii/S030626192601250X?dgcid=rss_sd_all" TargetMode="External"/><Relationship Id="rId214" Type="http://schemas.openxmlformats.org/officeDocument/2006/relationships/hyperlink" Target="https://doi.org/10.1016/j.apenergy.2026.128594" TargetMode="External"/><Relationship Id="rId215" Type="http://schemas.openxmlformats.org/officeDocument/2006/relationships/hyperlink" Target="https://www.sciencedirect.com/science/article/pii/S0306261926012444?dgcid=rss_sd_all" TargetMode="External"/><Relationship Id="rId216" Type="http://schemas.openxmlformats.org/officeDocument/2006/relationships/hyperlink" Target="https://doi.org/10.1016/j.apenergy.2026.128588" TargetMode="External"/><Relationship Id="rId217" Type="http://schemas.openxmlformats.org/officeDocument/2006/relationships/hyperlink" Target="https://advanced.onlinelibrary.wiley.com/doi/10.1002/aenm.71390?af=R" TargetMode="External"/><Relationship Id="rId218" Type="http://schemas.openxmlformats.org/officeDocument/2006/relationships/hyperlink" Target="https://doi.org/10.1002/aenm.71390" TargetMode="External"/><Relationship Id="rId219" Type="http://schemas.openxmlformats.org/officeDocument/2006/relationships/hyperlink" Target="https://www.sciencedirect.com/science/article/pii/S030626192601264X?dgcid=rss_sd_all" TargetMode="External"/><Relationship Id="rId220" Type="http://schemas.openxmlformats.org/officeDocument/2006/relationships/hyperlink" Target="https://doi.org/10.1016/j.apenergy.2026.128608" TargetMode="External"/><Relationship Id="rId221" Type="http://schemas.openxmlformats.org/officeDocument/2006/relationships/hyperlink" Target="https://www.sciencedirect.com/science/article/pii/S0306261926012134?dgcid=rss_sd_all" TargetMode="External"/><Relationship Id="rId222" Type="http://schemas.openxmlformats.org/officeDocument/2006/relationships/hyperlink" Target="https://doi.org/10.1016/j.apenergy.2026.128557" TargetMode="External"/><Relationship Id="rId223" Type="http://schemas.openxmlformats.org/officeDocument/2006/relationships/hyperlink" Target="https://www.sciencedirect.com/science/article/pii/S0306261926011840?dgcid=rss_sd_all" TargetMode="External"/><Relationship Id="rId224" Type="http://schemas.openxmlformats.org/officeDocument/2006/relationships/hyperlink" Target="https://doi.org/10.1016/j.apenergy.2026.128528" TargetMode="External"/><Relationship Id="rId225" Type="http://schemas.openxmlformats.org/officeDocument/2006/relationships/hyperlink" Target="https://www.sciencedirect.com/science/article/pii/S0306261926012146?dgcid=rss_sd_all" TargetMode="External"/><Relationship Id="rId226" Type="http://schemas.openxmlformats.org/officeDocument/2006/relationships/hyperlink" Target="https://doi.org/10.1016/j.apenergy.2026.128558" TargetMode="External"/><Relationship Id="rId227" Type="http://schemas.openxmlformats.org/officeDocument/2006/relationships/hyperlink" Target="https://advanced.onlinelibrary.wiley.com/doi/10.1002/aenm.71374?af=R" TargetMode="External"/><Relationship Id="rId228" Type="http://schemas.openxmlformats.org/officeDocument/2006/relationships/hyperlink" Target="https://doi.org/10.1002/aenm.71374" TargetMode="External"/><Relationship Id="rId229" Type="http://schemas.openxmlformats.org/officeDocument/2006/relationships/hyperlink" Target="https://advanced.onlinelibrary.wiley.com/doi/10.1002/aenm.71366?af=R" TargetMode="External"/><Relationship Id="rId230" Type="http://schemas.openxmlformats.org/officeDocument/2006/relationships/hyperlink" Target="https://doi.org/10.1002/aenm.71366" TargetMode="External"/><Relationship Id="rId231" Type="http://schemas.openxmlformats.org/officeDocument/2006/relationships/hyperlink" Target="https://onlinelibrary.wiley.com/doi/10.1002/anie.6857946?af=R" TargetMode="External"/><Relationship Id="rId232" Type="http://schemas.openxmlformats.org/officeDocument/2006/relationships/hyperlink" Target="https://doi.org/10.1002/anie.6857946" TargetMode="External"/><Relationship Id="rId233" Type="http://schemas.openxmlformats.org/officeDocument/2006/relationships/hyperlink" Target="https://pubs.acs.org/aamick/article/doi/10.1021/acsami.6c09247/5238535/Self-Healing-and-Recyclable-Tribolayer-Constructed" TargetMode="External"/><Relationship Id="rId234" Type="http://schemas.openxmlformats.org/officeDocument/2006/relationships/hyperlink" Target="https://doi.org/10.1021/acsami.6c09247" TargetMode="External"/><Relationship Id="rId235" Type="http://schemas.openxmlformats.org/officeDocument/2006/relationships/hyperlink" Target="https://pubs.acs.org/aamick/article/doi/10.1021/acsami.6c09406/5242085/Flexible-Piezoresistive-and-Triboelectric-Self" TargetMode="External"/><Relationship Id="rId236" Type="http://schemas.openxmlformats.org/officeDocument/2006/relationships/hyperlink" Target="https://doi.org/10.1021/acsami.6c09406" TargetMode="External"/><Relationship Id="rId237" Type="http://schemas.openxmlformats.org/officeDocument/2006/relationships/hyperlink" Target="https://advanced.onlinelibrary.wiley.com/doi/10.1002/aenm.71395?af=R" TargetMode="External"/><Relationship Id="rId238" Type="http://schemas.openxmlformats.org/officeDocument/2006/relationships/hyperlink" Target="https://doi.org/10.1002/aenm.71395" TargetMode="External"/><Relationship Id="rId239" Type="http://schemas.openxmlformats.org/officeDocument/2006/relationships/hyperlink" Target="https://advanced.onlinelibrary.wiley.com/doi/10.1002/adma.74434?af=R" TargetMode="External"/><Relationship Id="rId240" Type="http://schemas.openxmlformats.org/officeDocument/2006/relationships/hyperlink" Target="https://doi.org/10.1002/adma.74434" TargetMode="External"/><Relationship Id="rId241" Type="http://schemas.openxmlformats.org/officeDocument/2006/relationships/hyperlink" Target="https://advanced.onlinelibrary.wiley.com/doi/10.1002/adma.74463?af=R" TargetMode="External"/><Relationship Id="rId242" Type="http://schemas.openxmlformats.org/officeDocument/2006/relationships/hyperlink" Target="https://doi.org/10.1002/adma.74463" TargetMode="External"/><Relationship Id="rId243" Type="http://schemas.openxmlformats.org/officeDocument/2006/relationships/hyperlink" Target="https://advanced.onlinelibrary.wiley.com/doi/10.1002/adma.74467?af=R" TargetMode="External"/><Relationship Id="rId244" Type="http://schemas.openxmlformats.org/officeDocument/2006/relationships/hyperlink" Target="https://doi.org/10.1002/adma.74467" TargetMode="External"/><Relationship Id="rId245" Type="http://schemas.openxmlformats.org/officeDocument/2006/relationships/hyperlink" Target="https://advanced.onlinelibrary.wiley.com/doi/10.1002/adma.74470?af=R" TargetMode="External"/><Relationship Id="rId246" Type="http://schemas.openxmlformats.org/officeDocument/2006/relationships/hyperlink" Target="https://doi.org/10.1002/adma.74470" TargetMode="External"/><Relationship Id="rId247" Type="http://schemas.openxmlformats.org/officeDocument/2006/relationships/hyperlink" Target="https://www.sciencedirect.com/science/article/pii/S0306261926011773?dgcid=rss_sd_all" TargetMode="External"/><Relationship Id="rId248" Type="http://schemas.openxmlformats.org/officeDocument/2006/relationships/hyperlink" Target="https://doi.org/10.1016/j.apenergy.2026.128521" TargetMode="External"/><Relationship Id="rId249" Type="http://schemas.openxmlformats.org/officeDocument/2006/relationships/hyperlink" Target="https://www.sciencedirect.com/science/article/pii/S0306261926012298?dgcid=rss_sd_all" TargetMode="External"/><Relationship Id="rId250" Type="http://schemas.openxmlformats.org/officeDocument/2006/relationships/hyperlink" Target="https://doi.org/10.1016/j.apenergy.2026.128573" TargetMode="External"/><Relationship Id="rId251" Type="http://schemas.openxmlformats.org/officeDocument/2006/relationships/hyperlink" Target="https://www.sciencedirect.com/science/article/pii/S0306261926011797?dgcid=rss_sd_all" TargetMode="External"/><Relationship Id="rId252" Type="http://schemas.openxmlformats.org/officeDocument/2006/relationships/hyperlink" Target="https://doi.org/10.1016/j.apenergy.2026.128523" TargetMode="External"/><Relationship Id="rId253" Type="http://schemas.openxmlformats.org/officeDocument/2006/relationships/hyperlink" Target="https://www.nature.com/articles/s41467-026-76401-x" TargetMode="External"/><Relationship Id="rId254" Type="http://schemas.openxmlformats.org/officeDocument/2006/relationships/hyperlink" Target="https://advanced.onlinelibrary.wiley.com/doi/10.1002/aenm.71391?af=R" TargetMode="External"/><Relationship Id="rId255" Type="http://schemas.openxmlformats.org/officeDocument/2006/relationships/hyperlink" Target="https://doi.org/10.1002/aenm.71391" TargetMode="External"/><Relationship Id="rId256" Type="http://schemas.openxmlformats.org/officeDocument/2006/relationships/hyperlink" Target="https://www.science.org/doi/abs/10.1126/sciadv.aef7205?af=R" TargetMode="External"/><Relationship Id="rId257" Type="http://schemas.openxmlformats.org/officeDocument/2006/relationships/hyperlink" Target="https://doi.org/10.1126/sciadv.aef7205" TargetMode="External"/><Relationship Id="rId258" Type="http://schemas.openxmlformats.org/officeDocument/2006/relationships/hyperlink" Target="https://advanced.onlinelibrary.wiley.com/doi/10.1002/adma.73801?af=R" TargetMode="External"/><Relationship Id="rId259" Type="http://schemas.openxmlformats.org/officeDocument/2006/relationships/hyperlink" Target="https://doi.org/10.1002/adma.73801" TargetMode="External"/><Relationship Id="rId260" Type="http://schemas.openxmlformats.org/officeDocument/2006/relationships/hyperlink" Target="https://advanced.onlinelibrary.wiley.com/doi/10.1002/adma.74475?af=R" TargetMode="External"/><Relationship Id="rId261" Type="http://schemas.openxmlformats.org/officeDocument/2006/relationships/hyperlink" Target="https://doi.org/10.1002/adma.74475" TargetMode="External"/><Relationship Id="rId262" Type="http://schemas.openxmlformats.org/officeDocument/2006/relationships/hyperlink" Target="https://www.sciencedirect.com/science/article/pii/S0306261926011852?dgcid=rss_sd_all" TargetMode="External"/><Relationship Id="rId263" Type="http://schemas.openxmlformats.org/officeDocument/2006/relationships/hyperlink" Target="https://doi.org/10.1016/j.apenergy.2026.128529" TargetMode="External"/><Relationship Id="rId264" Type="http://schemas.openxmlformats.org/officeDocument/2006/relationships/hyperlink" Target="https://www.sciencedirect.com/science/article/pii/S0306261926012018?dgcid=rss_sd_all" TargetMode="External"/><Relationship Id="rId265" Type="http://schemas.openxmlformats.org/officeDocument/2006/relationships/hyperlink" Target="https://doi.org/10.1016/j.apenergy.2026.128545" TargetMode="External"/><Relationship Id="rId266" Type="http://schemas.openxmlformats.org/officeDocument/2006/relationships/hyperlink" Target="https://www.nature.com/articles/s41563-026-02678-4" TargetMode="External"/><Relationship Id="rId267" Type="http://schemas.openxmlformats.org/officeDocument/2006/relationships/hyperlink" Target="https://doi.org/10.1038/s41563-026-02678-4" TargetMode="External"/><Relationship Id="rId268" Type="http://schemas.openxmlformats.org/officeDocument/2006/relationships/hyperlink" Target="https://www.sciencedirect.com/science/article/pii/S030626192601144X?dgcid=rss_sd_all" TargetMode="External"/><Relationship Id="rId269" Type="http://schemas.openxmlformats.org/officeDocument/2006/relationships/hyperlink" Target="https://doi.org/10.1016/j.apenergy.2026.128488" TargetMode="External"/><Relationship Id="rId270" Type="http://schemas.openxmlformats.org/officeDocument/2006/relationships/hyperlink" Target="https://www.sciencedirect.com/science/article/pii/S0306261926012316?dgcid=rss_sd_all" TargetMode="External"/><Relationship Id="rId271" Type="http://schemas.openxmlformats.org/officeDocument/2006/relationships/hyperlink" Target="https://doi.org/10.1016/j.apenergy.2026.128575" TargetMode="External"/><Relationship Id="rId272" Type="http://schemas.openxmlformats.org/officeDocument/2006/relationships/hyperlink" Target="https://www.sciencedirect.com/science/article/pii/S0306261926012250?dgcid=rss_sd_all" TargetMode="External"/><Relationship Id="rId273" Type="http://schemas.openxmlformats.org/officeDocument/2006/relationships/hyperlink" Target="https://doi.org/10.1016/j.apenergy.2026.128569" TargetMode="External"/><Relationship Id="rId274" Type="http://schemas.openxmlformats.org/officeDocument/2006/relationships/hyperlink" Target="https://www.sciencedirect.com/science/article/pii/S030626192601192X?dgcid=rss_sd_all" TargetMode="External"/><Relationship Id="rId275" Type="http://schemas.openxmlformats.org/officeDocument/2006/relationships/hyperlink" Target="https://doi.org/10.1016/j.apenergy.2026.128536" TargetMode="External"/><Relationship Id="rId276" Type="http://schemas.openxmlformats.org/officeDocument/2006/relationships/hyperlink" Target="https://pubs.acs.org/aelccp/article/doi/10.1021/acsenergylett.6c01499/5238699/Exploiting-Mismatch-Strain-and-the-Phase" TargetMode="External"/><Relationship Id="rId277" Type="http://schemas.openxmlformats.org/officeDocument/2006/relationships/hyperlink" Target="https://doi.org/10.1021/acsenergylett.6c01499" TargetMode="External"/><Relationship Id="rId278" Type="http://schemas.openxmlformats.org/officeDocument/2006/relationships/hyperlink" Target="https://pubs.acs.org/aamick/article/doi/10.1021/acsami.6c11802/5238709/High-Performance-Bi0-4Sb1-6Te3-Films-via-Thickness" TargetMode="External"/><Relationship Id="rId279" Type="http://schemas.openxmlformats.org/officeDocument/2006/relationships/hyperlink" Target="https://doi.org/10.1021/acsami.6c11802" TargetMode="External"/><Relationship Id="rId280" Type="http://schemas.openxmlformats.org/officeDocument/2006/relationships/hyperlink" Target="https://pubs.acs.org/aamick/article/doi/10.1021/acsami.6c09709/5238384/Liquid-Crystal-Interface-Engineering-Enhances" TargetMode="External"/><Relationship Id="rId281" Type="http://schemas.openxmlformats.org/officeDocument/2006/relationships/hyperlink" Target="https://doi.org/10.1021/acsami.6c09709" TargetMode="External"/><Relationship Id="rId282" Type="http://schemas.openxmlformats.org/officeDocument/2006/relationships/hyperlink" Target="https://pubs.acs.org/aamick/article/doi/10.1021/acsami.6c09023/5238703/Sb3-Doping-Enables-Tunable-Multicolor-Emission-and" TargetMode="External"/><Relationship Id="rId283" Type="http://schemas.openxmlformats.org/officeDocument/2006/relationships/hyperlink" Target="https://doi.org/10.1021/acsami.6c09023" TargetMode="External"/><Relationship Id="rId284" Type="http://schemas.openxmlformats.org/officeDocument/2006/relationships/hyperlink" Target="https://pubs.acs.org/aamick/article/doi/10.1021/acsami.6c08441/5242078/Cellulose-Based-Hierarchical-Porous-Membranes" TargetMode="External"/><Relationship Id="rId285" Type="http://schemas.openxmlformats.org/officeDocument/2006/relationships/hyperlink" Target="https://doi.org/10.1021/acsami.6c08441" TargetMode="External"/><Relationship Id="rId286" Type="http://schemas.openxmlformats.org/officeDocument/2006/relationships/hyperlink" Target="https://advanced.onlinelibrary.wiley.com/doi/10.1002/adma.74410?af=R" TargetMode="External"/><Relationship Id="rId287" Type="http://schemas.openxmlformats.org/officeDocument/2006/relationships/hyperlink" Target="https://doi.org/10.1002/adma.74410" TargetMode="External"/><Relationship Id="rId288" Type="http://schemas.openxmlformats.org/officeDocument/2006/relationships/hyperlink" Target="https://advanced.onlinelibrary.wiley.com/doi/10.1002/adma.74412?af=R" TargetMode="External"/><Relationship Id="rId289" Type="http://schemas.openxmlformats.org/officeDocument/2006/relationships/hyperlink" Target="https://doi.org/10.1002/adma.74412" TargetMode="External"/><Relationship Id="rId290" Type="http://schemas.openxmlformats.org/officeDocument/2006/relationships/hyperlink" Target="https://www.sciencedirect.com/science/article/pii/S0306261926012122?dgcid=rss_sd_all" TargetMode="External"/><Relationship Id="rId291" Type="http://schemas.openxmlformats.org/officeDocument/2006/relationships/hyperlink" Target="https://doi.org/10.1016/j.apenergy.2026.128556" TargetMode="External"/><Relationship Id="rId292" Type="http://schemas.openxmlformats.org/officeDocument/2006/relationships/hyperlink" Target="https://www.nature.com/articles/s41467-026-76322-9" TargetMode="External"/><Relationship Id="rId293" Type="http://schemas.openxmlformats.org/officeDocument/2006/relationships/hyperlink" Target="https://www.nature.com/articles/s41467-026-75931-8" TargetMode="External"/><Relationship Id="rId294" Type="http://schemas.openxmlformats.org/officeDocument/2006/relationships/hyperlink" Target="https://advanced.onlinelibrary.wiley.com/doi/10.1002/aenm.71385?af=R" TargetMode="External"/><Relationship Id="rId295" Type="http://schemas.openxmlformats.org/officeDocument/2006/relationships/hyperlink" Target="https://doi.org/10.1002/aenm.71385" TargetMode="External"/><Relationship Id="rId296" Type="http://schemas.openxmlformats.org/officeDocument/2006/relationships/hyperlink" Target="https://www.sciencedirect.com/science/article/pii/S0306261926011761?dgcid=rss_sd_all" TargetMode="External"/><Relationship Id="rId297" Type="http://schemas.openxmlformats.org/officeDocument/2006/relationships/hyperlink" Target="https://doi.org/10.1016/j.apenergy.2026.128520" TargetMode="External"/><Relationship Id="rId298" Type="http://schemas.openxmlformats.org/officeDocument/2006/relationships/hyperlink" Target="https://www.sciencedirect.com/science/article/pii/S0306261926012420?dgcid=rss_sd_all" TargetMode="External"/><Relationship Id="rId299" Type="http://schemas.openxmlformats.org/officeDocument/2006/relationships/hyperlink" Target="https://doi.org/10.1016/j.apenergy.2026.128586" TargetMode="External"/><Relationship Id="rId300" Type="http://schemas.openxmlformats.org/officeDocument/2006/relationships/hyperlink" Target="https://pubs.acs.org/aelccp/article/doi/10.1021/acsenergylett.6c01785/5246535/Dual-Polarity-Thermoelectric-Generation-from-a" TargetMode="External"/><Relationship Id="rId301" Type="http://schemas.openxmlformats.org/officeDocument/2006/relationships/hyperlink" Target="https://doi.org/10.1021/acsenergylett.6c01785" TargetMode="External"/><Relationship Id="rId302" Type="http://schemas.openxmlformats.org/officeDocument/2006/relationships/hyperlink" Target="https://advanced.onlinelibrary.wiley.com/doi/10.1002/adma.74505?af=R" TargetMode="External"/><Relationship Id="rId303" Type="http://schemas.openxmlformats.org/officeDocument/2006/relationships/hyperlink" Target="https://doi.org/10.1002/adma.74505" TargetMode="External"/><Relationship Id="rId304" Type="http://schemas.openxmlformats.org/officeDocument/2006/relationships/hyperlink" Target="https://advanced.onlinelibrary.wiley.com/doi/10.1002/adma.202522702?af=R" TargetMode="External"/><Relationship Id="rId305" Type="http://schemas.openxmlformats.org/officeDocument/2006/relationships/hyperlink" Target="https://doi.org/10.1002/adma.202522702" TargetMode="External"/><Relationship Id="rId306" Type="http://schemas.openxmlformats.org/officeDocument/2006/relationships/hyperlink" Target="https://www.sciencedirect.com/science/article/pii/S0306261926012195?dgcid=rss_sd_all" TargetMode="External"/><Relationship Id="rId307" Type="http://schemas.openxmlformats.org/officeDocument/2006/relationships/hyperlink" Target="https://doi.org/10.1016/j.apenergy.2026.128563" TargetMode="External"/><Relationship Id="rId308" Type="http://schemas.openxmlformats.org/officeDocument/2006/relationships/hyperlink" Target="https://www.science.org/doi/abs/10.1126/science.aef9458?af=R" TargetMode="External"/><Relationship Id="rId309" Type="http://schemas.openxmlformats.org/officeDocument/2006/relationships/hyperlink" Target="https://doi.org/10.1126/science.aef9458" TargetMode="External"/><Relationship Id="rId310" Type="http://schemas.openxmlformats.org/officeDocument/2006/relationships/hyperlink" Target="https://www.nature.com/articles/s41467-026-76251-7" TargetMode="External"/><Relationship Id="rId311" Type="http://schemas.openxmlformats.org/officeDocument/2006/relationships/hyperlink" Target="https://www.cell.com/joule/fulltext/S2542-4351(26)00280-1?rss=yes" TargetMode="External"/><Relationship Id="rId312" Type="http://schemas.openxmlformats.org/officeDocument/2006/relationships/hyperlink" Target="https://doi.org/10.1016/j.joule.2026.102596" TargetMode="External"/><Relationship Id="rId313" Type="http://schemas.openxmlformats.org/officeDocument/2006/relationships/hyperlink" Target="https://iopscience.iop.org/article/10.1088/1741-4326/ae8d37" TargetMode="External"/><Relationship Id="rId314" Type="http://schemas.openxmlformats.org/officeDocument/2006/relationships/hyperlink" Target="https://doi.org/10.1088/1741-4326/ae8d37" TargetMode="External"/><Relationship Id="rId315" Type="http://schemas.openxmlformats.org/officeDocument/2006/relationships/hyperlink" Target="https://iopscience.iop.org/article/10.1088/1741-4326/ae8bbd" TargetMode="External"/><Relationship Id="rId316" Type="http://schemas.openxmlformats.org/officeDocument/2006/relationships/hyperlink" Target="https://doi.org/10.1088/1741-4326/ae8bbd" TargetMode="External"/><Relationship Id="rId317" Type="http://schemas.openxmlformats.org/officeDocument/2006/relationships/hyperlink" Target="https://www.nature.com/articles/d41586-026-02388-6" TargetMode="External"/><Relationship Id="rId318" Type="http://schemas.openxmlformats.org/officeDocument/2006/relationships/hyperlink" Target="https://doi.org/10.1038/d41586-026-02388-6" TargetMode="External"/><Relationship Id="rId319" Type="http://schemas.openxmlformats.org/officeDocument/2006/relationships/hyperlink" Target="https://www.nature.com/articles/s41467-026-76077-3" TargetMode="External"/><Relationship Id="rId320" Type="http://schemas.openxmlformats.org/officeDocument/2006/relationships/hyperlink" Target="http://link.aps.org/doi/10.1103/6nb6-hxwz" TargetMode="External"/><Relationship Id="rId321" Type="http://schemas.openxmlformats.org/officeDocument/2006/relationships/hyperlink" Target="https://doi.org/10.1103/6nb6-hxwz" TargetMode="External"/><Relationship Id="rId322" Type="http://schemas.openxmlformats.org/officeDocument/2006/relationships/hyperlink" Target="http://link.aps.org/doi/10.1103/dr26-j19g" TargetMode="External"/><Relationship Id="rId323" Type="http://schemas.openxmlformats.org/officeDocument/2006/relationships/hyperlink" Target="https://doi.org/10.1103/dr26-j19g" TargetMode="External"/><Relationship Id="rId324" Type="http://schemas.openxmlformats.org/officeDocument/2006/relationships/hyperlink" Target="http://link.aps.org/doi/10.1103/dkm5-xt6d" TargetMode="External"/><Relationship Id="rId325" Type="http://schemas.openxmlformats.org/officeDocument/2006/relationships/hyperlink" Target="https://doi.org/10.1103/dkm5-xt6d" TargetMode="External"/><Relationship Id="rId326" Type="http://schemas.openxmlformats.org/officeDocument/2006/relationships/hyperlink" Target="https://iopscience.iop.org/article/10.1088/1741-4326/ae8de7" TargetMode="External"/><Relationship Id="rId327" Type="http://schemas.openxmlformats.org/officeDocument/2006/relationships/hyperlink" Target="https://doi.org/10.1088/1741-4326/ae8de7" TargetMode="External"/><Relationship Id="rId328" Type="http://schemas.openxmlformats.org/officeDocument/2006/relationships/hyperlink" Target="https://iopscience.iop.org/article/10.1088/1741-4326/ae8de8" TargetMode="External"/><Relationship Id="rId329" Type="http://schemas.openxmlformats.org/officeDocument/2006/relationships/hyperlink" Target="https://doi.org/10.1088/1741-4326/ae8de8" TargetMode="External"/><Relationship Id="rId330" Type="http://schemas.openxmlformats.org/officeDocument/2006/relationships/hyperlink" Target="https://iopscience.iop.org/article/10.1088/1741-4326/ae8de9" TargetMode="External"/><Relationship Id="rId331" Type="http://schemas.openxmlformats.org/officeDocument/2006/relationships/hyperlink" Target="https://doi.org/10.1088/1741-4326/ae8de9" TargetMode="External"/><Relationship Id="rId332" Type="http://schemas.openxmlformats.org/officeDocument/2006/relationships/hyperlink" Target="https://iopscience.iop.org/article/10.1088/1741-4326/ae8fe8" TargetMode="External"/><Relationship Id="rId333" Type="http://schemas.openxmlformats.org/officeDocument/2006/relationships/hyperlink" Target="https://doi.org/10.1088/1741-4326/ae8fe8" TargetMode="External"/><Relationship Id="rId334" Type="http://schemas.openxmlformats.org/officeDocument/2006/relationships/hyperlink" Target="https://iopscience.iop.org/article/10.1088/1741-4326/ae8f57" TargetMode="External"/><Relationship Id="rId335" Type="http://schemas.openxmlformats.org/officeDocument/2006/relationships/hyperlink" Target="https://doi.org/10.1088/1741-4326/ae8f57" TargetMode="External"/><Relationship Id="rId336" Type="http://schemas.openxmlformats.org/officeDocument/2006/relationships/hyperlink" Target="https://iopscience.iop.org/article/10.1088/1741-4326/ae8fe9" TargetMode="External"/><Relationship Id="rId337" Type="http://schemas.openxmlformats.org/officeDocument/2006/relationships/hyperlink" Target="https://doi.org/10.1088/1741-4326/ae8fe9" TargetMode="External"/><Relationship Id="rId338" Type="http://schemas.openxmlformats.org/officeDocument/2006/relationships/hyperlink" Target="https://iopscience.iop.org/article/10.1088/1741-4326/ae8e8e" TargetMode="External"/><Relationship Id="rId339" Type="http://schemas.openxmlformats.org/officeDocument/2006/relationships/hyperlink" Target="https://doi.org/10.1088/1741-4326/ae8e8e" TargetMode="External"/><Relationship Id="rId340" Type="http://schemas.openxmlformats.org/officeDocument/2006/relationships/hyperlink" Target="https://www.sciencedirect.com/science/article/pii/S0306261926010901?dgcid=rss_sd_all" TargetMode="External"/><Relationship Id="rId341" Type="http://schemas.openxmlformats.org/officeDocument/2006/relationships/hyperlink" Target="https://doi.org/10.1016/j.apenergy.2026.128436" TargetMode="External"/><Relationship Id="rId342" Type="http://schemas.openxmlformats.org/officeDocument/2006/relationships/hyperlink" Target="https://www.sciencedirect.com/science/article/pii/S0306261926012158?dgcid=rss_sd_all" TargetMode="External"/><Relationship Id="rId343" Type="http://schemas.openxmlformats.org/officeDocument/2006/relationships/hyperlink" Target="https://doi.org/10.1016/j.apenergy.2026.128559" TargetMode="External"/><Relationship Id="rId344" Type="http://schemas.openxmlformats.org/officeDocument/2006/relationships/hyperlink" Target="https://www.sciencedirect.com/science/article/pii/S0306261926011694?dgcid=rss_sd_all" TargetMode="External"/><Relationship Id="rId345" Type="http://schemas.openxmlformats.org/officeDocument/2006/relationships/hyperlink" Target="https://doi.org/10.1016/j.apenergy.2026.128513" TargetMode="External"/><Relationship Id="rId346" Type="http://schemas.openxmlformats.org/officeDocument/2006/relationships/hyperlink" Target="https://www.sciencedirect.com/science/article/pii/S0306261926012110?dgcid=rss_sd_all" TargetMode="External"/><Relationship Id="rId347" Type="http://schemas.openxmlformats.org/officeDocument/2006/relationships/hyperlink" Target="https://doi.org/10.1016/j.apenergy.2026.128555" TargetMode="External"/><Relationship Id="rId348" Type="http://schemas.openxmlformats.org/officeDocument/2006/relationships/hyperlink" Target="https://www.sciencedirect.com/science/article/pii/S0306261926011906?dgcid=rss_sd_all" TargetMode="External"/><Relationship Id="rId349" Type="http://schemas.openxmlformats.org/officeDocument/2006/relationships/hyperlink" Target="https://doi.org/10.1016/j.apenergy.2026.128534" TargetMode="External"/><Relationship Id="rId350" Type="http://schemas.openxmlformats.org/officeDocument/2006/relationships/hyperlink" Target="https://www.sciencedirect.com/science/article/pii/S0301421526004593?dgcid=rss_sd_all" TargetMode="External"/><Relationship Id="rId351" Type="http://schemas.openxmlformats.org/officeDocument/2006/relationships/hyperlink" Target="https://doi.org/10.1016/j.enpol.2026.115525" TargetMode="External"/><Relationship Id="rId352" Type="http://schemas.openxmlformats.org/officeDocument/2006/relationships/hyperlink" Target="https://www.sciencedirect.com/science/article/pii/S0306261926012213?dgcid=rss_sd_all" TargetMode="External"/><Relationship Id="rId353" Type="http://schemas.openxmlformats.org/officeDocument/2006/relationships/hyperlink" Target="https://doi.org/10.1016/j.apenergy.2026.128565" TargetMode="External"/><Relationship Id="rId354" Type="http://schemas.openxmlformats.org/officeDocument/2006/relationships/hyperlink" Target="https://www.sciencedirect.com/science/article/pii/S0306261926011888?dgcid=rss_sd_all" TargetMode="External"/><Relationship Id="rId355" Type="http://schemas.openxmlformats.org/officeDocument/2006/relationships/hyperlink" Target="https://doi.org/10.1016/j.apenergy.2026.128532" TargetMode="External"/><Relationship Id="rId356" Type="http://schemas.openxmlformats.org/officeDocument/2006/relationships/hyperlink" Target="https://advanced.onlinelibrary.wiley.com/doi/10.1002/aenm.71314?af=R" TargetMode="External"/><Relationship Id="rId357" Type="http://schemas.openxmlformats.org/officeDocument/2006/relationships/hyperlink" Target="https://doi.org/10.1002/aenm.71314" TargetMode="External"/><Relationship Id="rId358" Type="http://schemas.openxmlformats.org/officeDocument/2006/relationships/hyperlink" Target="https://onlinelibrary.wiley.com/doi/10.1002/anie.4495543?af=R" TargetMode="External"/><Relationship Id="rId359" Type="http://schemas.openxmlformats.org/officeDocument/2006/relationships/hyperlink" Target="https://doi.org/10.1002/anie.4495543" TargetMode="External"/><Relationship Id="rId360" Type="http://schemas.openxmlformats.org/officeDocument/2006/relationships/hyperlink" Target="https://onlinelibrary.wiley.com/doi/10.1002/anie.7808386?af=R" TargetMode="External"/><Relationship Id="rId361" Type="http://schemas.openxmlformats.org/officeDocument/2006/relationships/hyperlink" Target="https://doi.org/10.1002/anie.7808386" TargetMode="External"/><Relationship Id="rId362" Type="http://schemas.openxmlformats.org/officeDocument/2006/relationships/hyperlink" Target="https://www.nature.com/articles/s41467-026-76170-7" TargetMode="External"/><Relationship Id="rId363" Type="http://schemas.openxmlformats.org/officeDocument/2006/relationships/hyperlink" Target="https://advanced.onlinelibrary.wiley.com/doi/10.1002/adma.74321?af=R" TargetMode="External"/><Relationship Id="rId364" Type="http://schemas.openxmlformats.org/officeDocument/2006/relationships/hyperlink" Target="https://doi.org/10.1002/adma.74321" TargetMode="External"/><Relationship Id="rId365" Type="http://schemas.openxmlformats.org/officeDocument/2006/relationships/hyperlink" Target="https://www.sciencedirect.com/science/article/pii/S0306261926012031?dgcid=rss_sd_all" TargetMode="External"/><Relationship Id="rId366" Type="http://schemas.openxmlformats.org/officeDocument/2006/relationships/hyperlink" Target="https://doi.org/10.1016/j.apenergy.2026.128547" TargetMode="External"/><Relationship Id="rId367" Type="http://schemas.openxmlformats.org/officeDocument/2006/relationships/hyperlink" Target="https://www.nature.com/articles/s41467-026-76148-5" TargetMode="External"/><Relationship Id="rId368" Type="http://schemas.openxmlformats.org/officeDocument/2006/relationships/hyperlink" Target="https://pubs.acs.org/aamick/article/doi/10.1021/acsami.6c09619/5238383/Ultralow-Potential-Hydrazine-Oxidation-for-Energy" TargetMode="External"/><Relationship Id="rId369" Type="http://schemas.openxmlformats.org/officeDocument/2006/relationships/hyperlink" Target="https://doi.org/10.1021/acsami.6c09619" TargetMode="External"/><Relationship Id="rId370" Type="http://schemas.openxmlformats.org/officeDocument/2006/relationships/hyperlink" Target="https://pubs.acs.org/aamick/article/doi/10.1021/acsami.6c08762/5238523/Coupling-Electronic-Structure-Modulation-with-Self" TargetMode="External"/><Relationship Id="rId371" Type="http://schemas.openxmlformats.org/officeDocument/2006/relationships/hyperlink" Target="https://doi.org/10.1021/acsami.6c08762" TargetMode="External"/><Relationship Id="rId372" Type="http://schemas.openxmlformats.org/officeDocument/2006/relationships/hyperlink" Target="https://advanced.onlinelibrary.wiley.com/doi/10.1002/adma.74458?af=R" TargetMode="External"/><Relationship Id="rId373" Type="http://schemas.openxmlformats.org/officeDocument/2006/relationships/hyperlink" Target="https://doi.org/10.1002/adma.74458" TargetMode="External"/><Relationship Id="rId374" Type="http://schemas.openxmlformats.org/officeDocument/2006/relationships/hyperlink" Target="https://advanced.onlinelibrary.wiley.com/doi/10.1002/adma.74456?af=R" TargetMode="External"/><Relationship Id="rId375" Type="http://schemas.openxmlformats.org/officeDocument/2006/relationships/hyperlink" Target="https://doi.org/10.1002/adma.74456" TargetMode="External"/><Relationship Id="rId376" Type="http://schemas.openxmlformats.org/officeDocument/2006/relationships/hyperlink" Target="https://advanced.onlinelibrary.wiley.com/doi/10.1002/adma.74431?af=R" TargetMode="External"/><Relationship Id="rId377" Type="http://schemas.openxmlformats.org/officeDocument/2006/relationships/hyperlink" Target="https://doi.org/10.1002/adma.74431" TargetMode="External"/><Relationship Id="rId378" Type="http://schemas.openxmlformats.org/officeDocument/2006/relationships/hyperlink" Target="https://pubs.acs.org/jacsat/article/doi/10.1021/jacs.6c10367/5242125/Polarized-Metal-Nitride-Solid-Solutions-as" TargetMode="External"/><Relationship Id="rId379" Type="http://schemas.openxmlformats.org/officeDocument/2006/relationships/hyperlink" Target="https://doi.org/10.1021/jacs.6c10367" TargetMode="External"/><Relationship Id="rId380" Type="http://schemas.openxmlformats.org/officeDocument/2006/relationships/hyperlink" Target="https://www.sciencedirect.com/science/article/pii/S0306261926012092?dgcid=rss_sd_all" TargetMode="External"/><Relationship Id="rId381" Type="http://schemas.openxmlformats.org/officeDocument/2006/relationships/hyperlink" Target="https://doi.org/10.1016/j.apenergy.2026.128553" TargetMode="External"/><Relationship Id="rId382" Type="http://schemas.openxmlformats.org/officeDocument/2006/relationships/hyperlink" Target="https://pubs.acs.org/jacsat/article/doi/10.1021/jacs.6c08946/5243689/A-Quantitative-Examination-of-Catalyst-Component" TargetMode="External"/><Relationship Id="rId383" Type="http://schemas.openxmlformats.org/officeDocument/2006/relationships/hyperlink" Target="https://doi.org/10.1021/jacs.6c08946" TargetMode="External"/><Relationship Id="rId384" Type="http://schemas.openxmlformats.org/officeDocument/2006/relationships/hyperlink" Target="https://www.nature.com/articles/s41467-026-76405-7" TargetMode="External"/><Relationship Id="rId385" Type="http://schemas.openxmlformats.org/officeDocument/2006/relationships/hyperlink" Target="https://pubs.acs.org/jacsat/article/doi/10.1021/jacs.6c11488/5243694/Exceptionally-High-Proton-Conductivity-in" TargetMode="External"/><Relationship Id="rId386" Type="http://schemas.openxmlformats.org/officeDocument/2006/relationships/hyperlink" Target="https://doi.org/10.1021/jacs.6c11488" TargetMode="External"/><Relationship Id="rId387" Type="http://schemas.openxmlformats.org/officeDocument/2006/relationships/hyperlink" Target="https://advanced.onlinelibrary.wiley.com/doi/10.1002/aenm.71381?af=R" TargetMode="External"/><Relationship Id="rId388" Type="http://schemas.openxmlformats.org/officeDocument/2006/relationships/hyperlink" Target="https://doi.org/10.1002/aenm.71381" TargetMode="External"/><Relationship Id="rId389" Type="http://schemas.openxmlformats.org/officeDocument/2006/relationships/hyperlink" Target="https://advanced.onlinelibrary.wiley.com/doi/10.1002/adma.74473?af=R" TargetMode="External"/><Relationship Id="rId390" Type="http://schemas.openxmlformats.org/officeDocument/2006/relationships/hyperlink" Target="https://doi.org/10.1002/adma.74473" TargetMode="External"/><Relationship Id="rId391" Type="http://schemas.openxmlformats.org/officeDocument/2006/relationships/hyperlink" Target="https://www.sciencedirect.com/science/article/pii/S0306261926012171?dgcid=rss_sd_all" TargetMode="External"/><Relationship Id="rId392" Type="http://schemas.openxmlformats.org/officeDocument/2006/relationships/hyperlink" Target="https://www.sciencedirect.com/science/article/pii/S0306261926012547?dgcid=rss_sd_all" TargetMode="External"/><Relationship Id="rId393" Type="http://schemas.openxmlformats.org/officeDocument/2006/relationships/hyperlink" Target="https://doi.org/10.1016/j.apenergy.2026.128598" TargetMode="External"/><Relationship Id="rId394" Type="http://schemas.openxmlformats.org/officeDocument/2006/relationships/hyperlink" Target="https://pubs.acs.org/jacsat/article/doi/10.1021/jacs.6c07266/5243802/Hexaphenylbenzene-Nodes-Reshape-Hydroxide" TargetMode="External"/><Relationship Id="rId395" Type="http://schemas.openxmlformats.org/officeDocument/2006/relationships/hyperlink" Target="https://doi.org/10.1021/jacs.6c07266" TargetMode="External"/><Relationship Id="rId396" Type="http://schemas.openxmlformats.org/officeDocument/2006/relationships/hyperlink" Target="https://pubs.acs.org/jacsat/article/doi/10.1021/jacs.6c08907/5246502/Water-Oxidation-by-Molecular-Catalyst-Bilayers" TargetMode="External"/><Relationship Id="rId397" Type="http://schemas.openxmlformats.org/officeDocument/2006/relationships/hyperlink" Target="https://doi.org/10.1021/jacs.6c08907" TargetMode="External"/><Relationship Id="rId398" Type="http://schemas.openxmlformats.org/officeDocument/2006/relationships/hyperlink" Target="https://academic.oup.com/nsr/advance-article/doi/10.1093/nsr/nwag472/8752651?rss=1" TargetMode="External"/><Relationship Id="rId399" Type="http://schemas.openxmlformats.org/officeDocument/2006/relationships/hyperlink" Target="https://doi.org/10.1093/nsr/nwag472" TargetMode="External"/><Relationship Id="rId400" Type="http://schemas.openxmlformats.org/officeDocument/2006/relationships/hyperlink" Target="https://pubs.acs.org/aamick/article/doi/10.1021/acsami.6c11963/5243817/Unraveling-the-Contributions-of-Laser-Induced" TargetMode="External"/><Relationship Id="rId401" Type="http://schemas.openxmlformats.org/officeDocument/2006/relationships/hyperlink" Target="https://doi.org/10.1021/acsami.6c11963" TargetMode="External"/><Relationship Id="rId402" Type="http://schemas.openxmlformats.org/officeDocument/2006/relationships/hyperlink" Target="https://www.sciencedirect.com/science/article/pii/S0306261926011943?dgcid=rss_sd_all" TargetMode="External"/><Relationship Id="rId403" Type="http://schemas.openxmlformats.org/officeDocument/2006/relationships/hyperlink" Target="https://doi.org/10.1016/j.apenergy.2026.128538" TargetMode="External"/><Relationship Id="rId404" Type="http://schemas.openxmlformats.org/officeDocument/2006/relationships/hyperlink" Target="https://www.science.org/doi/abs/10.1126/sciadv.aee8346?af=R" TargetMode="External"/><Relationship Id="rId405" Type="http://schemas.openxmlformats.org/officeDocument/2006/relationships/hyperlink" Target="https://doi.org/10.1126/sciadv.aee8346" TargetMode="External"/><Relationship Id="rId406" Type="http://schemas.openxmlformats.org/officeDocument/2006/relationships/hyperlink" Target="https://www.science.org/doi/abs/10.1126/sciadv.aef7481?af=R" TargetMode="External"/><Relationship Id="rId407" Type="http://schemas.openxmlformats.org/officeDocument/2006/relationships/hyperlink" Target="https://doi.org/10.1126/sciadv.aef7481" TargetMode="External"/><Relationship Id="rId408" Type="http://schemas.openxmlformats.org/officeDocument/2006/relationships/hyperlink" Target="https://advanced.onlinelibrary.wiley.com/doi/10.1002/adma.74457?af=R" TargetMode="External"/><Relationship Id="rId409" Type="http://schemas.openxmlformats.org/officeDocument/2006/relationships/hyperlink" Target="https://doi.org/10.1002/adma.74457" TargetMode="External"/><Relationship Id="rId410" Type="http://schemas.openxmlformats.org/officeDocument/2006/relationships/hyperlink" Target="https://onlinelibrary.wiley.com/doi/10.1002/anie.9215475?af=R" TargetMode="External"/><Relationship Id="rId411" Type="http://schemas.openxmlformats.org/officeDocument/2006/relationships/hyperlink" Target="https://doi.org/10.1002/anie.9215475" TargetMode="External"/><Relationship Id="rId412" Type="http://schemas.openxmlformats.org/officeDocument/2006/relationships/hyperlink" Target="https://onlinelibrary.wiley.com/doi/10.1002/anie.9513626?af=R" TargetMode="External"/><Relationship Id="rId413" Type="http://schemas.openxmlformats.org/officeDocument/2006/relationships/hyperlink" Target="https://doi.org/10.1002/anie.9513626" TargetMode="External"/><Relationship Id="rId414" Type="http://schemas.openxmlformats.org/officeDocument/2006/relationships/hyperlink" Target="https://onlinelibrary.wiley.com/doi/10.1002/anie.2693293?af=R" TargetMode="External"/><Relationship Id="rId415" Type="http://schemas.openxmlformats.org/officeDocument/2006/relationships/hyperlink" Target="https://doi.org/10.1002/anie.2693293" TargetMode="External"/><Relationship Id="rId416" Type="http://schemas.openxmlformats.org/officeDocument/2006/relationships/hyperlink" Target="https://onlinelibrary.wiley.com/doi/10.1002/anie.3059499?af=R" TargetMode="External"/><Relationship Id="rId417" Type="http://schemas.openxmlformats.org/officeDocument/2006/relationships/hyperlink" Target="https://doi.org/10.1002/anie.3059499" TargetMode="External"/><Relationship Id="rId418" Type="http://schemas.openxmlformats.org/officeDocument/2006/relationships/hyperlink" Target="https://onlinelibrary.wiley.com/doi/10.1002/anie.9586956?af=R" TargetMode="External"/><Relationship Id="rId419" Type="http://schemas.openxmlformats.org/officeDocument/2006/relationships/hyperlink" Target="https://doi.org/10.1002/anie.9586956" TargetMode="External"/><Relationship Id="rId420" Type="http://schemas.openxmlformats.org/officeDocument/2006/relationships/hyperlink" Target="https://onlinelibrary.wiley.com/doi/10.1002/anie.4584169?af=R" TargetMode="External"/><Relationship Id="rId421" Type="http://schemas.openxmlformats.org/officeDocument/2006/relationships/hyperlink" Target="https://doi.org/10.1002/anie.4584169" TargetMode="External"/><Relationship Id="rId422" Type="http://schemas.openxmlformats.org/officeDocument/2006/relationships/hyperlink" Target="https://pubs.acs.org/jacsat/article/doi/10.1021/jacs.6c08564/5247344/Nonequilibrium-Induced-Defect-Rich-Bifunctional" TargetMode="External"/><Relationship Id="rId423" Type="http://schemas.openxmlformats.org/officeDocument/2006/relationships/hyperlink" Target="https://doi.org/10.1021/jacs.6c08564" TargetMode="External"/><Relationship Id="rId424" Type="http://schemas.openxmlformats.org/officeDocument/2006/relationships/hyperlink" Target="https://www.sciencedirect.com/science/article/pii/S0306261926011669?dgcid=rss_sd_all" TargetMode="External"/><Relationship Id="rId425" Type="http://schemas.openxmlformats.org/officeDocument/2006/relationships/hyperlink" Target="https://doi.org/10.1016/j.apenergy.2026.128510" TargetMode="External"/><Relationship Id="rId426" Type="http://schemas.openxmlformats.org/officeDocument/2006/relationships/hyperlink" Target="https://www.nature.com/articles/s41565-026-02244-8" TargetMode="External"/><Relationship Id="rId427" Type="http://schemas.openxmlformats.org/officeDocument/2006/relationships/hyperlink" Target="https://doi.org/10.1038/s41565-026-02244-8" TargetMode="External"/><Relationship Id="rId428" Type="http://schemas.openxmlformats.org/officeDocument/2006/relationships/hyperlink" Target="https://www.sciencedirect.com/science/article/pii/S0306261926012043?dgcid=rss_sd_all" TargetMode="External"/><Relationship Id="rId429" Type="http://schemas.openxmlformats.org/officeDocument/2006/relationships/hyperlink" Target="https://doi.org/10.1016/j.apenergy.2026.128548" TargetMode="External"/><Relationship Id="rId430" Type="http://schemas.openxmlformats.org/officeDocument/2006/relationships/hyperlink" Target="https://www.sciencedirect.com/science/article/pii/S0306261926011736?dgcid=rss_sd_all" TargetMode="External"/><Relationship Id="rId431" Type="http://schemas.openxmlformats.org/officeDocument/2006/relationships/hyperlink" Target="https://doi.org/10.1016/j.apenergy.2026.128517" TargetMode="External"/><Relationship Id="rId432" Type="http://schemas.openxmlformats.org/officeDocument/2006/relationships/hyperlink" Target="https://www.sciencedirect.com/science/article/pii/S0306261926010457?dgcid=rss_sd_all" TargetMode="External"/><Relationship Id="rId433" Type="http://schemas.openxmlformats.org/officeDocument/2006/relationships/hyperlink" Target="https://doi.org/10.1016/j.apenergy.2026.128391" TargetMode="External"/><Relationship Id="rId434" Type="http://schemas.openxmlformats.org/officeDocument/2006/relationships/hyperlink" Target="https://www.sciencedirect.com/science/article/pii/S0306261926011268?dgcid=rss_sd_all" TargetMode="External"/><Relationship Id="rId435" Type="http://schemas.openxmlformats.org/officeDocument/2006/relationships/hyperlink" Target="https://doi.org/10.1016/j.apenergy.2026.128470" TargetMode="External"/><Relationship Id="rId436" Type="http://schemas.openxmlformats.org/officeDocument/2006/relationships/hyperlink" Target="https://www.sciencedirect.com/science/article/pii/S030626192601130X?dgcid=rss_sd_all" TargetMode="External"/><Relationship Id="rId437" Type="http://schemas.openxmlformats.org/officeDocument/2006/relationships/hyperlink" Target="https://doi.org/10.1016/j.apenergy.2026.128474" TargetMode="External"/><Relationship Id="rId438" Type="http://schemas.openxmlformats.org/officeDocument/2006/relationships/hyperlink" Target="https://www.sciencedirect.com/science/article/pii/S0306261926011499?dgcid=rss_sd_all" TargetMode="External"/><Relationship Id="rId439" Type="http://schemas.openxmlformats.org/officeDocument/2006/relationships/hyperlink" Target="https://doi.org/10.1016/j.apenergy.2026.128493" TargetMode="External"/><Relationship Id="rId440" Type="http://schemas.openxmlformats.org/officeDocument/2006/relationships/hyperlink" Target="https://www.sciencedirect.com/science/article/pii/S0301421526004428?dgcid=rss_sd_all" TargetMode="External"/><Relationship Id="rId441" Type="http://schemas.openxmlformats.org/officeDocument/2006/relationships/hyperlink" Target="https://doi.org/10.1016/j.enpol.2026.115508" TargetMode="External"/><Relationship Id="rId442" Type="http://schemas.openxmlformats.org/officeDocument/2006/relationships/hyperlink" Target="https://onlinelibrary.wiley.com/doi/10.1002/anie.3069256?af=R" TargetMode="External"/><Relationship Id="rId443" Type="http://schemas.openxmlformats.org/officeDocument/2006/relationships/hyperlink" Target="https://doi.org/10.1002/anie.3069256" TargetMode="External"/><Relationship Id="rId444" Type="http://schemas.openxmlformats.org/officeDocument/2006/relationships/hyperlink" Target="https://www.sciencedirect.com/science/article/pii/S0301421526004519?dgcid=rss_sd_all" TargetMode="External"/><Relationship Id="rId445" Type="http://schemas.openxmlformats.org/officeDocument/2006/relationships/hyperlink" Target="https://doi.org/10.1016/j.enpol.2026.115517" TargetMode="External"/><Relationship Id="rId446" Type="http://schemas.openxmlformats.org/officeDocument/2006/relationships/hyperlink" Target="https://www.sciencedirect.com/science/article/pii/S0306261926011918?dgcid=rss_sd_all" TargetMode="External"/><Relationship Id="rId447" Type="http://schemas.openxmlformats.org/officeDocument/2006/relationships/hyperlink" Target="https://doi.org/10.1016/j.apenergy.2026.128535" TargetMode="External"/><Relationship Id="rId448" Type="http://schemas.openxmlformats.org/officeDocument/2006/relationships/hyperlink" Target="https://www.nature.com/articles/s41467-026-76264-2" TargetMode="External"/><Relationship Id="rId449" Type="http://schemas.openxmlformats.org/officeDocument/2006/relationships/hyperlink" Target="https://www.nature.com/articles/s41467-026-76027-z" TargetMode="External"/><Relationship Id="rId450" Type="http://schemas.openxmlformats.org/officeDocument/2006/relationships/hyperlink" Target="https://www.nature.com/articles/s41467-026-76299-5" TargetMode="External"/><Relationship Id="rId451" Type="http://schemas.openxmlformats.org/officeDocument/2006/relationships/hyperlink" Target="https://www.nature.com/articles/s41467-026-76362-1" TargetMode="External"/><Relationship Id="rId452" Type="http://schemas.openxmlformats.org/officeDocument/2006/relationships/hyperlink" Target="https://www.nature.com/articles/s41467-026-76225-9" TargetMode="External"/><Relationship Id="rId453" Type="http://schemas.openxmlformats.org/officeDocument/2006/relationships/hyperlink" Target="https://www.nature.com/articles/s41467-026-75905-w" TargetMode="External"/><Relationship Id="rId454" Type="http://schemas.openxmlformats.org/officeDocument/2006/relationships/hyperlink" Target="https://www.nature.com/articles/s41560-026-02121-7" TargetMode="External"/><Relationship Id="rId455" Type="http://schemas.openxmlformats.org/officeDocument/2006/relationships/hyperlink" Target="https://doi.org/10.1038/s41560-026-02121-7" TargetMode="External"/><Relationship Id="rId456" Type="http://schemas.openxmlformats.org/officeDocument/2006/relationships/hyperlink" Target="https://www.nature.com/articles/s41467-026-76198-9" TargetMode="External"/><Relationship Id="rId457" Type="http://schemas.openxmlformats.org/officeDocument/2006/relationships/hyperlink" Target="https://www.sciencedirect.com/science/article/pii/S0306261926012481?dgcid=rss_sd_all" TargetMode="External"/><Relationship Id="rId458" Type="http://schemas.openxmlformats.org/officeDocument/2006/relationships/hyperlink" Target="https://doi.org/10.1016/j.apenergy.2026.128592" TargetMode="External"/><Relationship Id="rId459" Type="http://schemas.openxmlformats.org/officeDocument/2006/relationships/hyperlink" Target="https://www.sciencedirect.com/science/article/pii/S0306261926011591?dgcid=rss_sd_all" TargetMode="External"/><Relationship Id="rId460" Type="http://schemas.openxmlformats.org/officeDocument/2006/relationships/hyperlink" Target="https://doi.org/10.1016/j.apenergy.2026.128503" TargetMode="External"/><Relationship Id="rId461" Type="http://schemas.openxmlformats.org/officeDocument/2006/relationships/hyperlink" Target="https://www.nature.com/articles/s41467-026-76406-6" TargetMode="External"/><Relationship Id="rId462" Type="http://schemas.openxmlformats.org/officeDocument/2006/relationships/hyperlink" Target="https://www.nature.com/articles/s41467-026-76319-4" TargetMode="External"/><Relationship Id="rId463" Type="http://schemas.openxmlformats.org/officeDocument/2006/relationships/hyperlink" Target="https://onlinelibrary.wiley.com/doi/10.1002/anie.2280699?af=R" TargetMode="External"/><Relationship Id="rId464" Type="http://schemas.openxmlformats.org/officeDocument/2006/relationships/hyperlink" Target="https://doi.org/10.1002/anie.2280699" TargetMode="External"/><Relationship Id="rId465" Type="http://schemas.openxmlformats.org/officeDocument/2006/relationships/hyperlink" Target="https://onlinelibrary.wiley.com/doi/10.1002/anie.5802081?af=R" TargetMode="External"/><Relationship Id="rId466" Type="http://schemas.openxmlformats.org/officeDocument/2006/relationships/hyperlink" Target="https://doi.org/10.1002/anie.5802081" TargetMode="External"/><Relationship Id="rId467" Type="http://schemas.openxmlformats.org/officeDocument/2006/relationships/hyperlink" Target="https://www.nature.com/articles/s41467-026-76424-4" TargetMode="External"/><Relationship Id="rId468" Type="http://schemas.openxmlformats.org/officeDocument/2006/relationships/hyperlink" Target="https://www.sciencedirect.com/science/article/pii/S0306261926012729?dgcid=rss_sd_all" TargetMode="External"/><Relationship Id="rId469" Type="http://schemas.openxmlformats.org/officeDocument/2006/relationships/hyperlink" Target="https://doi.org/10.1016/j.apenergy.2026.128616" TargetMode="External"/><Relationship Id="rId470" Type="http://schemas.openxmlformats.org/officeDocument/2006/relationships/hyperlink" Target="https://www.sciencedirect.com/science/article/pii/S0306261926012055?dgcid=rss_sd_all" TargetMode="External"/><Relationship Id="rId471" Type="http://schemas.openxmlformats.org/officeDocument/2006/relationships/hyperlink" Target="https://doi.org/10.1016/j.apenergy.2026.128549" TargetMode="External"/><Relationship Id="rId472" Type="http://schemas.openxmlformats.org/officeDocument/2006/relationships/hyperlink" Target="https://www.sciencedirect.com/science/article/pii/S0306261926012407?dgcid=rss_sd_all" TargetMode="External"/><Relationship Id="rId473" Type="http://schemas.openxmlformats.org/officeDocument/2006/relationships/hyperlink" Target="https://doi.org/10.1016/j.apenergy.2026.128584" TargetMode="External"/><Relationship Id="rId474" Type="http://schemas.openxmlformats.org/officeDocument/2006/relationships/hyperlink" Target="https://www.sciencedirect.com/science/article/pii/S0306261926012596?dgcid=rss_sd_all" TargetMode="External"/><Relationship Id="rId475" Type="http://schemas.openxmlformats.org/officeDocument/2006/relationships/hyperlink" Target="https://doi.org/10.1016/j.apenergy.2026.128603" TargetMode="External"/><Relationship Id="rId476" Type="http://schemas.openxmlformats.org/officeDocument/2006/relationships/hyperlink" Target="https://www.sciencedirect.com/science/article/pii/S0306261926012432?dgcid=rss_sd_all" TargetMode="External"/><Relationship Id="rId477" Type="http://schemas.openxmlformats.org/officeDocument/2006/relationships/hyperlink" Target="https://doi.org/10.1016/j.apenergy.2026.128587" TargetMode="External"/><Relationship Id="rId478" Type="http://schemas.openxmlformats.org/officeDocument/2006/relationships/hyperlink" Target="https://www.sciencedirect.com/science/article/pii/S0301421526004635?dgcid=rss_sd_all" TargetMode="External"/><Relationship Id="rId479" Type="http://schemas.openxmlformats.org/officeDocument/2006/relationships/hyperlink" Target="https://doi.org/10.1016/j.enpol.2026.115529" TargetMode="External"/><Relationship Id="rId480" Type="http://schemas.openxmlformats.org/officeDocument/2006/relationships/hyperlink" Target="https://www.sciencedirect.com/science/article/pii/S0306261926012080?dgcid=rss_sd_all" TargetMode="External"/><Relationship Id="rId481" Type="http://schemas.openxmlformats.org/officeDocument/2006/relationships/hyperlink" Target="https://doi.org/10.1016/j.apenergy.2026.128552" TargetMode="External"/><Relationship Id="rId482" Type="http://schemas.openxmlformats.org/officeDocument/2006/relationships/hyperlink" Target="https://www.science.org/doi/abs/10.1126/science.aei8513?af=R" TargetMode="External"/><Relationship Id="rId483" Type="http://schemas.openxmlformats.org/officeDocument/2006/relationships/hyperlink" Target="https://doi.org/10.1126/science.aei8513" TargetMode="External"/><Relationship Id="rId484" Type="http://schemas.openxmlformats.org/officeDocument/2006/relationships/hyperlink" Target="https://www.science.org/doi/abs/10.1126/science.adv5441?af=R" TargetMode="External"/><Relationship Id="rId485" Type="http://schemas.openxmlformats.org/officeDocument/2006/relationships/hyperlink" Target="https://doi.org/10.1126/science.adv5441" TargetMode="External"/><Relationship Id="rId486" Type="http://schemas.openxmlformats.org/officeDocument/2006/relationships/hyperlink" Target="https://www.science.org/doi/abs/10.1126/sciadv.aef4345?af=R" TargetMode="External"/><Relationship Id="rId487" Type="http://schemas.openxmlformats.org/officeDocument/2006/relationships/hyperlink" Target="https://doi.org/10.1126/sciadv.aef4345" TargetMode="External"/><Relationship Id="rId488" Type="http://schemas.openxmlformats.org/officeDocument/2006/relationships/hyperlink" Target="https://www.science.org/doi/abs/10.1126/sciadv.aee1447?af=R" TargetMode="External"/><Relationship Id="rId489" Type="http://schemas.openxmlformats.org/officeDocument/2006/relationships/hyperlink" Target="https://doi.org/10.1126/sciadv.aee1447" TargetMode="External"/><Relationship Id="rId490" Type="http://schemas.openxmlformats.org/officeDocument/2006/relationships/hyperlink" Target="https://advanced.onlinelibrary.wiley.com/doi/10.1002/aenm.71365?af=R" TargetMode="External"/><Relationship Id="rId491" Type="http://schemas.openxmlformats.org/officeDocument/2006/relationships/hyperlink" Target="https://doi.org/10.1002/aenm.71365" TargetMode="External"/><Relationship Id="rId492" Type="http://schemas.openxmlformats.org/officeDocument/2006/relationships/hyperlink" Target="https://pubs.acs.org/jacsat/article/doi/10.1021/jacs.6c02583/5242082/Targeted-Synthesis-of-Durene-from-CO2-via-a" TargetMode="External"/><Relationship Id="rId493" Type="http://schemas.openxmlformats.org/officeDocument/2006/relationships/hyperlink" Target="https://doi.org/10.1021/jacs.6c02583" TargetMode="External"/><Relationship Id="rId494" Type="http://schemas.openxmlformats.org/officeDocument/2006/relationships/hyperlink" Target="https://academic.oup.com/nsr/advance-article/doi/10.1093/nsr/nwag470/8750257?rss=1" TargetMode="External"/><Relationship Id="rId495" Type="http://schemas.openxmlformats.org/officeDocument/2006/relationships/hyperlink" Target="https://doi.org/10.1093/nsr/nwag470" TargetMode="External"/><Relationship Id="rId496" Type="http://schemas.openxmlformats.org/officeDocument/2006/relationships/hyperlink" Target="https://www.pnas.org/doi/abs/10.1073/pnas.2610399123?mi=eymic2&amp;af=R&amp;access=on&amp;content=articlesChapters&amp;publication=pnas&amp;sortBy=Earliest&amp;target=default" TargetMode="External"/><Relationship Id="rId497" Type="http://schemas.openxmlformats.org/officeDocument/2006/relationships/hyperlink" Target="https://doi.org/10.1073/pnas.2610399123" TargetMode="External"/><Relationship Id="rId498" Type="http://schemas.openxmlformats.org/officeDocument/2006/relationships/hyperlink" Target="https://advanced.onlinelibrary.wiley.com/doi/10.1002/adma.74495?af=R" TargetMode="External"/><Relationship Id="rId499" Type="http://schemas.openxmlformats.org/officeDocument/2006/relationships/hyperlink" Target="https://doi.org/10.1002/adma.74495" TargetMode="External"/><Relationship Id="rId500" Type="http://schemas.openxmlformats.org/officeDocument/2006/relationships/hyperlink" Target="https://pubs.acs.org/aamick/article/doi/10.1021/acsami.6c08251/5243578/Supramolecular-G-Quadruplex-Templating-Enables" TargetMode="External"/><Relationship Id="rId501" Type="http://schemas.openxmlformats.org/officeDocument/2006/relationships/hyperlink" Target="https://doi.org/10.1021/acsami.6c08251" TargetMode="External"/><Relationship Id="rId502" Type="http://schemas.openxmlformats.org/officeDocument/2006/relationships/hyperlink" Target="https://pubs.acs.org/aamick/article/doi/10.1021/acsami.6c09895/5243307/Supercritical-CO2-Directed-Exposure-of-111-Crystal" TargetMode="External"/><Relationship Id="rId503" Type="http://schemas.openxmlformats.org/officeDocument/2006/relationships/hyperlink" Target="https://doi.org/10.1021/acsami.6c09895" TargetMode="External"/><Relationship Id="rId504" Type="http://schemas.openxmlformats.org/officeDocument/2006/relationships/hyperlink" Target="https://pubs.acs.org/aamick/article/doi/10.1021/acsami.6c10182/5243562/Electron-Withdrawing-Ligand-Modulation-of-Pt-Sites" TargetMode="External"/><Relationship Id="rId505" Type="http://schemas.openxmlformats.org/officeDocument/2006/relationships/hyperlink" Target="https://doi.org/10.1021/acsami.6c10182" TargetMode="External"/><Relationship Id="rId506" Type="http://schemas.openxmlformats.org/officeDocument/2006/relationships/hyperlink" Target="https://www.nature.com/articles/s41467-026-76275-z" TargetMode="External"/><Relationship Id="rId507" Type="http://schemas.openxmlformats.org/officeDocument/2006/relationships/hyperlink" Target="https://pubs.acs.org/jacsat/article/doi/10.1021/jacs.6c07430/5243313/Viscosity-and-Pore-Accessibility-Control-of-Type-I" TargetMode="External"/><Relationship Id="rId508" Type="http://schemas.openxmlformats.org/officeDocument/2006/relationships/hyperlink" Target="https://doi.org/10.1021/jacs.6c07430" TargetMode="External"/><Relationship Id="rId509" Type="http://schemas.openxmlformats.org/officeDocument/2006/relationships/hyperlink" Target="https://pubs.acs.org/jacsat/article/doi/10.1021/jacs.6c10243/5243608/Activation-of-Inorganic-Ligands-by-Interfacial" TargetMode="External"/><Relationship Id="rId510" Type="http://schemas.openxmlformats.org/officeDocument/2006/relationships/hyperlink" Target="https://doi.org/10.1021/jacs.6c10243" TargetMode="External"/><Relationship Id="rId511" Type="http://schemas.openxmlformats.org/officeDocument/2006/relationships/hyperlink" Target="https://pubs.acs.org/jacsat/article/doi/10.1021/jacs.6c10566/5243531/Identification-of-Metal-Organic-Frameworks-for-CO2" TargetMode="External"/><Relationship Id="rId512" Type="http://schemas.openxmlformats.org/officeDocument/2006/relationships/hyperlink" Target="https://doi.org/10.1021/jacs.6c10566" TargetMode="External"/><Relationship Id="rId513" Type="http://schemas.openxmlformats.org/officeDocument/2006/relationships/hyperlink" Target="https://www.pnas.org/doi/abs/10.1073/pnas.2608267123?mi=eymic2&amp;af=R&amp;access=on&amp;content=articlesChapters&amp;publication=pnas&amp;sortBy=Earliest&amp;target=default" TargetMode="External"/><Relationship Id="rId514" Type="http://schemas.openxmlformats.org/officeDocument/2006/relationships/hyperlink" Target="https://doi.org/10.1073/pnas.2608267123" TargetMode="External"/><Relationship Id="rId515" Type="http://schemas.openxmlformats.org/officeDocument/2006/relationships/hyperlink" Target="https://advanced.onlinelibrary.wiley.com/doi/10.1002/adma.74014?af=R" TargetMode="External"/><Relationship Id="rId516" Type="http://schemas.openxmlformats.org/officeDocument/2006/relationships/hyperlink" Target="https://doi.org/10.1002/adma.74014" TargetMode="External"/><Relationship Id="rId517" Type="http://schemas.openxmlformats.org/officeDocument/2006/relationships/hyperlink" Target="https://pubs.acs.org/aelccp/article/doi/10.1021/acsenergylett.6c02141/5243806/Conversion-of-CO2-to-CO-by-Solvated-Electrons-in" TargetMode="External"/><Relationship Id="rId518" Type="http://schemas.openxmlformats.org/officeDocument/2006/relationships/hyperlink" Target="https://doi.org/10.1021/acsenergylett.6c02141" TargetMode="External"/><Relationship Id="rId519" Type="http://schemas.openxmlformats.org/officeDocument/2006/relationships/hyperlink" Target="https://pubs.acs.org/aamick/article/doi/10.1021/acsami.6c11014/5246572/Constructing-FeCx-Active-Sites-Confined-within-F" TargetMode="External"/><Relationship Id="rId520" Type="http://schemas.openxmlformats.org/officeDocument/2006/relationships/hyperlink" Target="https://doi.org/10.1021/acsami.6c11014" TargetMode="External"/><Relationship Id="rId521" Type="http://schemas.openxmlformats.org/officeDocument/2006/relationships/hyperlink" Target="https://advanced.onlinelibrary.wiley.com/doi/10.1002/adma.74420?af=R" TargetMode="External"/><Relationship Id="rId522" Type="http://schemas.openxmlformats.org/officeDocument/2006/relationships/hyperlink" Target="https://doi.org/10.1002/adma.74420" TargetMode="External"/><Relationship Id="rId523" Type="http://schemas.openxmlformats.org/officeDocument/2006/relationships/hyperlink" Target="https://onlinelibrary.wiley.com/doi/10.1002/anie.3187911?af=R" TargetMode="External"/><Relationship Id="rId524" Type="http://schemas.openxmlformats.org/officeDocument/2006/relationships/hyperlink" Target="https://doi.org/10.1002/anie.3187911" TargetMode="External"/><Relationship Id="rId525" Type="http://schemas.openxmlformats.org/officeDocument/2006/relationships/hyperlink" Target="https://onlinelibrary.wiley.com/doi/10.1002/anie.7585384?af=R" TargetMode="External"/><Relationship Id="rId526" Type="http://schemas.openxmlformats.org/officeDocument/2006/relationships/hyperlink" Target="https://doi.org/10.1002/anie.7585384" TargetMode="External"/><Relationship Id="rId527" Type="http://schemas.openxmlformats.org/officeDocument/2006/relationships/hyperlink" Target="https://onlinelibrary.wiley.com/doi/10.1002/anie.4139411?af=R" TargetMode="External"/><Relationship Id="rId528" Type="http://schemas.openxmlformats.org/officeDocument/2006/relationships/hyperlink" Target="https://doi.org/10.1002/anie.4139411" TargetMode="External"/><Relationship Id="rId529" Type="http://schemas.openxmlformats.org/officeDocument/2006/relationships/hyperlink" Target="https://onlinelibrary.wiley.com/doi/10.1002/anie.9236832?af=R" TargetMode="External"/><Relationship Id="rId530" Type="http://schemas.openxmlformats.org/officeDocument/2006/relationships/hyperlink" Target="https://doi.org/10.1002/anie.9236832" TargetMode="External"/><Relationship Id="rId531" Type="http://schemas.openxmlformats.org/officeDocument/2006/relationships/hyperlink" Target="https://onlinelibrary.wiley.com/doi/10.1002/anie.3694976?af=R" TargetMode="External"/><Relationship Id="rId532" Type="http://schemas.openxmlformats.org/officeDocument/2006/relationships/hyperlink" Target="https://doi.org/10.1002/anie.3694976" TargetMode="External"/><Relationship Id="rId533" Type="http://schemas.openxmlformats.org/officeDocument/2006/relationships/hyperlink" Target="https://onlinelibrary.wiley.com/doi/10.1002/anie.1880625?af=R" TargetMode="External"/><Relationship Id="rId534" Type="http://schemas.openxmlformats.org/officeDocument/2006/relationships/hyperlink" Target="https://doi.org/10.1002/anie.1880625" TargetMode="External"/><Relationship Id="rId535" Type="http://schemas.openxmlformats.org/officeDocument/2006/relationships/hyperlink" Target="https://advanced.onlinelibrary.wiley.com/doi/10.1002/adma.74332?af=R" TargetMode="External"/><Relationship Id="rId536" Type="http://schemas.openxmlformats.org/officeDocument/2006/relationships/hyperlink" Target="https://doi.org/10.1002/adma.74332" TargetMode="External"/><Relationship Id="rId537" Type="http://schemas.openxmlformats.org/officeDocument/2006/relationships/hyperlink" Target="https://advanced.onlinelibrary.wiley.com/doi/10.1002/adma.74374?af=R" TargetMode="External"/><Relationship Id="rId538" Type="http://schemas.openxmlformats.org/officeDocument/2006/relationships/hyperlink" Target="https://doi.org/10.1002/adma.74374" TargetMode="External"/><Relationship Id="rId539" Type="http://schemas.openxmlformats.org/officeDocument/2006/relationships/hyperlink" Target="https://advanced.onlinelibrary.wiley.com/doi/10.1002/adma.74256?af=R" TargetMode="External"/><Relationship Id="rId540" Type="http://schemas.openxmlformats.org/officeDocument/2006/relationships/hyperlink" Target="https://doi.org/10.1002/adma.74256" TargetMode="External"/><Relationship Id="rId541" Type="http://schemas.openxmlformats.org/officeDocument/2006/relationships/hyperlink" Target="https://pubs.acs.org/jacsat/article/doi/10.1021/jacs.6c10099/5242090/Depolymerization-of-Commercial-Polymethacrylates" TargetMode="External"/><Relationship Id="rId542" Type="http://schemas.openxmlformats.org/officeDocument/2006/relationships/hyperlink" Target="https://doi.org/10.1021/jacs.6c10099" TargetMode="External"/><Relationship Id="rId543" Type="http://schemas.openxmlformats.org/officeDocument/2006/relationships/hyperlink" Target="https://pubs.acs.org/aamick/article/doi/10.1021/acsami.6c09441/5238443/Air-Water-Acoustic-Transmission-Enhancement-Device" TargetMode="External"/><Relationship Id="rId544" Type="http://schemas.openxmlformats.org/officeDocument/2006/relationships/hyperlink" Target="https://doi.org/10.1021/acsami.6c09441" TargetMode="External"/><Relationship Id="rId545" Type="http://schemas.openxmlformats.org/officeDocument/2006/relationships/hyperlink" Target="https://www.nature.com/articles/s41586-026-10867-z" TargetMode="External"/><Relationship Id="rId546" Type="http://schemas.openxmlformats.org/officeDocument/2006/relationships/hyperlink" Target="https://doi.org/10.1038/s41586-026-10867-z" TargetMode="External"/><Relationship Id="rId547" Type="http://schemas.openxmlformats.org/officeDocument/2006/relationships/hyperlink" Target="https://www.nature.com/articles/d41586-026-02445-0" TargetMode="External"/><Relationship Id="rId548" Type="http://schemas.openxmlformats.org/officeDocument/2006/relationships/hyperlink" Target="https://doi.org/10.1038/d41586-026-02445-0" TargetMode="External"/><Relationship Id="rId549" Type="http://schemas.openxmlformats.org/officeDocument/2006/relationships/hyperlink" Target="https://www.science.org/doi/abs/10.1126/sciadv.aeg0819?af=R" TargetMode="External"/><Relationship Id="rId550" Type="http://schemas.openxmlformats.org/officeDocument/2006/relationships/hyperlink" Target="https://doi.org/10.1126/sciadv.aeg0819" TargetMode="External"/><Relationship Id="rId551" Type="http://schemas.openxmlformats.org/officeDocument/2006/relationships/hyperlink" Target="https://onlinelibrary.wiley.com/doi/10.1002/anie.1623834?af=R" TargetMode="External"/><Relationship Id="rId552" Type="http://schemas.openxmlformats.org/officeDocument/2006/relationships/hyperlink" Target="https://doi.org/10.1002/anie.1623834" TargetMode="External"/><Relationship Id="rId553" Type="http://schemas.openxmlformats.org/officeDocument/2006/relationships/hyperlink" Target="https://onlinelibrary.wiley.com/doi/10.1002/anie.202526115?af=R" TargetMode="External"/><Relationship Id="rId554" Type="http://schemas.openxmlformats.org/officeDocument/2006/relationships/hyperlink" Target="https://doi.org/10.1002/anie.202526115" TargetMode="External"/><Relationship Id="rId555" Type="http://schemas.openxmlformats.org/officeDocument/2006/relationships/hyperlink" Target="https://www.science.org/doi/abs/10.1126/science.aej6212?af=R" TargetMode="External"/><Relationship Id="rId556" Type="http://schemas.openxmlformats.org/officeDocument/2006/relationships/hyperlink" Target="https://doi.org/10.1126/science.aej6212" TargetMode="External"/><Relationship Id="rId557" Type="http://schemas.openxmlformats.org/officeDocument/2006/relationships/hyperlink" Target="https://www.nature.com/articles/s41467-026-75625-1" TargetMode="External"/><Relationship Id="rId558" Type="http://schemas.openxmlformats.org/officeDocument/2006/relationships/hyperlink" Target="https://www.nature.com/articles/s41565-026-02231-z" TargetMode="External"/><Relationship Id="rId559" Type="http://schemas.openxmlformats.org/officeDocument/2006/relationships/hyperlink" Target="https://doi.org/10.1038/s41565-026-02231-z" TargetMode="External"/><Relationship Id="rId560" Type="http://schemas.openxmlformats.org/officeDocument/2006/relationships/hyperlink" Target="https://www.nature.com/articles/s41467-026-76105-2" TargetMode="External"/><Relationship Id="rId561" Type="http://schemas.openxmlformats.org/officeDocument/2006/relationships/hyperlink" Target="https://www.nature.com/articles/s41563-026-02699-z" TargetMode="External"/><Relationship Id="rId562" Type="http://schemas.openxmlformats.org/officeDocument/2006/relationships/hyperlink" Target="https://doi.org/10.1038/s41563-026-02699-z" TargetMode="External"/><Relationship Id="rId563" Type="http://schemas.openxmlformats.org/officeDocument/2006/relationships/hyperlink" Target="https://www.sciencedirect.com/science/article/pii/S0306261926011682?dgcid=rss_sd_all" TargetMode="External"/><Relationship Id="rId564" Type="http://schemas.openxmlformats.org/officeDocument/2006/relationships/hyperlink" Target="https://doi.org/10.1016/j.apenergy.2026.128512" TargetMode="External"/><Relationship Id="rId565" Type="http://schemas.openxmlformats.org/officeDocument/2006/relationships/hyperlink" Target="https://www.nature.com/articles/s41467-026-75713-2" TargetMode="External"/><Relationship Id="rId566" Type="http://schemas.openxmlformats.org/officeDocument/2006/relationships/hyperlink" Target="https://www.nature.com/articles/s41467-026-76185-0" TargetMode="External"/><Relationship Id="rId567" Type="http://schemas.openxmlformats.org/officeDocument/2006/relationships/hyperlink" Target="https://www.nature.com/articles/s41928-026-01672-7" TargetMode="External"/><Relationship Id="rId568" Type="http://schemas.openxmlformats.org/officeDocument/2006/relationships/hyperlink" Target="https://doi.org/10.1038/s41928-026-01672-7" TargetMode="External"/><Relationship Id="rId569" Type="http://schemas.openxmlformats.org/officeDocument/2006/relationships/hyperlink" Target="https://www.nature.com/articles/s44359-026-00207-9" TargetMode="External"/><Relationship Id="rId570" Type="http://schemas.openxmlformats.org/officeDocument/2006/relationships/hyperlink" Target="https://doi.org/10.1038/s44359-026-00207-9" TargetMode="External"/><Relationship Id="rId571" Type="http://schemas.openxmlformats.org/officeDocument/2006/relationships/hyperlink" Target="https://www.nature.com/articles/s41467-026-75765-4" TargetMode="External"/><Relationship Id="rId572" Type="http://schemas.openxmlformats.org/officeDocument/2006/relationships/hyperlink" Target="https://www.nature.com/articles/s41467-026-75688-0" TargetMode="External"/><Relationship Id="rId573" Type="http://schemas.openxmlformats.org/officeDocument/2006/relationships/hyperlink" Target="https://www.nature.com/articles/s41467-026-76129-8" TargetMode="External"/><Relationship Id="rId574" Type="http://schemas.openxmlformats.org/officeDocument/2006/relationships/hyperlink" Target="https://www.nature.com/articles/s41467-026-75961-2" TargetMode="External"/><Relationship Id="rId575" Type="http://schemas.openxmlformats.org/officeDocument/2006/relationships/hyperlink" Target="https://www.nature.com/articles/s41467-026-74482-2" TargetMode="External"/><Relationship Id="rId576" Type="http://schemas.openxmlformats.org/officeDocument/2006/relationships/hyperlink" Target="https://www.nature.com/articles/s41467-026-76223-x" TargetMode="External"/><Relationship Id="rId577" Type="http://schemas.openxmlformats.org/officeDocument/2006/relationships/hyperlink" Target="https://www.nature.com/articles/s41467-026-76167-2" TargetMode="External"/><Relationship Id="rId578" Type="http://schemas.openxmlformats.org/officeDocument/2006/relationships/hyperlink" Target="https://www.nature.com/articles/s41467-026-76150-x" TargetMode="External"/><Relationship Id="rId579" Type="http://schemas.openxmlformats.org/officeDocument/2006/relationships/hyperlink" Target="https://www.nature.com/articles/s41467-026-75823-x" TargetMode="External"/><Relationship Id="rId580" Type="http://schemas.openxmlformats.org/officeDocument/2006/relationships/hyperlink" Target="https://www.nature.com/articles/s41467-026-76258-0" TargetMode="External"/><Relationship Id="rId581" Type="http://schemas.openxmlformats.org/officeDocument/2006/relationships/hyperlink" Target="https://www.nature.com/articles/s41467-026-75922-9" TargetMode="External"/><Relationship Id="rId582" Type="http://schemas.openxmlformats.org/officeDocument/2006/relationships/hyperlink" Target="https://www.nature.com/articles/s41467-026-76128-9" TargetMode="External"/><Relationship Id="rId583" Type="http://schemas.openxmlformats.org/officeDocument/2006/relationships/hyperlink" Target="https://www.nature.com/articles/s41467-026-76166-3" TargetMode="External"/><Relationship Id="rId584" Type="http://schemas.openxmlformats.org/officeDocument/2006/relationships/hyperlink" Target="https://www.sciencedirect.com/science/article/pii/S0306261926011827?dgcid=rss_sd_all" TargetMode="External"/><Relationship Id="rId585" Type="http://schemas.openxmlformats.org/officeDocument/2006/relationships/hyperlink" Target="https://doi.org/10.1016/j.apenergy.2026.128526" TargetMode="External"/><Relationship Id="rId586" Type="http://schemas.openxmlformats.org/officeDocument/2006/relationships/hyperlink" Target="https://www.sciencedirect.com/science/article/pii/S0306261926012183?dgcid=rss_sd_all" TargetMode="External"/><Relationship Id="rId587" Type="http://schemas.openxmlformats.org/officeDocument/2006/relationships/hyperlink" Target="https://doi.org/10.1016/j.apenergy.2026.128562" TargetMode="External"/><Relationship Id="rId588" Type="http://schemas.openxmlformats.org/officeDocument/2006/relationships/hyperlink" Target="https://www.nature.com/articles/s41557-026-02200-y" TargetMode="External"/><Relationship Id="rId589" Type="http://schemas.openxmlformats.org/officeDocument/2006/relationships/hyperlink" Target="https://doi.org/10.1038/s41557-026-02200-y" TargetMode="External"/><Relationship Id="rId590" Type="http://schemas.openxmlformats.org/officeDocument/2006/relationships/hyperlink" Target="https://academic.oup.com/nsr/advance-article/doi/10.1093/nsr/nwag464/8748415?rss=1" TargetMode="External"/><Relationship Id="rId591" Type="http://schemas.openxmlformats.org/officeDocument/2006/relationships/hyperlink" Target="https://doi.org/10.1093/nsr/nwag464" TargetMode="External"/><Relationship Id="rId592" Type="http://schemas.openxmlformats.org/officeDocument/2006/relationships/hyperlink" Target="https://www.nature.com/articles/d41586-026-02397-5" TargetMode="External"/><Relationship Id="rId593" Type="http://schemas.openxmlformats.org/officeDocument/2006/relationships/hyperlink" Target="https://doi.org/10.1038/d41586-026-02397-5" TargetMode="External"/><Relationship Id="rId594" Type="http://schemas.openxmlformats.org/officeDocument/2006/relationships/hyperlink" Target="https://www.nature.com/articles/d41586-026-02366-y" TargetMode="External"/><Relationship Id="rId595" Type="http://schemas.openxmlformats.org/officeDocument/2006/relationships/hyperlink" Target="https://doi.org/10.1038/d41586-026-02366-y" TargetMode="External"/><Relationship Id="rId596" Type="http://schemas.openxmlformats.org/officeDocument/2006/relationships/hyperlink" Target="https://www.sciencedirect.com/science/article/pii/S0301421526004556?dgcid=rss_sd_all" TargetMode="External"/><Relationship Id="rId597" Type="http://schemas.openxmlformats.org/officeDocument/2006/relationships/hyperlink" Target="https://doi.org/10.1016/j.enpol.2026.115521" TargetMode="External"/><Relationship Id="rId598" Type="http://schemas.openxmlformats.org/officeDocument/2006/relationships/hyperlink" Target="https://www.nature.com/articles/d41586-026-02274-1" TargetMode="External"/><Relationship Id="rId599" Type="http://schemas.openxmlformats.org/officeDocument/2006/relationships/hyperlink" Target="https://doi.org/10.1038/d41586-026-02274-1" TargetMode="External"/><Relationship Id="rId600" Type="http://schemas.openxmlformats.org/officeDocument/2006/relationships/hyperlink" Target="https://www.nature.com/articles/d41586-026-02371-1" TargetMode="External"/><Relationship Id="rId601" Type="http://schemas.openxmlformats.org/officeDocument/2006/relationships/hyperlink" Target="https://doi.org/10.1038/d41586-026-02371-1" TargetMode="External"/><Relationship Id="rId602" Type="http://schemas.openxmlformats.org/officeDocument/2006/relationships/hyperlink" Target="https://www.nature.com/articles/d41586-026-02334-6" TargetMode="External"/><Relationship Id="rId603" Type="http://schemas.openxmlformats.org/officeDocument/2006/relationships/hyperlink" Target="https://doi.org/10.1038/d41586-026-02334-6" TargetMode="External"/><Relationship Id="rId604" Type="http://schemas.openxmlformats.org/officeDocument/2006/relationships/hyperlink" Target="https://www.nature.com/articles/s41563-026-02691-7" TargetMode="External"/><Relationship Id="rId605" Type="http://schemas.openxmlformats.org/officeDocument/2006/relationships/hyperlink" Target="https://doi.org/10.1038/s41563-026-02691-7" TargetMode="External"/><Relationship Id="rId606" Type="http://schemas.openxmlformats.org/officeDocument/2006/relationships/hyperlink" Target="https://www.nature.com/articles/s41563-026-02689-1" TargetMode="External"/><Relationship Id="rId607" Type="http://schemas.openxmlformats.org/officeDocument/2006/relationships/hyperlink" Target="https://doi.org/10.1038/s41563-026-02689-1" TargetMode="External"/><Relationship Id="rId608" Type="http://schemas.openxmlformats.org/officeDocument/2006/relationships/hyperlink" Target="https://www.sciencedirect.com/science/article/pii/S0301421526004647?dgcid=rss_sd_all" TargetMode="External"/><Relationship Id="rId609" Type="http://schemas.openxmlformats.org/officeDocument/2006/relationships/hyperlink" Target="https://doi.org/10.1016/j.enpol.2026.115530" TargetMode="External"/><Relationship Id="rId610" Type="http://schemas.openxmlformats.org/officeDocument/2006/relationships/hyperlink" Target="https://www.nature.com/articles/s41563-026-02690-8" TargetMode="External"/><Relationship Id="rId611" Type="http://schemas.openxmlformats.org/officeDocument/2006/relationships/hyperlink" Target="https://doi.org/10.1038/s41563-026-02690-8" TargetMode="External"/><Relationship Id="rId612" Type="http://schemas.openxmlformats.org/officeDocument/2006/relationships/hyperlink" Target="https://www.sciencedirect.com/science/article/pii/S0301421526004544?dgcid=rss_sd_all" TargetMode="External"/><Relationship Id="rId613" Type="http://schemas.openxmlformats.org/officeDocument/2006/relationships/hyperlink" Target="https://doi.org/10.1016/j.enpol.2026.115520" TargetMode="External"/><Relationship Id="rId614" Type="http://schemas.openxmlformats.org/officeDocument/2006/relationships/hyperlink" Target="https://www.nature.com/articles/d41586-026-02419-2" TargetMode="External"/><Relationship Id="rId615" Type="http://schemas.openxmlformats.org/officeDocument/2006/relationships/hyperlink" Target="https://doi.org/10.1038/d41586-026-02419-2" TargetMode="External"/><Relationship Id="rId616" Type="http://schemas.openxmlformats.org/officeDocument/2006/relationships/hyperlink" Target="https://www.nature.com/articles/s41557-026-02220-8" TargetMode="External"/><Relationship Id="rId617" Type="http://schemas.openxmlformats.org/officeDocument/2006/relationships/hyperlink" Target="https://doi.org/10.1038/s41557-026-02220-8" TargetMode="External"/><Relationship Id="rId618" Type="http://schemas.openxmlformats.org/officeDocument/2006/relationships/hyperlink" Target="https://www.sciencedirect.com/science/article/pii/S030626192601216X?dgcid=rss_sd_all" TargetMode="External"/><Relationship Id="rId619" Type="http://schemas.openxmlformats.org/officeDocument/2006/relationships/hyperlink" Target="https://doi.org/10.1016/j.apenergy.2026.128560" TargetMode="External"/><Relationship Id="rId620" Type="http://schemas.openxmlformats.org/officeDocument/2006/relationships/hyperlink" Target="https://www.sciencedirect.com/science/article/pii/S0306261926011955?dgcid=rss_sd_all" TargetMode="External"/><Relationship Id="rId621" Type="http://schemas.openxmlformats.org/officeDocument/2006/relationships/hyperlink" Target="https://doi.org/10.1016/j.apenergy.2026.128539" TargetMode="External"/><Relationship Id="rId622" Type="http://schemas.openxmlformats.org/officeDocument/2006/relationships/hyperlink" Target="https://www.sciencedirect.com/science/article/pii/S0306261926011980?dgcid=rss_sd_all" TargetMode="External"/><Relationship Id="rId623" Type="http://schemas.openxmlformats.org/officeDocument/2006/relationships/hyperlink" Target="https://doi.org/10.1016/j.apenergy.2026.128542" TargetMode="External"/><Relationship Id="rId624" Type="http://schemas.openxmlformats.org/officeDocument/2006/relationships/hyperlink" Target="https://www.sciencedirect.com/science/article/pii/S0301421526004088?dgcid=rss_sd_all" TargetMode="External"/><Relationship Id="rId625" Type="http://schemas.openxmlformats.org/officeDocument/2006/relationships/hyperlink" Target="https://doi.org/10.1016/j.enpol.2026.115474" TargetMode="External"/><Relationship Id="rId626" Type="http://schemas.openxmlformats.org/officeDocument/2006/relationships/hyperlink" Target="https://www.nature.com/articles/d41586-026-02362-2" TargetMode="External"/><Relationship Id="rId627" Type="http://schemas.openxmlformats.org/officeDocument/2006/relationships/hyperlink" Target="https://doi.org/10.1038/d41586-026-02362-2" TargetMode="External"/><Relationship Id="rId628" Type="http://schemas.openxmlformats.org/officeDocument/2006/relationships/hyperlink" Target="https://www.pnas.org/doi/abs/10.1073/pnas.2611211123?mi=eymic2&amp;af=R&amp;access=on&amp;content=articlesChapters&amp;publication=pnas&amp;sortBy=Earliest&amp;target=default" TargetMode="External"/><Relationship Id="rId629" Type="http://schemas.openxmlformats.org/officeDocument/2006/relationships/hyperlink" Target="https://doi.org/10.1073/pnas.2611211123" TargetMode="External"/><Relationship Id="rId630" Type="http://schemas.openxmlformats.org/officeDocument/2006/relationships/hyperlink" Target="https://www.science.org/doi/abs/10.1126/sciadv.aej0245?af=R" TargetMode="External"/><Relationship Id="rId631" Type="http://schemas.openxmlformats.org/officeDocument/2006/relationships/hyperlink" Target="https://doi.org/10.1126/sciadv.aej0245" TargetMode="External"/><Relationship Id="rId632" Type="http://schemas.openxmlformats.org/officeDocument/2006/relationships/hyperlink" Target="https://www.pnas.org/doi/abs/10.1073/pnas.2608608123?mi=eymic2&amp;af=R&amp;access=on&amp;content=articlesChapters&amp;publication=pnas&amp;sortBy=Earliest&amp;target=default" TargetMode="External"/><Relationship Id="rId633" Type="http://schemas.openxmlformats.org/officeDocument/2006/relationships/hyperlink" Target="https://doi.org/10.1073/pnas.2608608123" TargetMode="External"/><Relationship Id="rId634" Type="http://schemas.openxmlformats.org/officeDocument/2006/relationships/hyperlink" Target="https://www.pnas.org/doi/abs/10.1073/pnas.2518581123?mi=eymic2&amp;af=R&amp;access=on&amp;content=articlesChapters&amp;publication=pnas&amp;sortBy=Earliest&amp;target=default" TargetMode="External"/><Relationship Id="rId635" Type="http://schemas.openxmlformats.org/officeDocument/2006/relationships/hyperlink" Target="https://doi.org/10.1073/pnas.2518581123" TargetMode="External"/><Relationship Id="rId636" Type="http://schemas.openxmlformats.org/officeDocument/2006/relationships/hyperlink" Target="https://www.science.org/doi/abs/10.1126/sciadv.aee6883?af=R" TargetMode="External"/><Relationship Id="rId637" Type="http://schemas.openxmlformats.org/officeDocument/2006/relationships/hyperlink" Target="https://doi.org/10.1126/sciadv.aee6883" TargetMode="External"/><Relationship Id="rId638" Type="http://schemas.openxmlformats.org/officeDocument/2006/relationships/hyperlink" Target="https://www.science.org/doi/abs/10.1126/sciadv.aef0140?af=R" TargetMode="External"/><Relationship Id="rId639" Type="http://schemas.openxmlformats.org/officeDocument/2006/relationships/hyperlink" Target="https://doi.org/10.1126/sciadv.aef0140" TargetMode="External"/><Relationship Id="rId640" Type="http://schemas.openxmlformats.org/officeDocument/2006/relationships/hyperlink" Target="https://www.science.org/doi/abs/10.1126/sciadv.aef5064?af=R" TargetMode="External"/><Relationship Id="rId641" Type="http://schemas.openxmlformats.org/officeDocument/2006/relationships/hyperlink" Target="https://doi.org/10.1126/sciadv.aef5064" TargetMode="External"/><Relationship Id="rId642" Type="http://schemas.openxmlformats.org/officeDocument/2006/relationships/hyperlink" Target="https://www.science.org/doi/abs/10.1126/sciadv.aeg1445?af=R" TargetMode="External"/><Relationship Id="rId643" Type="http://schemas.openxmlformats.org/officeDocument/2006/relationships/hyperlink" Target="https://doi.org/10.1126/sciadv.aeg1445" TargetMode="External"/><Relationship Id="rId644" Type="http://schemas.openxmlformats.org/officeDocument/2006/relationships/hyperlink" Target="https://www.science.org/doi/abs/10.1126/sciadv.aee5276?af=R" TargetMode="External"/><Relationship Id="rId645" Type="http://schemas.openxmlformats.org/officeDocument/2006/relationships/hyperlink" Target="https://doi.org/10.1126/sciadv.aee5276" TargetMode="External"/><Relationship Id="rId646" Type="http://schemas.openxmlformats.org/officeDocument/2006/relationships/hyperlink" Target="https://www.science.org/doi/abs/10.1126/sciadv.adz6517?af=R" TargetMode="External"/><Relationship Id="rId647" Type="http://schemas.openxmlformats.org/officeDocument/2006/relationships/hyperlink" Target="https://doi.org/10.1126/sciadv.adz6517" TargetMode="External"/><Relationship Id="rId648" Type="http://schemas.openxmlformats.org/officeDocument/2006/relationships/hyperlink" Target="https://www.science.org/doi/abs/10.1126/sciadv.aeb3579?af=R" TargetMode="External"/><Relationship Id="rId649" Type="http://schemas.openxmlformats.org/officeDocument/2006/relationships/hyperlink" Target="https://doi.org/10.1126/sciadv.aeb3579" TargetMode="External"/><Relationship Id="rId650" Type="http://schemas.openxmlformats.org/officeDocument/2006/relationships/hyperlink" Target="https://www.science.org/doi/abs/10.1126/sciadv.aeb2880?af=R" TargetMode="External"/><Relationship Id="rId651" Type="http://schemas.openxmlformats.org/officeDocument/2006/relationships/hyperlink" Target="https://doi.org/10.1126/sciadv.aeb2880" TargetMode="External"/><Relationship Id="rId652" Type="http://schemas.openxmlformats.org/officeDocument/2006/relationships/hyperlink" Target="https://www.science.org/doi/abs/10.1126/sciadv.aeg8264?af=R" TargetMode="External"/><Relationship Id="rId653" Type="http://schemas.openxmlformats.org/officeDocument/2006/relationships/hyperlink" Target="https://doi.org/10.1126/sciadv.aeg8264" TargetMode="External"/><Relationship Id="rId654" Type="http://schemas.openxmlformats.org/officeDocument/2006/relationships/hyperlink" Target="https://www.science.org/doi/abs/10.1126/sciadv.aeg5606?af=R" TargetMode="External"/><Relationship Id="rId655" Type="http://schemas.openxmlformats.org/officeDocument/2006/relationships/hyperlink" Target="https://doi.org/10.1126/sciadv.aeg5606" TargetMode="External"/><Relationship Id="rId656" Type="http://schemas.openxmlformats.org/officeDocument/2006/relationships/hyperlink" Target="https://www.science.org/doi/abs/10.1126/sciadv.aed9072?af=R" TargetMode="External"/><Relationship Id="rId657" Type="http://schemas.openxmlformats.org/officeDocument/2006/relationships/hyperlink" Target="https://doi.org/10.1126/sciadv.aed9072" TargetMode="External"/><Relationship Id="rId658" Type="http://schemas.openxmlformats.org/officeDocument/2006/relationships/hyperlink" Target="https://www.science.org/doi/abs/10.1126/sciadv.aee3640?af=R" TargetMode="External"/><Relationship Id="rId659" Type="http://schemas.openxmlformats.org/officeDocument/2006/relationships/hyperlink" Target="https://doi.org/10.1126/sciadv.aee3640" TargetMode="External"/><Relationship Id="rId660" Type="http://schemas.openxmlformats.org/officeDocument/2006/relationships/hyperlink" Target="https://www.science.org/doi/abs/10.1126/sciadv.aed2916?af=R" TargetMode="External"/><Relationship Id="rId661" Type="http://schemas.openxmlformats.org/officeDocument/2006/relationships/hyperlink" Target="https://doi.org/10.1126/sciadv.aed2916" TargetMode="External"/><Relationship Id="rId662" Type="http://schemas.openxmlformats.org/officeDocument/2006/relationships/hyperlink" Target="https://www.science.org/doi/abs/10.1126/sciadv.aec9329?af=R" TargetMode="External"/><Relationship Id="rId663" Type="http://schemas.openxmlformats.org/officeDocument/2006/relationships/hyperlink" Target="https://doi.org/10.1126/sciadv.aec9329" TargetMode="External"/><Relationship Id="rId664" Type="http://schemas.openxmlformats.org/officeDocument/2006/relationships/hyperlink" Target="https://www.pnas.org/doi/abs/10.1073/pnas.2613440123?mi=eymic2&amp;af=R&amp;access=on&amp;content=articlesChapters&amp;publication=pnas&amp;sortBy=Earliest&amp;target=default" TargetMode="External"/><Relationship Id="rId665" Type="http://schemas.openxmlformats.org/officeDocument/2006/relationships/hyperlink" Target="https://doi.org/10.1073/pnas.2613440123" TargetMode="External"/><Relationship Id="rId666" Type="http://schemas.openxmlformats.org/officeDocument/2006/relationships/hyperlink" Target="https://www.science.org/doi/abs/10.1126/sciadv.aeh1421?af=R" TargetMode="External"/><Relationship Id="rId667" Type="http://schemas.openxmlformats.org/officeDocument/2006/relationships/hyperlink" Target="https://doi.org/10.1126/sciadv.aeh1421" TargetMode="External"/><Relationship Id="rId668" Type="http://schemas.openxmlformats.org/officeDocument/2006/relationships/hyperlink" Target="https://www.science.org/doi/abs/10.1126/sciadv.aec6649?af=R" TargetMode="External"/><Relationship Id="rId669" Type="http://schemas.openxmlformats.org/officeDocument/2006/relationships/hyperlink" Target="https://doi.org/10.1126/sciadv.aec6649" TargetMode="External"/><Relationship Id="rId670" Type="http://schemas.openxmlformats.org/officeDocument/2006/relationships/hyperlink" Target="https://www.science.org/doi/abs/10.1126/sciadv.adz1986?af=R" TargetMode="External"/><Relationship Id="rId671" Type="http://schemas.openxmlformats.org/officeDocument/2006/relationships/hyperlink" Target="https://doi.org/10.1126/sciadv.adz1986" TargetMode="External"/><Relationship Id="rId672" Type="http://schemas.openxmlformats.org/officeDocument/2006/relationships/hyperlink" Target="https://www.science.org/doi/abs/10.1126/sciadv.aeb2877?af=R" TargetMode="External"/><Relationship Id="rId673" Type="http://schemas.openxmlformats.org/officeDocument/2006/relationships/hyperlink" Target="https://doi.org/10.1126/sciadv.aeb2877" TargetMode="External"/><Relationship Id="rId674" Type="http://schemas.openxmlformats.org/officeDocument/2006/relationships/hyperlink" Target="https://www.science.org/doi/abs/10.1126/sciadv.ady2299?af=R" TargetMode="External"/><Relationship Id="rId675" Type="http://schemas.openxmlformats.org/officeDocument/2006/relationships/hyperlink" Target="https://doi.org/10.1126/sciadv.ady2299" TargetMode="External"/><Relationship Id="rId676" Type="http://schemas.openxmlformats.org/officeDocument/2006/relationships/hyperlink" Target="https://www.science.org/doi/abs/10.1126/sciadv.aeb5352?af=R" TargetMode="External"/><Relationship Id="rId677" Type="http://schemas.openxmlformats.org/officeDocument/2006/relationships/hyperlink" Target="https://doi.org/10.1126/sciadv.aeb5352" TargetMode="External"/><Relationship Id="rId678" Type="http://schemas.openxmlformats.org/officeDocument/2006/relationships/hyperlink" Target="https://www.science.org/doi/abs/10.1126/sciadv.aeb6444?af=R" TargetMode="External"/><Relationship Id="rId679" Type="http://schemas.openxmlformats.org/officeDocument/2006/relationships/hyperlink" Target="https://doi.org/10.1126/sciadv.aeb6444" TargetMode="External"/><Relationship Id="rId680" Type="http://schemas.openxmlformats.org/officeDocument/2006/relationships/hyperlink" Target="https://www.science.org/doi/abs/10.1126/sciadv.aec4772?af=R" TargetMode="External"/><Relationship Id="rId681" Type="http://schemas.openxmlformats.org/officeDocument/2006/relationships/hyperlink" Target="https://doi.org/10.1126/sciadv.aec4772" TargetMode="External"/><Relationship Id="rId682" Type="http://schemas.openxmlformats.org/officeDocument/2006/relationships/hyperlink" Target="https://www.science.org/doi/abs/10.1126/sciadv.aec6065?af=R" TargetMode="External"/><Relationship Id="rId683" Type="http://schemas.openxmlformats.org/officeDocument/2006/relationships/hyperlink" Target="https://doi.org/10.1126/sciadv.aec6065" TargetMode="External"/><Relationship Id="rId684" Type="http://schemas.openxmlformats.org/officeDocument/2006/relationships/hyperlink" Target="https://www.science.org/doi/abs/10.1126/sciadv.adv6851?af=R" TargetMode="External"/><Relationship Id="rId685" Type="http://schemas.openxmlformats.org/officeDocument/2006/relationships/hyperlink" Target="https://doi.org/10.1126/sciadv.adv6851" TargetMode="External"/><Relationship Id="rId686" Type="http://schemas.openxmlformats.org/officeDocument/2006/relationships/hyperlink" Target="https://www.science.org/doi/abs/10.1126/sciadv.aei7316?af=R" TargetMode="External"/><Relationship Id="rId687" Type="http://schemas.openxmlformats.org/officeDocument/2006/relationships/hyperlink" Target="https://doi.org/10.1126/sciadv.aei7316" TargetMode="External"/><Relationship Id="rId688" Type="http://schemas.openxmlformats.org/officeDocument/2006/relationships/hyperlink" Target="https://www.science.org/doi/abs/10.1126/sciadv.aei7728?af=R" TargetMode="External"/><Relationship Id="rId689" Type="http://schemas.openxmlformats.org/officeDocument/2006/relationships/hyperlink" Target="https://doi.org/10.1126/sciadv.aei7728" TargetMode="External"/><Relationship Id="rId690" Type="http://schemas.openxmlformats.org/officeDocument/2006/relationships/hyperlink" Target="https://www.science.org/doi/abs/10.1126/sciadv.aed3128?af=R" TargetMode="External"/><Relationship Id="rId691" Type="http://schemas.openxmlformats.org/officeDocument/2006/relationships/hyperlink" Target="https://doi.org/10.1126/sciadv.aed3128" TargetMode="External"/><Relationship Id="rId692" Type="http://schemas.openxmlformats.org/officeDocument/2006/relationships/hyperlink" Target="https://www.science.org/doi/abs/10.1126/sciadv.aeb9747?af=R" TargetMode="External"/><Relationship Id="rId693" Type="http://schemas.openxmlformats.org/officeDocument/2006/relationships/hyperlink" Target="https://doi.org/10.1126/sciadv.aeb9747" TargetMode="External"/><Relationship Id="rId694" Type="http://schemas.openxmlformats.org/officeDocument/2006/relationships/hyperlink" Target="https://www.science.org/doi/abs/10.1126/sciadv.aed2571?af=R" TargetMode="External"/><Relationship Id="rId695" Type="http://schemas.openxmlformats.org/officeDocument/2006/relationships/hyperlink" Target="https://doi.org/10.1126/sciadv.aed2571" TargetMode="External"/><Relationship Id="rId696" Type="http://schemas.openxmlformats.org/officeDocument/2006/relationships/hyperlink" Target="https://www.science.org/doi/abs/10.1126/sciadv.aeh3719?af=R" TargetMode="External"/><Relationship Id="rId697" Type="http://schemas.openxmlformats.org/officeDocument/2006/relationships/hyperlink" Target="https://doi.org/10.1126/sciadv.aeh3719" TargetMode="External"/><Relationship Id="rId698" Type="http://schemas.openxmlformats.org/officeDocument/2006/relationships/hyperlink" Target="https://www.science.org/doi/abs/10.1126/sciadv.adz7220?af=R" TargetMode="External"/><Relationship Id="rId699" Type="http://schemas.openxmlformats.org/officeDocument/2006/relationships/hyperlink" Target="https://doi.org/10.1126/sciadv.adz7220" TargetMode="External"/><Relationship Id="rId700" Type="http://schemas.openxmlformats.org/officeDocument/2006/relationships/hyperlink" Target="https://www.science.org/doi/abs/10.1126/sciadv.aee3352?af=R" TargetMode="External"/><Relationship Id="rId701" Type="http://schemas.openxmlformats.org/officeDocument/2006/relationships/hyperlink" Target="https://doi.org/10.1126/sciadv.aee3352" TargetMode="External"/><Relationship Id="rId702" Type="http://schemas.openxmlformats.org/officeDocument/2006/relationships/hyperlink" Target="https://www.science.org/doi/abs/10.1126/sciadv.adr9135?af=R" TargetMode="External"/><Relationship Id="rId703" Type="http://schemas.openxmlformats.org/officeDocument/2006/relationships/hyperlink" Target="https://doi.org/10.1126/sciadv.adr9135" TargetMode="External"/><Relationship Id="rId704" Type="http://schemas.openxmlformats.org/officeDocument/2006/relationships/hyperlink" Target="https://www.science.org/doi/abs/10.1126/sciadv.aea8409?af=R" TargetMode="External"/><Relationship Id="rId705" Type="http://schemas.openxmlformats.org/officeDocument/2006/relationships/hyperlink" Target="https://doi.org/10.1126/sciadv.aea8409" TargetMode="External"/><Relationship Id="rId706" Type="http://schemas.openxmlformats.org/officeDocument/2006/relationships/hyperlink" Target="https://www.science.org/doi/abs/10.1126/sciadv.aea6516?af=R" TargetMode="External"/><Relationship Id="rId707" Type="http://schemas.openxmlformats.org/officeDocument/2006/relationships/hyperlink" Target="https://doi.org/10.1126/sciadv.aea6516" TargetMode="External"/><Relationship Id="rId708" Type="http://schemas.openxmlformats.org/officeDocument/2006/relationships/hyperlink" Target="https://www.pnas.org/doi/abs/10.1073/pnas.2533193123?mi=eymic2&amp;af=R&amp;access=on&amp;content=articlesChapters&amp;publication=pnas&amp;sortBy=Earliest&amp;target=default" TargetMode="External"/><Relationship Id="rId709" Type="http://schemas.openxmlformats.org/officeDocument/2006/relationships/hyperlink" Target="https://doi.org/10.1073/pnas.2533193123" TargetMode="External"/><Relationship Id="rId710" Type="http://schemas.openxmlformats.org/officeDocument/2006/relationships/hyperlink" Target="https://www.science.org/doi/abs/10.1126/sciadv.aee8595?af=R" TargetMode="External"/><Relationship Id="rId711" Type="http://schemas.openxmlformats.org/officeDocument/2006/relationships/hyperlink" Target="https://doi.org/10.1126/sciadv.aee8595" TargetMode="External"/><Relationship Id="rId712" Type="http://schemas.openxmlformats.org/officeDocument/2006/relationships/hyperlink" Target="https://www.science.org/doi/abs/10.1126/sciadv.ady7558?af=R" TargetMode="External"/><Relationship Id="rId713" Type="http://schemas.openxmlformats.org/officeDocument/2006/relationships/hyperlink" Target="https://doi.org/10.1126/sciadv.ady7558" TargetMode="External"/><Relationship Id="rId714" Type="http://schemas.openxmlformats.org/officeDocument/2006/relationships/hyperlink" Target="https://www.science.org/doi/abs/10.1126/sciadv.aec2918?af=R" TargetMode="External"/><Relationship Id="rId715" Type="http://schemas.openxmlformats.org/officeDocument/2006/relationships/hyperlink" Target="https://doi.org/10.1126/sciadv.aec2918" TargetMode="External"/><Relationship Id="rId716" Type="http://schemas.openxmlformats.org/officeDocument/2006/relationships/hyperlink" Target="https://www.science.org/doi/abs/10.1126/sciadv.aee6153?af=R" TargetMode="External"/><Relationship Id="rId717" Type="http://schemas.openxmlformats.org/officeDocument/2006/relationships/hyperlink" Target="https://doi.org/10.1126/sciadv.aee6153" TargetMode="External"/><Relationship Id="rId718" Type="http://schemas.openxmlformats.org/officeDocument/2006/relationships/hyperlink" Target="https://www.science.org/doi/abs/10.1126/sciadv.aeg8598?af=R" TargetMode="External"/><Relationship Id="rId719" Type="http://schemas.openxmlformats.org/officeDocument/2006/relationships/hyperlink" Target="https://doi.org/10.1126/sciadv.aeg8598" TargetMode="External"/><Relationship Id="rId720" Type="http://schemas.openxmlformats.org/officeDocument/2006/relationships/hyperlink" Target="https://onlinelibrary.wiley.com/doi/10.1002/anie.6538194?af=R" TargetMode="External"/><Relationship Id="rId721" Type="http://schemas.openxmlformats.org/officeDocument/2006/relationships/hyperlink" Target="https://doi.org/10.1002/anie.6538194" TargetMode="External"/><Relationship Id="rId722" Type="http://schemas.openxmlformats.org/officeDocument/2006/relationships/hyperlink" Target="https://onlinelibrary.wiley.com/doi/10.1002/anie.7075058?af=R" TargetMode="External"/><Relationship Id="rId723" Type="http://schemas.openxmlformats.org/officeDocument/2006/relationships/hyperlink" Target="https://doi.org/10.1002/anie.7075058" TargetMode="External"/><Relationship Id="rId724" Type="http://schemas.openxmlformats.org/officeDocument/2006/relationships/hyperlink" Target="https://onlinelibrary.wiley.com/doi/10.1002/anie.8418370?af=R" TargetMode="External"/><Relationship Id="rId725" Type="http://schemas.openxmlformats.org/officeDocument/2006/relationships/hyperlink" Target="https://doi.org/10.1002/anie.8418370" TargetMode="External"/><Relationship Id="rId726" Type="http://schemas.openxmlformats.org/officeDocument/2006/relationships/hyperlink" Target="https://onlinelibrary.wiley.com/doi/10.1002/anie.5399898?af=R" TargetMode="External"/><Relationship Id="rId727" Type="http://schemas.openxmlformats.org/officeDocument/2006/relationships/hyperlink" Target="https://doi.org/10.1002/anie.5399898" TargetMode="External"/><Relationship Id="rId728" Type="http://schemas.openxmlformats.org/officeDocument/2006/relationships/hyperlink" Target="https://onlinelibrary.wiley.com/doi/10.1002/anie.1807439?af=R" TargetMode="External"/><Relationship Id="rId729" Type="http://schemas.openxmlformats.org/officeDocument/2006/relationships/hyperlink" Target="https://doi.org/10.1002/anie.1807439" TargetMode="External"/><Relationship Id="rId730" Type="http://schemas.openxmlformats.org/officeDocument/2006/relationships/hyperlink" Target="https://onlinelibrary.wiley.com/doi/10.1002/anie.8630985?af=R" TargetMode="External"/><Relationship Id="rId731" Type="http://schemas.openxmlformats.org/officeDocument/2006/relationships/hyperlink" Target="https://doi.org/10.1002/anie.8630985" TargetMode="External"/><Relationship Id="rId732" Type="http://schemas.openxmlformats.org/officeDocument/2006/relationships/hyperlink" Target="https://advanced.onlinelibrary.wiley.com/doi/10.1002/adma.74383?af=R" TargetMode="External"/><Relationship Id="rId733" Type="http://schemas.openxmlformats.org/officeDocument/2006/relationships/hyperlink" Target="https://doi.org/10.1002/adma.74383" TargetMode="External"/><Relationship Id="rId734" Type="http://schemas.openxmlformats.org/officeDocument/2006/relationships/hyperlink" Target="https://advanced.onlinelibrary.wiley.com/doi/10.1002/adma.74177?af=R" TargetMode="External"/><Relationship Id="rId735" Type="http://schemas.openxmlformats.org/officeDocument/2006/relationships/hyperlink" Target="https://doi.org/10.1002/adma.74177" TargetMode="External"/><Relationship Id="rId736" Type="http://schemas.openxmlformats.org/officeDocument/2006/relationships/hyperlink" Target="https://advanced.onlinelibrary.wiley.com/doi/10.1002/adma.74395?af=R" TargetMode="External"/><Relationship Id="rId737" Type="http://schemas.openxmlformats.org/officeDocument/2006/relationships/hyperlink" Target="https://doi.org/10.1002/adma.74395" TargetMode="External"/><Relationship Id="rId738" Type="http://schemas.openxmlformats.org/officeDocument/2006/relationships/hyperlink" Target="https://advanced.onlinelibrary.wiley.com/doi/10.1002/adma.74317?af=R" TargetMode="External"/><Relationship Id="rId739" Type="http://schemas.openxmlformats.org/officeDocument/2006/relationships/hyperlink" Target="https://doi.org/10.1002/adma.74317" TargetMode="External"/><Relationship Id="rId740" Type="http://schemas.openxmlformats.org/officeDocument/2006/relationships/hyperlink" Target="http://link.aps.org/doi/10.1103/9jzc-7jcv" TargetMode="External"/><Relationship Id="rId741" Type="http://schemas.openxmlformats.org/officeDocument/2006/relationships/hyperlink" Target="https://doi.org/10.1103/9jzc-7jcv" TargetMode="External"/><Relationship Id="rId742" Type="http://schemas.openxmlformats.org/officeDocument/2006/relationships/hyperlink" Target="http://link.aps.org/doi/10.1103/lp1x-blc9" TargetMode="External"/><Relationship Id="rId743" Type="http://schemas.openxmlformats.org/officeDocument/2006/relationships/hyperlink" Target="https://doi.org/10.1103/lp1x-blc9" TargetMode="External"/><Relationship Id="rId744" Type="http://schemas.openxmlformats.org/officeDocument/2006/relationships/hyperlink" Target="http://link.aps.org/doi/10.1103/9xcz-nlqk" TargetMode="External"/><Relationship Id="rId745" Type="http://schemas.openxmlformats.org/officeDocument/2006/relationships/hyperlink" Target="https://doi.org/10.1103/9xcz-nlqk" TargetMode="External"/><Relationship Id="rId746" Type="http://schemas.openxmlformats.org/officeDocument/2006/relationships/hyperlink" Target="http://link.aps.org/doi/10.1103/m6r6-vpdg" TargetMode="External"/><Relationship Id="rId747" Type="http://schemas.openxmlformats.org/officeDocument/2006/relationships/hyperlink" Target="https://doi.org/10.1103/m6r6-vpdg" TargetMode="External"/><Relationship Id="rId748" Type="http://schemas.openxmlformats.org/officeDocument/2006/relationships/hyperlink" Target="http://link.aps.org/doi/10.1103/tz6r-9wj4" TargetMode="External"/><Relationship Id="rId749" Type="http://schemas.openxmlformats.org/officeDocument/2006/relationships/hyperlink" Target="https://doi.org/10.1103/tz6r-9wj4" TargetMode="External"/><Relationship Id="rId750" Type="http://schemas.openxmlformats.org/officeDocument/2006/relationships/hyperlink" Target="http://link.aps.org/doi/10.1103/y2y6-jfyt" TargetMode="External"/><Relationship Id="rId751" Type="http://schemas.openxmlformats.org/officeDocument/2006/relationships/hyperlink" Target="https://doi.org/10.1103/y2y6-jfyt" TargetMode="External"/><Relationship Id="rId752" Type="http://schemas.openxmlformats.org/officeDocument/2006/relationships/hyperlink" Target="https://advanced.onlinelibrary.wiley.com/doi/10.1002/adma.74240?af=R" TargetMode="External"/><Relationship Id="rId753" Type="http://schemas.openxmlformats.org/officeDocument/2006/relationships/hyperlink" Target="https://doi.org/10.1002/adma.74240" TargetMode="External"/><Relationship Id="rId754" Type="http://schemas.openxmlformats.org/officeDocument/2006/relationships/hyperlink" Target="https://onlinelibrary.wiley.com/doi/10.1002/anie.1877364?af=R" TargetMode="External"/><Relationship Id="rId755" Type="http://schemas.openxmlformats.org/officeDocument/2006/relationships/hyperlink" Target="https://doi.org/10.1002/anie.1877364" TargetMode="External"/><Relationship Id="rId756" Type="http://schemas.openxmlformats.org/officeDocument/2006/relationships/hyperlink" Target="https://advanced.onlinelibrary.wiley.com/doi/10.1002/adma.74353?af=R" TargetMode="External"/><Relationship Id="rId757" Type="http://schemas.openxmlformats.org/officeDocument/2006/relationships/hyperlink" Target="https://doi.org/10.1002/adma.74353" TargetMode="External"/><Relationship Id="rId758" Type="http://schemas.openxmlformats.org/officeDocument/2006/relationships/hyperlink" Target="https://advanced.onlinelibrary.wiley.com/doi/10.1002/adma.74392?af=R" TargetMode="External"/><Relationship Id="rId759" Type="http://schemas.openxmlformats.org/officeDocument/2006/relationships/hyperlink" Target="https://doi.org/10.1002/adma.74392" TargetMode="External"/><Relationship Id="rId760" Type="http://schemas.openxmlformats.org/officeDocument/2006/relationships/hyperlink" Target="https://advanced.onlinelibrary.wiley.com/doi/10.1002/adma.74278?af=R" TargetMode="External"/><Relationship Id="rId761" Type="http://schemas.openxmlformats.org/officeDocument/2006/relationships/hyperlink" Target="https://doi.org/10.1002/adma.74278" TargetMode="External"/><Relationship Id="rId762" Type="http://schemas.openxmlformats.org/officeDocument/2006/relationships/hyperlink" Target="https://advanced.onlinelibrary.wiley.com/doi/10.1002/adma.74312?af=R" TargetMode="External"/><Relationship Id="rId763" Type="http://schemas.openxmlformats.org/officeDocument/2006/relationships/hyperlink" Target="https://doi.org/10.1002/adma.74312" TargetMode="External"/><Relationship Id="rId764" Type="http://schemas.openxmlformats.org/officeDocument/2006/relationships/hyperlink" Target="https://advanced.onlinelibrary.wiley.com/doi/10.1002/adma.74279?af=R" TargetMode="External"/><Relationship Id="rId765" Type="http://schemas.openxmlformats.org/officeDocument/2006/relationships/hyperlink" Target="https://doi.org/10.1002/adma.74279" TargetMode="External"/><Relationship Id="rId766" Type="http://schemas.openxmlformats.org/officeDocument/2006/relationships/hyperlink" Target="https://advanced.onlinelibrary.wiley.com/doi/10.1002/adma.74368?af=R" TargetMode="External"/><Relationship Id="rId767" Type="http://schemas.openxmlformats.org/officeDocument/2006/relationships/hyperlink" Target="https://doi.org/10.1002/adma.74368" TargetMode="External"/><Relationship Id="rId768" Type="http://schemas.openxmlformats.org/officeDocument/2006/relationships/hyperlink" Target="https://advanced.onlinelibrary.wiley.com/doi/10.1002/adma.74418?af=R" TargetMode="External"/><Relationship Id="rId769" Type="http://schemas.openxmlformats.org/officeDocument/2006/relationships/hyperlink" Target="https://doi.org/10.1002/adma.74418" TargetMode="External"/><Relationship Id="rId770" Type="http://schemas.openxmlformats.org/officeDocument/2006/relationships/hyperlink" Target="https://www.nature.com/articles/s41467-026-76061-x" TargetMode="External"/><Relationship Id="rId771" Type="http://schemas.openxmlformats.org/officeDocument/2006/relationships/hyperlink" Target="https://www.nature.com/articles/s41467-026-75884-y" TargetMode="External"/><Relationship Id="rId772" Type="http://schemas.openxmlformats.org/officeDocument/2006/relationships/hyperlink" Target="https://www.nature.com/articles/s41467-026-76333-6" TargetMode="External"/><Relationship Id="rId773" Type="http://schemas.openxmlformats.org/officeDocument/2006/relationships/hyperlink" Target="https://www.nature.com/articles/s41467-026-76305-w" TargetMode="External"/><Relationship Id="rId774" Type="http://schemas.openxmlformats.org/officeDocument/2006/relationships/hyperlink" Target="https://www.sciencedirect.com/science/article/pii/S0306261926011815?dgcid=rss_sd_all" TargetMode="External"/><Relationship Id="rId775" Type="http://schemas.openxmlformats.org/officeDocument/2006/relationships/hyperlink" Target="https://doi.org/10.1016/j.apenergy.2026.128525" TargetMode="External"/><Relationship Id="rId776" Type="http://schemas.openxmlformats.org/officeDocument/2006/relationships/hyperlink" Target="https://www.nature.com/articles/s41467-026-76202-2" TargetMode="External"/><Relationship Id="rId777" Type="http://schemas.openxmlformats.org/officeDocument/2006/relationships/hyperlink" Target="https://www.sciencedirect.com/science/article/pii/S0306261926012225?dgcid=rss_sd_all" TargetMode="External"/><Relationship Id="rId778" Type="http://schemas.openxmlformats.org/officeDocument/2006/relationships/hyperlink" Target="https://doi.org/10.1016/j.apenergy.2026.128566" TargetMode="External"/><Relationship Id="rId779" Type="http://schemas.openxmlformats.org/officeDocument/2006/relationships/hyperlink" Target="https://www.nature.com/articles/s41467-026-75760-9" TargetMode="External"/><Relationship Id="rId780" Type="http://schemas.openxmlformats.org/officeDocument/2006/relationships/hyperlink" Target="https://www.sciencedirect.com/science/article/pii/S0306261926012201?dgcid=rss_sd_all" TargetMode="External"/><Relationship Id="rId781" Type="http://schemas.openxmlformats.org/officeDocument/2006/relationships/hyperlink" Target="https://doi.org/10.1016/j.apenergy.2026.128564" TargetMode="External"/><Relationship Id="rId782" Type="http://schemas.openxmlformats.org/officeDocument/2006/relationships/hyperlink" Target="https://www.sciencedirect.com/science/article/pii/S0306261926012067?dgcid=rss_sd_all" TargetMode="External"/><Relationship Id="rId783" Type="http://schemas.openxmlformats.org/officeDocument/2006/relationships/hyperlink" Target="https://doi.org/10.1016/j.apenergy.2026.128550" TargetMode="External"/><Relationship Id="rId784" Type="http://schemas.openxmlformats.org/officeDocument/2006/relationships/hyperlink" Target="https://www.sciencedirect.com/science/article/pii/S0306261926012274?dgcid=rss_sd_all" TargetMode="External"/><Relationship Id="rId785" Type="http://schemas.openxmlformats.org/officeDocument/2006/relationships/hyperlink" Target="https://doi.org/10.1016/j.apenergy.2026.128571" TargetMode="External"/><Relationship Id="rId786" Type="http://schemas.openxmlformats.org/officeDocument/2006/relationships/hyperlink" Target="https://www.sciencedirect.com/science/article/pii/S0306261926011359?dgcid=rss_sd_all" TargetMode="External"/><Relationship Id="rId787" Type="http://schemas.openxmlformats.org/officeDocument/2006/relationships/hyperlink" Target="https://doi.org/10.1016/j.apenergy.2026.128479" TargetMode="External"/><Relationship Id="rId788" Type="http://schemas.openxmlformats.org/officeDocument/2006/relationships/hyperlink" Target="https://www.nature.com/articles/s41467-026-75984-9" TargetMode="External"/><Relationship Id="rId789" Type="http://schemas.openxmlformats.org/officeDocument/2006/relationships/hyperlink" Target="https://advanced.onlinelibrary.wiley.com/doi/10.1002/adma.74406?af=R" TargetMode="External"/><Relationship Id="rId790" Type="http://schemas.openxmlformats.org/officeDocument/2006/relationships/hyperlink" Target="https://doi.org/10.1002/adma.74406" TargetMode="External"/><Relationship Id="rId791" Type="http://schemas.openxmlformats.org/officeDocument/2006/relationships/hyperlink" Target="https://advanced.onlinelibrary.wiley.com/doi/10.1002/adma.74381?af=R" TargetMode="External"/><Relationship Id="rId792" Type="http://schemas.openxmlformats.org/officeDocument/2006/relationships/hyperlink" Target="https://doi.org/10.1002/adma.74381" TargetMode="External"/><Relationship Id="rId793" Type="http://schemas.openxmlformats.org/officeDocument/2006/relationships/hyperlink" Target="https://advanced.onlinelibrary.wiley.com/doi/10.1002/adma.74424?af=R" TargetMode="External"/><Relationship Id="rId794" Type="http://schemas.openxmlformats.org/officeDocument/2006/relationships/hyperlink" Target="https://doi.org/10.1002/adma.74424" TargetMode="External"/><Relationship Id="rId795" Type="http://schemas.openxmlformats.org/officeDocument/2006/relationships/hyperlink" Target="https://advanced.onlinelibrary.wiley.com/doi/10.1002/adma.74401?af=R" TargetMode="External"/><Relationship Id="rId796" Type="http://schemas.openxmlformats.org/officeDocument/2006/relationships/hyperlink" Target="https://doi.org/10.1002/adma.74401" TargetMode="External"/><Relationship Id="rId797" Type="http://schemas.openxmlformats.org/officeDocument/2006/relationships/hyperlink" Target="https://advanced.onlinelibrary.wiley.com/doi/10.1002/adma.74417?af=R" TargetMode="External"/><Relationship Id="rId798" Type="http://schemas.openxmlformats.org/officeDocument/2006/relationships/hyperlink" Target="https://doi.org/10.1002/adma.74417" TargetMode="External"/><Relationship Id="rId799" Type="http://schemas.openxmlformats.org/officeDocument/2006/relationships/hyperlink" Target="https://advanced.onlinelibrary.wiley.com/doi/10.1002/adma.74393?af=R" TargetMode="External"/><Relationship Id="rId800" Type="http://schemas.openxmlformats.org/officeDocument/2006/relationships/hyperlink" Target="https://doi.org/10.1002/adma.74393" TargetMode="External"/><Relationship Id="rId801" Type="http://schemas.openxmlformats.org/officeDocument/2006/relationships/hyperlink" Target="https://advanced.onlinelibrary.wiley.com/doi/10.1002/adma.74432?af=R" TargetMode="External"/><Relationship Id="rId802" Type="http://schemas.openxmlformats.org/officeDocument/2006/relationships/hyperlink" Target="https://doi.org/10.1002/adma.74432" TargetMode="External"/><Relationship Id="rId803" Type="http://schemas.openxmlformats.org/officeDocument/2006/relationships/hyperlink" Target="https://advanced.onlinelibrary.wiley.com/doi/10.1002/adma.74448?af=R" TargetMode="External"/><Relationship Id="rId804" Type="http://schemas.openxmlformats.org/officeDocument/2006/relationships/hyperlink" Target="https://doi.org/10.1002/adma.74448" TargetMode="External"/><Relationship Id="rId805" Type="http://schemas.openxmlformats.org/officeDocument/2006/relationships/hyperlink" Target="https://advanced.onlinelibrary.wiley.com/doi/10.1002/adma.74437?af=R" TargetMode="External"/><Relationship Id="rId806" Type="http://schemas.openxmlformats.org/officeDocument/2006/relationships/hyperlink" Target="https://doi.org/10.1002/adma.74437" TargetMode="External"/><Relationship Id="rId807" Type="http://schemas.openxmlformats.org/officeDocument/2006/relationships/hyperlink" Target="https://advanced.onlinelibrary.wiley.com/doi/10.1002/adma.74369?af=R" TargetMode="External"/><Relationship Id="rId808" Type="http://schemas.openxmlformats.org/officeDocument/2006/relationships/hyperlink" Target="https://doi.org/10.1002/adma.74369" TargetMode="External"/><Relationship Id="rId809" Type="http://schemas.openxmlformats.org/officeDocument/2006/relationships/hyperlink" Target="https://advanced.onlinelibrary.wiley.com/doi/10.1002/adma.74389?af=R" TargetMode="External"/><Relationship Id="rId810" Type="http://schemas.openxmlformats.org/officeDocument/2006/relationships/hyperlink" Target="https://doi.org/10.1002/adma.74389" TargetMode="External"/><Relationship Id="rId811" Type="http://schemas.openxmlformats.org/officeDocument/2006/relationships/hyperlink" Target="https://advanced.onlinelibrary.wiley.com/doi/10.1002/adma.74450?af=R" TargetMode="External"/><Relationship Id="rId812" Type="http://schemas.openxmlformats.org/officeDocument/2006/relationships/hyperlink" Target="https://doi.org/10.1002/adma.74450" TargetMode="External"/><Relationship Id="rId813" Type="http://schemas.openxmlformats.org/officeDocument/2006/relationships/hyperlink" Target="https://advanced.onlinelibrary.wiley.com/doi/10.1002/adma.74390?af=R" TargetMode="External"/><Relationship Id="rId814" Type="http://schemas.openxmlformats.org/officeDocument/2006/relationships/hyperlink" Target="https://doi.org/10.1002/adma.74390" TargetMode="External"/><Relationship Id="rId815" Type="http://schemas.openxmlformats.org/officeDocument/2006/relationships/hyperlink" Target="https://advanced.onlinelibrary.wiley.com/doi/10.1002/adma.74414?af=R" TargetMode="External"/><Relationship Id="rId816" Type="http://schemas.openxmlformats.org/officeDocument/2006/relationships/hyperlink" Target="https://doi.org/10.1002/adma.74414" TargetMode="External"/><Relationship Id="rId817" Type="http://schemas.openxmlformats.org/officeDocument/2006/relationships/hyperlink" Target="https://advanced.onlinelibrary.wiley.com/doi/10.1002/adma.74385?af=R" TargetMode="External"/><Relationship Id="rId818" Type="http://schemas.openxmlformats.org/officeDocument/2006/relationships/hyperlink" Target="https://doi.org/10.1002/adma.74385" TargetMode="External"/><Relationship Id="rId819" Type="http://schemas.openxmlformats.org/officeDocument/2006/relationships/hyperlink" Target="https://www.sciencedirect.com/science/article/pii/S0306261926011876?dgcid=rss_sd_all" TargetMode="External"/><Relationship Id="rId820" Type="http://schemas.openxmlformats.org/officeDocument/2006/relationships/hyperlink" Target="https://doi.org/10.1016/j.apenergy.2026.128531" TargetMode="External"/><Relationship Id="rId821" Type="http://schemas.openxmlformats.org/officeDocument/2006/relationships/hyperlink" Target="https://www.sciencedirect.com/science/article/pii/S0306261926011979?dgcid=rss_sd_all" TargetMode="External"/><Relationship Id="rId822" Type="http://schemas.openxmlformats.org/officeDocument/2006/relationships/hyperlink" Target="https://doi.org/10.1016/j.apenergy.2026.128541" TargetMode="External"/><Relationship Id="rId823" Type="http://schemas.openxmlformats.org/officeDocument/2006/relationships/hyperlink" Target="https://www.sciencedirect.com/science/article/pii/S0306261926012237?dgcid=rss_sd_all" TargetMode="External"/><Relationship Id="rId824" Type="http://schemas.openxmlformats.org/officeDocument/2006/relationships/hyperlink" Target="https://doi.org/10.1016/j.apenergy.2026.128567" TargetMode="External"/><Relationship Id="rId825" Type="http://schemas.openxmlformats.org/officeDocument/2006/relationships/hyperlink" Target="https://www.sciencedirect.com/science/article/pii/S0301421526004702?dgcid=rss_sd_all" TargetMode="External"/><Relationship Id="rId826" Type="http://schemas.openxmlformats.org/officeDocument/2006/relationships/hyperlink" Target="https://doi.org/10.1016/j.enpol.2026.115536" TargetMode="External"/><Relationship Id="rId827" Type="http://schemas.openxmlformats.org/officeDocument/2006/relationships/hyperlink" Target="https://www.nature.com/articles/s41467-026-76249-1" TargetMode="External"/><Relationship Id="rId828" Type="http://schemas.openxmlformats.org/officeDocument/2006/relationships/hyperlink" Target="https://www.nature.com/articles/s41467-026-76205-z" TargetMode="External"/><Relationship Id="rId829" Type="http://schemas.openxmlformats.org/officeDocument/2006/relationships/hyperlink" Target="https://www.nature.com/articles/s41467-026-76353-2" TargetMode="External"/><Relationship Id="rId830" Type="http://schemas.openxmlformats.org/officeDocument/2006/relationships/hyperlink" Target="https://pubs.acs.org/aamick/article/doi/10.1021/acsami.6c10964/5240030/Antiplatelet-Co-drug-Delivery-System-Surface" TargetMode="External"/><Relationship Id="rId831" Type="http://schemas.openxmlformats.org/officeDocument/2006/relationships/hyperlink" Target="https://doi.org/10.1021/acsami.6c10964" TargetMode="External"/><Relationship Id="rId832" Type="http://schemas.openxmlformats.org/officeDocument/2006/relationships/hyperlink" Target="https://pubs.acs.org/jacsat/article/doi/10.1021/jacs.6c09228/5240367/Dilute-Soft-Cation-Anchoring-Stabilizes-NaAsSe2" TargetMode="External"/><Relationship Id="rId833" Type="http://schemas.openxmlformats.org/officeDocument/2006/relationships/hyperlink" Target="https://doi.org/10.1021/jacs.6c09228" TargetMode="External"/><Relationship Id="rId834" Type="http://schemas.openxmlformats.org/officeDocument/2006/relationships/hyperlink" Target="https://pubs.acs.org/jacsat/article/doi/10.1021/jacs.6c08506/5238558/Thiourea-Mediated-Cu-Surface-Boosting-Highly" TargetMode="External"/><Relationship Id="rId835" Type="http://schemas.openxmlformats.org/officeDocument/2006/relationships/hyperlink" Target="https://doi.org/10.1021/jacs.6c08506" TargetMode="External"/><Relationship Id="rId836" Type="http://schemas.openxmlformats.org/officeDocument/2006/relationships/hyperlink" Target="https://pubs.acs.org/jacsat/article/doi/10.1021/jacs.5c21727/5238697/Noncovalent-Interchain-Interactions-Dictate-Single" TargetMode="External"/><Relationship Id="rId837" Type="http://schemas.openxmlformats.org/officeDocument/2006/relationships/hyperlink" Target="https://doi.org/10.1021/jacs.5c21727" TargetMode="External"/><Relationship Id="rId838" Type="http://schemas.openxmlformats.org/officeDocument/2006/relationships/hyperlink" Target="https://pubs.acs.org/jacsat/article/doi/10.1021/jacs.6c07616/5238579/Emergent-Canted-Antiferromagnetism-from-Frustrated" TargetMode="External"/><Relationship Id="rId839" Type="http://schemas.openxmlformats.org/officeDocument/2006/relationships/hyperlink" Target="https://doi.org/10.1021/jacs.6c07616" TargetMode="External"/><Relationship Id="rId840" Type="http://schemas.openxmlformats.org/officeDocument/2006/relationships/hyperlink" Target="https://pubs.acs.org/jacsat/article/doi/10.1021/jacs.6c11677/5238639/Chemical-Proteomic-Profiling-of-the" TargetMode="External"/><Relationship Id="rId841" Type="http://schemas.openxmlformats.org/officeDocument/2006/relationships/hyperlink" Target="https://doi.org/10.1021/jacs.6c11677" TargetMode="External"/><Relationship Id="rId842" Type="http://schemas.openxmlformats.org/officeDocument/2006/relationships/hyperlink" Target="https://pubs.acs.org/jacsat/article/doi/10.1021/jacs.6c11305/5238892/Visible-Light-Harvesting-Cr-III-Photocatalysts" TargetMode="External"/><Relationship Id="rId843" Type="http://schemas.openxmlformats.org/officeDocument/2006/relationships/hyperlink" Target="https://doi.org/10.1021/jacs.6c11305" TargetMode="External"/><Relationship Id="rId844" Type="http://schemas.openxmlformats.org/officeDocument/2006/relationships/hyperlink" Target="https://pubs.acs.org/jacsat/article/doi/10.1021/jacs.6c11271/5238572/Backbone-Ionized-Polymers-for-Quantitatively" TargetMode="External"/><Relationship Id="rId845" Type="http://schemas.openxmlformats.org/officeDocument/2006/relationships/hyperlink" Target="https://doi.org/10.1021/jacs.6c11271" TargetMode="External"/><Relationship Id="rId846" Type="http://schemas.openxmlformats.org/officeDocument/2006/relationships/hyperlink" Target="https://pubs.acs.org/jacsat/article/doi/10.1021/jacs.6c07677/5238428/The-Force-Awakens-a-Dormant-Chemiluminescent" TargetMode="External"/><Relationship Id="rId847" Type="http://schemas.openxmlformats.org/officeDocument/2006/relationships/hyperlink" Target="https://doi.org/10.1021/jacs.6c07677" TargetMode="External"/><Relationship Id="rId848" Type="http://schemas.openxmlformats.org/officeDocument/2006/relationships/hyperlink" Target="https://pubs.acs.org/jacsat/article/doi/10.1021/jacs.6c07801/5239016/Ru-Based-Photocaged-Kinase-Inhibitors-Operative" TargetMode="External"/><Relationship Id="rId849" Type="http://schemas.openxmlformats.org/officeDocument/2006/relationships/hyperlink" Target="https://doi.org/10.1021/jacs.6c07801" TargetMode="External"/><Relationship Id="rId850" Type="http://schemas.openxmlformats.org/officeDocument/2006/relationships/hyperlink" Target="https://pubs.acs.org/jacsat/article/doi/10.1021/jacs.6c08762/5238891/Multiple-Stages-of-Metal-Exsolution-from" TargetMode="External"/><Relationship Id="rId851" Type="http://schemas.openxmlformats.org/officeDocument/2006/relationships/hyperlink" Target="https://doi.org/10.1021/jacs.6c08762" TargetMode="External"/><Relationship Id="rId852" Type="http://schemas.openxmlformats.org/officeDocument/2006/relationships/hyperlink" Target="https://pubs.acs.org/jacsat/article/doi/10.1021/jacs.6c13407/5240368/Radiation-Induced-Clip-Reaction-of-Sulfilimine-in" TargetMode="External"/><Relationship Id="rId853" Type="http://schemas.openxmlformats.org/officeDocument/2006/relationships/hyperlink" Target="https://doi.org/10.1021/jacs.6c13407" TargetMode="External"/><Relationship Id="rId854" Type="http://schemas.openxmlformats.org/officeDocument/2006/relationships/hyperlink" Target="https://pubs.acs.org/jacsat/article/doi/10.1021/jacs.6c13627/5239822/Phosphorescent-Materials-with-Extreme-Temperature" TargetMode="External"/><Relationship Id="rId855" Type="http://schemas.openxmlformats.org/officeDocument/2006/relationships/hyperlink" Target="https://doi.org/10.1021/jacs.6c13627" TargetMode="External"/><Relationship Id="rId856" Type="http://schemas.openxmlformats.org/officeDocument/2006/relationships/hyperlink" Target="https://www.nature.com/articles/s41467-026-76315-8" TargetMode="External"/><Relationship Id="rId857" Type="http://schemas.openxmlformats.org/officeDocument/2006/relationships/hyperlink" Target="https://www.nature.com/articles/s41467-026-76294-w" TargetMode="External"/><Relationship Id="rId858" Type="http://schemas.openxmlformats.org/officeDocument/2006/relationships/hyperlink" Target="https://www.sciencedirect.com/science/article/pii/S0370269326006738?dgcid=rss_sd_all" TargetMode="External"/><Relationship Id="rId859" Type="http://schemas.openxmlformats.org/officeDocument/2006/relationships/hyperlink" Target="https://doi.org/10.1016/j.physletb.2026.140822" TargetMode="External"/><Relationship Id="rId860" Type="http://schemas.openxmlformats.org/officeDocument/2006/relationships/hyperlink" Target="https://www.nature.com/articles/s41467-026-76153-8" TargetMode="External"/><Relationship Id="rId861" Type="http://schemas.openxmlformats.org/officeDocument/2006/relationships/hyperlink" Target="https://academic.oup.com/nsr/advance-article/doi/10.1093/nsr/nwag466/8750569?rss=1" TargetMode="External"/><Relationship Id="rId862" Type="http://schemas.openxmlformats.org/officeDocument/2006/relationships/hyperlink" Target="https://doi.org/10.1093/nsr/nwag466" TargetMode="External"/><Relationship Id="rId863" Type="http://schemas.openxmlformats.org/officeDocument/2006/relationships/hyperlink" Target="https://www.nature.com/articles/s41563-026-02702-7" TargetMode="External"/><Relationship Id="rId864" Type="http://schemas.openxmlformats.org/officeDocument/2006/relationships/hyperlink" Target="https://doi.org/10.1038/s41563-026-02702-7" TargetMode="External"/><Relationship Id="rId865" Type="http://schemas.openxmlformats.org/officeDocument/2006/relationships/hyperlink" Target="https://pubs.acs.org/aelccp/article/doi/10.1021/acsenergylett.6c01133/5238381/Influence-of-Domain-Distribution-on-Efficiency" TargetMode="External"/><Relationship Id="rId866" Type="http://schemas.openxmlformats.org/officeDocument/2006/relationships/hyperlink" Target="https://doi.org/10.1021/acsenergylett.6c01133" TargetMode="External"/><Relationship Id="rId867" Type="http://schemas.openxmlformats.org/officeDocument/2006/relationships/hyperlink" Target="https://pubs.acs.org/jacsat/article/doi/10.1021/jacs.6c11418/5239821/Chemically-Fueled-Active-Transport-Cascades-in" TargetMode="External"/><Relationship Id="rId868" Type="http://schemas.openxmlformats.org/officeDocument/2006/relationships/hyperlink" Target="https://doi.org/10.1021/jacs.6c11418" TargetMode="External"/><Relationship Id="rId869" Type="http://schemas.openxmlformats.org/officeDocument/2006/relationships/hyperlink" Target="https://www.nature.com/articles/s41467-026-76215-x" TargetMode="External"/><Relationship Id="rId870" Type="http://schemas.openxmlformats.org/officeDocument/2006/relationships/hyperlink" Target="https://www.nature.com/articles/s41467-026-75888-8" TargetMode="External"/><Relationship Id="rId871" Type="http://schemas.openxmlformats.org/officeDocument/2006/relationships/hyperlink" Target="https://www.nature.com/articles/s41467-026-76263-3" TargetMode="External"/><Relationship Id="rId872" Type="http://schemas.openxmlformats.org/officeDocument/2006/relationships/hyperlink" Target="https://www.nature.com/articles/s41467-026-75658-6" TargetMode="External"/><Relationship Id="rId873" Type="http://schemas.openxmlformats.org/officeDocument/2006/relationships/hyperlink" Target="https://www.nature.com/articles/s41467-026-75813-z" TargetMode="External"/><Relationship Id="rId874" Type="http://schemas.openxmlformats.org/officeDocument/2006/relationships/hyperlink" Target="https://www.nature.com/articles/s41467-026-75645-x" TargetMode="External"/><Relationship Id="rId875" Type="http://schemas.openxmlformats.org/officeDocument/2006/relationships/hyperlink" Target="https://www.nature.com/articles/s41467-026-76172-5" TargetMode="External"/><Relationship Id="rId876" Type="http://schemas.openxmlformats.org/officeDocument/2006/relationships/hyperlink" Target="https://www.nature.com/articles/s41467-026-76123-0" TargetMode="External"/><Relationship Id="rId877" Type="http://schemas.openxmlformats.org/officeDocument/2006/relationships/hyperlink" Target="https://academic.oup.com/nsr/advance-article/doi/10.1093/nsr/nwag467/8750263?rss=1" TargetMode="External"/><Relationship Id="rId878" Type="http://schemas.openxmlformats.org/officeDocument/2006/relationships/hyperlink" Target="https://doi.org/10.1093/nsr/nwag467" TargetMode="External"/><Relationship Id="rId879" Type="http://schemas.openxmlformats.org/officeDocument/2006/relationships/hyperlink" Target="https://www.nature.com/articles/s41467-026-76314-9" TargetMode="External"/><Relationship Id="rId880" Type="http://schemas.openxmlformats.org/officeDocument/2006/relationships/hyperlink" Target="https://www.nature.com/articles/d41586-026-02083-6" TargetMode="External"/><Relationship Id="rId881" Type="http://schemas.openxmlformats.org/officeDocument/2006/relationships/hyperlink" Target="https://doi.org/10.1038/d41586-026-02083-6" TargetMode="External"/><Relationship Id="rId882" Type="http://schemas.openxmlformats.org/officeDocument/2006/relationships/hyperlink" Target="https://www.nature.com/articles/d41586-026-02387-7" TargetMode="External"/><Relationship Id="rId883" Type="http://schemas.openxmlformats.org/officeDocument/2006/relationships/hyperlink" Target="https://doi.org/10.1038/d41586-026-02387-7" TargetMode="External"/><Relationship Id="rId884" Type="http://schemas.openxmlformats.org/officeDocument/2006/relationships/hyperlink" Target="https://www.nature.com/articles/d41586-026-02436-1" TargetMode="External"/><Relationship Id="rId885" Type="http://schemas.openxmlformats.org/officeDocument/2006/relationships/hyperlink" Target="https://doi.org/10.1038/d41586-026-02436-1" TargetMode="External"/><Relationship Id="rId886" Type="http://schemas.openxmlformats.org/officeDocument/2006/relationships/hyperlink" Target="https://www.nature.com/articles/d41586-026-01360-8" TargetMode="External"/><Relationship Id="rId887" Type="http://schemas.openxmlformats.org/officeDocument/2006/relationships/hyperlink" Target="https://doi.org/10.1038/d41586-026-01360-8" TargetMode="External"/><Relationship Id="rId888" Type="http://schemas.openxmlformats.org/officeDocument/2006/relationships/hyperlink" Target="https://www.nature.com/articles/d41586-026-01850-9" TargetMode="External"/><Relationship Id="rId889" Type="http://schemas.openxmlformats.org/officeDocument/2006/relationships/hyperlink" Target="https://doi.org/10.1038/d41586-026-01850-9" TargetMode="External"/><Relationship Id="rId890" Type="http://schemas.openxmlformats.org/officeDocument/2006/relationships/hyperlink" Target="https://www.nature.com/articles/d41586-026-02372-0" TargetMode="External"/><Relationship Id="rId891" Type="http://schemas.openxmlformats.org/officeDocument/2006/relationships/hyperlink" Target="https://doi.org/10.1038/d41586-026-02372-0" TargetMode="External"/><Relationship Id="rId892" Type="http://schemas.openxmlformats.org/officeDocument/2006/relationships/hyperlink" Target="https://www.nature.com/articles/d41586-026-02339-1" TargetMode="External"/><Relationship Id="rId893" Type="http://schemas.openxmlformats.org/officeDocument/2006/relationships/hyperlink" Target="https://doi.org/10.1038/d41586-026-02339-1" TargetMode="External"/><Relationship Id="rId894" Type="http://schemas.openxmlformats.org/officeDocument/2006/relationships/hyperlink" Target="https://www.nature.com/articles/s41578-026-00949-9" TargetMode="External"/><Relationship Id="rId895" Type="http://schemas.openxmlformats.org/officeDocument/2006/relationships/hyperlink" Target="https://doi.org/10.1038/s41578-026-00949-9" TargetMode="External"/><Relationship Id="rId896" Type="http://schemas.openxmlformats.org/officeDocument/2006/relationships/hyperlink" Target="https://www.nature.com/articles/s41586-026-10943-4" TargetMode="External"/><Relationship Id="rId897" Type="http://schemas.openxmlformats.org/officeDocument/2006/relationships/hyperlink" Target="https://doi.org/10.1038/s41586-026-10943-4" TargetMode="External"/><Relationship Id="rId898" Type="http://schemas.openxmlformats.org/officeDocument/2006/relationships/hyperlink" Target="https://www.nature.com/articles/s41893-026-01900-0" TargetMode="External"/><Relationship Id="rId899" Type="http://schemas.openxmlformats.org/officeDocument/2006/relationships/hyperlink" Target="https://doi.org/10.1038/s41893-026-01900-0" TargetMode="External"/><Relationship Id="rId900" Type="http://schemas.openxmlformats.org/officeDocument/2006/relationships/hyperlink" Target="https://www.nature.com/articles/s41565-026-02227-9" TargetMode="External"/><Relationship Id="rId901" Type="http://schemas.openxmlformats.org/officeDocument/2006/relationships/hyperlink" Target="https://doi.org/10.1038/s41565-026-02227-9" TargetMode="External"/><Relationship Id="rId902" Type="http://schemas.openxmlformats.org/officeDocument/2006/relationships/hyperlink" Target="https://www.nature.com/articles/s41565-026-02243-9" TargetMode="External"/><Relationship Id="rId903" Type="http://schemas.openxmlformats.org/officeDocument/2006/relationships/hyperlink" Target="https://doi.org/10.1038/s41565-026-02243-9" TargetMode="External"/><Relationship Id="rId904" Type="http://schemas.openxmlformats.org/officeDocument/2006/relationships/hyperlink" Target="https://www.nature.com/articles/s41467-026-76311-y" TargetMode="External"/><Relationship Id="rId905" Type="http://schemas.openxmlformats.org/officeDocument/2006/relationships/hyperlink" Target="https://www.nature.com/articles/s41467-026-76197-w" TargetMode="External"/><Relationship Id="rId906" Type="http://schemas.openxmlformats.org/officeDocument/2006/relationships/hyperlink" Target="https://www.nature.com/articles/s41467-026-76194-z" TargetMode="External"/><Relationship Id="rId907" Type="http://schemas.openxmlformats.org/officeDocument/2006/relationships/hyperlink" Target="https://www.nature.com/articles/s41467-026-76303-y" TargetMode="External"/><Relationship Id="rId908" Type="http://schemas.openxmlformats.org/officeDocument/2006/relationships/hyperlink" Target="https://www.nature.com/articles/s41565-026-02234-w" TargetMode="External"/><Relationship Id="rId909" Type="http://schemas.openxmlformats.org/officeDocument/2006/relationships/hyperlink" Target="https://doi.org/10.1038/s41565-026-02234-w" TargetMode="External"/><Relationship Id="rId910" Type="http://schemas.openxmlformats.org/officeDocument/2006/relationships/hyperlink" Target="https://www.nature.com/articles/s41586-026-10957-y" TargetMode="External"/><Relationship Id="rId911" Type="http://schemas.openxmlformats.org/officeDocument/2006/relationships/hyperlink" Target="https://doi.org/10.1038/s41586-026-10957-y" TargetMode="External"/><Relationship Id="rId912" Type="http://schemas.openxmlformats.org/officeDocument/2006/relationships/hyperlink" Target="https://academic.oup.com/nsr/advance-article/doi/10.1093/nsr/nwag463/8750262?rss=1" TargetMode="External"/><Relationship Id="rId913" Type="http://schemas.openxmlformats.org/officeDocument/2006/relationships/hyperlink" Target="https://doi.org/10.1093/nsr/nwag463" TargetMode="External"/><Relationship Id="rId914" Type="http://schemas.openxmlformats.org/officeDocument/2006/relationships/hyperlink" Target="https://www.nature.com/articles/d41586-026-02398-4" TargetMode="External"/><Relationship Id="rId915" Type="http://schemas.openxmlformats.org/officeDocument/2006/relationships/hyperlink" Target="https://doi.org/10.1038/d41586-026-02398-4" TargetMode="External"/><Relationship Id="rId916" Type="http://schemas.openxmlformats.org/officeDocument/2006/relationships/hyperlink" Target="https://academic.oup.com/nsr/advance-article/doi/10.1093/nsr/nwag469/8750243?rss=1" TargetMode="External"/><Relationship Id="rId917" Type="http://schemas.openxmlformats.org/officeDocument/2006/relationships/hyperlink" Target="https://doi.org/10.1093/nsr/nwag469" TargetMode="External"/><Relationship Id="rId918" Type="http://schemas.openxmlformats.org/officeDocument/2006/relationships/hyperlink" Target="https://pubs.acs.org/aamick/article/doi/10.1021/acsami.6c13048/5238569/Bleomycin-Loaded-Fe-III-TA-HA-Nanoplatform" TargetMode="External"/><Relationship Id="rId919" Type="http://schemas.openxmlformats.org/officeDocument/2006/relationships/hyperlink" Target="https://doi.org/10.1021/acsami.6c13048" TargetMode="External"/><Relationship Id="rId920" Type="http://schemas.openxmlformats.org/officeDocument/2006/relationships/hyperlink" Target="https://pubs.acs.org/aamick/article/doi/10.1021/acsami.6c09830/5242118/Broadband-Near-Infrared-Emitting-Phosphor" TargetMode="External"/><Relationship Id="rId921" Type="http://schemas.openxmlformats.org/officeDocument/2006/relationships/hyperlink" Target="https://doi.org/10.1021/acsami.6c09830" TargetMode="External"/><Relationship Id="rId922" Type="http://schemas.openxmlformats.org/officeDocument/2006/relationships/hyperlink" Target="https://pubs.acs.org/aamick/article/doi/10.1021/acsami.6c05401/5239555/Exploiting-Bacterial-Metabolism-for-Targeted" TargetMode="External"/><Relationship Id="rId923" Type="http://schemas.openxmlformats.org/officeDocument/2006/relationships/hyperlink" Target="https://doi.org/10.1021/acsami.6c05401" TargetMode="External"/><Relationship Id="rId924" Type="http://schemas.openxmlformats.org/officeDocument/2006/relationships/hyperlink" Target="https://www.sciencedirect.com/science/article/pii/S0370269326006702?dgcid=rss_sd_all" TargetMode="External"/><Relationship Id="rId925" Type="http://schemas.openxmlformats.org/officeDocument/2006/relationships/hyperlink" Target="https://doi.org/10.1016/j.physletb.2026.140819" TargetMode="External"/><Relationship Id="rId926" Type="http://schemas.openxmlformats.org/officeDocument/2006/relationships/hyperlink" Target="https://pubs.acs.org/aamick/article/doi/10.1021/acsami.6c10064/5241165/Mechanistic-Control-of-Cell-Adhesion-at-Ligand" TargetMode="External"/><Relationship Id="rId927" Type="http://schemas.openxmlformats.org/officeDocument/2006/relationships/hyperlink" Target="https://doi.org/10.1021/acsami.6c10064" TargetMode="External"/><Relationship Id="rId928" Type="http://schemas.openxmlformats.org/officeDocument/2006/relationships/hyperlink" Target="https://pubs.acs.org/jacsat/article/doi/10.1021/jacs.6c09015/5238545/Cyclopropenimine-Enabled-Redox-Control-in-Copper" TargetMode="External"/><Relationship Id="rId929" Type="http://schemas.openxmlformats.org/officeDocument/2006/relationships/hyperlink" Target="https://doi.org/10.1021/jacs.6c09015" TargetMode="External"/><Relationship Id="rId930" Type="http://schemas.openxmlformats.org/officeDocument/2006/relationships/hyperlink" Target="https://www.sciencedirect.com/science/article/pii/S0306261926012262?dgcid=rss_sd_all" TargetMode="External"/><Relationship Id="rId931" Type="http://schemas.openxmlformats.org/officeDocument/2006/relationships/hyperlink" Target="https://doi.org/10.1016/j.apenergy.2026.128570" TargetMode="External"/><Relationship Id="rId932" Type="http://schemas.openxmlformats.org/officeDocument/2006/relationships/hyperlink" Target="https://pubs.acs.org/aamick/article/doi/10.1021/acsami.6c07257/5239445/Macrophage-Targeted-ROS-Responsive-Nanoplatform" TargetMode="External"/><Relationship Id="rId933" Type="http://schemas.openxmlformats.org/officeDocument/2006/relationships/hyperlink" Target="https://doi.org/10.1021/acsami.6c07257" TargetMode="External"/><Relationship Id="rId934" Type="http://schemas.openxmlformats.org/officeDocument/2006/relationships/hyperlink" Target="https://www.sciencedirect.com/science/article/pii/S0306261926011967?dgcid=rss_sd_all" TargetMode="External"/><Relationship Id="rId935" Type="http://schemas.openxmlformats.org/officeDocument/2006/relationships/hyperlink" Target="https://doi.org/10.1016/j.apenergy.2026.128540" TargetMode="External"/><Relationship Id="rId936" Type="http://schemas.openxmlformats.org/officeDocument/2006/relationships/hyperlink" Target="https://www.nature.com/articles/s41467-026-76260-6" TargetMode="External"/><Relationship Id="rId937" Type="http://schemas.openxmlformats.org/officeDocument/2006/relationships/hyperlink" Target="https://www.pnas.org/doi/abs/10.1073/pnas.2606316123?mi=eymic2&amp;af=R&amp;access=on&amp;content=articlesChapters&amp;publication=pnas&amp;sortBy=Earliest&amp;target=default" TargetMode="External"/><Relationship Id="rId938" Type="http://schemas.openxmlformats.org/officeDocument/2006/relationships/hyperlink" Target="https://doi.org/10.1073/pnas.2606316123" TargetMode="External"/><Relationship Id="rId939" Type="http://schemas.openxmlformats.org/officeDocument/2006/relationships/hyperlink" Target="https://www.pnas.org/doi/abs/10.1073/pnas.2608455123?mi=eymic2&amp;af=R&amp;access=on&amp;content=articlesChapters&amp;publication=pnas&amp;sortBy=Earliest&amp;target=default" TargetMode="External"/><Relationship Id="rId940" Type="http://schemas.openxmlformats.org/officeDocument/2006/relationships/hyperlink" Target="https://doi.org/10.1073/pnas.2608455123" TargetMode="External"/><Relationship Id="rId941" Type="http://schemas.openxmlformats.org/officeDocument/2006/relationships/hyperlink" Target="https://www.pnas.org/doi/abs/10.1073/pnas.2608894123?mi=eymic2&amp;af=R&amp;access=on&amp;content=articlesChapters&amp;publication=pnas&amp;sortBy=Earliest&amp;target=default" TargetMode="External"/><Relationship Id="rId942" Type="http://schemas.openxmlformats.org/officeDocument/2006/relationships/hyperlink" Target="https://doi.org/10.1073/pnas.2608894123" TargetMode="External"/><Relationship Id="rId943" Type="http://schemas.openxmlformats.org/officeDocument/2006/relationships/hyperlink" Target="https://www.pnas.org/doi/abs/10.1073/pnas.2604124123?mi=eymic2&amp;af=R&amp;access=on&amp;content=articlesChapters&amp;publication=pnas&amp;sortBy=Earliest&amp;target=default" TargetMode="External"/><Relationship Id="rId944" Type="http://schemas.openxmlformats.org/officeDocument/2006/relationships/hyperlink" Target="https://doi.org/10.1073/pnas.2604124123" TargetMode="External"/><Relationship Id="rId945" Type="http://schemas.openxmlformats.org/officeDocument/2006/relationships/hyperlink" Target="https://www.pnas.org/doi/abs/10.1073/pnas.2535921123?mi=eymic2&amp;af=R&amp;access=on&amp;content=articlesChapters&amp;publication=pnas&amp;sortBy=Earliest&amp;target=default" TargetMode="External"/><Relationship Id="rId946" Type="http://schemas.openxmlformats.org/officeDocument/2006/relationships/hyperlink" Target="https://doi.org/10.1073/pnas.2535921123" TargetMode="External"/><Relationship Id="rId947" Type="http://schemas.openxmlformats.org/officeDocument/2006/relationships/hyperlink" Target="https://www.pnas.org/doi/abs/10.1073/pnas.2623195123?mi=eymic2&amp;af=R&amp;access=on&amp;content=articlesChapters&amp;publication=pnas&amp;sortBy=Earliest&amp;target=default" TargetMode="External"/><Relationship Id="rId948" Type="http://schemas.openxmlformats.org/officeDocument/2006/relationships/hyperlink" Target="https://doi.org/10.1073/pnas.2623195123" TargetMode="External"/><Relationship Id="rId949" Type="http://schemas.openxmlformats.org/officeDocument/2006/relationships/hyperlink" Target="https://www.pnas.org/doi/abs/10.1073/pnas.2615420123?mi=eymic2&amp;af=R&amp;access=on&amp;content=articlesChapters&amp;publication=pnas&amp;sortBy=Earliest&amp;target=default" TargetMode="External"/><Relationship Id="rId950" Type="http://schemas.openxmlformats.org/officeDocument/2006/relationships/hyperlink" Target="https://doi.org/10.1073/pnas.2615420123" TargetMode="External"/><Relationship Id="rId951" Type="http://schemas.openxmlformats.org/officeDocument/2006/relationships/hyperlink" Target="https://www.pnas.org/doi/abs/10.1073/pnas.2621061123?mi=eymic2&amp;af=R&amp;access=on&amp;content=articlesChapters&amp;publication=pnas&amp;sortBy=Earliest&amp;target=default" TargetMode="External"/><Relationship Id="rId952" Type="http://schemas.openxmlformats.org/officeDocument/2006/relationships/hyperlink" Target="https://doi.org/10.1073/pnas.2621061123" TargetMode="External"/><Relationship Id="rId953" Type="http://schemas.openxmlformats.org/officeDocument/2006/relationships/hyperlink" Target="https://www.pnas.org/doi/abs/10.1073/pnas.2619791123?mi=eymic2&amp;af=R&amp;access=on&amp;content=articlesChapters&amp;publication=pnas&amp;sortBy=Earliest&amp;target=default" TargetMode="External"/><Relationship Id="rId954" Type="http://schemas.openxmlformats.org/officeDocument/2006/relationships/hyperlink" Target="https://doi.org/10.1073/pnas.2619791123" TargetMode="External"/><Relationship Id="rId955" Type="http://schemas.openxmlformats.org/officeDocument/2006/relationships/hyperlink" Target="https://www.pnas.org/doi/abs/10.1073/pnas.2619789123?mi=eymic2&amp;af=R&amp;access=on&amp;content=articlesChapters&amp;publication=pnas&amp;sortBy=Earliest&amp;target=default" TargetMode="External"/><Relationship Id="rId956" Type="http://schemas.openxmlformats.org/officeDocument/2006/relationships/hyperlink" Target="https://doi.org/10.1073/pnas.2619789123" TargetMode="External"/><Relationship Id="rId957" Type="http://schemas.openxmlformats.org/officeDocument/2006/relationships/hyperlink" Target="https://www.pnas.org/doi/abs/10.1073/pnas.2619024123?mi=eymic2&amp;af=R&amp;access=on&amp;content=articlesChapters&amp;publication=pnas&amp;sortBy=Earliest&amp;target=default" TargetMode="External"/><Relationship Id="rId958" Type="http://schemas.openxmlformats.org/officeDocument/2006/relationships/hyperlink" Target="https://doi.org/10.1073/pnas.2619024123" TargetMode="External"/><Relationship Id="rId959" Type="http://schemas.openxmlformats.org/officeDocument/2006/relationships/hyperlink" Target="https://www.pnas.org/doi/abs/10.1073/pnas.2615278123?mi=eymic2&amp;af=R&amp;access=on&amp;content=articlesChapters&amp;publication=pnas&amp;sortBy=Earliest&amp;target=default" TargetMode="External"/><Relationship Id="rId960" Type="http://schemas.openxmlformats.org/officeDocument/2006/relationships/hyperlink" Target="https://doi.org/10.1073/pnas.2615278123" TargetMode="External"/><Relationship Id="rId961" Type="http://schemas.openxmlformats.org/officeDocument/2006/relationships/hyperlink" Target="https://www.pnas.org/doi/abs/10.1073/pnas.2613431123?mi=eymic2&amp;af=R&amp;access=on&amp;content=articlesChapters&amp;publication=pnas&amp;sortBy=Earliest&amp;target=default" TargetMode="External"/><Relationship Id="rId962" Type="http://schemas.openxmlformats.org/officeDocument/2006/relationships/hyperlink" Target="https://doi.org/10.1073/pnas.2613431123" TargetMode="External"/><Relationship Id="rId963" Type="http://schemas.openxmlformats.org/officeDocument/2006/relationships/hyperlink" Target="https://www.pnas.org/doi/abs/10.1073/pnas.2606103123?mi=eymic2&amp;af=R&amp;access=on&amp;content=articlesChapters&amp;publication=pnas&amp;sortBy=Earliest&amp;target=default" TargetMode="External"/><Relationship Id="rId964" Type="http://schemas.openxmlformats.org/officeDocument/2006/relationships/hyperlink" Target="https://doi.org/10.1073/pnas.2606103123" TargetMode="External"/><Relationship Id="rId965" Type="http://schemas.openxmlformats.org/officeDocument/2006/relationships/hyperlink" Target="https://www.pnas.org/doi/abs/10.1073/pnas.2621880123?mi=eymic2&amp;af=R&amp;access=on&amp;content=articlesChapters&amp;publication=pnas&amp;sortBy=Earliest&amp;target=default" TargetMode="External"/><Relationship Id="rId966" Type="http://schemas.openxmlformats.org/officeDocument/2006/relationships/hyperlink" Target="https://doi.org/10.1073/pnas.2621880123" TargetMode="External"/><Relationship Id="rId967" Type="http://schemas.openxmlformats.org/officeDocument/2006/relationships/hyperlink" Target="https://www.pnas.org/doi/abs/10.1073/pnas.2605142123?mi=eymic2&amp;af=R&amp;access=on&amp;content=articlesChapters&amp;publication=pnas&amp;sortBy=Earliest&amp;target=default" TargetMode="External"/><Relationship Id="rId968" Type="http://schemas.openxmlformats.org/officeDocument/2006/relationships/hyperlink" Target="https://doi.org/10.1073/pnas.2605142123" TargetMode="External"/><Relationship Id="rId969" Type="http://schemas.openxmlformats.org/officeDocument/2006/relationships/hyperlink" Target="https://www.pnas.org/doi/abs/10.1073/pnas.2527395123?mi=eymic2&amp;af=R&amp;access=on&amp;content=articlesChapters&amp;publication=pnas&amp;sortBy=Earliest&amp;target=default" TargetMode="External"/><Relationship Id="rId970" Type="http://schemas.openxmlformats.org/officeDocument/2006/relationships/hyperlink" Target="https://doi.org/10.1073/pnas.2527395123" TargetMode="External"/><Relationship Id="rId971" Type="http://schemas.openxmlformats.org/officeDocument/2006/relationships/hyperlink" Target="https://www.pnas.org/doi/abs/10.1073/pnas.2603602123?mi=eymic2&amp;af=R&amp;access=on&amp;content=articlesChapters&amp;publication=pnas&amp;sortBy=Earliest&amp;target=default" TargetMode="External"/><Relationship Id="rId972" Type="http://schemas.openxmlformats.org/officeDocument/2006/relationships/hyperlink" Target="https://doi.org/10.1073/pnas.2603602123" TargetMode="External"/><Relationship Id="rId973" Type="http://schemas.openxmlformats.org/officeDocument/2006/relationships/hyperlink" Target="https://www.pnas.org/doi/abs/10.1073/pnas.2625656123?mi=eymic2&amp;af=R&amp;access=on&amp;content=articlesChapters&amp;publication=pnas&amp;sortBy=Earliest&amp;target=default" TargetMode="External"/><Relationship Id="rId974" Type="http://schemas.openxmlformats.org/officeDocument/2006/relationships/hyperlink" Target="https://doi.org/10.1073/pnas.2625656123" TargetMode="External"/><Relationship Id="rId975" Type="http://schemas.openxmlformats.org/officeDocument/2006/relationships/hyperlink" Target="https://www.pnas.org/doi/abs/10.1073/pnas.2532702123?mi=eymic2&amp;af=R&amp;access=on&amp;content=articlesChapters&amp;publication=pnas&amp;sortBy=Earliest&amp;target=default" TargetMode="External"/><Relationship Id="rId976" Type="http://schemas.openxmlformats.org/officeDocument/2006/relationships/hyperlink" Target="https://doi.org/10.1073/pnas.2532702123" TargetMode="External"/><Relationship Id="rId977" Type="http://schemas.openxmlformats.org/officeDocument/2006/relationships/hyperlink" Target="https://www.pnas.org/doi/abs/10.1073/pnas.2532233123?mi=eymic2&amp;af=R&amp;access=on&amp;content=articlesChapters&amp;publication=pnas&amp;sortBy=Earliest&amp;target=default" TargetMode="External"/><Relationship Id="rId978" Type="http://schemas.openxmlformats.org/officeDocument/2006/relationships/hyperlink" Target="https://doi.org/10.1073/pnas.2532233123" TargetMode="External"/><Relationship Id="rId979" Type="http://schemas.openxmlformats.org/officeDocument/2006/relationships/hyperlink" Target="https://www.pnas.org/doi/abs/10.1073/pnas.2529389123?mi=eymic2&amp;af=R&amp;access=on&amp;content=articlesChapters&amp;publication=pnas&amp;sortBy=Earliest&amp;target=default" TargetMode="External"/><Relationship Id="rId980" Type="http://schemas.openxmlformats.org/officeDocument/2006/relationships/hyperlink" Target="https://doi.org/10.1073/pnas.2529389123" TargetMode="External"/><Relationship Id="rId981" Type="http://schemas.openxmlformats.org/officeDocument/2006/relationships/hyperlink" Target="https://www.pnas.org/doi/abs/10.1073/pnas.2527880123?mi=eymic2&amp;af=R&amp;access=on&amp;content=articlesChapters&amp;publication=pnas&amp;sortBy=Earliest&amp;target=default" TargetMode="External"/><Relationship Id="rId982" Type="http://schemas.openxmlformats.org/officeDocument/2006/relationships/hyperlink" Target="https://doi.org/10.1073/pnas.2527880123" TargetMode="External"/><Relationship Id="rId983" Type="http://schemas.openxmlformats.org/officeDocument/2006/relationships/hyperlink" Target="https://www.pnas.org/doi/abs/10.1073/pnas.2625466123?mi=eymic2&amp;af=R&amp;access=on&amp;content=articlesChapters&amp;publication=pnas&amp;sortBy=Earliest&amp;target=default" TargetMode="External"/><Relationship Id="rId984" Type="http://schemas.openxmlformats.org/officeDocument/2006/relationships/hyperlink" Target="https://doi.org/10.1073/pnas.2625466123" TargetMode="External"/><Relationship Id="rId985" Type="http://schemas.openxmlformats.org/officeDocument/2006/relationships/hyperlink" Target="https://www.pnas.org/doi/abs/10.1073/pnas.2520879123?mi=eymic2&amp;af=R&amp;access=on&amp;content=articlesChapters&amp;publication=pnas&amp;sortBy=Earliest&amp;target=default" TargetMode="External"/><Relationship Id="rId986" Type="http://schemas.openxmlformats.org/officeDocument/2006/relationships/hyperlink" Target="https://doi.org/10.1073/pnas.2520879123" TargetMode="External"/><Relationship Id="rId987" Type="http://schemas.openxmlformats.org/officeDocument/2006/relationships/hyperlink" Target="https://www.pnas.org/doi/abs/10.1073/pnas.2517883123?mi=eymic2&amp;af=R&amp;access=on&amp;content=articlesChapters&amp;publication=pnas&amp;sortBy=Earliest&amp;target=default" TargetMode="External"/><Relationship Id="rId988" Type="http://schemas.openxmlformats.org/officeDocument/2006/relationships/hyperlink" Target="https://doi.org/10.1073/pnas.2517883123" TargetMode="External"/><Relationship Id="rId989" Type="http://schemas.openxmlformats.org/officeDocument/2006/relationships/hyperlink" Target="https://www.pnas.org/doi/abs/10.1073/pnas.2625497123?mi=eymic2&amp;af=R&amp;access=on&amp;content=articlesChapters&amp;publication=pnas&amp;sortBy=Earliest&amp;target=default" TargetMode="External"/><Relationship Id="rId990" Type="http://schemas.openxmlformats.org/officeDocument/2006/relationships/hyperlink" Target="https://doi.org/10.1073/pnas.2625497123" TargetMode="External"/><Relationship Id="rId991" Type="http://schemas.openxmlformats.org/officeDocument/2006/relationships/hyperlink" Target="https://www.pnas.org/doi/abs/10.1073/pnas.2536533123?mi=eymic2&amp;af=R&amp;access=on&amp;content=articlesChapters&amp;publication=pnas&amp;sortBy=Earliest&amp;target=default" TargetMode="External"/><Relationship Id="rId992" Type="http://schemas.openxmlformats.org/officeDocument/2006/relationships/hyperlink" Target="https://doi.org/10.1073/pnas.2536533123" TargetMode="External"/><Relationship Id="rId993" Type="http://schemas.openxmlformats.org/officeDocument/2006/relationships/hyperlink" Target="https://www.pnas.org/doi/abs/10.1073/pnas.2625195123?mi=eymic2&amp;af=R&amp;access=on&amp;content=articlesChapters&amp;publication=pnas&amp;sortBy=Earliest&amp;target=default" TargetMode="External"/><Relationship Id="rId994" Type="http://schemas.openxmlformats.org/officeDocument/2006/relationships/hyperlink" Target="https://doi.org/10.1073/pnas.2625195123" TargetMode="External"/><Relationship Id="rId995" Type="http://schemas.openxmlformats.org/officeDocument/2006/relationships/hyperlink" Target="https://www.pnas.org/doi/abs/10.1073/pnas.2600248123?mi=eymic2&amp;af=R&amp;access=on&amp;content=articlesChapters&amp;publication=pnas&amp;sortBy=Earliest&amp;target=default" TargetMode="External"/><Relationship Id="rId996" Type="http://schemas.openxmlformats.org/officeDocument/2006/relationships/hyperlink" Target="https://doi.org/10.1073/pnas.2600248123" TargetMode="External"/><Relationship Id="rId997" Type="http://schemas.openxmlformats.org/officeDocument/2006/relationships/hyperlink" Target="https://www.pnas.org/doi/abs/10.1073/pnas.2600701123?mi=eymic2&amp;af=R&amp;access=on&amp;content=articlesChapters&amp;publication=pnas&amp;sortBy=Earliest&amp;target=default" TargetMode="External"/><Relationship Id="rId998" Type="http://schemas.openxmlformats.org/officeDocument/2006/relationships/hyperlink" Target="https://doi.org/10.1073/pnas.2600701123" TargetMode="External"/><Relationship Id="rId999" Type="http://schemas.openxmlformats.org/officeDocument/2006/relationships/hyperlink" Target="https://www.pnas.org/doi/abs/10.1073/pnas.2602136123?mi=eymic2&amp;af=R&amp;access=on&amp;content=articlesChapters&amp;publication=pnas&amp;sortBy=Earliest&amp;target=default" TargetMode="External"/><Relationship Id="rId1000" Type="http://schemas.openxmlformats.org/officeDocument/2006/relationships/hyperlink" Target="https://doi.org/10.1073/pnas.2602136123" TargetMode="External"/><Relationship Id="rId1001" Type="http://schemas.openxmlformats.org/officeDocument/2006/relationships/hyperlink" Target="https://www.pnas.org/doi/abs/10.1073/pnas.2602636123?mi=eymic2&amp;af=R&amp;access=on&amp;content=articlesChapters&amp;publication=pnas&amp;sortBy=Earliest&amp;target=default" TargetMode="External"/><Relationship Id="rId1002" Type="http://schemas.openxmlformats.org/officeDocument/2006/relationships/hyperlink" Target="https://doi.org/10.1073/pnas.2602636123" TargetMode="External"/><Relationship Id="rId1003" Type="http://schemas.openxmlformats.org/officeDocument/2006/relationships/hyperlink" Target="https://www.pnas.org/doi/abs/10.1073/pnas.2625886123?mi=eymic2&amp;af=R&amp;access=on&amp;content=articlesChapters&amp;publication=pnas&amp;sortBy=Earliest&amp;target=default" TargetMode="External"/><Relationship Id="rId1004" Type="http://schemas.openxmlformats.org/officeDocument/2006/relationships/hyperlink" Target="https://doi.org/10.1073/pnas.2625886123" TargetMode="External"/><Relationship Id="rId1005" Type="http://schemas.openxmlformats.org/officeDocument/2006/relationships/hyperlink" Target="https://advanced.onlinelibrary.wiley.com/doi/10.1002/adma.74361?af=R" TargetMode="External"/><Relationship Id="rId1006" Type="http://schemas.openxmlformats.org/officeDocument/2006/relationships/hyperlink" Target="https://doi.org/10.1002/adma.74361" TargetMode="External"/><Relationship Id="rId1007" Type="http://schemas.openxmlformats.org/officeDocument/2006/relationships/hyperlink" Target="https://advanced.onlinelibrary.wiley.com/doi/10.1002/adma.74261?af=R" TargetMode="External"/><Relationship Id="rId1008" Type="http://schemas.openxmlformats.org/officeDocument/2006/relationships/hyperlink" Target="https://doi.org/10.1002/adma.74261" TargetMode="External"/><Relationship Id="rId1009" Type="http://schemas.openxmlformats.org/officeDocument/2006/relationships/hyperlink" Target="https://advanced.onlinelibrary.wiley.com/doi/10.1002/adma.74433?af=R" TargetMode="External"/><Relationship Id="rId1010" Type="http://schemas.openxmlformats.org/officeDocument/2006/relationships/hyperlink" Target="https://doi.org/10.1002/adma.74433" TargetMode="External"/><Relationship Id="rId1011" Type="http://schemas.openxmlformats.org/officeDocument/2006/relationships/hyperlink" Target="https://advanced.onlinelibrary.wiley.com/doi/10.1002/adma.74444?af=R" TargetMode="External"/><Relationship Id="rId1012" Type="http://schemas.openxmlformats.org/officeDocument/2006/relationships/hyperlink" Target="https://doi.org/10.1002/adma.74444" TargetMode="External"/><Relationship Id="rId1013" Type="http://schemas.openxmlformats.org/officeDocument/2006/relationships/hyperlink" Target="https://advanced.onlinelibrary.wiley.com/doi/10.1002/adma.74468?af=R" TargetMode="External"/><Relationship Id="rId1014" Type="http://schemas.openxmlformats.org/officeDocument/2006/relationships/hyperlink" Target="https://doi.org/10.1002/adma.74468" TargetMode="External"/><Relationship Id="rId1015" Type="http://schemas.openxmlformats.org/officeDocument/2006/relationships/hyperlink" Target="https://advanced.onlinelibrary.wiley.com/doi/10.1002/adma.74440?af=R" TargetMode="External"/><Relationship Id="rId1016" Type="http://schemas.openxmlformats.org/officeDocument/2006/relationships/hyperlink" Target="https://doi.org/10.1002/adma.74440" TargetMode="External"/><Relationship Id="rId1017" Type="http://schemas.openxmlformats.org/officeDocument/2006/relationships/hyperlink" Target="http://link.aps.org/doi/10.1103/8s5q-rssh" TargetMode="External"/><Relationship Id="rId1018" Type="http://schemas.openxmlformats.org/officeDocument/2006/relationships/hyperlink" Target="https://doi.org/10.1103/8s5q-rssh" TargetMode="External"/><Relationship Id="rId1019" Type="http://schemas.openxmlformats.org/officeDocument/2006/relationships/hyperlink" Target="http://link.aps.org/doi/10.1103/44zk-rh97" TargetMode="External"/><Relationship Id="rId1020" Type="http://schemas.openxmlformats.org/officeDocument/2006/relationships/hyperlink" Target="https://doi.org/10.1103/44zk-rh97" TargetMode="External"/><Relationship Id="rId1021" Type="http://schemas.openxmlformats.org/officeDocument/2006/relationships/hyperlink" Target="http://link.aps.org/doi/10.1103/n2xs-8s5j" TargetMode="External"/><Relationship Id="rId1022" Type="http://schemas.openxmlformats.org/officeDocument/2006/relationships/hyperlink" Target="https://doi.org/10.1103/n2xs-8s5j" TargetMode="External"/><Relationship Id="rId1023" Type="http://schemas.openxmlformats.org/officeDocument/2006/relationships/hyperlink" Target="http://link.aps.org/doi/10.1103/jd5v-hg3c" TargetMode="External"/><Relationship Id="rId1024" Type="http://schemas.openxmlformats.org/officeDocument/2006/relationships/hyperlink" Target="https://doi.org/10.1103/jd5v-hg3c" TargetMode="External"/><Relationship Id="rId1025" Type="http://schemas.openxmlformats.org/officeDocument/2006/relationships/hyperlink" Target="http://link.aps.org/doi/10.1103/yytr-2rg3" TargetMode="External"/><Relationship Id="rId1026" Type="http://schemas.openxmlformats.org/officeDocument/2006/relationships/hyperlink" Target="https://doi.org/10.1103/yytr-2rg3" TargetMode="External"/><Relationship Id="rId1027" Type="http://schemas.openxmlformats.org/officeDocument/2006/relationships/hyperlink" Target="http://link.aps.org/doi/10.1103/mfz2-qldg" TargetMode="External"/><Relationship Id="rId1028" Type="http://schemas.openxmlformats.org/officeDocument/2006/relationships/hyperlink" Target="https://doi.org/10.1103/mfz2-qldg" TargetMode="External"/><Relationship Id="rId1029" Type="http://schemas.openxmlformats.org/officeDocument/2006/relationships/hyperlink" Target="http://link.aps.org/doi/10.1103/2dp4-q43h" TargetMode="External"/><Relationship Id="rId1030" Type="http://schemas.openxmlformats.org/officeDocument/2006/relationships/hyperlink" Target="https://doi.org/10.1103/2dp4-q43h" TargetMode="External"/><Relationship Id="rId1031" Type="http://schemas.openxmlformats.org/officeDocument/2006/relationships/hyperlink" Target="http://link.aps.org/doi/10.1103/29sg-clv3" TargetMode="External"/><Relationship Id="rId1032" Type="http://schemas.openxmlformats.org/officeDocument/2006/relationships/hyperlink" Target="https://doi.org/10.1103/29sg-clv3" TargetMode="External"/><Relationship Id="rId1033" Type="http://schemas.openxmlformats.org/officeDocument/2006/relationships/hyperlink" Target="http://link.aps.org/doi/10.1103/crwj-qfw5" TargetMode="External"/><Relationship Id="rId1034" Type="http://schemas.openxmlformats.org/officeDocument/2006/relationships/hyperlink" Target="https://doi.org/10.1103/crwj-qfw5" TargetMode="External"/><Relationship Id="rId1035" Type="http://schemas.openxmlformats.org/officeDocument/2006/relationships/hyperlink" Target="http://link.aps.org/doi/10.1103/bkg4-9pr4" TargetMode="External"/><Relationship Id="rId1036" Type="http://schemas.openxmlformats.org/officeDocument/2006/relationships/hyperlink" Target="https://doi.org/10.1103/bkg4-9pr4" TargetMode="External"/><Relationship Id="rId1037" Type="http://schemas.openxmlformats.org/officeDocument/2006/relationships/hyperlink" Target="http://link.aps.org/doi/10.1103/c9nx-h2jk" TargetMode="External"/><Relationship Id="rId1038" Type="http://schemas.openxmlformats.org/officeDocument/2006/relationships/hyperlink" Target="https://doi.org/10.1103/c9nx-h2jk" TargetMode="External"/><Relationship Id="rId1039" Type="http://schemas.openxmlformats.org/officeDocument/2006/relationships/hyperlink" Target="http://link.aps.org/doi/10.1103/6dpg-bt89" TargetMode="External"/><Relationship Id="rId1040" Type="http://schemas.openxmlformats.org/officeDocument/2006/relationships/hyperlink" Target="https://doi.org/10.1103/6dpg-bt89" TargetMode="External"/><Relationship Id="rId1041" Type="http://schemas.openxmlformats.org/officeDocument/2006/relationships/hyperlink" Target="http://link.aps.org/doi/10.1103/xtf2-bsc9" TargetMode="External"/><Relationship Id="rId1042" Type="http://schemas.openxmlformats.org/officeDocument/2006/relationships/hyperlink" Target="https://doi.org/10.1103/xtf2-bsc9" TargetMode="External"/><Relationship Id="rId1043" Type="http://schemas.openxmlformats.org/officeDocument/2006/relationships/hyperlink" Target="http://link.aps.org/doi/10.1103/cjf3-hk9v" TargetMode="External"/><Relationship Id="rId1044" Type="http://schemas.openxmlformats.org/officeDocument/2006/relationships/hyperlink" Target="https://doi.org/10.1103/cjf3-hk9v" TargetMode="External"/><Relationship Id="rId1045" Type="http://schemas.openxmlformats.org/officeDocument/2006/relationships/hyperlink" Target="http://link.aps.org/doi/10.1103/nf26-tkx7" TargetMode="External"/><Relationship Id="rId1046" Type="http://schemas.openxmlformats.org/officeDocument/2006/relationships/hyperlink" Target="https://doi.org/10.1103/nf26-tkx7" TargetMode="External"/><Relationship Id="rId1047" Type="http://schemas.openxmlformats.org/officeDocument/2006/relationships/hyperlink" Target="http://link.aps.org/doi/10.1103/gg5v-mp26" TargetMode="External"/><Relationship Id="rId1048" Type="http://schemas.openxmlformats.org/officeDocument/2006/relationships/hyperlink" Target="https://doi.org/10.1103/gg5v-mp26" TargetMode="External"/><Relationship Id="rId1049" Type="http://schemas.openxmlformats.org/officeDocument/2006/relationships/hyperlink" Target="http://link.aps.org/doi/10.1103/cwp5-7c96" TargetMode="External"/><Relationship Id="rId1050" Type="http://schemas.openxmlformats.org/officeDocument/2006/relationships/hyperlink" Target="https://doi.org/10.1103/cwp5-7c96" TargetMode="External"/><Relationship Id="rId1051" Type="http://schemas.openxmlformats.org/officeDocument/2006/relationships/hyperlink" Target="http://link.aps.org/doi/10.1103/3spr-jfq4" TargetMode="External"/><Relationship Id="rId1052" Type="http://schemas.openxmlformats.org/officeDocument/2006/relationships/hyperlink" Target="https://doi.org/10.1103/3spr-jfq4" TargetMode="External"/><Relationship Id="rId1053" Type="http://schemas.openxmlformats.org/officeDocument/2006/relationships/hyperlink" Target="http://link.aps.org/doi/10.1103/rt58-kxy9" TargetMode="External"/><Relationship Id="rId1054" Type="http://schemas.openxmlformats.org/officeDocument/2006/relationships/hyperlink" Target="https://doi.org/10.1103/rt58-kxy9" TargetMode="External"/><Relationship Id="rId1055" Type="http://schemas.openxmlformats.org/officeDocument/2006/relationships/hyperlink" Target="http://link.aps.org/doi/10.1103/7bck-y4ls" TargetMode="External"/><Relationship Id="rId1056" Type="http://schemas.openxmlformats.org/officeDocument/2006/relationships/hyperlink" Target="https://doi.org/10.1103/7bck-y4ls" TargetMode="External"/><Relationship Id="rId1057" Type="http://schemas.openxmlformats.org/officeDocument/2006/relationships/hyperlink" Target="http://link.aps.org/doi/10.1103/3646-v33q" TargetMode="External"/><Relationship Id="rId1058" Type="http://schemas.openxmlformats.org/officeDocument/2006/relationships/hyperlink" Target="https://doi.org/10.1103/3646-v33q" TargetMode="External"/><Relationship Id="rId1059" Type="http://schemas.openxmlformats.org/officeDocument/2006/relationships/hyperlink" Target="http://link.aps.org/doi/10.1103/rd63-hdwp" TargetMode="External"/><Relationship Id="rId1060" Type="http://schemas.openxmlformats.org/officeDocument/2006/relationships/hyperlink" Target="https://doi.org/10.1103/rd63-hdwp" TargetMode="External"/><Relationship Id="rId1061" Type="http://schemas.openxmlformats.org/officeDocument/2006/relationships/hyperlink" Target="http://link.aps.org/doi/10.1103/l2y4-tpzb" TargetMode="External"/><Relationship Id="rId1062" Type="http://schemas.openxmlformats.org/officeDocument/2006/relationships/hyperlink" Target="https://doi.org/10.1103/l2y4-tpzb" TargetMode="External"/><Relationship Id="rId1063" Type="http://schemas.openxmlformats.org/officeDocument/2006/relationships/hyperlink" Target="http://link.aps.org/doi/10.1103/5wwp-rbpm" TargetMode="External"/><Relationship Id="rId1064" Type="http://schemas.openxmlformats.org/officeDocument/2006/relationships/hyperlink" Target="https://doi.org/10.1103/5wwp-rbpm" TargetMode="External"/><Relationship Id="rId1065" Type="http://schemas.openxmlformats.org/officeDocument/2006/relationships/hyperlink" Target="http://link.aps.org/doi/10.1103/tnb8-3m8m" TargetMode="External"/><Relationship Id="rId1066" Type="http://schemas.openxmlformats.org/officeDocument/2006/relationships/hyperlink" Target="https://doi.org/10.1103/tnb8-3m8m" TargetMode="External"/><Relationship Id="rId1067" Type="http://schemas.openxmlformats.org/officeDocument/2006/relationships/hyperlink" Target="http://link.aps.org/doi/10.1103/xd7q-2kf9" TargetMode="External"/><Relationship Id="rId1068" Type="http://schemas.openxmlformats.org/officeDocument/2006/relationships/hyperlink" Target="https://doi.org/10.1103/xd7q-2kf9" TargetMode="External"/><Relationship Id="rId1069" Type="http://schemas.openxmlformats.org/officeDocument/2006/relationships/hyperlink" Target="http://link.aps.org/doi/10.1103/fm8m-kz13" TargetMode="External"/><Relationship Id="rId1070" Type="http://schemas.openxmlformats.org/officeDocument/2006/relationships/hyperlink" Target="https://doi.org/10.1103/fm8m-kz13" TargetMode="External"/><Relationship Id="rId1071" Type="http://schemas.openxmlformats.org/officeDocument/2006/relationships/hyperlink" Target="http://link.aps.org/doi/10.1103/1vmv-zdqt" TargetMode="External"/><Relationship Id="rId1072" Type="http://schemas.openxmlformats.org/officeDocument/2006/relationships/hyperlink" Target="https://doi.org/10.1103/1vmv-zdqt" TargetMode="External"/><Relationship Id="rId1073" Type="http://schemas.openxmlformats.org/officeDocument/2006/relationships/hyperlink" Target="http://link.aps.org/doi/10.1103/5j64-ybm5" TargetMode="External"/><Relationship Id="rId1074" Type="http://schemas.openxmlformats.org/officeDocument/2006/relationships/hyperlink" Target="https://doi.org/10.1103/5j64-ybm5" TargetMode="External"/><Relationship Id="rId1075" Type="http://schemas.openxmlformats.org/officeDocument/2006/relationships/hyperlink" Target="https://advanced.onlinelibrary.wiley.com/doi/10.1002/adma.74539?af=R" TargetMode="External"/><Relationship Id="rId1076" Type="http://schemas.openxmlformats.org/officeDocument/2006/relationships/hyperlink" Target="https://doi.org/10.1002/adma.74539" TargetMode="External"/><Relationship Id="rId1077" Type="http://schemas.openxmlformats.org/officeDocument/2006/relationships/hyperlink" Target="https://advanced.onlinelibrary.wiley.com/doi/10.1002/adma.74411?af=R" TargetMode="External"/><Relationship Id="rId1078" Type="http://schemas.openxmlformats.org/officeDocument/2006/relationships/hyperlink" Target="https://doi.org/10.1002/adma.74411" TargetMode="External"/><Relationship Id="rId1079" Type="http://schemas.openxmlformats.org/officeDocument/2006/relationships/hyperlink" Target="https://advanced.onlinelibrary.wiley.com/doi/10.1002/adma.74409?af=R" TargetMode="External"/><Relationship Id="rId1080" Type="http://schemas.openxmlformats.org/officeDocument/2006/relationships/hyperlink" Target="https://doi.org/10.1002/adma.74409" TargetMode="External"/><Relationship Id="rId1081" Type="http://schemas.openxmlformats.org/officeDocument/2006/relationships/hyperlink" Target="https://advanced.onlinelibrary.wiley.com/doi/10.1002/adma.74408?af=R" TargetMode="External"/><Relationship Id="rId1082" Type="http://schemas.openxmlformats.org/officeDocument/2006/relationships/hyperlink" Target="https://doi.org/10.1002/adma.74408" TargetMode="External"/><Relationship Id="rId1083" Type="http://schemas.openxmlformats.org/officeDocument/2006/relationships/hyperlink" Target="https://pubs.acs.org/aamick/article/doi/10.1021/acsami.6c07213/5243346/Large-Area-Flexible-SERS-Sensor-Chips-Fabricated" TargetMode="External"/><Relationship Id="rId1084" Type="http://schemas.openxmlformats.org/officeDocument/2006/relationships/hyperlink" Target="https://doi.org/10.1021/acsami.6c07213" TargetMode="External"/><Relationship Id="rId1085" Type="http://schemas.openxmlformats.org/officeDocument/2006/relationships/hyperlink" Target="https://pubs.acs.org/aamick/article/doi/10.1021/acsami.6c12518/5243349/Hybrid-Dimensional-Silver-Nanowire-Sodium-Alginate" TargetMode="External"/><Relationship Id="rId1086" Type="http://schemas.openxmlformats.org/officeDocument/2006/relationships/hyperlink" Target="https://doi.org/10.1021/acsami.6c12518" TargetMode="External"/><Relationship Id="rId1087" Type="http://schemas.openxmlformats.org/officeDocument/2006/relationships/hyperlink" Target="https://www.sciencedirect.com/science/article/pii/S0370269326006726?dgcid=rss_sd_all" TargetMode="External"/><Relationship Id="rId1088" Type="http://schemas.openxmlformats.org/officeDocument/2006/relationships/hyperlink" Target="https://doi.org/10.1016/j.physletb.2026.140821" TargetMode="External"/><Relationship Id="rId1089" Type="http://schemas.openxmlformats.org/officeDocument/2006/relationships/hyperlink" Target="https://pubs.acs.org/chreay/article/doi/10.1021/acs.chemrev.5c01109/5243104/Modern-Higher-Order-Cycloadditions" TargetMode="External"/><Relationship Id="rId1090" Type="http://schemas.openxmlformats.org/officeDocument/2006/relationships/hyperlink" Target="https://doi.org/10.1021/acs.chemrev.5c01109" TargetMode="External"/><Relationship Id="rId1091" Type="http://schemas.openxmlformats.org/officeDocument/2006/relationships/hyperlink" Target="https://pubs.acs.org/jacsat/article/doi/10.1021/jacs.6c11639/5243314/Electrocatalytic-Hydrogenation-with-Nanoparticles" TargetMode="External"/><Relationship Id="rId1092" Type="http://schemas.openxmlformats.org/officeDocument/2006/relationships/hyperlink" Target="https://doi.org/10.1021/jacs.6c11639" TargetMode="External"/><Relationship Id="rId1093" Type="http://schemas.openxmlformats.org/officeDocument/2006/relationships/hyperlink" Target="https://www.nature.com/articles/s41467-026-76183-2" TargetMode="External"/><Relationship Id="rId1094" Type="http://schemas.openxmlformats.org/officeDocument/2006/relationships/hyperlink" Target="https://www.nature.com/articles/s41467-026-76080-8" TargetMode="External"/><Relationship Id="rId1095" Type="http://schemas.openxmlformats.org/officeDocument/2006/relationships/hyperlink" Target="https://www.nature.com/articles/s41467-026-76292-y" TargetMode="External"/><Relationship Id="rId1096" Type="http://schemas.openxmlformats.org/officeDocument/2006/relationships/hyperlink" Target="https://www.nature.com/articles/s41467-026-75853-5" TargetMode="External"/><Relationship Id="rId1097" Type="http://schemas.openxmlformats.org/officeDocument/2006/relationships/hyperlink" Target="https://www.nature.com/articles/s41467-026-76283-z" TargetMode="External"/><Relationship Id="rId1098" Type="http://schemas.openxmlformats.org/officeDocument/2006/relationships/hyperlink" Target="https://www.nature.com/articles/s41467-026-74630-8" TargetMode="External"/><Relationship Id="rId1099" Type="http://schemas.openxmlformats.org/officeDocument/2006/relationships/hyperlink" Target="https://www.nature.com/articles/s41467-026-76132-z" TargetMode="External"/><Relationship Id="rId1100" Type="http://schemas.openxmlformats.org/officeDocument/2006/relationships/hyperlink" Target="https://www.nature.com/articles/s41467-026-75947-0" TargetMode="External"/><Relationship Id="rId1101" Type="http://schemas.openxmlformats.org/officeDocument/2006/relationships/hyperlink" Target="https://www.nature.com/articles/s41467-026-76329-2" TargetMode="External"/><Relationship Id="rId1102" Type="http://schemas.openxmlformats.org/officeDocument/2006/relationships/hyperlink" Target="https://www.nature.com/articles/s41467-026-76302-z" TargetMode="External"/><Relationship Id="rId1103" Type="http://schemas.openxmlformats.org/officeDocument/2006/relationships/hyperlink" Target="https://www.nature.com/articles/s41467-026-76304-x" TargetMode="External"/><Relationship Id="rId1104" Type="http://schemas.openxmlformats.org/officeDocument/2006/relationships/hyperlink" Target="https://www.nature.com/articles/s41467-026-76341-6" TargetMode="External"/><Relationship Id="rId1105" Type="http://schemas.openxmlformats.org/officeDocument/2006/relationships/hyperlink" Target="https://www.nature.com/articles/s41467-026-76293-x" TargetMode="External"/><Relationship Id="rId1106" Type="http://schemas.openxmlformats.org/officeDocument/2006/relationships/hyperlink" Target="https://pubs.acs.org/aamick/article/doi/10.1021/acsami.6c08852/5243600/A-Beetle-Inspired-Condensation-Interface-for" TargetMode="External"/><Relationship Id="rId1107" Type="http://schemas.openxmlformats.org/officeDocument/2006/relationships/hyperlink" Target="https://doi.org/10.1021/acsami.6c08852" TargetMode="External"/><Relationship Id="rId1108" Type="http://schemas.openxmlformats.org/officeDocument/2006/relationships/hyperlink" Target="https://www.sciencedirect.com/science/article/pii/S0301421526004672?dgcid=rss_sd_all" TargetMode="External"/><Relationship Id="rId1109" Type="http://schemas.openxmlformats.org/officeDocument/2006/relationships/hyperlink" Target="https://doi.org/10.1016/j.enpol.2026.115533" TargetMode="External"/><Relationship Id="rId1110" Type="http://schemas.openxmlformats.org/officeDocument/2006/relationships/hyperlink" Target="https://pubs.acs.org/aamick/article/doi/10.1021/acsami.6c09571/5242274/MOF-Hydrophobic-Polymer-Composites-for-Toluene" TargetMode="External"/><Relationship Id="rId1111" Type="http://schemas.openxmlformats.org/officeDocument/2006/relationships/hyperlink" Target="https://doi.org/10.1021/acsami.6c09571" TargetMode="External"/><Relationship Id="rId1112" Type="http://schemas.openxmlformats.org/officeDocument/2006/relationships/hyperlink" Target="https://pubs.acs.org/jacsat/article/doi/10.1021/jacs.6c10141/5242399/Rational-Design-of-Light-Driven-Molecular-Motors" TargetMode="External"/><Relationship Id="rId1113" Type="http://schemas.openxmlformats.org/officeDocument/2006/relationships/hyperlink" Target="https://doi.org/10.1021/jacs.6c10141" TargetMode="External"/><Relationship Id="rId1114" Type="http://schemas.openxmlformats.org/officeDocument/2006/relationships/hyperlink" Target="https://pubs.acs.org/jacsat/article/doi/10.1021/jacs.6c08312/5242313/An-Adaptable-Porous-Metal-Organic-Framework-for" TargetMode="External"/><Relationship Id="rId1115" Type="http://schemas.openxmlformats.org/officeDocument/2006/relationships/hyperlink" Target="https://doi.org/10.1021/jacs.6c08312" TargetMode="External"/><Relationship Id="rId1116" Type="http://schemas.openxmlformats.org/officeDocument/2006/relationships/hyperlink" Target="https://pubs.acs.org/jacsat/article/doi/10.1021/jacs.6c12051/5242276/Tuning-and-Characterizing-the-Structure-of-Peptide" TargetMode="External"/><Relationship Id="rId1117" Type="http://schemas.openxmlformats.org/officeDocument/2006/relationships/hyperlink" Target="https://doi.org/10.1021/jacs.6c12051" TargetMode="External"/><Relationship Id="rId1118" Type="http://schemas.openxmlformats.org/officeDocument/2006/relationships/hyperlink" Target="https://pubs.acs.org/aamick/article/doi/10.1021/acsami.6c09358/5242294/Photoacoustic-Raman-Imageable-Embolic-Microspheres" TargetMode="External"/><Relationship Id="rId1119" Type="http://schemas.openxmlformats.org/officeDocument/2006/relationships/hyperlink" Target="https://doi.org/10.1021/acsami.6c09358" TargetMode="External"/><Relationship Id="rId1120" Type="http://schemas.openxmlformats.org/officeDocument/2006/relationships/hyperlink" Target="https://pubs.acs.org/aelccp/article/doi/10.1021/acsenergylett.6c01409/5242267/Operation-Induced-BiVO4-Surface-Reconstruction" TargetMode="External"/><Relationship Id="rId1121" Type="http://schemas.openxmlformats.org/officeDocument/2006/relationships/hyperlink" Target="https://doi.org/10.1021/acsenergylett.6c01409" TargetMode="External"/><Relationship Id="rId1122" Type="http://schemas.openxmlformats.org/officeDocument/2006/relationships/hyperlink" Target="https://www.nature.com/articles/s41467-026-76088-0" TargetMode="External"/><Relationship Id="rId1123" Type="http://schemas.openxmlformats.org/officeDocument/2006/relationships/hyperlink" Target="https://pubs.acs.org/aamick/article/doi/10.1021/acsami.6c09202/5242679/Acid-Base-and-Site-Hindrance-Induced-Cage" TargetMode="External"/><Relationship Id="rId1124" Type="http://schemas.openxmlformats.org/officeDocument/2006/relationships/hyperlink" Target="https://doi.org/10.1021/acsami.6c09202" TargetMode="External"/><Relationship Id="rId1125" Type="http://schemas.openxmlformats.org/officeDocument/2006/relationships/hyperlink" Target="https://www.sciencedirect.com/science/article/pii/S0306261926012109?dgcid=rss_sd_all" TargetMode="External"/><Relationship Id="rId1126" Type="http://schemas.openxmlformats.org/officeDocument/2006/relationships/hyperlink" Target="https://doi.org/10.1016/j.apenergy.2026.128554" TargetMode="External"/><Relationship Id="rId1127" Type="http://schemas.openxmlformats.org/officeDocument/2006/relationships/hyperlink" Target="https://www.sciencedirect.com/science/article/pii/S030626192601189X?dgcid=rss_sd_all" TargetMode="External"/><Relationship Id="rId1128" Type="http://schemas.openxmlformats.org/officeDocument/2006/relationships/hyperlink" Target="https://doi.org/10.1016/j.apenergy.2026.128533" TargetMode="External"/><Relationship Id="rId1129" Type="http://schemas.openxmlformats.org/officeDocument/2006/relationships/hyperlink" Target="https://www.sciencedirect.com/science/article/pii/S0306261926011153?dgcid=rss_sd_all" TargetMode="External"/><Relationship Id="rId1130" Type="http://schemas.openxmlformats.org/officeDocument/2006/relationships/hyperlink" Target="https://doi.org/10.1016/j.apenergy.2026.128459" TargetMode="External"/><Relationship Id="rId1131" Type="http://schemas.openxmlformats.org/officeDocument/2006/relationships/hyperlink" Target="https://pubs.acs.org/aamick/article/doi/10.1021/acsami.6c10517/5243595/Wood-Inspired-Bioadaptable-Material-with-Neurite" TargetMode="External"/><Relationship Id="rId1132" Type="http://schemas.openxmlformats.org/officeDocument/2006/relationships/hyperlink" Target="https://doi.org/10.1021/acsami.6c10517" TargetMode="External"/><Relationship Id="rId1133" Type="http://schemas.openxmlformats.org/officeDocument/2006/relationships/hyperlink" Target="https://www.sciencedirect.com/science/article/pii/S0370269326006799?dgcid=rss_sd_all" TargetMode="External"/><Relationship Id="rId1134" Type="http://schemas.openxmlformats.org/officeDocument/2006/relationships/hyperlink" Target="https://doi.org/10.1016/j.physletb.2026.140828" TargetMode="External"/><Relationship Id="rId1135" Type="http://schemas.openxmlformats.org/officeDocument/2006/relationships/hyperlink" Target="https://www.nature.com/articles/s41467-026-76370-1" TargetMode="External"/><Relationship Id="rId1136" Type="http://schemas.openxmlformats.org/officeDocument/2006/relationships/hyperlink" Target="https://www.nature.com/articles/s41467-026-75288-y" TargetMode="External"/><Relationship Id="rId1137" Type="http://schemas.openxmlformats.org/officeDocument/2006/relationships/hyperlink" Target="https://www.nature.com/articles/s41467-026-76335-4" TargetMode="External"/><Relationship Id="rId1138" Type="http://schemas.openxmlformats.org/officeDocument/2006/relationships/hyperlink" Target="https://www.nature.com/articles/s41467-026-76344-3" TargetMode="External"/><Relationship Id="rId1139" Type="http://schemas.openxmlformats.org/officeDocument/2006/relationships/hyperlink" Target="https://pubs.acs.org/jacsat/article/doi/10.1021/jacs.6c10939/5243706/Photocatalytic-Activation-of-Fluoroform-for" TargetMode="External"/><Relationship Id="rId1140" Type="http://schemas.openxmlformats.org/officeDocument/2006/relationships/hyperlink" Target="https://doi.org/10.1021/jacs.6c10939" TargetMode="External"/><Relationship Id="rId1141" Type="http://schemas.openxmlformats.org/officeDocument/2006/relationships/hyperlink" Target="https://www.nature.com/articles/s41467-026-76229-5" TargetMode="External"/><Relationship Id="rId1142" Type="http://schemas.openxmlformats.org/officeDocument/2006/relationships/hyperlink" Target="https://pubs.acs.org/jacsat/article/doi/10.1021/jacs.6c07895/5243589/Lipid-Bilayer-Confined-J-Aggregation-Transduces" TargetMode="External"/><Relationship Id="rId1143" Type="http://schemas.openxmlformats.org/officeDocument/2006/relationships/hyperlink" Target="https://doi.org/10.1021/jacs.6c07895" TargetMode="External"/><Relationship Id="rId1144" Type="http://schemas.openxmlformats.org/officeDocument/2006/relationships/hyperlink" Target="https://www.nature.com/articles/s41467-026-76096-0" TargetMode="External"/><Relationship Id="rId1145" Type="http://schemas.openxmlformats.org/officeDocument/2006/relationships/hyperlink" Target="https://www.nature.com/articles/s41467-026-75752-9" TargetMode="External"/><Relationship Id="rId1146" Type="http://schemas.openxmlformats.org/officeDocument/2006/relationships/hyperlink" Target="https://www.nature.com/articles/s41467-026-75655-9" TargetMode="External"/><Relationship Id="rId1147" Type="http://schemas.openxmlformats.org/officeDocument/2006/relationships/hyperlink" Target="https://www.nature.com/articles/s41467-026-76331-8" TargetMode="External"/><Relationship Id="rId1148" Type="http://schemas.openxmlformats.org/officeDocument/2006/relationships/hyperlink" Target="https://www.nature.com/articles/s41467-026-76310-z" TargetMode="External"/><Relationship Id="rId1149" Type="http://schemas.openxmlformats.org/officeDocument/2006/relationships/hyperlink" Target="https://www.nature.com/articles/s41467-026-74899-9" TargetMode="External"/><Relationship Id="rId1150" Type="http://schemas.openxmlformats.org/officeDocument/2006/relationships/hyperlink" Target="https://pubs.acs.org/jacsat/article/doi/10.1021/jacs.6c10688/5243690/Spatial-Deconstruction-of-the-Plasma-Membrane" TargetMode="External"/><Relationship Id="rId1151" Type="http://schemas.openxmlformats.org/officeDocument/2006/relationships/hyperlink" Target="https://doi.org/10.1021/jacs.6c10688" TargetMode="External"/><Relationship Id="rId1152" Type="http://schemas.openxmlformats.org/officeDocument/2006/relationships/hyperlink" Target="https://pubs.acs.org/jacsat/article/doi/10.1021/jacs.6c04854/5243698/Chiral-N-Heterocyclic-Carbene-On-Surface-Induced" TargetMode="External"/><Relationship Id="rId1153" Type="http://schemas.openxmlformats.org/officeDocument/2006/relationships/hyperlink" Target="https://doi.org/10.1021/jacs.6c04854" TargetMode="External"/><Relationship Id="rId1154" Type="http://schemas.openxmlformats.org/officeDocument/2006/relationships/hyperlink" Target="https://pubs.acs.org/jacsat/article/doi/10.1021/jacs.6c11452/5242535/Correction-to-Nanoscale-Metal-Organic-Layers-for" TargetMode="External"/><Relationship Id="rId1155" Type="http://schemas.openxmlformats.org/officeDocument/2006/relationships/hyperlink" Target="https://doi.org/10.1021/jacs.6c11452" TargetMode="External"/><Relationship Id="rId1156" Type="http://schemas.openxmlformats.org/officeDocument/2006/relationships/hyperlink" Target="https://pubs.acs.org/jacsat/article/doi/10.1021/jacs.6c08975/5243194/Node-Assisted-Photoredox-Reactivity-Enables-MOF" TargetMode="External"/><Relationship Id="rId1157" Type="http://schemas.openxmlformats.org/officeDocument/2006/relationships/hyperlink" Target="https://doi.org/10.1021/jacs.6c08975" TargetMode="External"/><Relationship Id="rId1158" Type="http://schemas.openxmlformats.org/officeDocument/2006/relationships/hyperlink" Target="https://academic.oup.com/nsr/advance-article/doi/10.1093/nsr/nwag471/8751121?rss=1" TargetMode="External"/><Relationship Id="rId1159" Type="http://schemas.openxmlformats.org/officeDocument/2006/relationships/hyperlink" Target="https://doi.org/10.1093/nsr/nwag471" TargetMode="External"/><Relationship Id="rId1160" Type="http://schemas.openxmlformats.org/officeDocument/2006/relationships/hyperlink" Target="https://pubs.acs.org/chreay/article/doi/10.1021/acs.chemrev.5c00925/5243055/Electrical-Properties-in-Biological-Materials" TargetMode="External"/><Relationship Id="rId1161" Type="http://schemas.openxmlformats.org/officeDocument/2006/relationships/hyperlink" Target="https://doi.org/10.1021/acs.chemrev.5c00925" TargetMode="External"/><Relationship Id="rId1162" Type="http://schemas.openxmlformats.org/officeDocument/2006/relationships/hyperlink" Target="https://pubs.acs.org/chreay/article/doi/10.1021/acs.chemrev.6c00060/5243607/Membrane-Traversing-Peptides-Mechanistic" TargetMode="External"/><Relationship Id="rId1163" Type="http://schemas.openxmlformats.org/officeDocument/2006/relationships/hyperlink" Target="https://doi.org/10.1021/acs.chemrev.6c00060" TargetMode="External"/><Relationship Id="rId1164" Type="http://schemas.openxmlformats.org/officeDocument/2006/relationships/hyperlink" Target="https://pubs.acs.org/chreay/article/doi/10.1021/acs.chemrev.5c00901/5243020/From-Glycocode-to-Precision-Oncology-Therapeutic" TargetMode="External"/><Relationship Id="rId1165" Type="http://schemas.openxmlformats.org/officeDocument/2006/relationships/hyperlink" Target="https://doi.org/10.1021/acs.chemrev.5c00901" TargetMode="External"/><Relationship Id="rId1166" Type="http://schemas.openxmlformats.org/officeDocument/2006/relationships/hyperlink" Target="https://pubs.acs.org/jacsat/article/doi/10.1021/jacs.6c12291/5243581/Expanding-the-Repertoire-of-Lysosomal-Degradation" TargetMode="External"/><Relationship Id="rId1167" Type="http://schemas.openxmlformats.org/officeDocument/2006/relationships/hyperlink" Target="https://doi.org/10.1021/jacs.6c12291" TargetMode="External"/><Relationship Id="rId1168" Type="http://schemas.openxmlformats.org/officeDocument/2006/relationships/hyperlink" Target="https://pubs.acs.org/jacsat/article/doi/10.1021/jacs.6c10111/5243321/Gem-Dimethyl-Selenoketal-Suppressing-Sulfur" TargetMode="External"/><Relationship Id="rId1169" Type="http://schemas.openxmlformats.org/officeDocument/2006/relationships/hyperlink" Target="https://doi.org/10.1021/jacs.6c10111" TargetMode="External"/><Relationship Id="rId1170" Type="http://schemas.openxmlformats.org/officeDocument/2006/relationships/hyperlink" Target="https://www.nature.com/articles/s41893-026-01917-5" TargetMode="External"/><Relationship Id="rId1171" Type="http://schemas.openxmlformats.org/officeDocument/2006/relationships/hyperlink" Target="https://doi.org/10.1038/s41893-026-01917-5" TargetMode="External"/><Relationship Id="rId1172" Type="http://schemas.openxmlformats.org/officeDocument/2006/relationships/hyperlink" Target="https://www.nature.com/articles/s41558-026-02729-3" TargetMode="External"/><Relationship Id="rId1173" Type="http://schemas.openxmlformats.org/officeDocument/2006/relationships/hyperlink" Target="https://doi.org/10.1038/s41558-026-02729-3" TargetMode="External"/><Relationship Id="rId1174" Type="http://schemas.openxmlformats.org/officeDocument/2006/relationships/hyperlink" Target="https://www.nature.com/articles/s41558-026-02714-w" TargetMode="External"/><Relationship Id="rId1175" Type="http://schemas.openxmlformats.org/officeDocument/2006/relationships/hyperlink" Target="https://doi.org/10.1038/s41558-026-02714-w" TargetMode="External"/><Relationship Id="rId1176" Type="http://schemas.openxmlformats.org/officeDocument/2006/relationships/hyperlink" Target="https://www.nature.com/articles/s41558-026-02680-3" TargetMode="External"/><Relationship Id="rId1177" Type="http://schemas.openxmlformats.org/officeDocument/2006/relationships/hyperlink" Target="https://doi.org/10.1038/s41558-026-02680-3" TargetMode="External"/><Relationship Id="rId1178" Type="http://schemas.openxmlformats.org/officeDocument/2006/relationships/hyperlink" Target="https://www.nature.com/articles/s41558-026-02711-z" TargetMode="External"/><Relationship Id="rId1179" Type="http://schemas.openxmlformats.org/officeDocument/2006/relationships/hyperlink" Target="https://doi.org/10.1038/s41558-026-02711-z" TargetMode="External"/><Relationship Id="rId1180" Type="http://schemas.openxmlformats.org/officeDocument/2006/relationships/hyperlink" Target="https://pubs.acs.org/jacsat/article/doi/10.1021/jacs.6c07185/5243312/Unveiling-Temperature-Dependent-Ligand-Gating-in" TargetMode="External"/><Relationship Id="rId1181" Type="http://schemas.openxmlformats.org/officeDocument/2006/relationships/hyperlink" Target="https://doi.org/10.1021/jacs.6c07185" TargetMode="External"/><Relationship Id="rId1182" Type="http://schemas.openxmlformats.org/officeDocument/2006/relationships/hyperlink" Target="https://www.nature.com/articles/s41467-026-75685-3" TargetMode="External"/><Relationship Id="rId1183" Type="http://schemas.openxmlformats.org/officeDocument/2006/relationships/hyperlink" Target="https://pubs.acs.org/jacsat/article/doi/10.1021/jacs.6c07493/5243576/Traversing-the-Regioselectivity-of-Intermolecular" TargetMode="External"/><Relationship Id="rId1184" Type="http://schemas.openxmlformats.org/officeDocument/2006/relationships/hyperlink" Target="https://doi.org/10.1021/jacs.6c07493" TargetMode="External"/><Relationship Id="rId1185" Type="http://schemas.openxmlformats.org/officeDocument/2006/relationships/hyperlink" Target="https://www.pnas.org/doi/abs/10.1073/pnas.2602538123?mi=eymic2&amp;af=R&amp;access=on&amp;content=articlesChapters&amp;publication=pnas&amp;sortBy=Earliest&amp;target=default" TargetMode="External"/><Relationship Id="rId1186" Type="http://schemas.openxmlformats.org/officeDocument/2006/relationships/hyperlink" Target="https://doi.org/10.1073/pnas.2602538123" TargetMode="External"/><Relationship Id="rId1187" Type="http://schemas.openxmlformats.org/officeDocument/2006/relationships/hyperlink" Target="https://www.pnas.org/doi/abs/10.1073/iti3126123?mi=eymic2&amp;af=R&amp;access=on&amp;content=articlesChapters&amp;publication=pnas&amp;sortBy=Earliest&amp;target=default" TargetMode="External"/><Relationship Id="rId1188" Type="http://schemas.openxmlformats.org/officeDocument/2006/relationships/hyperlink" Target="https://doi.org/10.1073/iti3126123" TargetMode="External"/><Relationship Id="rId1189" Type="http://schemas.openxmlformats.org/officeDocument/2006/relationships/hyperlink" Target="https://www.pnas.org/doi/abs/10.1073/pnas.2536909123?mi=eymic2&amp;af=R&amp;access=on&amp;content=articlesChapters&amp;publication=pnas&amp;sortBy=Earliest&amp;target=default" TargetMode="External"/><Relationship Id="rId1190" Type="http://schemas.openxmlformats.org/officeDocument/2006/relationships/hyperlink" Target="https://doi.org/10.1073/pnas.2536909123" TargetMode="External"/><Relationship Id="rId1191" Type="http://schemas.openxmlformats.org/officeDocument/2006/relationships/hyperlink" Target="https://www.pnas.org/doi/abs/10.1073/pnas.2602724123?mi=eymic2&amp;af=R&amp;access=on&amp;content=articlesChapters&amp;publication=pnas&amp;sortBy=Earliest&amp;target=default" TargetMode="External"/><Relationship Id="rId1192" Type="http://schemas.openxmlformats.org/officeDocument/2006/relationships/hyperlink" Target="https://doi.org/10.1073/pnas.2602724123" TargetMode="External"/><Relationship Id="rId1193" Type="http://schemas.openxmlformats.org/officeDocument/2006/relationships/hyperlink" Target="https://www.pnas.org/doi/abs/10.1073/pnas.2533430123?mi=eymic2&amp;af=R&amp;access=on&amp;content=articlesChapters&amp;publication=pnas&amp;sortBy=Earliest&amp;target=default" TargetMode="External"/><Relationship Id="rId1194" Type="http://schemas.openxmlformats.org/officeDocument/2006/relationships/hyperlink" Target="https://doi.org/10.1073/pnas.2533430123" TargetMode="External"/><Relationship Id="rId1195" Type="http://schemas.openxmlformats.org/officeDocument/2006/relationships/hyperlink" Target="https://www.pnas.org/doi/abs/10.1073/pnas.2614476123?mi=eymic2&amp;af=R&amp;access=on&amp;content=articlesChapters&amp;publication=pnas&amp;sortBy=Earliest&amp;target=default" TargetMode="External"/><Relationship Id="rId1196" Type="http://schemas.openxmlformats.org/officeDocument/2006/relationships/hyperlink" Target="https://doi.org/10.1073/pnas.2614476123" TargetMode="External"/><Relationship Id="rId1197" Type="http://schemas.openxmlformats.org/officeDocument/2006/relationships/hyperlink" Target="https://www.pnas.org/doi/abs/10.1073/pnas.2618523123?mi=eymic2&amp;af=R&amp;access=on&amp;content=articlesChapters&amp;publication=pnas&amp;sortBy=Earliest&amp;target=default" TargetMode="External"/><Relationship Id="rId1198" Type="http://schemas.openxmlformats.org/officeDocument/2006/relationships/hyperlink" Target="https://doi.org/10.1073/pnas.2618523123" TargetMode="External"/><Relationship Id="rId1199" Type="http://schemas.openxmlformats.org/officeDocument/2006/relationships/hyperlink" Target="https://www.pnas.org/doi/abs/10.1073/pnas.2604094123?mi=eymic2&amp;af=R&amp;access=on&amp;content=articlesChapters&amp;publication=pnas&amp;sortBy=Earliest&amp;target=default" TargetMode="External"/><Relationship Id="rId1200" Type="http://schemas.openxmlformats.org/officeDocument/2006/relationships/hyperlink" Target="https://doi.org/10.1073/pnas.2604094123" TargetMode="External"/><Relationship Id="rId1201" Type="http://schemas.openxmlformats.org/officeDocument/2006/relationships/hyperlink" Target="https://www.pnas.org/doi/abs/10.1073/pnas.2605383123?mi=eymic2&amp;af=R&amp;access=on&amp;content=articlesChapters&amp;publication=pnas&amp;sortBy=Earliest&amp;target=default" TargetMode="External"/><Relationship Id="rId1202" Type="http://schemas.openxmlformats.org/officeDocument/2006/relationships/hyperlink" Target="https://doi.org/10.1073/pnas.2605383123" TargetMode="External"/><Relationship Id="rId1203" Type="http://schemas.openxmlformats.org/officeDocument/2006/relationships/hyperlink" Target="https://www.pnas.org/doi/abs/10.1073/pnas.2607733123?mi=eymic2&amp;af=R&amp;access=on&amp;content=articlesChapters&amp;publication=pnas&amp;sortBy=Earliest&amp;target=default" TargetMode="External"/><Relationship Id="rId1204" Type="http://schemas.openxmlformats.org/officeDocument/2006/relationships/hyperlink" Target="https://doi.org/10.1073/pnas.2607733123" TargetMode="External"/><Relationship Id="rId1205" Type="http://schemas.openxmlformats.org/officeDocument/2006/relationships/hyperlink" Target="https://www.pnas.org/doi/abs/10.1073/pnas.2602976123?mi=eymic2&amp;af=R&amp;access=on&amp;content=articlesChapters&amp;publication=pnas&amp;sortBy=Earliest&amp;target=default" TargetMode="External"/><Relationship Id="rId1206" Type="http://schemas.openxmlformats.org/officeDocument/2006/relationships/hyperlink" Target="https://doi.org/10.1073/pnas.2602976123" TargetMode="External"/><Relationship Id="rId1207" Type="http://schemas.openxmlformats.org/officeDocument/2006/relationships/hyperlink" Target="https://www.pnas.org/doi/abs/10.1073/pnas.2535274123?mi=eymic2&amp;af=R&amp;access=on&amp;content=articlesChapters&amp;publication=pnas&amp;sortBy=Earliest&amp;target=default" TargetMode="External"/><Relationship Id="rId1208" Type="http://schemas.openxmlformats.org/officeDocument/2006/relationships/hyperlink" Target="https://doi.org/10.1073/pnas.2535274123" TargetMode="External"/><Relationship Id="rId1209" Type="http://schemas.openxmlformats.org/officeDocument/2006/relationships/hyperlink" Target="https://www.pnas.org/doi/abs/10.1073/pnas.2611057123?mi=eymic2&amp;af=R&amp;access=on&amp;content=articlesChapters&amp;publication=pnas&amp;sortBy=Earliest&amp;target=default" TargetMode="External"/><Relationship Id="rId1210" Type="http://schemas.openxmlformats.org/officeDocument/2006/relationships/hyperlink" Target="https://doi.org/10.1073/pnas.2611057123" TargetMode="External"/><Relationship Id="rId1211" Type="http://schemas.openxmlformats.org/officeDocument/2006/relationships/hyperlink" Target="https://www.pnas.org/doi/abs/10.1073/pnas.2610891123?mi=eymic2&amp;af=R&amp;access=on&amp;content=articlesChapters&amp;publication=pnas&amp;sortBy=Earliest&amp;target=default" TargetMode="External"/><Relationship Id="rId1212" Type="http://schemas.openxmlformats.org/officeDocument/2006/relationships/hyperlink" Target="https://doi.org/10.1073/pnas.2610891123" TargetMode="External"/><Relationship Id="rId1213" Type="http://schemas.openxmlformats.org/officeDocument/2006/relationships/hyperlink" Target="https://www.pnas.org/doi/abs/10.1073/pnas.2610808123?mi=eymic2&amp;af=R&amp;access=on&amp;content=articlesChapters&amp;publication=pnas&amp;sortBy=Earliest&amp;target=default" TargetMode="External"/><Relationship Id="rId1214" Type="http://schemas.openxmlformats.org/officeDocument/2006/relationships/hyperlink" Target="https://doi.org/10.1073/pnas.2610808123" TargetMode="External"/><Relationship Id="rId1215" Type="http://schemas.openxmlformats.org/officeDocument/2006/relationships/hyperlink" Target="https://www.pnas.org/doi/abs/10.1073/pnas.2608703123?mi=eymic2&amp;af=R&amp;access=on&amp;content=articlesChapters&amp;publication=pnas&amp;sortBy=Earliest&amp;target=default" TargetMode="External"/><Relationship Id="rId1216" Type="http://schemas.openxmlformats.org/officeDocument/2006/relationships/hyperlink" Target="https://doi.org/10.1073/pnas.2608703123" TargetMode="External"/><Relationship Id="rId1217" Type="http://schemas.openxmlformats.org/officeDocument/2006/relationships/hyperlink" Target="https://www.pnas.org/doi/abs/10.1073/pnas.2614173123?mi=eymic2&amp;af=R&amp;access=on&amp;content=articlesChapters&amp;publication=pnas&amp;sortBy=Earliest&amp;target=default" TargetMode="External"/><Relationship Id="rId1218" Type="http://schemas.openxmlformats.org/officeDocument/2006/relationships/hyperlink" Target="https://doi.org/10.1073/pnas.2614173123" TargetMode="External"/><Relationship Id="rId1219" Type="http://schemas.openxmlformats.org/officeDocument/2006/relationships/hyperlink" Target="https://www.pnas.org/doi/abs/10.1073/pnas.2532196123?mi=eymic2&amp;af=R&amp;access=on&amp;content=articlesChapters&amp;publication=pnas&amp;sortBy=Earliest&amp;target=default" TargetMode="External"/><Relationship Id="rId1220" Type="http://schemas.openxmlformats.org/officeDocument/2006/relationships/hyperlink" Target="https://doi.org/10.1073/pnas.2532196123" TargetMode="External"/><Relationship Id="rId1221" Type="http://schemas.openxmlformats.org/officeDocument/2006/relationships/hyperlink" Target="https://www.pnas.org/doi/abs/10.1073/pnas.2608068123?mi=eymic2&amp;af=R&amp;access=on&amp;content=articlesChapters&amp;publication=pnas&amp;sortBy=Earliest&amp;target=default" TargetMode="External"/><Relationship Id="rId1222" Type="http://schemas.openxmlformats.org/officeDocument/2006/relationships/hyperlink" Target="https://doi.org/10.1073/pnas.2608068123" TargetMode="External"/><Relationship Id="rId1223" Type="http://schemas.openxmlformats.org/officeDocument/2006/relationships/hyperlink" Target="https://www.pnas.org/doi/abs/10.1073/pnas.2610287123?mi=eymic2&amp;af=R&amp;access=on&amp;content=articlesChapters&amp;publication=pnas&amp;sortBy=Earliest&amp;target=default" TargetMode="External"/><Relationship Id="rId1224" Type="http://schemas.openxmlformats.org/officeDocument/2006/relationships/hyperlink" Target="https://doi.org/10.1073/pnas.2610287123" TargetMode="External"/><Relationship Id="rId1225" Type="http://schemas.openxmlformats.org/officeDocument/2006/relationships/hyperlink" Target="http://link.aps.org/doi/10.1103/2jhb-n2rk" TargetMode="External"/><Relationship Id="rId1226" Type="http://schemas.openxmlformats.org/officeDocument/2006/relationships/hyperlink" Target="https://doi.org/10.1103/2jhb-n2rk" TargetMode="External"/><Relationship Id="rId1227" Type="http://schemas.openxmlformats.org/officeDocument/2006/relationships/hyperlink" Target="http://link.aps.org/doi/10.1103/ngxy-z1d3" TargetMode="External"/><Relationship Id="rId1228" Type="http://schemas.openxmlformats.org/officeDocument/2006/relationships/hyperlink" Target="https://doi.org/10.1103/ngxy-z1d3" TargetMode="External"/><Relationship Id="rId1229" Type="http://schemas.openxmlformats.org/officeDocument/2006/relationships/hyperlink" Target="http://link.aps.org/doi/10.1103/qfdm-pf42" TargetMode="External"/><Relationship Id="rId1230" Type="http://schemas.openxmlformats.org/officeDocument/2006/relationships/hyperlink" Target="https://doi.org/10.1103/qfdm-pf42" TargetMode="External"/><Relationship Id="rId1231" Type="http://schemas.openxmlformats.org/officeDocument/2006/relationships/hyperlink" Target="http://link.aps.org/doi/10.1103/c8pd-2fs4" TargetMode="External"/><Relationship Id="rId1232" Type="http://schemas.openxmlformats.org/officeDocument/2006/relationships/hyperlink" Target="https://doi.org/10.1103/c8pd-2fs4" TargetMode="External"/><Relationship Id="rId1233" Type="http://schemas.openxmlformats.org/officeDocument/2006/relationships/hyperlink" Target="http://link.aps.org/doi/10.1103/ms66-lg13" TargetMode="External"/><Relationship Id="rId1234" Type="http://schemas.openxmlformats.org/officeDocument/2006/relationships/hyperlink" Target="https://doi.org/10.1103/ms66-lg13" TargetMode="External"/><Relationship Id="rId1235" Type="http://schemas.openxmlformats.org/officeDocument/2006/relationships/hyperlink" Target="http://link.aps.org/doi/10.1103/18zr-mm2k" TargetMode="External"/><Relationship Id="rId1236" Type="http://schemas.openxmlformats.org/officeDocument/2006/relationships/hyperlink" Target="https://doi.org/10.1103/18zr-mm2k" TargetMode="External"/><Relationship Id="rId1237" Type="http://schemas.openxmlformats.org/officeDocument/2006/relationships/hyperlink" Target="http://link.aps.org/doi/10.1103/snm3-mb3y" TargetMode="External"/><Relationship Id="rId1238" Type="http://schemas.openxmlformats.org/officeDocument/2006/relationships/hyperlink" Target="https://doi.org/10.1103/snm3-mb3y" TargetMode="External"/><Relationship Id="rId1239" Type="http://schemas.openxmlformats.org/officeDocument/2006/relationships/hyperlink" Target="http://link.aps.org/doi/10.1103/ln8k-mlhr" TargetMode="External"/><Relationship Id="rId1240" Type="http://schemas.openxmlformats.org/officeDocument/2006/relationships/hyperlink" Target="https://doi.org/10.1103/ln8k-mlhr" TargetMode="External"/><Relationship Id="rId1241" Type="http://schemas.openxmlformats.org/officeDocument/2006/relationships/hyperlink" Target="http://link.aps.org/doi/10.1103/bp6k-8zmd" TargetMode="External"/><Relationship Id="rId1242" Type="http://schemas.openxmlformats.org/officeDocument/2006/relationships/hyperlink" Target="https://doi.org/10.1103/bp6k-8zmd" TargetMode="External"/><Relationship Id="rId1243" Type="http://schemas.openxmlformats.org/officeDocument/2006/relationships/hyperlink" Target="http://link.aps.org/doi/10.1103/8nm7-pm39" TargetMode="External"/><Relationship Id="rId1244" Type="http://schemas.openxmlformats.org/officeDocument/2006/relationships/hyperlink" Target="https://doi.org/10.1103/8nm7-pm39" TargetMode="External"/><Relationship Id="rId1245" Type="http://schemas.openxmlformats.org/officeDocument/2006/relationships/hyperlink" Target="http://link.aps.org/doi/10.1103/8l19-rdn2" TargetMode="External"/><Relationship Id="rId1246" Type="http://schemas.openxmlformats.org/officeDocument/2006/relationships/hyperlink" Target="https://doi.org/10.1103/8l19-rdn2" TargetMode="External"/><Relationship Id="rId1247" Type="http://schemas.openxmlformats.org/officeDocument/2006/relationships/hyperlink" Target="http://link.aps.org/doi/10.1103/87fn-g2j3" TargetMode="External"/><Relationship Id="rId1248" Type="http://schemas.openxmlformats.org/officeDocument/2006/relationships/hyperlink" Target="https://doi.org/10.1103/87fn-g2j3" TargetMode="External"/><Relationship Id="rId1249" Type="http://schemas.openxmlformats.org/officeDocument/2006/relationships/hyperlink" Target="http://link.aps.org/doi/10.1103/lf8d-26b6" TargetMode="External"/><Relationship Id="rId1250" Type="http://schemas.openxmlformats.org/officeDocument/2006/relationships/hyperlink" Target="https://doi.org/10.1103/lf8d-26b6" TargetMode="External"/><Relationship Id="rId1251" Type="http://schemas.openxmlformats.org/officeDocument/2006/relationships/hyperlink" Target="http://link.aps.org/doi/10.1103/331d-yqzy" TargetMode="External"/><Relationship Id="rId1252" Type="http://schemas.openxmlformats.org/officeDocument/2006/relationships/hyperlink" Target="https://doi.org/10.1103/331d-yqzy" TargetMode="External"/><Relationship Id="rId1253" Type="http://schemas.openxmlformats.org/officeDocument/2006/relationships/hyperlink" Target="https://advanced.onlinelibrary.wiley.com/doi/10.1002/adma.74435?af=R" TargetMode="External"/><Relationship Id="rId1254" Type="http://schemas.openxmlformats.org/officeDocument/2006/relationships/hyperlink" Target="https://doi.org/10.1002/adma.74435" TargetMode="External"/><Relationship Id="rId1255" Type="http://schemas.openxmlformats.org/officeDocument/2006/relationships/hyperlink" Target="https://advanced.onlinelibrary.wiley.com/doi/10.1002/adma.74451?af=R" TargetMode="External"/><Relationship Id="rId1256" Type="http://schemas.openxmlformats.org/officeDocument/2006/relationships/hyperlink" Target="https://doi.org/10.1002/adma.74451" TargetMode="External"/><Relationship Id="rId1257" Type="http://schemas.openxmlformats.org/officeDocument/2006/relationships/hyperlink" Target="https://advanced.onlinelibrary.wiley.com/doi/10.1002/adma.74488?af=R" TargetMode="External"/><Relationship Id="rId1258" Type="http://schemas.openxmlformats.org/officeDocument/2006/relationships/hyperlink" Target="https://doi.org/10.1002/adma.74488" TargetMode="External"/><Relationship Id="rId1259" Type="http://schemas.openxmlformats.org/officeDocument/2006/relationships/hyperlink" Target="https://advanced.onlinelibrary.wiley.com/doi/10.1002/adma.74472?af=R" TargetMode="External"/><Relationship Id="rId1260" Type="http://schemas.openxmlformats.org/officeDocument/2006/relationships/hyperlink" Target="https://doi.org/10.1002/adma.74472" TargetMode="External"/><Relationship Id="rId1261" Type="http://schemas.openxmlformats.org/officeDocument/2006/relationships/hyperlink" Target="https://advanced.onlinelibrary.wiley.com/doi/10.1002/adma.74519?af=R" TargetMode="External"/><Relationship Id="rId1262" Type="http://schemas.openxmlformats.org/officeDocument/2006/relationships/hyperlink" Target="https://doi.org/10.1002/adma.74519" TargetMode="External"/><Relationship Id="rId1263" Type="http://schemas.openxmlformats.org/officeDocument/2006/relationships/hyperlink" Target="https://advanced.onlinelibrary.wiley.com/doi/10.1002/adma.74462?af=R" TargetMode="External"/><Relationship Id="rId1264" Type="http://schemas.openxmlformats.org/officeDocument/2006/relationships/hyperlink" Target="https://doi.org/10.1002/adma.74462" TargetMode="External"/><Relationship Id="rId1265" Type="http://schemas.openxmlformats.org/officeDocument/2006/relationships/hyperlink" Target="https://advanced.onlinelibrary.wiley.com/doi/10.1002/adma.74439?af=R" TargetMode="External"/><Relationship Id="rId1266" Type="http://schemas.openxmlformats.org/officeDocument/2006/relationships/hyperlink" Target="https://doi.org/10.1002/adma.74439" TargetMode="External"/><Relationship Id="rId1267" Type="http://schemas.openxmlformats.org/officeDocument/2006/relationships/hyperlink" Target="https://advanced.onlinelibrary.wiley.com/doi/10.1002/adma.74421?af=R" TargetMode="External"/><Relationship Id="rId1268" Type="http://schemas.openxmlformats.org/officeDocument/2006/relationships/hyperlink" Target="https://doi.org/10.1002/adma.74421" TargetMode="External"/><Relationship Id="rId1269" Type="http://schemas.openxmlformats.org/officeDocument/2006/relationships/hyperlink" Target="https://www.sciencedirect.com/science/article/pii/S0306261926011712?dgcid=rss_sd_all" TargetMode="External"/><Relationship Id="rId1270" Type="http://schemas.openxmlformats.org/officeDocument/2006/relationships/hyperlink" Target="https://doi.org/10.1016/j.apenergy.2026.128515" TargetMode="External"/><Relationship Id="rId1271" Type="http://schemas.openxmlformats.org/officeDocument/2006/relationships/hyperlink" Target="https://www.sciencedirect.com/science/article/pii/S030626192601233X?dgcid=rss_sd_all" TargetMode="External"/><Relationship Id="rId1272" Type="http://schemas.openxmlformats.org/officeDocument/2006/relationships/hyperlink" Target="https://doi.org/10.1016/j.apenergy.2026.128577" TargetMode="External"/><Relationship Id="rId1273" Type="http://schemas.openxmlformats.org/officeDocument/2006/relationships/hyperlink" Target="https://pubs.acs.org/jacsat/article/doi/10.1021/jacs.6c11377/5243796/Overriding-Intrinsic-Site-Selectivity-in-Nickel-II" TargetMode="External"/><Relationship Id="rId1274" Type="http://schemas.openxmlformats.org/officeDocument/2006/relationships/hyperlink" Target="https://doi.org/10.1021/jacs.6c11377" TargetMode="External"/><Relationship Id="rId1275" Type="http://schemas.openxmlformats.org/officeDocument/2006/relationships/hyperlink" Target="https://www.sciencedirect.com/science/article/pii/S0306261926011931?dgcid=rss_sd_all" TargetMode="External"/><Relationship Id="rId1276" Type="http://schemas.openxmlformats.org/officeDocument/2006/relationships/hyperlink" Target="https://doi.org/10.1016/j.apenergy.2026.128537" TargetMode="External"/><Relationship Id="rId1277" Type="http://schemas.openxmlformats.org/officeDocument/2006/relationships/hyperlink" Target="https://pubs.acs.org/jacsat/article/doi/10.1021/jacs.6c07797/5243812/Alternating-Copolymerization-of-Cyclobutenes-and" TargetMode="External"/><Relationship Id="rId1278" Type="http://schemas.openxmlformats.org/officeDocument/2006/relationships/hyperlink" Target="https://doi.org/10.1021/jacs.6c07797" TargetMode="External"/><Relationship Id="rId1279" Type="http://schemas.openxmlformats.org/officeDocument/2006/relationships/hyperlink" Target="https://pubs.acs.org/jacsat/article/doi/10.1021/jacs.6c09364/5245062/Universal-Metal-Free-Deborylation-Deuteration-via" TargetMode="External"/><Relationship Id="rId1280" Type="http://schemas.openxmlformats.org/officeDocument/2006/relationships/hyperlink" Target="https://doi.org/10.1021/jacs.6c09364" TargetMode="External"/><Relationship Id="rId1281" Type="http://schemas.openxmlformats.org/officeDocument/2006/relationships/hyperlink" Target="https://pubs.acs.org/jacsat/article/doi/10.1021/jacs.6c08320/5246554/Dynamic-Covalent-Functionalization-of-DNA-Origami" TargetMode="External"/><Relationship Id="rId1282" Type="http://schemas.openxmlformats.org/officeDocument/2006/relationships/hyperlink" Target="https://doi.org/10.1021/jacs.6c08320" TargetMode="External"/><Relationship Id="rId1283" Type="http://schemas.openxmlformats.org/officeDocument/2006/relationships/hyperlink" Target="https://pubs.acs.org/jacsat/article/doi/10.1021/jacs.6c09548/5243807/A-Bioorthogonal-Desilylation-System-Potentiates" TargetMode="External"/><Relationship Id="rId1284" Type="http://schemas.openxmlformats.org/officeDocument/2006/relationships/hyperlink" Target="https://doi.org/10.1021/jacs.6c09548" TargetMode="External"/><Relationship Id="rId1285" Type="http://schemas.openxmlformats.org/officeDocument/2006/relationships/hyperlink" Target="https://pubs.acs.org/jacsat/article/doi/10.1021/jacs.6c08298/5244572/Endowing-Centrosymmetric-Oxides-with-Effective" TargetMode="External"/><Relationship Id="rId1286" Type="http://schemas.openxmlformats.org/officeDocument/2006/relationships/hyperlink" Target="https://doi.org/10.1021/jacs.6c08298" TargetMode="External"/><Relationship Id="rId1287" Type="http://schemas.openxmlformats.org/officeDocument/2006/relationships/hyperlink" Target="https://pubs.acs.org/jacsat/article/doi/10.1021/jacs.6c07593/5245217/De-Novo-Designed-Bifunctional-Proteins-for" TargetMode="External"/><Relationship Id="rId1288" Type="http://schemas.openxmlformats.org/officeDocument/2006/relationships/hyperlink" Target="https://doi.org/10.1021/jacs.6c07593" TargetMode="External"/><Relationship Id="rId1289" Type="http://schemas.openxmlformats.org/officeDocument/2006/relationships/hyperlink" Target="https://pubs.acs.org/jacsat/article/doi/10.1021/jacs.6c10817/5246476/An-Ortho-B-B-Fused-All-Six-Membered-BN-7-Helicene" TargetMode="External"/><Relationship Id="rId1290" Type="http://schemas.openxmlformats.org/officeDocument/2006/relationships/hyperlink" Target="https://doi.org/10.1021/jacs.6c10817" TargetMode="External"/><Relationship Id="rId1291" Type="http://schemas.openxmlformats.org/officeDocument/2006/relationships/hyperlink" Target="https://pubs.acs.org/jacsat/article/doi/10.1021/jacs.6c10840/5246540/Iron-Catalyzed-Dealkenylative-Borylation-of" TargetMode="External"/><Relationship Id="rId1292" Type="http://schemas.openxmlformats.org/officeDocument/2006/relationships/hyperlink" Target="https://doi.org/10.1021/jacs.6c10840" TargetMode="External"/><Relationship Id="rId1293" Type="http://schemas.openxmlformats.org/officeDocument/2006/relationships/hyperlink" Target="https://pubs.acs.org/jacsat/article/doi/10.1021/jacs.6c05693/5245348/Spectroscopic-Tracking-of-Size-Selectivity-in" TargetMode="External"/><Relationship Id="rId1294" Type="http://schemas.openxmlformats.org/officeDocument/2006/relationships/hyperlink" Target="https://doi.org/10.1021/jacs.6c05693" TargetMode="External"/><Relationship Id="rId1295" Type="http://schemas.openxmlformats.org/officeDocument/2006/relationships/hyperlink" Target="https://pubs.acs.org/jacsat/article/doi/10.1021/jacs.6c09417/5246467/Nickel-I-in-an-All-Ferric-NiFeS-Cluster" TargetMode="External"/><Relationship Id="rId1296" Type="http://schemas.openxmlformats.org/officeDocument/2006/relationships/hyperlink" Target="https://doi.org/10.1021/jacs.6c09417" TargetMode="External"/><Relationship Id="rId1297" Type="http://schemas.openxmlformats.org/officeDocument/2006/relationships/hyperlink" Target="https://pubs.acs.org/jacsat/article/doi/10.1021/jacs.6c08313/5243797/Tunable-Chiral-D4-Symmetric-Phthalocyanines-with" TargetMode="External"/><Relationship Id="rId1298" Type="http://schemas.openxmlformats.org/officeDocument/2006/relationships/hyperlink" Target="https://doi.org/10.1021/jacs.6c08313" TargetMode="External"/><Relationship Id="rId1299" Type="http://schemas.openxmlformats.org/officeDocument/2006/relationships/hyperlink" Target="https://pubs.acs.org/jacsat/article/doi/10.1021/jacs.6c09712/5246546/Synergistic-Copper-Organoboron-Activation-of" TargetMode="External"/><Relationship Id="rId1300" Type="http://schemas.openxmlformats.org/officeDocument/2006/relationships/hyperlink" Target="https://doi.org/10.1021/jacs.6c09712" TargetMode="External"/><Relationship Id="rId1301" Type="http://schemas.openxmlformats.org/officeDocument/2006/relationships/hyperlink" Target="https://pubs.acs.org/jacsat/article/doi/10.1021/jacs.6c09131/5246512/Stereoselectivity-of-Galactosylation-Reactions-In" TargetMode="External"/><Relationship Id="rId1302" Type="http://schemas.openxmlformats.org/officeDocument/2006/relationships/hyperlink" Target="https://doi.org/10.1021/jacs.6c09131" TargetMode="External"/><Relationship Id="rId1303" Type="http://schemas.openxmlformats.org/officeDocument/2006/relationships/hyperlink" Target="https://www.nature.com/articles/s41586-026-10963-0" TargetMode="External"/><Relationship Id="rId1304" Type="http://schemas.openxmlformats.org/officeDocument/2006/relationships/hyperlink" Target="https://doi.org/10.1038/s41586-026-10963-0" TargetMode="External"/><Relationship Id="rId1305" Type="http://schemas.openxmlformats.org/officeDocument/2006/relationships/hyperlink" Target="https://www.nature.com/articles/s41586-026-10883-z" TargetMode="External"/><Relationship Id="rId1306" Type="http://schemas.openxmlformats.org/officeDocument/2006/relationships/hyperlink" Target="https://doi.org/10.1038/s41586-026-10883-z" TargetMode="External"/><Relationship Id="rId1307" Type="http://schemas.openxmlformats.org/officeDocument/2006/relationships/hyperlink" Target="https://www.nature.com/articles/s41586-026-10890-0" TargetMode="External"/><Relationship Id="rId1308" Type="http://schemas.openxmlformats.org/officeDocument/2006/relationships/hyperlink" Target="https://doi.org/10.1038/s41586-026-10890-0" TargetMode="External"/><Relationship Id="rId1309" Type="http://schemas.openxmlformats.org/officeDocument/2006/relationships/hyperlink" Target="https://www.nature.com/articles/s41586-026-10843-7" TargetMode="External"/><Relationship Id="rId1310" Type="http://schemas.openxmlformats.org/officeDocument/2006/relationships/hyperlink" Target="https://doi.org/10.1038/s41586-026-10843-7" TargetMode="External"/><Relationship Id="rId1311" Type="http://schemas.openxmlformats.org/officeDocument/2006/relationships/hyperlink" Target="https://www.nature.com/articles/s41586-026-10822-y" TargetMode="External"/><Relationship Id="rId1312" Type="http://schemas.openxmlformats.org/officeDocument/2006/relationships/hyperlink" Target="https://doi.org/10.1038/s41586-026-10822-y" TargetMode="External"/><Relationship Id="rId1313" Type="http://schemas.openxmlformats.org/officeDocument/2006/relationships/hyperlink" Target="https://www.nature.com/articles/s41586-026-10865-1" TargetMode="External"/><Relationship Id="rId1314" Type="http://schemas.openxmlformats.org/officeDocument/2006/relationships/hyperlink" Target="https://doi.org/10.1038/s41586-026-10865-1" TargetMode="External"/><Relationship Id="rId1315" Type="http://schemas.openxmlformats.org/officeDocument/2006/relationships/hyperlink" Target="https://www.nature.com/articles/d41586-026-02440-5" TargetMode="External"/><Relationship Id="rId1316" Type="http://schemas.openxmlformats.org/officeDocument/2006/relationships/hyperlink" Target="https://doi.org/10.1038/d41586-026-02440-5" TargetMode="External"/><Relationship Id="rId1317" Type="http://schemas.openxmlformats.org/officeDocument/2006/relationships/hyperlink" Target="https://www.nature.com/articles/d41586-026-02438-z" TargetMode="External"/><Relationship Id="rId1318" Type="http://schemas.openxmlformats.org/officeDocument/2006/relationships/hyperlink" Target="https://doi.org/10.1038/d41586-026-02438-z" TargetMode="External"/><Relationship Id="rId1319" Type="http://schemas.openxmlformats.org/officeDocument/2006/relationships/hyperlink" Target="https://www.nature.com/articles/d41586-026-02386-8" TargetMode="External"/><Relationship Id="rId1320" Type="http://schemas.openxmlformats.org/officeDocument/2006/relationships/hyperlink" Target="https://doi.org/10.1038/d41586-026-02386-8" TargetMode="External"/><Relationship Id="rId1321" Type="http://schemas.openxmlformats.org/officeDocument/2006/relationships/hyperlink" Target="https://www.nature.com/articles/d41586-026-02327-5" TargetMode="External"/><Relationship Id="rId1322" Type="http://schemas.openxmlformats.org/officeDocument/2006/relationships/hyperlink" Target="https://doi.org/10.1038/d41586-026-02327-5" TargetMode="External"/><Relationship Id="rId1323" Type="http://schemas.openxmlformats.org/officeDocument/2006/relationships/hyperlink" Target="https://www.nature.com/articles/d41586-026-02289-8" TargetMode="External"/><Relationship Id="rId1324" Type="http://schemas.openxmlformats.org/officeDocument/2006/relationships/hyperlink" Target="https://doi.org/10.1038/d41586-026-02289-8" TargetMode="External"/><Relationship Id="rId1325" Type="http://schemas.openxmlformats.org/officeDocument/2006/relationships/hyperlink" Target="https://www.nature.com/articles/d41586-026-01772-6" TargetMode="External"/><Relationship Id="rId1326" Type="http://schemas.openxmlformats.org/officeDocument/2006/relationships/hyperlink" Target="https://doi.org/10.1038/d41586-026-01772-6" TargetMode="External"/><Relationship Id="rId1327" Type="http://schemas.openxmlformats.org/officeDocument/2006/relationships/hyperlink" Target="https://www.nature.com/articles/s41586-026-10864-2" TargetMode="External"/><Relationship Id="rId1328" Type="http://schemas.openxmlformats.org/officeDocument/2006/relationships/hyperlink" Target="https://doi.org/10.1038/s41586-026-10864-2" TargetMode="External"/><Relationship Id="rId1329" Type="http://schemas.openxmlformats.org/officeDocument/2006/relationships/hyperlink" Target="https://www.nature.com/articles/s41586-026-10885-x" TargetMode="External"/><Relationship Id="rId1330" Type="http://schemas.openxmlformats.org/officeDocument/2006/relationships/hyperlink" Target="https://doi.org/10.1038/s41586-026-10885-x" TargetMode="External"/><Relationship Id="rId1331" Type="http://schemas.openxmlformats.org/officeDocument/2006/relationships/hyperlink" Target="https://www.nature.com/articles/s41586-026-10859-z" TargetMode="External"/><Relationship Id="rId1332" Type="http://schemas.openxmlformats.org/officeDocument/2006/relationships/hyperlink" Target="https://doi.org/10.1038/s41586-026-10859-z" TargetMode="External"/><Relationship Id="rId1333" Type="http://schemas.openxmlformats.org/officeDocument/2006/relationships/hyperlink" Target="https://www.nature.com/articles/s41586-026-10887-9" TargetMode="External"/><Relationship Id="rId1334" Type="http://schemas.openxmlformats.org/officeDocument/2006/relationships/hyperlink" Target="https://doi.org/10.1038/s41586-026-10887-9" TargetMode="External"/><Relationship Id="rId1335" Type="http://schemas.openxmlformats.org/officeDocument/2006/relationships/hyperlink" Target="https://www.nature.com/articles/s41586-026-10874-0" TargetMode="External"/><Relationship Id="rId1336" Type="http://schemas.openxmlformats.org/officeDocument/2006/relationships/hyperlink" Target="https://doi.org/10.1038/s41586-026-10874-0" TargetMode="External"/><Relationship Id="rId1337" Type="http://schemas.openxmlformats.org/officeDocument/2006/relationships/hyperlink" Target="https://www.nature.com/articles/s41586-026-10873-1" TargetMode="External"/><Relationship Id="rId1338" Type="http://schemas.openxmlformats.org/officeDocument/2006/relationships/hyperlink" Target="https://doi.org/10.1038/s41586-026-10873-1" TargetMode="External"/><Relationship Id="rId1339" Type="http://schemas.openxmlformats.org/officeDocument/2006/relationships/hyperlink" Target="https://www.nature.com/articles/s41586-026-10899-5" TargetMode="External"/><Relationship Id="rId1340" Type="http://schemas.openxmlformats.org/officeDocument/2006/relationships/hyperlink" Target="https://doi.org/10.1038/s41586-026-10899-5" TargetMode="External"/><Relationship Id="rId1341" Type="http://schemas.openxmlformats.org/officeDocument/2006/relationships/hyperlink" Target="https://www.nature.com/articles/s41586-026-10875-z" TargetMode="External"/><Relationship Id="rId1342" Type="http://schemas.openxmlformats.org/officeDocument/2006/relationships/hyperlink" Target="https://doi.org/10.1038/s41586-026-10875-z" TargetMode="External"/><Relationship Id="rId1343" Type="http://schemas.openxmlformats.org/officeDocument/2006/relationships/hyperlink" Target="https://www.nature.com/articles/s41586-026-10740-z" TargetMode="External"/><Relationship Id="rId1344" Type="http://schemas.openxmlformats.org/officeDocument/2006/relationships/hyperlink" Target="https://doi.org/10.1038/s41586-026-10740-z" TargetMode="External"/><Relationship Id="rId1345" Type="http://schemas.openxmlformats.org/officeDocument/2006/relationships/hyperlink" Target="https://www.nature.com/articles/s41586-026-10884-y" TargetMode="External"/><Relationship Id="rId1346" Type="http://schemas.openxmlformats.org/officeDocument/2006/relationships/hyperlink" Target="https://doi.org/10.1038/s41586-026-10884-y" TargetMode="External"/><Relationship Id="rId1347" Type="http://schemas.openxmlformats.org/officeDocument/2006/relationships/hyperlink" Target="https://www.nature.com/articles/s41586-026-10860-6" TargetMode="External"/><Relationship Id="rId1348" Type="http://schemas.openxmlformats.org/officeDocument/2006/relationships/hyperlink" Target="https://doi.org/10.1038/s41586-026-10860-6" TargetMode="External"/><Relationship Id="rId1349" Type="http://schemas.openxmlformats.org/officeDocument/2006/relationships/hyperlink" Target="https://www.nature.com/articles/s41586-026-10806-y" TargetMode="External"/><Relationship Id="rId1350" Type="http://schemas.openxmlformats.org/officeDocument/2006/relationships/hyperlink" Target="https://doi.org/10.1038/s41586-026-10806-y" TargetMode="External"/><Relationship Id="rId1351" Type="http://schemas.openxmlformats.org/officeDocument/2006/relationships/hyperlink" Target="https://www.nature.com/articles/s41586-026-10879-9" TargetMode="External"/><Relationship Id="rId1352" Type="http://schemas.openxmlformats.org/officeDocument/2006/relationships/hyperlink" Target="https://doi.org/10.1038/s41586-026-10879-9" TargetMode="External"/><Relationship Id="rId1353" Type="http://schemas.openxmlformats.org/officeDocument/2006/relationships/hyperlink" Target="https://www.nature.com/articles/d41586-026-02443-2" TargetMode="External"/><Relationship Id="rId1354" Type="http://schemas.openxmlformats.org/officeDocument/2006/relationships/hyperlink" Target="https://doi.org/10.1038/d41586-026-02443-2" TargetMode="External"/><Relationship Id="rId1355" Type="http://schemas.openxmlformats.org/officeDocument/2006/relationships/hyperlink" Target="https://www.nature.com/articles/d41586-026-02391-x" TargetMode="External"/><Relationship Id="rId1356" Type="http://schemas.openxmlformats.org/officeDocument/2006/relationships/hyperlink" Target="https://doi.org/10.1038/d41586-026-02391-x" TargetMode="External"/><Relationship Id="rId1357" Type="http://schemas.openxmlformats.org/officeDocument/2006/relationships/hyperlink" Target="https://www.nature.com/articles/d41586-026-02439-y" TargetMode="External"/><Relationship Id="rId1358" Type="http://schemas.openxmlformats.org/officeDocument/2006/relationships/hyperlink" Target="https://doi.org/10.1038/d41586-026-02439-y" TargetMode="External"/><Relationship Id="rId1359" Type="http://schemas.openxmlformats.org/officeDocument/2006/relationships/hyperlink" Target="https://www.nature.com/articles/d41586-026-02444-1" TargetMode="External"/><Relationship Id="rId1360" Type="http://schemas.openxmlformats.org/officeDocument/2006/relationships/hyperlink" Target="https://doi.org/10.1038/d41586-026-02444-1" TargetMode="External"/><Relationship Id="rId1361" Type="http://schemas.openxmlformats.org/officeDocument/2006/relationships/hyperlink" Target="https://www.nature.com/articles/s41586-026-10798-9" TargetMode="External"/><Relationship Id="rId1362" Type="http://schemas.openxmlformats.org/officeDocument/2006/relationships/hyperlink" Target="https://doi.org/10.1038/s41586-026-10798-9" TargetMode="External"/><Relationship Id="rId1363" Type="http://schemas.openxmlformats.org/officeDocument/2006/relationships/hyperlink" Target="https://www.nature.com/articles/s41586-026-10871-3" TargetMode="External"/><Relationship Id="rId1364" Type="http://schemas.openxmlformats.org/officeDocument/2006/relationships/hyperlink" Target="https://doi.org/10.1038/s41586-026-10871-3" TargetMode="External"/><Relationship Id="rId1365" Type="http://schemas.openxmlformats.org/officeDocument/2006/relationships/hyperlink" Target="https://www.nature.com/articles/s41586-026-10830-y" TargetMode="External"/><Relationship Id="rId1366" Type="http://schemas.openxmlformats.org/officeDocument/2006/relationships/hyperlink" Target="https://doi.org/10.1038/s41586-026-10830-y" TargetMode="External"/><Relationship Id="rId1367" Type="http://schemas.openxmlformats.org/officeDocument/2006/relationships/hyperlink" Target="https://pubs.acs.org/jacsat/article/doi/10.1021/jacs.6c08430/5245366/Harnessing-Reaction-Driven-Structural-Evolution-of" TargetMode="External"/><Relationship Id="rId1368" Type="http://schemas.openxmlformats.org/officeDocument/2006/relationships/hyperlink" Target="https://doi.org/10.1021/jacs.6c08430" TargetMode="External"/><Relationship Id="rId1369" Type="http://schemas.openxmlformats.org/officeDocument/2006/relationships/hyperlink" Target="https://www.nature.com/articles/s41467-026-76330-9" TargetMode="External"/><Relationship Id="rId1370" Type="http://schemas.openxmlformats.org/officeDocument/2006/relationships/hyperlink" Target="https://www.nature.com/articles/s41467-026-75834-8" TargetMode="External"/><Relationship Id="rId1371" Type="http://schemas.openxmlformats.org/officeDocument/2006/relationships/hyperlink" Target="https://www.nature.com/articles/s41467-026-76403-9" TargetMode="External"/><Relationship Id="rId1372" Type="http://schemas.openxmlformats.org/officeDocument/2006/relationships/hyperlink" Target="https://academic.oup.com/nsr/advance-article/doi/10.1093/nsr/nwag474/8752638?rss=1" TargetMode="External"/><Relationship Id="rId1373" Type="http://schemas.openxmlformats.org/officeDocument/2006/relationships/hyperlink" Target="https://doi.org/10.1093/nsr/nwag474" TargetMode="External"/><Relationship Id="rId1374" Type="http://schemas.openxmlformats.org/officeDocument/2006/relationships/hyperlink" Target="https://academic.oup.com/nsr/advance-article/doi/10.1093/nsr/nwag468/8752643?rss=1" TargetMode="External"/><Relationship Id="rId1375" Type="http://schemas.openxmlformats.org/officeDocument/2006/relationships/hyperlink" Target="https://doi.org/10.1093/nsr/nwag468" TargetMode="External"/><Relationship Id="rId1376" Type="http://schemas.openxmlformats.org/officeDocument/2006/relationships/hyperlink" Target="https://academic.oup.com/nsr/advance-article/doi/10.1093/nsr/nwag473/8752645?rss=1" TargetMode="External"/><Relationship Id="rId1377" Type="http://schemas.openxmlformats.org/officeDocument/2006/relationships/hyperlink" Target="https://doi.org/10.1093/nsr/nwag473" TargetMode="External"/><Relationship Id="rId1378" Type="http://schemas.openxmlformats.org/officeDocument/2006/relationships/hyperlink" Target="https://www.nature.com/articles/s41467-026-76449-9" TargetMode="External"/><Relationship Id="rId1379" Type="http://schemas.openxmlformats.org/officeDocument/2006/relationships/hyperlink" Target="https://www.nature.com/articles/s41565-026-02222-0" TargetMode="External"/><Relationship Id="rId1380" Type="http://schemas.openxmlformats.org/officeDocument/2006/relationships/hyperlink" Target="https://doi.org/10.1038/s41565-026-02222-0" TargetMode="External"/><Relationship Id="rId1381" Type="http://schemas.openxmlformats.org/officeDocument/2006/relationships/hyperlink" Target="https://www.nature.com/articles/s41563-026-02674-8" TargetMode="External"/><Relationship Id="rId1382" Type="http://schemas.openxmlformats.org/officeDocument/2006/relationships/hyperlink" Target="https://doi.org/10.1038/s41563-026-02674-8" TargetMode="External"/><Relationship Id="rId1383" Type="http://schemas.openxmlformats.org/officeDocument/2006/relationships/hyperlink" Target="https://www.nature.com/articles/s41565-026-02240-y" TargetMode="External"/><Relationship Id="rId1384" Type="http://schemas.openxmlformats.org/officeDocument/2006/relationships/hyperlink" Target="https://doi.org/10.1038/s41565-026-02240-y" TargetMode="External"/><Relationship Id="rId1385" Type="http://schemas.openxmlformats.org/officeDocument/2006/relationships/hyperlink" Target="https://www.nature.com/articles/s41467-026-76245-5" TargetMode="External"/><Relationship Id="rId1386" Type="http://schemas.openxmlformats.org/officeDocument/2006/relationships/hyperlink" Target="https://www.nature.com/articles/s41467-026-76324-7" TargetMode="External"/><Relationship Id="rId1387" Type="http://schemas.openxmlformats.org/officeDocument/2006/relationships/hyperlink" Target="https://pubs.acs.org/aamick/article/doi/10.1021/acsami.6c12263/5246541/Low-Resistivity-Scaling-of-RuAl-Based-Medium-to" TargetMode="External"/><Relationship Id="rId1388" Type="http://schemas.openxmlformats.org/officeDocument/2006/relationships/hyperlink" Target="https://doi.org/10.1021/acsami.6c12263" TargetMode="External"/><Relationship Id="rId1389" Type="http://schemas.openxmlformats.org/officeDocument/2006/relationships/hyperlink" Target="https://pubs.acs.org/aamick/article/doi/10.1021/acsami.6c04754/5244701/Enabling-High-Temperature-Operation-in-All" TargetMode="External"/><Relationship Id="rId1390" Type="http://schemas.openxmlformats.org/officeDocument/2006/relationships/hyperlink" Target="https://doi.org/10.1021/acsami.6c04754" TargetMode="External"/><Relationship Id="rId1391" Type="http://schemas.openxmlformats.org/officeDocument/2006/relationships/hyperlink" Target="https://pubs.acs.org/aamick/article/doi/10.1021/acsami.6c08302/5244918/Amyloid-Reinforced-Hyaluronic-Acid-Composite" TargetMode="External"/><Relationship Id="rId1392" Type="http://schemas.openxmlformats.org/officeDocument/2006/relationships/hyperlink" Target="https://doi.org/10.1021/acsami.6c08302" TargetMode="External"/><Relationship Id="rId1393" Type="http://schemas.openxmlformats.org/officeDocument/2006/relationships/hyperlink" Target="https://www.nature.com/articles/s41467-026-76233-9" TargetMode="External"/><Relationship Id="rId1394" Type="http://schemas.openxmlformats.org/officeDocument/2006/relationships/hyperlink" Target="https://pubs.acs.org/aamick/article/doi/10.1021/acsami.6c08414/5246492/Molecular-Edge-Layer-Engineering-Suppresses" TargetMode="External"/><Relationship Id="rId1395" Type="http://schemas.openxmlformats.org/officeDocument/2006/relationships/hyperlink" Target="https://doi.org/10.1021/acsami.6c08414" TargetMode="External"/><Relationship Id="rId1396" Type="http://schemas.openxmlformats.org/officeDocument/2006/relationships/hyperlink" Target="https://pubs.acs.org/aamick/article/doi/10.1021/acsami.6c12817/5245226/Dynamic-Boronic-Ester-Based-Photonic-Elastomers" TargetMode="External"/><Relationship Id="rId1397" Type="http://schemas.openxmlformats.org/officeDocument/2006/relationships/hyperlink" Target="https://doi.org/10.1021/acsami.6c12817" TargetMode="External"/><Relationship Id="rId1398" Type="http://schemas.openxmlformats.org/officeDocument/2006/relationships/hyperlink" Target="https://pubs.acs.org/aamick/article/doi/10.1021/acsami.6c05978/5243821/Co-Cu-Bimetallic-ZIF-67-PDA-Based-Fabrics-Trimodal" TargetMode="External"/><Relationship Id="rId1399" Type="http://schemas.openxmlformats.org/officeDocument/2006/relationships/hyperlink" Target="https://doi.org/10.1021/acsami.6c05978" TargetMode="External"/><Relationship Id="rId1400" Type="http://schemas.openxmlformats.org/officeDocument/2006/relationships/hyperlink" Target="https://pubs.acs.org/aamick/article/doi/10.1021/acsami.6c10984/5243826/Isoreticular-Nonmetal-Organic-Frameworks-N-MOFs-as" TargetMode="External"/><Relationship Id="rId1401" Type="http://schemas.openxmlformats.org/officeDocument/2006/relationships/hyperlink" Target="https://doi.org/10.1021/acsami.6c10984" TargetMode="External"/><Relationship Id="rId1402" Type="http://schemas.openxmlformats.org/officeDocument/2006/relationships/hyperlink" Target="https://www.nature.com/articles/s41467-026-76268-y" TargetMode="External"/><Relationship Id="rId1403" Type="http://schemas.openxmlformats.org/officeDocument/2006/relationships/hyperlink" Target="https://pubs.acs.org/aamick/article/doi/10.1021/acsami.6c10699/5245193/Solvent-Exchange-Assisted-Wet-Annealing-and" TargetMode="External"/><Relationship Id="rId1404" Type="http://schemas.openxmlformats.org/officeDocument/2006/relationships/hyperlink" Target="https://doi.org/10.1021/acsami.6c10699" TargetMode="External"/><Relationship Id="rId1405" Type="http://schemas.openxmlformats.org/officeDocument/2006/relationships/hyperlink" Target="https://www.nature.com/articles/s41467-026-76371-0" TargetMode="External"/><Relationship Id="rId1406" Type="http://schemas.openxmlformats.org/officeDocument/2006/relationships/hyperlink" Target="https://www.nature.com/articles/s41467-026-76149-4" TargetMode="External"/><Relationship Id="rId1407" Type="http://schemas.openxmlformats.org/officeDocument/2006/relationships/hyperlink" Target="https://www.nature.com/articles/s41467-026-75815-x" TargetMode="External"/><Relationship Id="rId1408" Type="http://schemas.openxmlformats.org/officeDocument/2006/relationships/hyperlink" Target="https://www.nature.com/articles/s41467-026-75846-4" TargetMode="External"/><Relationship Id="rId1409" Type="http://schemas.openxmlformats.org/officeDocument/2006/relationships/hyperlink" Target="https://www.nature.com/articles/s41467-026-76111-4" TargetMode="External"/><Relationship Id="rId1410" Type="http://schemas.openxmlformats.org/officeDocument/2006/relationships/hyperlink" Target="https://www.nature.com/articles/s41467-026-75636-y" TargetMode="External"/><Relationship Id="rId1411" Type="http://schemas.openxmlformats.org/officeDocument/2006/relationships/hyperlink" Target="https://www.nature.com/articles/s41467-026-76445-z" TargetMode="External"/><Relationship Id="rId1412" Type="http://schemas.openxmlformats.org/officeDocument/2006/relationships/hyperlink" Target="https://www.nature.com/articles/s41467-026-76089-z" TargetMode="External"/><Relationship Id="rId1413" Type="http://schemas.openxmlformats.org/officeDocument/2006/relationships/hyperlink" Target="https://www.nature.com/articles/s41467-026-76219-7" TargetMode="External"/><Relationship Id="rId1414" Type="http://schemas.openxmlformats.org/officeDocument/2006/relationships/hyperlink" Target="https://www.nature.com/articles/s41467-026-75936-3" TargetMode="External"/><Relationship Id="rId1415" Type="http://schemas.openxmlformats.org/officeDocument/2006/relationships/hyperlink" Target="https://www.nature.com/articles/s41467-026-76139-6" TargetMode="External"/><Relationship Id="rId1416" Type="http://schemas.openxmlformats.org/officeDocument/2006/relationships/hyperlink" Target="https://www.nature.com/articles/s41467-026-76273-1" TargetMode="External"/><Relationship Id="rId1417" Type="http://schemas.openxmlformats.org/officeDocument/2006/relationships/hyperlink" Target="https://www.nature.com/articles/s41467-026-76196-x" TargetMode="External"/><Relationship Id="rId1418" Type="http://schemas.openxmlformats.org/officeDocument/2006/relationships/hyperlink" Target="https://pubs.acs.org/chreay/article/doi/10.1021/acs.chemrev.6c00098/5246506/Computational-Mass-Spectrometry-Imaging-in-the-Era" TargetMode="External"/><Relationship Id="rId1419" Type="http://schemas.openxmlformats.org/officeDocument/2006/relationships/hyperlink" Target="https://doi.org/10.1021/acs.chemrev.6c00098" TargetMode="External"/><Relationship Id="rId1420" Type="http://schemas.openxmlformats.org/officeDocument/2006/relationships/hyperlink" Target="https://www.nature.com/articles/s41467-026-76102-5" TargetMode="External"/><Relationship Id="rId1421" Type="http://schemas.openxmlformats.org/officeDocument/2006/relationships/hyperlink" Target="https://www.nature.com/articles/s41467-026-76261-5" TargetMode="External"/><Relationship Id="rId1422" Type="http://schemas.openxmlformats.org/officeDocument/2006/relationships/hyperlink" Target="https://www.nature.com/articles/s41467-026-76291-z" TargetMode="External"/><Relationship Id="rId1423" Type="http://schemas.openxmlformats.org/officeDocument/2006/relationships/hyperlink" Target="https://www.nature.com/articles/s41467-026-75979-6" TargetMode="External"/><Relationship Id="rId1424" Type="http://schemas.openxmlformats.org/officeDocument/2006/relationships/hyperlink" Target="https://www.nature.com/articles/s41467-026-76447-x" TargetMode="External"/><Relationship Id="rId1425" Type="http://schemas.openxmlformats.org/officeDocument/2006/relationships/hyperlink" Target="https://www.nature.com/articles/s41467-026-76364-z" TargetMode="External"/><Relationship Id="rId1426" Type="http://schemas.openxmlformats.org/officeDocument/2006/relationships/hyperlink" Target="https://www.nature.com/articles/s41467-026-76460-0" TargetMode="External"/><Relationship Id="rId1427" Type="http://schemas.openxmlformats.org/officeDocument/2006/relationships/hyperlink" Target="https://www.nature.com/articles/s41467-026-75981-y" TargetMode="External"/><Relationship Id="rId1428" Type="http://schemas.openxmlformats.org/officeDocument/2006/relationships/hyperlink" Target="https://advanced.onlinelibrary.wiley.com/doi/10.1002/adma.73896?af=R" TargetMode="External"/><Relationship Id="rId1429" Type="http://schemas.openxmlformats.org/officeDocument/2006/relationships/hyperlink" Target="https://doi.org/10.1002/adma.73896" TargetMode="External"/><Relationship Id="rId1430" Type="http://schemas.openxmlformats.org/officeDocument/2006/relationships/hyperlink" Target="https://advanced.onlinelibrary.wiley.com/doi/10.1002/adma.74492?af=R" TargetMode="External"/><Relationship Id="rId1431" Type="http://schemas.openxmlformats.org/officeDocument/2006/relationships/hyperlink" Target="https://doi.org/10.1002/adma.74492" TargetMode="External"/><Relationship Id="rId1432" Type="http://schemas.openxmlformats.org/officeDocument/2006/relationships/hyperlink" Target="https://www.science.org/doi/abs/10.1126/sciadv.aef3128?af=R" TargetMode="External"/><Relationship Id="rId1433" Type="http://schemas.openxmlformats.org/officeDocument/2006/relationships/hyperlink" Target="https://doi.org/10.1126/sciadv.aef3128" TargetMode="External"/><Relationship Id="rId1434" Type="http://schemas.openxmlformats.org/officeDocument/2006/relationships/hyperlink" Target="https://www.science.org/doi/abs/10.1126/sciadv.aeg0515?af=R" TargetMode="External"/><Relationship Id="rId1435" Type="http://schemas.openxmlformats.org/officeDocument/2006/relationships/hyperlink" Target="https://doi.org/10.1126/sciadv.aeg0515" TargetMode="External"/><Relationship Id="rId1436" Type="http://schemas.openxmlformats.org/officeDocument/2006/relationships/hyperlink" Target="https://www.science.org/doi/abs/10.1126/sciadv.aeg1996?af=R" TargetMode="External"/><Relationship Id="rId1437" Type="http://schemas.openxmlformats.org/officeDocument/2006/relationships/hyperlink" Target="https://doi.org/10.1126/sciadv.aeg1996" TargetMode="External"/><Relationship Id="rId1438" Type="http://schemas.openxmlformats.org/officeDocument/2006/relationships/hyperlink" Target="https://www.science.org/doi/abs/10.1126/sciadv.aeg2534?af=R" TargetMode="External"/><Relationship Id="rId1439" Type="http://schemas.openxmlformats.org/officeDocument/2006/relationships/hyperlink" Target="https://doi.org/10.1126/sciadv.aeg2534" TargetMode="External"/><Relationship Id="rId1440" Type="http://schemas.openxmlformats.org/officeDocument/2006/relationships/hyperlink" Target="https://www.science.org/doi/abs/10.1126/sciadv.aeg4730?af=R" TargetMode="External"/><Relationship Id="rId1441" Type="http://schemas.openxmlformats.org/officeDocument/2006/relationships/hyperlink" Target="https://doi.org/10.1126/sciadv.aeg4730" TargetMode="External"/><Relationship Id="rId1442" Type="http://schemas.openxmlformats.org/officeDocument/2006/relationships/hyperlink" Target="https://www.science.org/doi/abs/10.1126/sciadv.aeg4785?af=R" TargetMode="External"/><Relationship Id="rId1443" Type="http://schemas.openxmlformats.org/officeDocument/2006/relationships/hyperlink" Target="https://doi.org/10.1126/sciadv.aeg4785" TargetMode="External"/><Relationship Id="rId1444" Type="http://schemas.openxmlformats.org/officeDocument/2006/relationships/hyperlink" Target="https://www.science.org/doi/abs/10.1126/sciadv.aeg5086?af=R" TargetMode="External"/><Relationship Id="rId1445" Type="http://schemas.openxmlformats.org/officeDocument/2006/relationships/hyperlink" Target="https://doi.org/10.1126/sciadv.aeg5086" TargetMode="External"/><Relationship Id="rId1446" Type="http://schemas.openxmlformats.org/officeDocument/2006/relationships/hyperlink" Target="https://www.pnas.org/doi/abs/10.1073/pnas.2526200123?mi=eymic2&amp;af=R&amp;access=on&amp;content=articlesChapters&amp;publication=pnas&amp;sortBy=Earliest&amp;target=default" TargetMode="External"/><Relationship Id="rId1447" Type="http://schemas.openxmlformats.org/officeDocument/2006/relationships/hyperlink" Target="https://doi.org/10.1073/pnas.2526200123" TargetMode="External"/><Relationship Id="rId1448" Type="http://schemas.openxmlformats.org/officeDocument/2006/relationships/hyperlink" Target="https://www.science.org/doi/abs/10.1126/sciadv.aeh1682?af=R" TargetMode="External"/><Relationship Id="rId1449" Type="http://schemas.openxmlformats.org/officeDocument/2006/relationships/hyperlink" Target="https://doi.org/10.1126/sciadv.aeh1682" TargetMode="External"/><Relationship Id="rId1450" Type="http://schemas.openxmlformats.org/officeDocument/2006/relationships/hyperlink" Target="https://www.pnas.org/doi/abs/10.1073/pnas.2537761123?mi=eymic2&amp;af=R&amp;access=on&amp;content=articlesChapters&amp;publication=pnas&amp;sortBy=Earliest&amp;target=default" TargetMode="External"/><Relationship Id="rId1451" Type="http://schemas.openxmlformats.org/officeDocument/2006/relationships/hyperlink" Target="https://doi.org/10.1073/pnas.2537761123" TargetMode="External"/><Relationship Id="rId1452" Type="http://schemas.openxmlformats.org/officeDocument/2006/relationships/hyperlink" Target="https://www.science.org/doi/abs/10.1126/sciadv.aeg5362?af=R" TargetMode="External"/><Relationship Id="rId1453" Type="http://schemas.openxmlformats.org/officeDocument/2006/relationships/hyperlink" Target="https://doi.org/10.1126/sciadv.aeg5362" TargetMode="External"/><Relationship Id="rId1454" Type="http://schemas.openxmlformats.org/officeDocument/2006/relationships/hyperlink" Target="https://www.pnas.org/doi/abs/10.1073/pnas.2602941123?mi=eymic2&amp;af=R&amp;access=on&amp;content=articlesChapters&amp;publication=pnas&amp;sortBy=Earliest&amp;target=default" TargetMode="External"/><Relationship Id="rId1455" Type="http://schemas.openxmlformats.org/officeDocument/2006/relationships/hyperlink" Target="https://doi.org/10.1073/pnas.2602941123" TargetMode="External"/><Relationship Id="rId1456" Type="http://schemas.openxmlformats.org/officeDocument/2006/relationships/hyperlink" Target="https://www.science.org/doi/abs/10.1126/sciadv.aeb6882?af=R" TargetMode="External"/><Relationship Id="rId1457" Type="http://schemas.openxmlformats.org/officeDocument/2006/relationships/hyperlink" Target="https://doi.org/10.1126/sciadv.aeb6882" TargetMode="External"/><Relationship Id="rId1458" Type="http://schemas.openxmlformats.org/officeDocument/2006/relationships/hyperlink" Target="https://www.science.org/doi/abs/10.1126/sciadv.aed5600?af=R" TargetMode="External"/><Relationship Id="rId1459" Type="http://schemas.openxmlformats.org/officeDocument/2006/relationships/hyperlink" Target="https://doi.org/10.1126/sciadv.aed5600" TargetMode="External"/><Relationship Id="rId1460" Type="http://schemas.openxmlformats.org/officeDocument/2006/relationships/hyperlink" Target="https://www.science.org/doi/abs/10.1126/sciadv.aeb3361?af=R" TargetMode="External"/><Relationship Id="rId1461" Type="http://schemas.openxmlformats.org/officeDocument/2006/relationships/hyperlink" Target="https://doi.org/10.1126/sciadv.aeb3361" TargetMode="External"/><Relationship Id="rId1462" Type="http://schemas.openxmlformats.org/officeDocument/2006/relationships/hyperlink" Target="https://www.science.org/doi/abs/10.1126/sciadv.aeb2781?af=R" TargetMode="External"/><Relationship Id="rId1463" Type="http://schemas.openxmlformats.org/officeDocument/2006/relationships/hyperlink" Target="https://doi.org/10.1126/sciadv.aeb2781" TargetMode="External"/><Relationship Id="rId1464" Type="http://schemas.openxmlformats.org/officeDocument/2006/relationships/hyperlink" Target="https://www.science.org/doi/abs/10.1126/sciadv.aeb1705?af=R" TargetMode="External"/><Relationship Id="rId1465" Type="http://schemas.openxmlformats.org/officeDocument/2006/relationships/hyperlink" Target="https://doi.org/10.1126/sciadv.aeb1705" TargetMode="External"/><Relationship Id="rId1466" Type="http://schemas.openxmlformats.org/officeDocument/2006/relationships/hyperlink" Target="https://www.science.org/doi/abs/10.1126/sciadv.aeb0500?af=R" TargetMode="External"/><Relationship Id="rId1467" Type="http://schemas.openxmlformats.org/officeDocument/2006/relationships/hyperlink" Target="https://doi.org/10.1126/sciadv.aeb0500" TargetMode="External"/><Relationship Id="rId1468" Type="http://schemas.openxmlformats.org/officeDocument/2006/relationships/hyperlink" Target="https://www.science.org/doi/abs/10.1126/sciadv.aea3814?af=R" TargetMode="External"/><Relationship Id="rId1469" Type="http://schemas.openxmlformats.org/officeDocument/2006/relationships/hyperlink" Target="https://doi.org/10.1126/sciadv.aea3814" TargetMode="External"/><Relationship Id="rId1470" Type="http://schemas.openxmlformats.org/officeDocument/2006/relationships/hyperlink" Target="https://www.science.org/doi/abs/10.1126/sciadv.aea2780?af=R" TargetMode="External"/><Relationship Id="rId1471" Type="http://schemas.openxmlformats.org/officeDocument/2006/relationships/hyperlink" Target="https://doi.org/10.1126/sciadv.aea2780" TargetMode="External"/><Relationship Id="rId1472" Type="http://schemas.openxmlformats.org/officeDocument/2006/relationships/hyperlink" Target="https://www.science.org/doi/abs/10.1126/sciadv.adw5487?af=R" TargetMode="External"/><Relationship Id="rId1473" Type="http://schemas.openxmlformats.org/officeDocument/2006/relationships/hyperlink" Target="https://doi.org/10.1126/sciadv.adw5487" TargetMode="External"/><Relationship Id="rId1474" Type="http://schemas.openxmlformats.org/officeDocument/2006/relationships/hyperlink" Target="https://www.pnas.org/doi/abs/10.1073/pnas.2619078123?mi=eymic2&amp;af=R&amp;access=on&amp;content=articlesChapters&amp;publication=pnas&amp;sortBy=Earliest&amp;target=default" TargetMode="External"/><Relationship Id="rId1475" Type="http://schemas.openxmlformats.org/officeDocument/2006/relationships/hyperlink" Target="https://doi.org/10.1073/pnas.2619078123" TargetMode="External"/><Relationship Id="rId1476" Type="http://schemas.openxmlformats.org/officeDocument/2006/relationships/hyperlink" Target="https://www.pnas.org/doi/abs/10.1073/pnas.2625473123?mi=eymic2&amp;af=R&amp;access=on&amp;content=articlesChapters&amp;publication=pnas&amp;sortBy=Earliest&amp;target=default" TargetMode="External"/><Relationship Id="rId1477" Type="http://schemas.openxmlformats.org/officeDocument/2006/relationships/hyperlink" Target="https://doi.org/10.1073/pnas.2625473123" TargetMode="External"/><Relationship Id="rId1478" Type="http://schemas.openxmlformats.org/officeDocument/2006/relationships/hyperlink" Target="https://www.science.org/doi/abs/10.1126/sciadv.aed5802?af=R" TargetMode="External"/><Relationship Id="rId1479" Type="http://schemas.openxmlformats.org/officeDocument/2006/relationships/hyperlink" Target="https://doi.org/10.1126/sciadv.aed5802" TargetMode="External"/><Relationship Id="rId1480" Type="http://schemas.openxmlformats.org/officeDocument/2006/relationships/hyperlink" Target="https://www.science.org/doi/abs/10.1126/sciadv.aee4285?af=R" TargetMode="External"/><Relationship Id="rId1481" Type="http://schemas.openxmlformats.org/officeDocument/2006/relationships/hyperlink" Target="https://doi.org/10.1126/sciadv.aee4285" TargetMode="External"/><Relationship Id="rId1482" Type="http://schemas.openxmlformats.org/officeDocument/2006/relationships/hyperlink" Target="https://www.science.org/doi/abs/10.1126/sciadv.aef2576?af=R" TargetMode="External"/><Relationship Id="rId1483" Type="http://schemas.openxmlformats.org/officeDocument/2006/relationships/hyperlink" Target="https://doi.org/10.1126/sciadv.aef2576" TargetMode="External"/><Relationship Id="rId1484" Type="http://schemas.openxmlformats.org/officeDocument/2006/relationships/hyperlink" Target="https://www.science.org/doi/abs/10.1126/sciadv.aed9655?af=R" TargetMode="External"/><Relationship Id="rId1485" Type="http://schemas.openxmlformats.org/officeDocument/2006/relationships/hyperlink" Target="https://doi.org/10.1126/sciadv.aed9655" TargetMode="External"/><Relationship Id="rId1486" Type="http://schemas.openxmlformats.org/officeDocument/2006/relationships/hyperlink" Target="https://www.science.org/doi/abs/10.1126/sciadv.aef1603?af=R" TargetMode="External"/><Relationship Id="rId1487" Type="http://schemas.openxmlformats.org/officeDocument/2006/relationships/hyperlink" Target="https://doi.org/10.1126/sciadv.aef1603" TargetMode="External"/><Relationship Id="rId1488" Type="http://schemas.openxmlformats.org/officeDocument/2006/relationships/hyperlink" Target="https://www.science.org/doi/abs/10.1126/sciadv.aee6790?af=R" TargetMode="External"/><Relationship Id="rId1489" Type="http://schemas.openxmlformats.org/officeDocument/2006/relationships/hyperlink" Target="https://doi.org/10.1126/sciadv.aee6790" TargetMode="External"/><Relationship Id="rId1490" Type="http://schemas.openxmlformats.org/officeDocument/2006/relationships/hyperlink" Target="https://www.science.org/doi/abs/10.1126/sciadv.aee1599?af=R" TargetMode="External"/><Relationship Id="rId1491" Type="http://schemas.openxmlformats.org/officeDocument/2006/relationships/hyperlink" Target="https://doi.org/10.1126/sciadv.aee1599" TargetMode="External"/><Relationship Id="rId1492" Type="http://schemas.openxmlformats.org/officeDocument/2006/relationships/hyperlink" Target="https://www.science.org/doi/abs/10.1126/sciadv.aee2483?af=R" TargetMode="External"/><Relationship Id="rId1493" Type="http://schemas.openxmlformats.org/officeDocument/2006/relationships/hyperlink" Target="https://doi.org/10.1126/sciadv.aee2483" TargetMode="External"/><Relationship Id="rId1494" Type="http://schemas.openxmlformats.org/officeDocument/2006/relationships/hyperlink" Target="https://www.science.org/doi/abs/10.1126/sciadv.aee6610?af=R" TargetMode="External"/><Relationship Id="rId1495" Type="http://schemas.openxmlformats.org/officeDocument/2006/relationships/hyperlink" Target="https://doi.org/10.1126/sciadv.aee6610" TargetMode="External"/><Relationship Id="rId1496" Type="http://schemas.openxmlformats.org/officeDocument/2006/relationships/hyperlink" Target="https://www.science.org/doi/abs/10.1126/sciadv.aee6556?af=R" TargetMode="External"/><Relationship Id="rId1497" Type="http://schemas.openxmlformats.org/officeDocument/2006/relationships/hyperlink" Target="https://doi.org/10.1126/sciadv.aee6556" TargetMode="External"/><Relationship Id="rId1498" Type="http://schemas.openxmlformats.org/officeDocument/2006/relationships/hyperlink" Target="https://www.science.org/doi/abs/10.1126/sciadv.aee5631?af=R" TargetMode="External"/><Relationship Id="rId1499" Type="http://schemas.openxmlformats.org/officeDocument/2006/relationships/hyperlink" Target="https://doi.org/10.1126/sciadv.aee5631" TargetMode="External"/><Relationship Id="rId1500" Type="http://schemas.openxmlformats.org/officeDocument/2006/relationships/hyperlink" Target="https://www.science.org/doi/abs/10.1126/sciadv.aec3174?af=R" TargetMode="External"/><Relationship Id="rId1501" Type="http://schemas.openxmlformats.org/officeDocument/2006/relationships/hyperlink" Target="https://doi.org/10.1126/sciadv.aec3174" TargetMode="External"/><Relationship Id="rId1502" Type="http://schemas.openxmlformats.org/officeDocument/2006/relationships/hyperlink" Target="https://www.science.org/doi/abs/10.1126/sciadv.aed9403?af=R" TargetMode="External"/><Relationship Id="rId1503" Type="http://schemas.openxmlformats.org/officeDocument/2006/relationships/hyperlink" Target="https://doi.org/10.1126/sciadv.aed9403" TargetMode="External"/><Relationship Id="rId1504" Type="http://schemas.openxmlformats.org/officeDocument/2006/relationships/hyperlink" Target="https://www.science.org/doi/abs/10.1126/sciadv.aec5951?af=R" TargetMode="External"/><Relationship Id="rId1505" Type="http://schemas.openxmlformats.org/officeDocument/2006/relationships/hyperlink" Target="https://doi.org/10.1126/sciadv.aec5951" TargetMode="External"/><Relationship Id="rId1506" Type="http://schemas.openxmlformats.org/officeDocument/2006/relationships/hyperlink" Target="https://www.pnas.org/doi/abs/10.1073/pnas.2618203123?mi=eymic2&amp;af=R&amp;access=on&amp;content=articlesChapters&amp;publication=pnas&amp;sortBy=Earliest&amp;target=default" TargetMode="External"/><Relationship Id="rId1507" Type="http://schemas.openxmlformats.org/officeDocument/2006/relationships/hyperlink" Target="https://doi.org/10.1073/pnas.2618203123" TargetMode="External"/><Relationship Id="rId1508" Type="http://schemas.openxmlformats.org/officeDocument/2006/relationships/hyperlink" Target="https://www.science.org/doi/abs/10.1126/sciadv.aeb0624?af=R" TargetMode="External"/><Relationship Id="rId1509" Type="http://schemas.openxmlformats.org/officeDocument/2006/relationships/hyperlink" Target="https://doi.org/10.1126/sciadv.aeb0624" TargetMode="External"/><Relationship Id="rId1510" Type="http://schemas.openxmlformats.org/officeDocument/2006/relationships/hyperlink" Target="https://www.pnas.org/doi/abs/10.1073/pnas.2535250123?mi=eymic2&amp;af=R&amp;access=on&amp;content=articlesChapters&amp;publication=pnas&amp;sortBy=Earliest&amp;target=default" TargetMode="External"/><Relationship Id="rId1511" Type="http://schemas.openxmlformats.org/officeDocument/2006/relationships/hyperlink" Target="https://doi.org/10.1073/pnas.2535250123" TargetMode="External"/><Relationship Id="rId1512" Type="http://schemas.openxmlformats.org/officeDocument/2006/relationships/hyperlink" Target="https://www.pnas.org/doi/abs/10.1073/pnas.2614989123?mi=eymic2&amp;af=R&amp;access=on&amp;content=articlesChapters&amp;publication=pnas&amp;sortBy=Earliest&amp;target=default" TargetMode="External"/><Relationship Id="rId1513" Type="http://schemas.openxmlformats.org/officeDocument/2006/relationships/hyperlink" Target="https://doi.org/10.1073/pnas.2614989123" TargetMode="External"/><Relationship Id="rId1514" Type="http://schemas.openxmlformats.org/officeDocument/2006/relationships/hyperlink" Target="https://www.pnas.org/doi/abs/10.1073/pnas.2608784123?mi=eymic2&amp;af=R&amp;access=on&amp;content=articlesChapters&amp;publication=pnas&amp;sortBy=Earliest&amp;target=default" TargetMode="External"/><Relationship Id="rId1515" Type="http://schemas.openxmlformats.org/officeDocument/2006/relationships/hyperlink" Target="https://doi.org/10.1073/pnas.2608784123" TargetMode="External"/><Relationship Id="rId1516" Type="http://schemas.openxmlformats.org/officeDocument/2006/relationships/hyperlink" Target="https://www.pnas.org/doi/abs/10.1073/pnas.2607754123?mi=eymic2&amp;af=R&amp;access=on&amp;content=articlesChapters&amp;publication=pnas&amp;sortBy=Earliest&amp;target=default" TargetMode="External"/><Relationship Id="rId1517" Type="http://schemas.openxmlformats.org/officeDocument/2006/relationships/hyperlink" Target="https://doi.org/10.1073/pnas.2607754123" TargetMode="External"/><Relationship Id="rId1518" Type="http://schemas.openxmlformats.org/officeDocument/2006/relationships/hyperlink" Target="https://www.pnas.org/doi/abs/10.1073/pnas.2604207123?mi=eymic2&amp;af=R&amp;access=on&amp;content=articlesChapters&amp;publication=pnas&amp;sortBy=Earliest&amp;target=default" TargetMode="External"/><Relationship Id="rId1519" Type="http://schemas.openxmlformats.org/officeDocument/2006/relationships/hyperlink" Target="https://doi.org/10.1073/pnas.2604207123" TargetMode="External"/><Relationship Id="rId1520" Type="http://schemas.openxmlformats.org/officeDocument/2006/relationships/hyperlink" Target="https://www.pnas.org/doi/abs/10.1073/pnas.2604171123?mi=eymic2&amp;af=R&amp;access=on&amp;content=articlesChapters&amp;publication=pnas&amp;sortBy=Earliest&amp;target=default" TargetMode="External"/><Relationship Id="rId1521" Type="http://schemas.openxmlformats.org/officeDocument/2006/relationships/hyperlink" Target="https://doi.org/10.1073/pnas.2604171123" TargetMode="External"/><Relationship Id="rId1522" Type="http://schemas.openxmlformats.org/officeDocument/2006/relationships/hyperlink" Target="https://www.pnas.org/doi/abs/10.1073/pnas.2535385123?mi=eymic2&amp;af=R&amp;access=on&amp;content=articlesChapters&amp;publication=pnas&amp;sortBy=Earliest&amp;target=default" TargetMode="External"/><Relationship Id="rId1523" Type="http://schemas.openxmlformats.org/officeDocument/2006/relationships/hyperlink" Target="https://doi.org/10.1073/pnas.2535385123" TargetMode="External"/><Relationship Id="rId1524" Type="http://schemas.openxmlformats.org/officeDocument/2006/relationships/hyperlink" Target="https://www.pnas.org/doi/abs/10.1073/pnas.2536207123?mi=eymic2&amp;af=R&amp;access=on&amp;content=articlesChapters&amp;publication=pnas&amp;sortBy=Earliest&amp;target=default" TargetMode="External"/><Relationship Id="rId1525" Type="http://schemas.openxmlformats.org/officeDocument/2006/relationships/hyperlink" Target="https://doi.org/10.1073/pnas.2536207123" TargetMode="External"/><Relationship Id="rId1526" Type="http://schemas.openxmlformats.org/officeDocument/2006/relationships/hyperlink" Target="https://www.pnas.org/doi/abs/10.1073/pnas.2603453123?mi=eymic2&amp;af=R&amp;access=on&amp;content=articlesChapters&amp;publication=pnas&amp;sortBy=Earliest&amp;target=default" TargetMode="External"/><Relationship Id="rId1527" Type="http://schemas.openxmlformats.org/officeDocument/2006/relationships/hyperlink" Target="https://doi.org/10.1073/pnas.2603453123" TargetMode="External"/><Relationship Id="rId1528" Type="http://schemas.openxmlformats.org/officeDocument/2006/relationships/hyperlink" Target="https://www.science.org/doi/abs/10.1126/sciadv.aef9781?af=R" TargetMode="External"/><Relationship Id="rId1529" Type="http://schemas.openxmlformats.org/officeDocument/2006/relationships/hyperlink" Target="https://doi.org/10.1126/sciadv.aef9781" TargetMode="External"/><Relationship Id="rId1530" Type="http://schemas.openxmlformats.org/officeDocument/2006/relationships/hyperlink" Target="https://www.pnas.org/doi/abs/10.1073/pnas.2617449123?mi=eymic2&amp;af=R&amp;access=on&amp;content=articlesChapters&amp;publication=pnas&amp;sortBy=Earliest&amp;target=default" TargetMode="External"/><Relationship Id="rId1531" Type="http://schemas.openxmlformats.org/officeDocument/2006/relationships/hyperlink" Target="https://doi.org/10.1073/pnas.2617449123" TargetMode="External"/><Relationship Id="rId1532" Type="http://schemas.openxmlformats.org/officeDocument/2006/relationships/hyperlink" Target="https://www.science.org/doi/abs/10.1126/sciadv.aec0518?af=R" TargetMode="External"/><Relationship Id="rId1533" Type="http://schemas.openxmlformats.org/officeDocument/2006/relationships/hyperlink" Target="https://doi.org/10.1126/sciadv.aec0518" TargetMode="External"/><Relationship Id="rId1534" Type="http://schemas.openxmlformats.org/officeDocument/2006/relationships/hyperlink" Target="https://www.science.org/doi/abs/10.1126/sciadv.aed2198?af=R" TargetMode="External"/><Relationship Id="rId1535" Type="http://schemas.openxmlformats.org/officeDocument/2006/relationships/hyperlink" Target="https://doi.org/10.1126/sciadv.aed2198" TargetMode="External"/><Relationship Id="rId1536" Type="http://schemas.openxmlformats.org/officeDocument/2006/relationships/hyperlink" Target="https://www.pnas.org/doi/abs/10.1073/pnas.2617665123?mi=eymic2&amp;af=R&amp;access=on&amp;content=articlesChapters&amp;publication=pnas&amp;sortBy=Earliest&amp;target=default" TargetMode="External"/><Relationship Id="rId1537" Type="http://schemas.openxmlformats.org/officeDocument/2006/relationships/hyperlink" Target="https://doi.org/10.1073/pnas.2617665123" TargetMode="External"/><Relationship Id="rId1538" Type="http://schemas.openxmlformats.org/officeDocument/2006/relationships/hyperlink" Target="https://www.science.org/doi/abs/10.1126/sciadv.aef4951?af=R" TargetMode="External"/><Relationship Id="rId1539" Type="http://schemas.openxmlformats.org/officeDocument/2006/relationships/hyperlink" Target="https://doi.org/10.1126/sciadv.aef4951" TargetMode="External"/><Relationship Id="rId1540" Type="http://schemas.openxmlformats.org/officeDocument/2006/relationships/hyperlink" Target="https://www.science.org/doi/abs/10.1126/sciadv.aec7053?af=R" TargetMode="External"/><Relationship Id="rId1541" Type="http://schemas.openxmlformats.org/officeDocument/2006/relationships/hyperlink" Target="https://doi.org/10.1126/sciadv.aec7053" TargetMode="External"/><Relationship Id="rId1542" Type="http://schemas.openxmlformats.org/officeDocument/2006/relationships/hyperlink" Target="https://advanced.onlinelibrary.wiley.com/doi/10.1002/adma.74477?af=R" TargetMode="External"/><Relationship Id="rId1543" Type="http://schemas.openxmlformats.org/officeDocument/2006/relationships/hyperlink" Target="https://doi.org/10.1002/adma.74477" TargetMode="External"/><Relationship Id="rId1544" Type="http://schemas.openxmlformats.org/officeDocument/2006/relationships/hyperlink" Target="https://advanced.onlinelibrary.wiley.com/doi/10.1002/adma.74376?af=R" TargetMode="External"/><Relationship Id="rId1545" Type="http://schemas.openxmlformats.org/officeDocument/2006/relationships/hyperlink" Target="https://doi.org/10.1002/adma.74376" TargetMode="External"/><Relationship Id="rId1546" Type="http://schemas.openxmlformats.org/officeDocument/2006/relationships/hyperlink" Target="https://advanced.onlinelibrary.wiley.com/doi/10.1002/adma.74483?af=R" TargetMode="External"/><Relationship Id="rId1547" Type="http://schemas.openxmlformats.org/officeDocument/2006/relationships/hyperlink" Target="https://doi.org/10.1002/adma.74483" TargetMode="External"/><Relationship Id="rId1548" Type="http://schemas.openxmlformats.org/officeDocument/2006/relationships/hyperlink" Target="https://advanced.onlinelibrary.wiley.com/doi/10.1002/adma.202516790?af=R" TargetMode="External"/><Relationship Id="rId1549" Type="http://schemas.openxmlformats.org/officeDocument/2006/relationships/hyperlink" Target="https://doi.org/10.1002/adma.202516790" TargetMode="External"/><Relationship Id="rId1550" Type="http://schemas.openxmlformats.org/officeDocument/2006/relationships/hyperlink" Target="https://advanced.onlinelibrary.wiley.com/doi/10.1002/adma.74522?af=R" TargetMode="External"/><Relationship Id="rId1551" Type="http://schemas.openxmlformats.org/officeDocument/2006/relationships/hyperlink" Target="https://doi.org/10.1002/adma.74522" TargetMode="External"/><Relationship Id="rId1552" Type="http://schemas.openxmlformats.org/officeDocument/2006/relationships/hyperlink" Target="http://link.aps.org/doi/10.1103/sl9z-4glr" TargetMode="External"/><Relationship Id="rId1553" Type="http://schemas.openxmlformats.org/officeDocument/2006/relationships/hyperlink" Target="https://doi.org/10.1103/sl9z-4glr" TargetMode="External"/><Relationship Id="rId1554" Type="http://schemas.openxmlformats.org/officeDocument/2006/relationships/hyperlink" Target="http://link.aps.org/doi/10.1103/ykjr-796z" TargetMode="External"/><Relationship Id="rId1555" Type="http://schemas.openxmlformats.org/officeDocument/2006/relationships/hyperlink" Target="https://doi.org/10.1103/ykjr-796z" TargetMode="External"/><Relationship Id="rId1556" Type="http://schemas.openxmlformats.org/officeDocument/2006/relationships/hyperlink" Target="http://link.aps.org/doi/10.1103/b1gc-9c2q" TargetMode="External"/><Relationship Id="rId1557" Type="http://schemas.openxmlformats.org/officeDocument/2006/relationships/hyperlink" Target="https://doi.org/10.1103/b1gc-9c2q" TargetMode="External"/><Relationship Id="rId1558" Type="http://schemas.openxmlformats.org/officeDocument/2006/relationships/hyperlink" Target="http://link.aps.org/doi/10.1103/mnth-3g9n" TargetMode="External"/><Relationship Id="rId1559" Type="http://schemas.openxmlformats.org/officeDocument/2006/relationships/hyperlink" Target="https://doi.org/10.1103/mnth-3g9n" TargetMode="External"/><Relationship Id="rId1560" Type="http://schemas.openxmlformats.org/officeDocument/2006/relationships/hyperlink" Target="http://link.aps.org/doi/10.1103/2yqn-cyzg" TargetMode="External"/><Relationship Id="rId1561" Type="http://schemas.openxmlformats.org/officeDocument/2006/relationships/hyperlink" Target="https://doi.org/10.1103/2yqn-cyzg" TargetMode="External"/><Relationship Id="rId1562" Type="http://schemas.openxmlformats.org/officeDocument/2006/relationships/hyperlink" Target="http://link.aps.org/doi/10.1103/pxpf-6bsv" TargetMode="External"/><Relationship Id="rId1563" Type="http://schemas.openxmlformats.org/officeDocument/2006/relationships/hyperlink" Target="https://doi.org/10.1103/pxpf-6bsv" TargetMode="External"/><Relationship Id="rId1564" Type="http://schemas.openxmlformats.org/officeDocument/2006/relationships/hyperlink" Target="https://advanced.onlinelibrary.wiley.com/doi/10.1002/adma.74490?af=R" TargetMode="External"/><Relationship Id="rId1565" Type="http://schemas.openxmlformats.org/officeDocument/2006/relationships/hyperlink" Target="https://doi.org/10.1002/adma.74490" TargetMode="External"/><Relationship Id="rId1566" Type="http://schemas.openxmlformats.org/officeDocument/2006/relationships/hyperlink" Target="https://advanced.onlinelibrary.wiley.com/doi/10.1002/adma.74404?af=R" TargetMode="External"/><Relationship Id="rId1567" Type="http://schemas.openxmlformats.org/officeDocument/2006/relationships/hyperlink" Target="https://doi.org/10.1002/adma.74404" TargetMode="External"/><Relationship Id="rId1568" Type="http://schemas.openxmlformats.org/officeDocument/2006/relationships/hyperlink" Target="https://advanced.onlinelibrary.wiley.com/doi/10.1002/adma.74454?af=R" TargetMode="External"/><Relationship Id="rId1569" Type="http://schemas.openxmlformats.org/officeDocument/2006/relationships/hyperlink" Target="https://doi.org/10.1002/adma.74454" TargetMode="External"/><Relationship Id="rId1570" Type="http://schemas.openxmlformats.org/officeDocument/2006/relationships/hyperlink" Target="https://advanced.onlinelibrary.wiley.com/doi/10.1002/adma.74482?af=R" TargetMode="External"/><Relationship Id="rId1571" Type="http://schemas.openxmlformats.org/officeDocument/2006/relationships/hyperlink" Target="https://doi.org/10.1002/adma.74482" TargetMode="External"/><Relationship Id="rId1572" Type="http://schemas.openxmlformats.org/officeDocument/2006/relationships/hyperlink" Target="https://advanced.onlinelibrary.wiley.com/doi/10.1002/adma.74511?af=R" TargetMode="External"/><Relationship Id="rId1573" Type="http://schemas.openxmlformats.org/officeDocument/2006/relationships/hyperlink" Target="https://doi.org/10.1002/adma.74511" TargetMode="External"/><Relationship Id="rId1574" Type="http://schemas.openxmlformats.org/officeDocument/2006/relationships/hyperlink" Target="https://advanced.onlinelibrary.wiley.com/doi/10.1002/adma.74485?af=R" TargetMode="External"/><Relationship Id="rId1575" Type="http://schemas.openxmlformats.org/officeDocument/2006/relationships/hyperlink" Target="https://doi.org/10.1002/adma.74485" TargetMode="External"/><Relationship Id="rId1576" Type="http://schemas.openxmlformats.org/officeDocument/2006/relationships/hyperlink" Target="https://advanced.onlinelibrary.wiley.com/doi/10.1002/adma.74518?af=R" TargetMode="External"/><Relationship Id="rId1577" Type="http://schemas.openxmlformats.org/officeDocument/2006/relationships/hyperlink" Target="https://doi.org/10.1002/adma.74518" TargetMode="External"/><Relationship Id="rId1578" Type="http://schemas.openxmlformats.org/officeDocument/2006/relationships/hyperlink" Target="https://advanced.onlinelibrary.wiley.com/doi/10.1002/adma.74423?af=R" TargetMode="External"/><Relationship Id="rId1579" Type="http://schemas.openxmlformats.org/officeDocument/2006/relationships/hyperlink" Target="https://doi.org/10.1002/adma.74423" TargetMode="External"/><Relationship Id="rId1580" Type="http://schemas.openxmlformats.org/officeDocument/2006/relationships/hyperlink" Target="https://advanced.onlinelibrary.wiley.com/doi/10.1002/adma.74529?af=R" TargetMode="External"/><Relationship Id="rId1581" Type="http://schemas.openxmlformats.org/officeDocument/2006/relationships/hyperlink" Target="https://doi.org/10.1002/adma.74529" TargetMode="External"/><Relationship Id="rId1582" Type="http://schemas.openxmlformats.org/officeDocument/2006/relationships/hyperlink" Target="https://advanced.onlinelibrary.wiley.com/doi/10.1002/adma.74479?af=R" TargetMode="External"/><Relationship Id="rId1583" Type="http://schemas.openxmlformats.org/officeDocument/2006/relationships/hyperlink" Target="https://doi.org/10.1002/adma.74479" TargetMode="External"/><Relationship Id="rId1584" Type="http://schemas.openxmlformats.org/officeDocument/2006/relationships/hyperlink" Target="https://onlinelibrary.wiley.com/doi/10.1002/anie.1547062?af=R" TargetMode="External"/><Relationship Id="rId1585" Type="http://schemas.openxmlformats.org/officeDocument/2006/relationships/hyperlink" Target="https://doi.org/10.1002/anie.1547062" TargetMode="External"/><Relationship Id="rId1586" Type="http://schemas.openxmlformats.org/officeDocument/2006/relationships/hyperlink" Target="https://onlinelibrary.wiley.com/doi/10.1002/anie.5457420?af=R" TargetMode="External"/><Relationship Id="rId1587" Type="http://schemas.openxmlformats.org/officeDocument/2006/relationships/hyperlink" Target="https://doi.org/10.1002/anie.5457420" TargetMode="External"/><Relationship Id="rId1588" Type="http://schemas.openxmlformats.org/officeDocument/2006/relationships/hyperlink" Target="https://onlinelibrary.wiley.com/doi/10.1002/anie.3238473?af=R" TargetMode="External"/><Relationship Id="rId1589" Type="http://schemas.openxmlformats.org/officeDocument/2006/relationships/hyperlink" Target="https://doi.org/10.1002/anie.3238473" TargetMode="External"/><Relationship Id="rId1590" Type="http://schemas.openxmlformats.org/officeDocument/2006/relationships/hyperlink" Target="https://onlinelibrary.wiley.com/doi/10.1002/anie.4933839?af=R" TargetMode="External"/><Relationship Id="rId1591" Type="http://schemas.openxmlformats.org/officeDocument/2006/relationships/hyperlink" Target="https://doi.org/10.1002/anie.4933839" TargetMode="External"/><Relationship Id="rId1592" Type="http://schemas.openxmlformats.org/officeDocument/2006/relationships/hyperlink" Target="https://onlinelibrary.wiley.com/doi/10.1002/anie.7025212?af=R" TargetMode="External"/><Relationship Id="rId1593" Type="http://schemas.openxmlformats.org/officeDocument/2006/relationships/hyperlink" Target="https://doi.org/10.1002/anie.7025212" TargetMode="External"/><Relationship Id="rId1594" Type="http://schemas.openxmlformats.org/officeDocument/2006/relationships/hyperlink" Target="https://onlinelibrary.wiley.com/doi/10.1002/anie.4560740?af=R" TargetMode="External"/><Relationship Id="rId1595" Type="http://schemas.openxmlformats.org/officeDocument/2006/relationships/hyperlink" Target="https://doi.org/10.1002/anie.4560740" TargetMode="External"/><Relationship Id="rId1596" Type="http://schemas.openxmlformats.org/officeDocument/2006/relationships/hyperlink" Target="https://onlinelibrary.wiley.com/doi/10.1002/anie.8125244?af=R" TargetMode="External"/><Relationship Id="rId1597" Type="http://schemas.openxmlformats.org/officeDocument/2006/relationships/hyperlink" Target="https://doi.org/10.1002/anie.8125244" TargetMode="External"/><Relationship Id="rId1598" Type="http://schemas.openxmlformats.org/officeDocument/2006/relationships/hyperlink" Target="https://onlinelibrary.wiley.com/doi/10.1002/anie.7872986?af=R" TargetMode="External"/><Relationship Id="rId1599" Type="http://schemas.openxmlformats.org/officeDocument/2006/relationships/hyperlink" Target="https://doi.org/10.1002/anie.7872986" TargetMode="External"/><Relationship Id="rId1600" Type="http://schemas.openxmlformats.org/officeDocument/2006/relationships/hyperlink" Target="https://onlinelibrary.wiley.com/doi/10.1002/anie.6690121?af=R" TargetMode="External"/><Relationship Id="rId1601" Type="http://schemas.openxmlformats.org/officeDocument/2006/relationships/hyperlink" Target="https://doi.org/10.1002/anie.6690121" TargetMode="External"/><Relationship Id="rId1602" Type="http://schemas.openxmlformats.org/officeDocument/2006/relationships/hyperlink" Target="https://onlinelibrary.wiley.com/doi/10.1002/anie.2385204?af=R" TargetMode="External"/><Relationship Id="rId1603" Type="http://schemas.openxmlformats.org/officeDocument/2006/relationships/hyperlink" Target="https://doi.org/10.1002/anie.2385204" TargetMode="External"/><Relationship Id="rId1604" Type="http://schemas.openxmlformats.org/officeDocument/2006/relationships/hyperlink" Target="https://advanced.onlinelibrary.wiley.com/doi/10.1002/adma.74513?af=R" TargetMode="External"/><Relationship Id="rId1605" Type="http://schemas.openxmlformats.org/officeDocument/2006/relationships/hyperlink" Target="https://doi.org/10.1002/adma.74513" TargetMode="External"/><Relationship Id="rId1606" Type="http://schemas.openxmlformats.org/officeDocument/2006/relationships/hyperlink" Target="https://advanced.onlinelibrary.wiley.com/doi/10.1002/adma.74455?af=R" TargetMode="External"/><Relationship Id="rId1607" Type="http://schemas.openxmlformats.org/officeDocument/2006/relationships/hyperlink" Target="https://doi.org/10.1002/adma.74455" TargetMode="External"/><Relationship Id="rId1608" Type="http://schemas.openxmlformats.org/officeDocument/2006/relationships/hyperlink" Target="https://advanced.onlinelibrary.wiley.com/doi/10.1002/adma.74516?af=R" TargetMode="External"/><Relationship Id="rId1609" Type="http://schemas.openxmlformats.org/officeDocument/2006/relationships/hyperlink" Target="https://doi.org/10.1002/adma.74516" TargetMode="External"/><Relationship Id="rId1610" Type="http://schemas.openxmlformats.org/officeDocument/2006/relationships/hyperlink" Target="https://advanced.onlinelibrary.wiley.com/doi/10.1002/adma.74537?af=R" TargetMode="External"/><Relationship Id="rId1611" Type="http://schemas.openxmlformats.org/officeDocument/2006/relationships/hyperlink" Target="https://doi.org/10.1002/adma.74537" TargetMode="External"/><Relationship Id="rId1612" Type="http://schemas.openxmlformats.org/officeDocument/2006/relationships/hyperlink" Target="https://onlinelibrary.wiley.com/doi/10.1002/anie.9132891?af=R" TargetMode="External"/><Relationship Id="rId1613" Type="http://schemas.openxmlformats.org/officeDocument/2006/relationships/hyperlink" Target="https://doi.org/10.1002/anie.9132891" TargetMode="External"/><Relationship Id="rId1614" Type="http://schemas.openxmlformats.org/officeDocument/2006/relationships/hyperlink" Target="https://advanced.onlinelibrary.wiley.com/doi/10.1002/adma.74498?af=R" TargetMode="External"/><Relationship Id="rId1615" Type="http://schemas.openxmlformats.org/officeDocument/2006/relationships/hyperlink" Target="https://doi.org/10.1002/adma.74498" TargetMode="External"/><Relationship Id="rId1616" Type="http://schemas.openxmlformats.org/officeDocument/2006/relationships/hyperlink" Target="https://onlinelibrary.wiley.com/doi/10.1002/anie.2275817?af=R" TargetMode="External"/><Relationship Id="rId1617" Type="http://schemas.openxmlformats.org/officeDocument/2006/relationships/hyperlink" Target="https://doi.org/10.1002/anie.2275817" TargetMode="External"/><Relationship Id="rId1618" Type="http://schemas.openxmlformats.org/officeDocument/2006/relationships/hyperlink" Target="https://onlinelibrary.wiley.com/doi/10.1002/anie.6163267?af=R" TargetMode="External"/><Relationship Id="rId1619" Type="http://schemas.openxmlformats.org/officeDocument/2006/relationships/hyperlink" Target="https://doi.org/10.1002/anie.6163267" TargetMode="External"/><Relationship Id="rId1620" Type="http://schemas.openxmlformats.org/officeDocument/2006/relationships/hyperlink" Target="https://advanced.onlinelibrary.wiley.com/doi/10.1002/adma.74500?af=R" TargetMode="External"/><Relationship Id="rId1621" Type="http://schemas.openxmlformats.org/officeDocument/2006/relationships/hyperlink" Target="https://doi.org/10.1002/adma.74500" TargetMode="External"/><Relationship Id="rId1622" Type="http://schemas.openxmlformats.org/officeDocument/2006/relationships/hyperlink" Target="https://onlinelibrary.wiley.com/doi/10.1002/anie.8988152?af=R" TargetMode="External"/><Relationship Id="rId1623" Type="http://schemas.openxmlformats.org/officeDocument/2006/relationships/hyperlink" Target="https://doi.org/10.1002/anie.8988152" TargetMode="External"/><Relationship Id="rId1624" Type="http://schemas.openxmlformats.org/officeDocument/2006/relationships/hyperlink" Target="https://onlinelibrary.wiley.com/doi/10.1002/anie.5207784?af=R" TargetMode="External"/><Relationship Id="rId1625" Type="http://schemas.openxmlformats.org/officeDocument/2006/relationships/hyperlink" Target="https://doi.org/10.1002/anie.5207784" TargetMode="External"/><Relationship Id="rId1626" Type="http://schemas.openxmlformats.org/officeDocument/2006/relationships/hyperlink" Target="https://onlinelibrary.wiley.com/doi/10.1002/anie.1653347?af=R" TargetMode="External"/><Relationship Id="rId1627" Type="http://schemas.openxmlformats.org/officeDocument/2006/relationships/hyperlink" Target="https://doi.org/10.1002/anie.1653347" TargetMode="External"/><Relationship Id="rId1628" Type="http://schemas.openxmlformats.org/officeDocument/2006/relationships/hyperlink" Target="https://onlinelibrary.wiley.com/doi/10.1002/anie.7533991?af=R" TargetMode="External"/><Relationship Id="rId1629" Type="http://schemas.openxmlformats.org/officeDocument/2006/relationships/hyperlink" Target="https://doi.org/10.1002/anie.7533991" TargetMode="External"/><Relationship Id="rId1630" Type="http://schemas.openxmlformats.org/officeDocument/2006/relationships/hyperlink" Target="https://onlinelibrary.wiley.com/doi/10.1002/anie.8769084?af=R" TargetMode="External"/><Relationship Id="rId1631" Type="http://schemas.openxmlformats.org/officeDocument/2006/relationships/hyperlink" Target="https://doi.org/10.1002/anie.8769084" TargetMode="External"/><Relationship Id="rId1632" Type="http://schemas.openxmlformats.org/officeDocument/2006/relationships/hyperlink" Target="https://onlinelibrary.wiley.com/doi/10.1002/anie.4619641?af=R" TargetMode="External"/><Relationship Id="rId1633" Type="http://schemas.openxmlformats.org/officeDocument/2006/relationships/hyperlink" Target="https://doi.org/10.1002/anie.4619641" TargetMode="External"/><Relationship Id="rId1634" Type="http://schemas.openxmlformats.org/officeDocument/2006/relationships/hyperlink" Target="https://onlinelibrary.wiley.com/doi/10.1002/anie.4947785?af=R" TargetMode="External"/><Relationship Id="rId1635" Type="http://schemas.openxmlformats.org/officeDocument/2006/relationships/hyperlink" Target="https://doi.org/10.1002/anie.4947785" TargetMode="External"/><Relationship Id="rId1636" Type="http://schemas.openxmlformats.org/officeDocument/2006/relationships/hyperlink" Target="https://onlinelibrary.wiley.com/doi/10.1002/anie.9635327?af=R" TargetMode="External"/><Relationship Id="rId1637" Type="http://schemas.openxmlformats.org/officeDocument/2006/relationships/hyperlink" Target="https://doi.org/10.1002/anie.9635327" TargetMode="External"/><Relationship Id="rId1638" Type="http://schemas.openxmlformats.org/officeDocument/2006/relationships/hyperlink" Target="https://onlinelibrary.wiley.com/doi/10.1002/anie.4746176?af=R" TargetMode="External"/><Relationship Id="rId1639" Type="http://schemas.openxmlformats.org/officeDocument/2006/relationships/hyperlink" Target="https://doi.org/10.1002/anie.4746176" TargetMode="External"/><Relationship Id="rId1640" Type="http://schemas.openxmlformats.org/officeDocument/2006/relationships/hyperlink" Target="https://onlinelibrary.wiley.com/doi/10.1002/anie.6451405?af=R" TargetMode="External"/><Relationship Id="rId1641" Type="http://schemas.openxmlformats.org/officeDocument/2006/relationships/hyperlink" Target="https://doi.org/10.1002/anie.6451405" TargetMode="External"/><Relationship Id="rId1642" Type="http://schemas.openxmlformats.org/officeDocument/2006/relationships/hyperlink" Target="https://onlinelibrary.wiley.com/doi/10.1002/anie.5574366?af=R" TargetMode="External"/><Relationship Id="rId1643" Type="http://schemas.openxmlformats.org/officeDocument/2006/relationships/hyperlink" Target="https://doi.org/10.1002/anie.5574366" TargetMode="External"/><Relationship Id="rId1644" Type="http://schemas.openxmlformats.org/officeDocument/2006/relationships/hyperlink" Target="https://onlinelibrary.wiley.com/doi/10.1002/anie.1425075?af=R" TargetMode="External"/><Relationship Id="rId1645" Type="http://schemas.openxmlformats.org/officeDocument/2006/relationships/hyperlink" Target="https://doi.org/10.1002/anie.1425075" TargetMode="External"/><Relationship Id="rId1646" Type="http://schemas.openxmlformats.org/officeDocument/2006/relationships/hyperlink" Target="https://onlinelibrary.wiley.com/doi/10.1002/anie.1534079?af=R" TargetMode="External"/><Relationship Id="rId1647" Type="http://schemas.openxmlformats.org/officeDocument/2006/relationships/hyperlink" Target="https://doi.org/10.1002/anie.1534079" TargetMode="External"/><Relationship Id="rId1648" Type="http://schemas.openxmlformats.org/officeDocument/2006/relationships/hyperlink" Target="https://onlinelibrary.wiley.com/doi/10.1002/anie.7041180?af=R" TargetMode="External"/><Relationship Id="rId1649" Type="http://schemas.openxmlformats.org/officeDocument/2006/relationships/hyperlink" Target="https://doi.org/10.1002/anie.7041180" TargetMode="External"/><Relationship Id="rId1650" Type="http://schemas.openxmlformats.org/officeDocument/2006/relationships/hyperlink" Target="https://onlinelibrary.wiley.com/doi/10.1002/anie.2132280?af=R" TargetMode="External"/><Relationship Id="rId1651" Type="http://schemas.openxmlformats.org/officeDocument/2006/relationships/hyperlink" Target="https://doi.org/10.1002/anie.2132280" TargetMode="External"/><Relationship Id="rId1652" Type="http://schemas.openxmlformats.org/officeDocument/2006/relationships/hyperlink" Target="https://onlinelibrary.wiley.com/doi/10.1002/anie.3806134?af=R" TargetMode="External"/><Relationship Id="rId1653" Type="http://schemas.openxmlformats.org/officeDocument/2006/relationships/hyperlink" Target="https://doi.org/10.1002/anie.3806134" TargetMode="External"/><Relationship Id="rId1654" Type="http://schemas.openxmlformats.org/officeDocument/2006/relationships/hyperlink" Target="https://onlinelibrary.wiley.com/doi/10.1002/anie.6333732?af=R" TargetMode="External"/><Relationship Id="rId1655" Type="http://schemas.openxmlformats.org/officeDocument/2006/relationships/hyperlink" Target="https://doi.org/10.1002/anie.6333732" TargetMode="External"/><Relationship Id="rId1656" Type="http://schemas.openxmlformats.org/officeDocument/2006/relationships/hyperlink" Target="https://pubs.acs.org/jacsat/article/doi/10.1021/jacs.6c09592/5247115/Palladium-Catalyzed-Asymmetric-Remote" TargetMode="External"/><Relationship Id="rId1657" Type="http://schemas.openxmlformats.org/officeDocument/2006/relationships/hyperlink" Target="https://doi.org/10.1021/jacs.6c09592" TargetMode="External"/><Relationship Id="rId1658" Type="http://schemas.openxmlformats.org/officeDocument/2006/relationships/hyperlink" Target="https://pubs.acs.org/jacsat/article/doi/10.1021/jacs.6c14390/5249635/Copper-Catalyzed-Enantioselective-Vinylogous" TargetMode="External"/><Relationship Id="rId1659" Type="http://schemas.openxmlformats.org/officeDocument/2006/relationships/hyperlink" Target="https://doi.org/10.1021/jacs.6c14390" TargetMode="External"/><Relationship Id="rId1660" Type="http://schemas.openxmlformats.org/officeDocument/2006/relationships/hyperlink" Target="https://www.nature.com/articles/s41467-026-76243-7" TargetMode="External"/><Relationship Id="rId1661" Type="http://schemas.openxmlformats.org/officeDocument/2006/relationships/hyperlink" Target="https://pubs.acs.org/aamick/article/doi/10.1021/acsami.6c09157/5247119/Interfacial-Polydentate-Complexation-with-Phytic" TargetMode="External"/><Relationship Id="rId1662" Type="http://schemas.openxmlformats.org/officeDocument/2006/relationships/hyperlink" Target="https://doi.org/10.1021/acsami.6c09157" TargetMode="External"/><Relationship Id="rId1663" Type="http://schemas.openxmlformats.org/officeDocument/2006/relationships/hyperlink" Target="https://pubs.acs.org/jacsat/article/doi/10.1021/jacs.6c09261/5247684/Unexpected-Reactivity-of-1-3-4-Thiadiazole-N" TargetMode="External"/><Relationship Id="rId1664" Type="http://schemas.openxmlformats.org/officeDocument/2006/relationships/hyperlink" Target="https://doi.org/10.1021/jacs.6c09261" TargetMode="External"/><Relationship Id="rId1665" Type="http://schemas.openxmlformats.org/officeDocument/2006/relationships/hyperlink" Target="https://pubs.acs.org/jacsat/article/doi/10.1021/jacs.6c13015/5249686/Total-Synthesis-and-Structural-Confirmation-of" TargetMode="External"/><Relationship Id="rId1666" Type="http://schemas.openxmlformats.org/officeDocument/2006/relationships/hyperlink" Target="https://doi.org/10.1021/jacs.6c13015" TargetMode="External"/><Relationship Id="rId1667" Type="http://schemas.openxmlformats.org/officeDocument/2006/relationships/hyperlink" Target="https://www.nature.com/articles/s41558-026-02715-9" TargetMode="External"/><Relationship Id="rId1668" Type="http://schemas.openxmlformats.org/officeDocument/2006/relationships/hyperlink" Target="https://doi.org/10.1038/s41558-026-02715-9" TargetMode="External"/><Relationship Id="rId1669" Type="http://schemas.openxmlformats.org/officeDocument/2006/relationships/hyperlink" Target="https://www.nature.com/articles/d41586-026-02458-9" TargetMode="External"/><Relationship Id="rId1670" Type="http://schemas.openxmlformats.org/officeDocument/2006/relationships/hyperlink" Target="https://doi.org/10.1038/d41586-026-02458-9" TargetMode="External"/><Relationship Id="rId1671" Type="http://schemas.openxmlformats.org/officeDocument/2006/relationships/hyperlink" Target="https://www.nature.com/articles/d41586-026-02430-7" TargetMode="External"/><Relationship Id="rId1672" Type="http://schemas.openxmlformats.org/officeDocument/2006/relationships/hyperlink" Target="https://doi.org/10.1038/d41586-026-02430-7" TargetMode="External"/><Relationship Id="rId1673" Type="http://schemas.openxmlformats.org/officeDocument/2006/relationships/hyperlink" Target="https://www.nature.com/articles/d41586-026-02360-4" TargetMode="External"/><Relationship Id="rId1674" Type="http://schemas.openxmlformats.org/officeDocument/2006/relationships/hyperlink" Target="https://doi.org/10.1038/d41586-026-02360-4" TargetMode="External"/><Relationship Id="rId1675" Type="http://schemas.openxmlformats.org/officeDocument/2006/relationships/hyperlink" Target="https://www.nature.com/articles/d41586-026-02429-0" TargetMode="External"/><Relationship Id="rId1676" Type="http://schemas.openxmlformats.org/officeDocument/2006/relationships/hyperlink" Target="https://doi.org/10.1038/d41586-026-02429-0" TargetMode="External"/><Relationship Id="rId1677" Type="http://schemas.openxmlformats.org/officeDocument/2006/relationships/hyperlink" Target="https://www.nature.com/articles/s41586-026-10953-2" TargetMode="External"/><Relationship Id="rId1678" Type="http://schemas.openxmlformats.org/officeDocument/2006/relationships/hyperlink" Target="https://doi.org/10.1038/s41586-026-10953-2" TargetMode="External"/><Relationship Id="rId1679" Type="http://schemas.openxmlformats.org/officeDocument/2006/relationships/hyperlink" Target="https://www.nature.com/articles/s41893-026-01914-8" TargetMode="External"/><Relationship Id="rId1680" Type="http://schemas.openxmlformats.org/officeDocument/2006/relationships/hyperlink" Target="https://doi.org/10.1038/s41893-026-01914-8" TargetMode="External"/><Relationship Id="rId1681" Type="http://schemas.openxmlformats.org/officeDocument/2006/relationships/hyperlink" Target="https://academic.oup.com/nsr/advance-article/doi/10.1093/nsr/nwag475/8753260?rss=1" TargetMode="External"/><Relationship Id="rId1682" Type="http://schemas.openxmlformats.org/officeDocument/2006/relationships/hyperlink" Target="https://doi.org/10.1093/nsr/nwag475" TargetMode="External"/><Relationship Id="rId1683" Type="http://schemas.openxmlformats.org/officeDocument/2006/relationships/hyperlink" Target="https://www.nature.com/articles/s41563-026-02701-8" TargetMode="External"/><Relationship Id="rId1684" Type="http://schemas.openxmlformats.org/officeDocument/2006/relationships/hyperlink" Target="https://doi.org/10.1038/s41563-026-02701-8" TargetMode="External"/><Relationship Id="rId1685" Type="http://schemas.openxmlformats.org/officeDocument/2006/relationships/hyperlink" Target="https://www.nature.com/articles/s41558-026-02726-6" TargetMode="External"/><Relationship Id="rId1686" Type="http://schemas.openxmlformats.org/officeDocument/2006/relationships/hyperlink" Target="https://doi.org/10.1038/s41558-026-02726-6" TargetMode="External"/><Relationship Id="rId1687" Type="http://schemas.openxmlformats.org/officeDocument/2006/relationships/hyperlink" Target="https://www.nature.com/articles/s41563-026-02709-0" TargetMode="External"/><Relationship Id="rId1688" Type="http://schemas.openxmlformats.org/officeDocument/2006/relationships/hyperlink" Target="https://doi.org/10.1038/s41563-026-02709-0" TargetMode="External"/><Relationship Id="rId1689" Type="http://schemas.openxmlformats.org/officeDocument/2006/relationships/hyperlink" Target="https://pubs.acs.org/jacsat/article/doi/10.1021/jacs.6c09236/5249634/Independent-and-Efficient-Pyridone-Scaffold" TargetMode="External"/><Relationship Id="rId1690" Type="http://schemas.openxmlformats.org/officeDocument/2006/relationships/hyperlink" Target="https://doi.org/10.1021/jacs.6c09236" TargetMode="External"/><Relationship Id="rId1691" Type="http://schemas.openxmlformats.org/officeDocument/2006/relationships/hyperlink" Target="https://pubs.acs.org/jacsat/article/doi/10.1021/jacs.6c03768/5249644/Surface-Phonon-Mediated-Molecular-Diffusion-via" TargetMode="External"/><Relationship Id="rId1692" Type="http://schemas.openxmlformats.org/officeDocument/2006/relationships/hyperlink" Target="https://doi.org/10.1021/jacs.6c03768" TargetMode="External"/><Relationship Id="rId1693" Type="http://schemas.openxmlformats.org/officeDocument/2006/relationships/hyperlink" Target="https://pubs.acs.org/jacsat/article/doi/10.1021/jacs.6c09948/5249793/Asymmetric-Total-Synthesis-of-Venezuelaene-A-via" TargetMode="External"/><Relationship Id="rId1694" Type="http://schemas.openxmlformats.org/officeDocument/2006/relationships/hyperlink" Target="https://doi.org/10.1021/jacs.6c09948" TargetMode="External"/><Relationship Id="rId1695" Type="http://schemas.openxmlformats.org/officeDocument/2006/relationships/hyperlink" Target="https://pubs.acs.org/jacsat/article/doi/10.1021/jacs.6c07122/5249671/Ultrasound-Driven-Reductive-Deoxygenation-of-N" TargetMode="External"/><Relationship Id="rId1696" Type="http://schemas.openxmlformats.org/officeDocument/2006/relationships/hyperlink" Target="https://doi.org/10.1021/jacs.6c07122" TargetMode="External"/><Relationship Id="rId1697" Type="http://schemas.openxmlformats.org/officeDocument/2006/relationships/hyperlink" Target="https://pubs.acs.org/aamick/article/doi/10.1021/acsami.6c08409/5247122/Hierarchical-Titania-Nanotube-Graphene-Oxide" TargetMode="External"/><Relationship Id="rId1698" Type="http://schemas.openxmlformats.org/officeDocument/2006/relationships/hyperlink" Target="https://doi.org/10.1021/acsami.6c08409" TargetMode="External"/><Relationship Id="rId1699" Type="http://schemas.openxmlformats.org/officeDocument/2006/relationships/hyperlink" Target="https://pubs.acs.org/aamick/article/doi/10.1021/acsami.6c06333/5247118/Self-Healable-Anti-Corrosion-Coating-under-High" TargetMode="External"/><Relationship Id="rId1700" Type="http://schemas.openxmlformats.org/officeDocument/2006/relationships/hyperlink" Target="https://doi.org/10.1021/acsami.6c06333" TargetMode="External"/><Relationship Id="rId1701" Type="http://schemas.openxmlformats.org/officeDocument/2006/relationships/hyperlink" Target="https://pubs.acs.org/aamick/article/doi/10.1021/acsami.6c04917/5249660/High-Entropy-Flexible-Ferroelectric-Thin-Film-with" TargetMode="External"/><Relationship Id="rId1702" Type="http://schemas.openxmlformats.org/officeDocument/2006/relationships/hyperlink" Target="https://doi.org/10.1021/acsami.6c04917" TargetMode="External"/><Relationship Id="rId1703" Type="http://schemas.openxmlformats.org/officeDocument/2006/relationships/hyperlink" Target="https://pubs.acs.org/aamick/article/doi/10.1021/acsami.6c06038/5249715/An-Injectable-Dual-Bacterial-Trapping-Nanozyme" TargetMode="External"/><Relationship Id="rId1704" Type="http://schemas.openxmlformats.org/officeDocument/2006/relationships/hyperlink" Target="https://doi.org/10.1021/acsami.6c06038" TargetMode="External"/><Relationship Id="rId1705" Type="http://schemas.openxmlformats.org/officeDocument/2006/relationships/hyperlink" Target="https://pubs.acs.org/aamick/article/doi/10.1021/acsami.6c09276/5249770/A-High-Performance-Conformal-Metamaterial-for-1-5" TargetMode="External"/><Relationship Id="rId1706" Type="http://schemas.openxmlformats.org/officeDocument/2006/relationships/hyperlink" Target="https://doi.org/10.1021/acsami.6c09276" TargetMode="External"/><Relationship Id="rId1707" Type="http://schemas.openxmlformats.org/officeDocument/2006/relationships/hyperlink" Target="https://www.nature.com/articles/s41565-026-02248-4" TargetMode="External"/><Relationship Id="rId1708" Type="http://schemas.openxmlformats.org/officeDocument/2006/relationships/hyperlink" Target="https://doi.org/10.1038/s41565-026-02248-4" TargetMode="External"/><Relationship Id="rId1709" Type="http://schemas.openxmlformats.org/officeDocument/2006/relationships/hyperlink" Target="https://www.nature.com/articles/s41565-026-02236-8" TargetMode="External"/><Relationship Id="rId1710" Type="http://schemas.openxmlformats.org/officeDocument/2006/relationships/hyperlink" Target="https://doi.org/10.1038/s41565-026-02236-8" TargetMode="External"/><Relationship Id="rId1711" Type="http://schemas.openxmlformats.org/officeDocument/2006/relationships/hyperlink" Target="https://www.nature.com/articles/d41586-026-02460-1" TargetMode="External"/><Relationship Id="rId1712" Type="http://schemas.openxmlformats.org/officeDocument/2006/relationships/hyperlink" Target="https://doi.org/10.1038/d41586-026-02460-1" TargetMode="External"/><Relationship Id="rId1713" Type="http://schemas.openxmlformats.org/officeDocument/2006/relationships/hyperlink" Target="https://pubs.acs.org/aamick/article/doi/10.1021/acsami.6c09694/5249772/Tailored-Mn2-Activated-Zinc-Halides-for-Enhanced-X" TargetMode="External"/><Relationship Id="rId1714" Type="http://schemas.openxmlformats.org/officeDocument/2006/relationships/hyperlink" Target="https://doi.org/10.1021/acsami.6c09694" TargetMode="External"/><Relationship Id="rId1715" Type="http://schemas.openxmlformats.org/officeDocument/2006/relationships/hyperlink" Target="https://www.nature.com/articles/d41586-026-02235-8" TargetMode="External"/><Relationship Id="rId1716" Type="http://schemas.openxmlformats.org/officeDocument/2006/relationships/hyperlink" Target="https://doi.org/10.1038/d41586-026-02235-8" TargetMode="External"/><Relationship Id="rId1717" Type="http://schemas.openxmlformats.org/officeDocument/2006/relationships/hyperlink" Target="https://pubs.acs.org/jacsat/article/doi/10.1021/jacs.6c09034/5249672/Core-Shell-HgCdTe-HgCdSe-Quantum-Dots-for-Wave" TargetMode="External"/><Relationship Id="rId1718" Type="http://schemas.openxmlformats.org/officeDocument/2006/relationships/hyperlink" Target="https://doi.org/10.1021/jacs.6c09034" TargetMode="External"/><Relationship Id="rId1719" Type="http://schemas.openxmlformats.org/officeDocument/2006/relationships/hyperlink" Target="https://pubs.acs.org/jacsat/article/doi/10.1021/jacs.6c12616/5249618/Site-Specific-and-Mode-Specific-Photodissociation" TargetMode="External"/><Relationship Id="rId1720" Type="http://schemas.openxmlformats.org/officeDocument/2006/relationships/hyperlink" Target="https://doi.org/10.1021/jacs.6c12616" TargetMode="External"/><Relationship Id="rId1721" Type="http://schemas.openxmlformats.org/officeDocument/2006/relationships/hyperlink" Target="https://pubs.acs.org/jacsat/article/doi/10.1021/jacs.6c04476/5249654/The-Catalytic-Enantioselective-Sommelet-Hauser" TargetMode="External"/><Relationship Id="rId1722" Type="http://schemas.openxmlformats.org/officeDocument/2006/relationships/hyperlink" Target="https://doi.org/10.1021/jacs.6c04476" TargetMode="External"/><Relationship Id="rId1723" Type="http://schemas.openxmlformats.org/officeDocument/2006/relationships/hyperlink" Target="https://pubs.acs.org/jacsat/article/doi/10.1021/jacs.6c11035/5247480/Adaptive-Halide-Binding-with-Anion-Size-Triggering" TargetMode="External"/><Relationship Id="rId1724" Type="http://schemas.openxmlformats.org/officeDocument/2006/relationships/hyperlink" Target="https://doi.org/10.1021/jacs.6c11035" TargetMode="External"/><Relationship Id="rId1725" Type="http://schemas.openxmlformats.org/officeDocument/2006/relationships/hyperlink" Target="https://pubs.acs.org/jacsat/article/doi/10.1021/jacs.6c12004/5249273/Bidentate-Hydrogen-Bonds-Accelerate-Interfacial" TargetMode="External"/><Relationship Id="rId1726" Type="http://schemas.openxmlformats.org/officeDocument/2006/relationships/hyperlink" Target="https://doi.org/10.1021/jacs.6c12004" TargetMode="External"/><Relationship Id="rId1727" Type="http://schemas.openxmlformats.org/officeDocument/2006/relationships/hyperlink" Target="https://pubs.acs.org/aamick/article/doi/10.1021/acsami.6c03330/5249779/Terrace-Mediated-Growth-of-WS2-Using-Molecular" TargetMode="External"/><Relationship Id="rId1728" Type="http://schemas.openxmlformats.org/officeDocument/2006/relationships/hyperlink" Target="https://doi.org/10.1021/acsami.6c03330" TargetMode="External"/><Relationship Id="rId1729" Type="http://schemas.openxmlformats.org/officeDocument/2006/relationships/hyperlink" Target="https://pubs.acs.org/aamick/article/doi/10.1021/acsami.6c12261/5249677/Spatial-Configuration-Directed-Screening-of-Isomer" TargetMode="External"/><Relationship Id="rId1730" Type="http://schemas.openxmlformats.org/officeDocument/2006/relationships/hyperlink" Target="https://doi.org/10.1021/acsami.6c12261" TargetMode="External"/><Relationship Id="rId1731" Type="http://schemas.openxmlformats.org/officeDocument/2006/relationships/hyperlink" Target="https://pubs.acs.org/jacsat/article/doi/10.1021/jacs.6c11041/5249753/Design-and-Elucidation-of-a-Strain-Relief-Driven" TargetMode="External"/><Relationship Id="rId1732" Type="http://schemas.openxmlformats.org/officeDocument/2006/relationships/hyperlink" Target="https://doi.org/10.1021/jacs.6c11041" TargetMode="External"/><Relationship Id="rId1733" Type="http://schemas.openxmlformats.org/officeDocument/2006/relationships/hyperlink" Target="https://www.science.org/doi/abs/10.1126/science.ael0463?af=R" TargetMode="External"/><Relationship Id="rId1734" Type="http://schemas.openxmlformats.org/officeDocument/2006/relationships/hyperlink" Target="https://doi.org/10.1126/science.ael0463" TargetMode="External"/><Relationship Id="rId1735" Type="http://schemas.openxmlformats.org/officeDocument/2006/relationships/hyperlink" Target="https://www.science.org/doi/abs/10.1126/science.aej9456?af=R" TargetMode="External"/><Relationship Id="rId1736" Type="http://schemas.openxmlformats.org/officeDocument/2006/relationships/hyperlink" Target="https://doi.org/10.1126/science.aej9456" TargetMode="External"/><Relationship Id="rId1737" Type="http://schemas.openxmlformats.org/officeDocument/2006/relationships/hyperlink" Target="https://www.science.org/doi/abs/10.1126/science.aek2112?af=R" TargetMode="External"/><Relationship Id="rId1738" Type="http://schemas.openxmlformats.org/officeDocument/2006/relationships/hyperlink" Target="https://doi.org/10.1126/science.aek2112" TargetMode="External"/><Relationship Id="rId1739" Type="http://schemas.openxmlformats.org/officeDocument/2006/relationships/hyperlink" Target="https://www.science.org/doi/abs/10.1126/science.ael2156?af=R" TargetMode="External"/><Relationship Id="rId1740" Type="http://schemas.openxmlformats.org/officeDocument/2006/relationships/hyperlink" Target="https://doi.org/10.1126/science.ael2156" TargetMode="External"/><Relationship Id="rId1741" Type="http://schemas.openxmlformats.org/officeDocument/2006/relationships/hyperlink" Target="https://www.science.org/doi/abs/10.1126/science.ael2154?af=R" TargetMode="External"/><Relationship Id="rId1742" Type="http://schemas.openxmlformats.org/officeDocument/2006/relationships/hyperlink" Target="https://doi.org/10.1126/science.ael2154" TargetMode="External"/><Relationship Id="rId1743" Type="http://schemas.openxmlformats.org/officeDocument/2006/relationships/hyperlink" Target="https://www.science.org/doi/abs/10.1126/science.ael2158?af=R" TargetMode="External"/><Relationship Id="rId1744" Type="http://schemas.openxmlformats.org/officeDocument/2006/relationships/hyperlink" Target="https://doi.org/10.1126/science.ael2158" TargetMode="External"/><Relationship Id="rId1745" Type="http://schemas.openxmlformats.org/officeDocument/2006/relationships/hyperlink" Target="https://www.science.org/doi/abs/10.1126/science.ael2157?af=R" TargetMode="External"/><Relationship Id="rId1746" Type="http://schemas.openxmlformats.org/officeDocument/2006/relationships/hyperlink" Target="https://doi.org/10.1126/science.ael2157" TargetMode="External"/><Relationship Id="rId1747" Type="http://schemas.openxmlformats.org/officeDocument/2006/relationships/hyperlink" Target="https://www.science.org/doi/abs/10.1126/science.aee3176?af=R" TargetMode="External"/><Relationship Id="rId1748" Type="http://schemas.openxmlformats.org/officeDocument/2006/relationships/hyperlink" Target="https://doi.org/10.1126/science.aee3176" TargetMode="External"/><Relationship Id="rId1749" Type="http://schemas.openxmlformats.org/officeDocument/2006/relationships/hyperlink" Target="https://www.science.org/doi/abs/10.1126/science.ael2155?af=R" TargetMode="External"/><Relationship Id="rId1750" Type="http://schemas.openxmlformats.org/officeDocument/2006/relationships/hyperlink" Target="https://doi.org/10.1126/science.ael2155" TargetMode="External"/><Relationship Id="rId1751" Type="http://schemas.openxmlformats.org/officeDocument/2006/relationships/hyperlink" Target="https://www.science.org/doi/abs/10.1126/science.aej8512?af=R" TargetMode="External"/><Relationship Id="rId1752" Type="http://schemas.openxmlformats.org/officeDocument/2006/relationships/hyperlink" Target="https://doi.org/10.1126/science.aej8512" TargetMode="External"/><Relationship Id="rId1753" Type="http://schemas.openxmlformats.org/officeDocument/2006/relationships/hyperlink" Target="https://www.science.org/doi/abs/10.1126/science.ael2153?af=R" TargetMode="External"/><Relationship Id="rId1754" Type="http://schemas.openxmlformats.org/officeDocument/2006/relationships/hyperlink" Target="https://doi.org/10.1126/science.ael2153" TargetMode="External"/><Relationship Id="rId1755" Type="http://schemas.openxmlformats.org/officeDocument/2006/relationships/hyperlink" Target="https://www.science.org/doi/abs/10.1126/science.aek0553?af=R" TargetMode="External"/><Relationship Id="rId1756" Type="http://schemas.openxmlformats.org/officeDocument/2006/relationships/hyperlink" Target="https://doi.org/10.1126/science.aek0553" TargetMode="External"/><Relationship Id="rId1757" Type="http://schemas.openxmlformats.org/officeDocument/2006/relationships/hyperlink" Target="https://www.science.org/doi/abs/10.1126/science.ael1781?af=R" TargetMode="External"/><Relationship Id="rId1758" Type="http://schemas.openxmlformats.org/officeDocument/2006/relationships/hyperlink" Target="https://doi.org/10.1126/science.ael1781" TargetMode="External"/><Relationship Id="rId1759" Type="http://schemas.openxmlformats.org/officeDocument/2006/relationships/hyperlink" Target="https://www.science.org/doi/abs/10.1126/science.aek0194?af=R" TargetMode="External"/><Relationship Id="rId1760" Type="http://schemas.openxmlformats.org/officeDocument/2006/relationships/hyperlink" Target="https://doi.org/10.1126/science.aek0194" TargetMode="External"/><Relationship Id="rId1761" Type="http://schemas.openxmlformats.org/officeDocument/2006/relationships/hyperlink" Target="https://www.science.org/doi/abs/10.1126/science.aek0212?af=R" TargetMode="External"/><Relationship Id="rId1762" Type="http://schemas.openxmlformats.org/officeDocument/2006/relationships/hyperlink" Target="https://doi.org/10.1126/science.aek0212" TargetMode="External"/><Relationship Id="rId1763" Type="http://schemas.openxmlformats.org/officeDocument/2006/relationships/hyperlink" Target="https://www.science.org/doi/abs/10.1126/science.ael1780?af=R" TargetMode="External"/><Relationship Id="rId1764" Type="http://schemas.openxmlformats.org/officeDocument/2006/relationships/hyperlink" Target="https://doi.org/10.1126/science.ael1780" TargetMode="External"/><Relationship Id="rId1765" Type="http://schemas.openxmlformats.org/officeDocument/2006/relationships/hyperlink" Target="https://www.science.org/doi/abs/10.1126/science.aej0108?af=R" TargetMode="External"/><Relationship Id="rId1766" Type="http://schemas.openxmlformats.org/officeDocument/2006/relationships/hyperlink" Target="https://doi.org/10.1126/science.aej0108" TargetMode="External"/><Relationship Id="rId1767" Type="http://schemas.openxmlformats.org/officeDocument/2006/relationships/hyperlink" Target="https://www.science.org/doi/abs/10.1126/science.adx1707?af=R" TargetMode="External"/><Relationship Id="rId1768" Type="http://schemas.openxmlformats.org/officeDocument/2006/relationships/hyperlink" Target="https://doi.org/10.1126/science.adx1707" TargetMode="External"/><Relationship Id="rId1769" Type="http://schemas.openxmlformats.org/officeDocument/2006/relationships/hyperlink" Target="https://www.science.org/doi/abs/10.1126/science.aed8437?af=R" TargetMode="External"/><Relationship Id="rId1770" Type="http://schemas.openxmlformats.org/officeDocument/2006/relationships/hyperlink" Target="https://doi.org/10.1126/science.aed8437" TargetMode="External"/><Relationship Id="rId1771" Type="http://schemas.openxmlformats.org/officeDocument/2006/relationships/hyperlink" Target="https://www.science.org/doi/abs/10.1126/science.aea5828?af=R" TargetMode="External"/><Relationship Id="rId1772" Type="http://schemas.openxmlformats.org/officeDocument/2006/relationships/hyperlink" Target="https://doi.org/10.1126/science.aea5828" TargetMode="External"/><Relationship Id="rId1773" Type="http://schemas.openxmlformats.org/officeDocument/2006/relationships/hyperlink" Target="https://www.science.org/doi/abs/10.1126/science.aee3541?af=R" TargetMode="External"/><Relationship Id="rId1774" Type="http://schemas.openxmlformats.org/officeDocument/2006/relationships/hyperlink" Target="https://doi.org/10.1126/science.aee3541" TargetMode="External"/><Relationship Id="rId1775" Type="http://schemas.openxmlformats.org/officeDocument/2006/relationships/hyperlink" Target="https://www.science.org/doi/abs/10.1126/science.aeh1475?af=R" TargetMode="External"/><Relationship Id="rId1776" Type="http://schemas.openxmlformats.org/officeDocument/2006/relationships/hyperlink" Target="https://doi.org/10.1126/science.aeh1475" TargetMode="External"/><Relationship Id="rId1777" Type="http://schemas.openxmlformats.org/officeDocument/2006/relationships/hyperlink" Target="https://www.science.org/doi/abs/10.1126/science.adt7323?af=R" TargetMode="External"/><Relationship Id="rId1778" Type="http://schemas.openxmlformats.org/officeDocument/2006/relationships/hyperlink" Target="https://doi.org/10.1126/science.adt7323" TargetMode="External"/><Relationship Id="rId1779" Type="http://schemas.openxmlformats.org/officeDocument/2006/relationships/hyperlink" Target="https://www.science.org/doi/abs/10.1126/science.ael1782?af=R" TargetMode="External"/><Relationship Id="rId1780" Type="http://schemas.openxmlformats.org/officeDocument/2006/relationships/hyperlink" Target="https://doi.org/10.1126/science.ael1782" TargetMode="External"/><Relationship Id="rId1781" Type="http://schemas.openxmlformats.org/officeDocument/2006/relationships/hyperlink" Target="https://www.science.org/doi/abs/10.1126/science.adx7367?af=R" TargetMode="External"/><Relationship Id="rId1782" Type="http://schemas.openxmlformats.org/officeDocument/2006/relationships/hyperlink" Target="https://doi.org/10.1126/science.adx7367" TargetMode="External"/><Relationship Id="rId1783" Type="http://schemas.openxmlformats.org/officeDocument/2006/relationships/hyperlink" Target="https://advanced.onlinelibrary.wiley.com/doi/10.1002/adma.74399?af=R" TargetMode="External"/><Relationship Id="rId1784" Type="http://schemas.openxmlformats.org/officeDocument/2006/relationships/hyperlink" Target="https://doi.org/10.1002/adma.74399" TargetMode="External"/><Relationship Id="rId1785" Type="http://schemas.openxmlformats.org/officeDocument/2006/relationships/hyperlink" Target="https://www.science.org/doi/abs/10.1126/science.aec2657?af=R" TargetMode="External"/><Relationship Id="rId1786" Type="http://schemas.openxmlformats.org/officeDocument/2006/relationships/hyperlink" Target="https://doi.org/10.1126/science.aec2657" TargetMode="External"/><Relationship Id="rId1787" Type="http://schemas.openxmlformats.org/officeDocument/2006/relationships/hyperlink" Target="https://www.science.org/doi/abs/10.1126/science.adu6688?af=R" TargetMode="External"/><Relationship Id="rId1788" Type="http://schemas.openxmlformats.org/officeDocument/2006/relationships/hyperlink" Target="https://doi.org/10.1126/science.adu6688" TargetMode="External"/><Relationship Id="rId1789" Type="http://schemas.openxmlformats.org/officeDocument/2006/relationships/hyperlink" Target="https://www.pnas.org/doi/abs/10.1073/pnas.2620143123?mi=eymic2&amp;af=R&amp;access=on&amp;content=articlesChapters&amp;publication=pnas&amp;sortBy=Earliest&amp;target=default" TargetMode="External"/><Relationship Id="rId1790" Type="http://schemas.openxmlformats.org/officeDocument/2006/relationships/hyperlink" Target="https://doi.org/10.1073/pnas.2620143123" TargetMode="External"/><Relationship Id="rId1791" Type="http://schemas.openxmlformats.org/officeDocument/2006/relationships/hyperlink" Target="https://www.science.org/doi/abs/10.1126/science.aef4184?af=R" TargetMode="External"/><Relationship Id="rId1792" Type="http://schemas.openxmlformats.org/officeDocument/2006/relationships/hyperlink" Target="https://doi.org/10.1126/science.aef4184" TargetMode="External"/><Relationship Id="rId1793" Type="http://schemas.openxmlformats.org/officeDocument/2006/relationships/hyperlink" Target="https://www.science.org/doi/abs/10.1126/science.aef0766?af=R" TargetMode="External"/><Relationship Id="rId1794" Type="http://schemas.openxmlformats.org/officeDocument/2006/relationships/hyperlink" Target="https://doi.org/10.1126/science.aef0766" TargetMode="External"/><Relationship Id="rId1795" Type="http://schemas.openxmlformats.org/officeDocument/2006/relationships/hyperlink" Target="https://www.pnas.org/doi/abs/10.1073/pnas.2615786123?mi=eymic2&amp;af=R&amp;access=on&amp;content=articlesChapters&amp;publication=pnas&amp;sortBy=Earliest&amp;target=default" TargetMode="External"/><Relationship Id="rId1796" Type="http://schemas.openxmlformats.org/officeDocument/2006/relationships/hyperlink" Target="https://doi.org/10.1073/pnas.2615786123" TargetMode="External"/><Relationship Id="rId1797" Type="http://schemas.openxmlformats.org/officeDocument/2006/relationships/hyperlink" Target="https://www.science.org/doi/abs/10.1126/science.aek0207?af=R" TargetMode="External"/><Relationship Id="rId1798" Type="http://schemas.openxmlformats.org/officeDocument/2006/relationships/hyperlink" Target="https://doi.org/10.1126/science.aek0207" TargetMode="External"/><Relationship Id="rId1799" Type="http://schemas.openxmlformats.org/officeDocument/2006/relationships/hyperlink" Target="https://www.pnas.org/doi/abs/10.1073/pnas.2535979123?mi=eymic2&amp;af=R&amp;access=on&amp;content=articlesChapters&amp;publication=pnas&amp;sortBy=Earliest&amp;target=default" TargetMode="External"/><Relationship Id="rId1800" Type="http://schemas.openxmlformats.org/officeDocument/2006/relationships/hyperlink" Target="https://doi.org/10.1073/pnas.2535979123" TargetMode="External"/><Relationship Id="rId1801" Type="http://schemas.openxmlformats.org/officeDocument/2006/relationships/hyperlink" Target="https://www.pnas.org/doi/abs/10.1073/pnas.2514189123?mi=eymic2&amp;af=R&amp;access=on&amp;content=articlesChapters&amp;publication=pnas&amp;sortBy=Earliest&amp;target=default" TargetMode="External"/><Relationship Id="rId1802" Type="http://schemas.openxmlformats.org/officeDocument/2006/relationships/hyperlink" Target="https://doi.org/10.1073/pnas.2514189123" TargetMode="External"/><Relationship Id="rId1803" Type="http://schemas.openxmlformats.org/officeDocument/2006/relationships/hyperlink" Target="https://www.pnas.org/doi/abs/10.1073/pnas.2526551123?mi=eymic2&amp;af=R&amp;access=on&amp;content=articlesChapters&amp;publication=pnas&amp;sortBy=Earliest&amp;target=default" TargetMode="External"/><Relationship Id="rId1804" Type="http://schemas.openxmlformats.org/officeDocument/2006/relationships/hyperlink" Target="https://doi.org/10.1073/pnas.2526551123" TargetMode="External"/><Relationship Id="rId1805" Type="http://schemas.openxmlformats.org/officeDocument/2006/relationships/hyperlink" Target="https://www.pnas.org/doi/abs/10.1073/pnas.2610882123?mi=eymic2&amp;af=R&amp;access=on&amp;content=articlesChapters&amp;publication=pnas&amp;sortBy=Earliest&amp;target=default" TargetMode="External"/><Relationship Id="rId1806" Type="http://schemas.openxmlformats.org/officeDocument/2006/relationships/hyperlink" Target="https://doi.org/10.1073/pnas.2610882123" TargetMode="External"/><Relationship Id="rId1807" Type="http://schemas.openxmlformats.org/officeDocument/2006/relationships/hyperlink" Target="https://www.pnas.org/doi/abs/10.1073/pnas.2608715123?mi=eymic2&amp;af=R&amp;access=on&amp;content=articlesChapters&amp;publication=pnas&amp;sortBy=Earliest&amp;target=default" TargetMode="External"/><Relationship Id="rId1808" Type="http://schemas.openxmlformats.org/officeDocument/2006/relationships/hyperlink" Target="https://doi.org/10.1073/pnas.2608715123" TargetMode="External"/><Relationship Id="rId1809" Type="http://schemas.openxmlformats.org/officeDocument/2006/relationships/hyperlink" Target="https://www.pnas.org/doi/abs/10.1073/pnas.2605755123?mi=eymic2&amp;af=R&amp;access=on&amp;content=articlesChapters&amp;publication=pnas&amp;sortBy=Earliest&amp;target=default" TargetMode="External"/><Relationship Id="rId1810" Type="http://schemas.openxmlformats.org/officeDocument/2006/relationships/hyperlink" Target="https://doi.org/10.1073/pnas.2605755123" TargetMode="External"/><Relationship Id="rId1811" Type="http://schemas.openxmlformats.org/officeDocument/2006/relationships/hyperlink" Target="https://www.pnas.org/doi/abs/10.1073/pnas.2602655123?mi=eymic2&amp;af=R&amp;access=on&amp;content=articlesChapters&amp;publication=pnas&amp;sortBy=Earliest&amp;target=default" TargetMode="External"/><Relationship Id="rId1812" Type="http://schemas.openxmlformats.org/officeDocument/2006/relationships/hyperlink" Target="https://doi.org/10.1073/pnas.2602655123" TargetMode="External"/><Relationship Id="rId1813" Type="http://schemas.openxmlformats.org/officeDocument/2006/relationships/hyperlink" Target="https://www.science.org/doi/abs/10.1126/science.adv8291?af=R" TargetMode="External"/><Relationship Id="rId1814" Type="http://schemas.openxmlformats.org/officeDocument/2006/relationships/hyperlink" Target="https://doi.org/10.1126/science.adv8291" TargetMode="External"/><Relationship Id="rId1815" Type="http://schemas.openxmlformats.org/officeDocument/2006/relationships/hyperlink" Target="http://link.aps.org/doi/10.1103/rd5c-4m5w" TargetMode="External"/><Relationship Id="rId1816" Type="http://schemas.openxmlformats.org/officeDocument/2006/relationships/hyperlink" Target="https://doi.org/10.1103/rd5c-4m5w" TargetMode="External"/><Relationship Id="rId1817" Type="http://schemas.openxmlformats.org/officeDocument/2006/relationships/hyperlink" Target="http://link.aps.org/doi/10.1103/wsvx-3nln" TargetMode="External"/><Relationship Id="rId1818" Type="http://schemas.openxmlformats.org/officeDocument/2006/relationships/hyperlink" Target="https://doi.org/10.1103/wsvx-3nln" TargetMode="External"/><Relationship Id="rId1819" Type="http://schemas.openxmlformats.org/officeDocument/2006/relationships/hyperlink" Target="http://link.aps.org/doi/10.1103/lht6-4fyl" TargetMode="External"/><Relationship Id="rId1820" Type="http://schemas.openxmlformats.org/officeDocument/2006/relationships/hyperlink" Target="https://doi.org/10.1103/lht6-4fyl" TargetMode="External"/><Relationship Id="rId1821" Type="http://schemas.openxmlformats.org/officeDocument/2006/relationships/hyperlink" Target="http://link.aps.org/doi/10.1103/y6zq-hrsj" TargetMode="External"/><Relationship Id="rId1822" Type="http://schemas.openxmlformats.org/officeDocument/2006/relationships/hyperlink" Target="https://doi.org/10.1103/y6zq-hrs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