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2026-08-21</w:t>
      </w:r>
    </w:p>
    <w:p>
      <w:pPr>
        <w:spacing w:before="160" w:after="120"/>
      </w:pPr>
      <w:r>
        <w:rPr>
          <w:b/>
          <w:sz w:val="28"/>
        </w:rPr>
        <w:t>【光伏】</w:t>
      </w:r>
    </w:p>
    <w:p>
      <w:pPr>
        <w:spacing w:before="160" w:after="40" w:line="240" w:lineRule="auto"/>
      </w:pPr>
      <w:r>
        <w:rPr>
          <w:b/>
        </w:rPr>
        <w:t xml:space="preserve">[1] </w:t>
      </w:r>
      <w:hyperlink r:id="rId9">
        <w:r>
          <w:rPr>
            <w:color w:val="1155CC"/>
            <w:u w:val="single"/>
          </w:rPr>
          <w:t>单线裂变低聚物中三重线对分离的能量梯度策略</w:t>
        </w:r>
      </w:hyperlink>
    </w:p>
    <w:p>
      <w:pPr>
        <w:spacing w:before="0" w:after="80"/>
      </w:pPr>
      <w:r>
        <w:rPr>
          <w:i/>
          <w:sz w:val="20"/>
        </w:rPr>
        <w:t>EN: An Energy-Gradient Strategy for Triplet-Pair Separation in Singlet-Fission Oligomers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10">
        <w:r>
          <w:rPr>
            <w:color w:val="1155CC"/>
            <w:u w:val="single"/>
          </w:rPr>
          <w:t>10.1021/jacs.6c09940</w:t>
        </w:r>
      </w:hyperlink>
    </w:p>
    <w:p>
      <w:pPr>
        <w:spacing w:before="0" w:after="120"/>
      </w:pPr>
      <w:r>
        <w:rPr>
          <w:b/>
        </w:rPr>
        <w:t xml:space="preserve">Notes: </w:t>
      </w:r>
      <w:r>
        <w:t>abstract_source=crossref</w:t>
      </w:r>
    </w:p>
    <w:p>
      <w:pPr>
        <w:spacing w:before="0" w:after="80" w:lineRule="auto" w:line="276"/>
      </w:pPr>
      <w:r>
        <w:rPr>
          <w:b/>
        </w:rPr>
        <w:t xml:space="preserve">摘要（ZH）: </w:t>
      </w:r>
      <w:r>
        <w:t>摘要 单线态裂变（SF）通过将一个光激发单线态激子转化为两个三线态激子，提供了一种超越肖克利-奎瑟极限的途径。然而，在分子组装中，这个过程通常会产生强交换耦合的相关三重态对，1(TT)，其中三重态间相互作用促进成对重组和反向转移到单重态流形。在这里，我们在线性二苯基六三烯（DPH）异质低聚物中实施能量梯度策略，以引导裂变动力学朝向三重态对分离，同时最大限度地减少热力学损失。该异质低聚物系列由两个基于 DPH 的结构单元构成，它们具有匹配的发色团框架，但三重态能量偏移：TIPS 取代的单元 (T-DPH) 和烷基取代的单元 (P-DPH)。通过将 T-DPH 单元定位在异质低聚物的末端，我们编码了一个适度的下坡三重态能量梯度（~60 meV），该梯度驱动三重态群体从最初形成的 1(TT) 构型向链外围迁移。使用飞秒和纳秒瞬态吸收光谱，我们跟踪了从单线态流形到 1(TT) 形成到空间分离的弱交换耦合 (T··T) 态，并最终到自由三重态的动力学演化。磁场依赖性瞬态吸收和光致发光测量为弱交换三重态对体系的总体提供了支持证据。与缺乏能量不对称性的同源三聚体 (PPP-DPH3) 进行比较，直接分离出该设计杠杆的作用，证明</w:t>
      </w:r>
    </w:p>
    <w:p>
      <w:pPr>
        <w:spacing w:before="0" w:after="200" w:lineRule="auto" w:line="276"/>
      </w:pPr>
      <w:r>
        <w:rPr>
          <w:b/>
        </w:rPr>
        <w:t xml:space="preserve">Abstract (EN): </w:t>
      </w:r>
      <w:r>
        <w:t>Singlet fission (SF) offers a pathway to surpass the Shockley–Queisser limit by converting one photoexcited singlet exciton into two triplet excitons. However, in molecular assemblies, this process commonly yields a strongly exchange-coupled correlated triplet pair, 1(TT), where intertriplet interactions facilitate geminate recombination and back-transfer to the singlet manifold. Here we implement an energy-gradient strategy in linear diphenylhexatriene (DPH) hetero-oligomers to guide postfission dynamics toward triplet-pair separation while minimizing thermodynamic loss. The hetero-oligomer series is constructed from two DPH-based building blocks with matched chromophore frameworks but offset triplet energies: a TIPS-substituted unit (T-DPH) and an alkyl-substituted unit (P-DPH). By positioning T-DPH units at the termini of the hetero-oligomers, we encode a modest downhill triplet-energy gradient (∼60 meV) that drives the migration of the triplet population away from the initially formed 1(TT) configuration toward the chain periphery. Using femtosecond and nanosecond transient absorption spectroscopy, we track the kinetic evolution from the singlet manifold through 1(TT) formation to a spatially separated, weakly exchange-coupled (T··T) state, and ultimately to free triplets. Magnetic-field-dependent transient absorption and photoluminescence measurements provide supporting evidence for population of a weak-exchange triplet-pair regime. Comparison with a homotrimer (PPP-DPH3) lacking energetic asymmetry directly isolates the role of this design lever, demonstrating that a ∼60 meV offset is sufficient to accelerate 1(TT) → (T··T) separation. Thus, this energy-gradient strategy enhances harvestable free-triplet yield while retaining the high triplet energy required for device-relevant SF optoelectronics and provides a simple and transferable design principle for SF materials that favor productive triplet-pair separation over geminate loss.</w:t>
      </w:r>
    </w:p>
    <w:p>
      <w:pPr>
        <w:spacing w:before="120" w:after="120"/>
      </w:pPr>
      <w:r>
        <w:rPr>
          <w:sz w:val="18"/>
        </w:rPr>
        <w:t>——————————————————————————————————————————————————————————————————————</w:t>
      </w:r>
    </w:p>
    <w:p>
      <w:pPr>
        <w:spacing w:before="160" w:after="40" w:line="240" w:lineRule="auto"/>
      </w:pPr>
      <w:r>
        <w:rPr>
          <w:b/>
        </w:rPr>
        <w:t xml:space="preserve">[2] </w:t>
      </w:r>
      <w:hyperlink r:id="rId11">
        <w:r>
          <w:rPr>
            <w:color w:val="1155CC"/>
            <w:u w:val="single"/>
          </w:rPr>
          <w:t>气候变化背景下我国沿海地区海上风电、光伏发电技术潜力及互补发展模式研究</w:t>
        </w:r>
      </w:hyperlink>
    </w:p>
    <w:p>
      <w:pPr>
        <w:spacing w:before="0" w:after="80"/>
      </w:pPr>
      <w:r>
        <w:rPr>
          <w:i/>
          <w:sz w:val="20"/>
        </w:rPr>
        <w:t>EN: Research on the technical potential and complementary development pattern of offshore wind and photovoltaics in China's coastal regions under climate change</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12">
        <w:r>
          <w:rPr>
            <w:color w:val="1155CC"/>
            <w:u w:val="single"/>
          </w:rPr>
          <w:t>10.1016/j.apenergy.2026.128651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
        <w:r>
          <w:rPr>
            <w:color w:val="1155CC"/>
            <w:u w:val="single"/>
          </w:rPr>
          <w:t>城市反射式和蒸发式光伏屋顶对气候和能源的影响</w:t>
        </w:r>
      </w:hyperlink>
    </w:p>
    <w:p>
      <w:pPr>
        <w:spacing w:before="0" w:after="80"/>
      </w:pPr>
      <w:r>
        <w:rPr>
          <w:i/>
          <w:sz w:val="20"/>
        </w:rPr>
        <w:t>EN: On the climatic and energy impacts of reflective and evaporative photovoltaic roofs in cities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14">
        <w:r>
          <w:rPr>
            <w:color w:val="1155CC"/>
            <w:u w:val="single"/>
          </w:rPr>
          <w:t>10.1016/j.apenergy.2026.128582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5">
        <w:r>
          <w:rPr>
            <w:color w:val="1155CC"/>
            <w:u w:val="single"/>
          </w:rPr>
          <w:t>有机金属卤化物网状胶体量子点超晶格</w:t>
        </w:r>
      </w:hyperlink>
    </w:p>
    <w:p>
      <w:pPr>
        <w:spacing w:before="0" w:after="80"/>
      </w:pPr>
      <w:r>
        <w:rPr>
          <w:i/>
          <w:sz w:val="20"/>
        </w:rPr>
        <w:t>EN: Organic Metal Halogenide Netted Colloidal Quantum Dot Superlattice</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16">
        <w:r>
          <w:rPr>
            <w:color w:val="1155CC"/>
            <w:u w:val="single"/>
          </w:rPr>
          <w:t>10.1021/jacs.6c12708</w:t>
        </w:r>
      </w:hyperlink>
    </w:p>
    <w:p>
      <w:pPr>
        <w:spacing w:before="0" w:after="120"/>
      </w:pPr>
      <w:r>
        <w:rPr>
          <w:b/>
        </w:rPr>
        <w:t xml:space="preserve">Notes: </w:t>
      </w:r>
      <w:r>
        <w:t>abstract_source=crossref</w:t>
      </w:r>
    </w:p>
    <w:p>
      <w:pPr>
        <w:spacing w:before="0" w:after="80" w:lineRule="auto" w:line="276"/>
      </w:pPr>
      <w:r>
        <w:rPr>
          <w:b/>
        </w:rPr>
        <w:t xml:space="preserve">摘要（ZH）: </w:t>
      </w:r>
      <w:r>
        <w:t>摘要：将胶体量子点（CQD）自下而上组装成超晶格结构对于将纳米晶体量子特征应用于薄膜和光电器件具有吸引力。然而，当前的CQD超晶格通常需要对组装动力学进行繁琐的控制，并且它们要么界面距离过长（阻碍载流子传输），要么面临面融合（带来高缺陷密度）。这些阻碍了 CQD 超晶格在光电器件中的应用，在光电器件中，低缺陷密度和大载流子扩散长度至关重要。在此，受二维（2D）钙钛矿层生长的启发，采用一类芳香族有机阳离子配体来稳定CQD，并诱导CQD紧密有序地堆积到由有机金属卤化物（QD@OMH）组成的超晶格中，从而使硫化铅（PbS）CQD薄膜具有高载流子扩散长度（&gt; 250 nm）。基于超晶格的红外光电探测器在 1560 nm 处实现了 0.663 A W–1 的响应度，并且噪声电流密度降低了一个数量级，从而产生超过 1013 Jones 的探测率。此外，红外发光二极管具有高辐射率（22.4 W sr–1 m–2），在峰值亮度下连续工作时，T90 寿命超过 200 小时。</w:t>
      </w:r>
    </w:p>
    <w:p>
      <w:pPr>
        <w:spacing w:before="0" w:after="200" w:lineRule="auto" w:line="276"/>
      </w:pPr>
      <w:r>
        <w:rPr>
          <w:b/>
        </w:rPr>
        <w:t xml:space="preserve">Abstract (EN): </w:t>
      </w:r>
      <w:r>
        <w:t>The bottom-up assembly of colloidal quantum dots (CQDs) into superlattice structures is attractive for leveraging nanocrystal quantum features into films and optoelectronic devices. However, current CQD superlattices often require tedious control of the assembly kinetics, and they suffer from either excessively long interfacial distances, which impede carrier transport, or facet fusion, which brings high defect density. These hinder CQD superlattice applications in optoelectronic devices, where low defect density and large carrier diffusion lengths are essential. Herein, inspired by the growth of a two-dimensional (2D) perovskite layer, a class of aromatic organic cation ligands is adopted to stabilize CQDs and induce close and ordered packing of CQDs into a superlattice netted by an organic metal halogenide (QD@OMH), giving rise to a high carrier diffusion length (&amp;gt;250 nm) for lead sulfide (PbS) CQD film. The superlattice-based infrared photodetectors achieve a responsivity of 0.663 A W–1 at 1560 nm and an order-of-magnitude reduction in noise current density, yielding a detectivity exceeding 1013 Jones. Furthermore, the infrared light-emitting diodes achieve a high radiance (22.4 W sr–1 m–2) and an operational T90 lifetime exceeding 200 h under continuous operation at peak luminance.</w:t>
      </w:r>
    </w:p>
    <w:p>
      <w:pPr>
        <w:spacing w:before="120" w:after="120"/>
      </w:pPr>
      <w:r>
        <w:rPr>
          <w:sz w:val="18"/>
        </w:rPr>
        <w:t>——————————————————————————————————————————————————————————————————————</w:t>
      </w:r>
    </w:p>
    <w:p>
      <w:pPr>
        <w:spacing w:before="160" w:after="40" w:line="240" w:lineRule="auto"/>
      </w:pPr>
      <w:r>
        <w:rPr>
          <w:b/>
        </w:rPr>
        <w:t xml:space="preserve">[5] </w:t>
      </w:r>
      <w:hyperlink r:id="rId17">
        <w:r>
          <w:rPr>
            <w:color w:val="1155CC"/>
            <w:u w:val="single"/>
          </w:rPr>
          <w:t>通过自由基-掺杂剂合作在 Spiro-OMeTAD 中构建渗透离子网络以增强空穴传输和稳定性</w:t>
        </w:r>
      </w:hyperlink>
    </w:p>
    <w:p>
      <w:pPr>
        <w:spacing w:before="0" w:after="80"/>
      </w:pPr>
      <w:r>
        <w:rPr>
          <w:i/>
          <w:sz w:val="20"/>
        </w:rPr>
        <w:t>EN: Architecting Percolating Ionic Networks in Spiro-OMeTAD via Radical-Dopant Cooperation for Enhanced Hole Transport and Stability</w:t>
      </w:r>
    </w:p>
    <w:p>
      <w:pPr>
        <w:spacing w:before="0" w:after="120"/>
      </w:pPr>
      <w:r>
        <w:rPr>
          <w:b/>
        </w:rPr>
        <w:t xml:space="preserve">Source: </w:t>
      </w:r>
      <w:r>
        <w:t>ACS Energy Letters: Latest Articles (ACS Publications)</w:t>
      </w:r>
      <w:r>
        <w:t xml:space="preserve">    </w:t>
      </w:r>
      <w:r>
        <w:rPr>
          <w:b/>
        </w:rPr>
        <w:t xml:space="preserve">Pub date: </w:t>
      </w:r>
      <w:r>
        <w:t>2026-08-14 00:00:00+00:00</w:t>
      </w:r>
      <w:r>
        <w:t xml:space="preserve">    </w:t>
      </w:r>
      <w:r>
        <w:rPr>
          <w:b/>
        </w:rPr>
        <w:t xml:space="preserve">DOI: </w:t>
      </w:r>
      <w:hyperlink r:id="rId18">
        <w:r>
          <w:rPr>
            <w:color w:val="1155CC"/>
            <w:u w:val="single"/>
          </w:rPr>
          <w:t>10.1021/acsenergylett.6c01191</w:t>
        </w:r>
      </w:hyperlink>
    </w:p>
    <w:p>
      <w:pPr>
        <w:spacing w:before="0" w:after="120"/>
      </w:pPr>
      <w:r>
        <w:rPr>
          <w:b/>
        </w:rPr>
        <w:t xml:space="preserve">Notes: </w:t>
      </w:r>
      <w:r>
        <w:t>abstract_source=crossref</w:t>
      </w:r>
    </w:p>
    <w:p>
      <w:pPr>
        <w:spacing w:before="0" w:after="80" w:lineRule="auto" w:line="276"/>
      </w:pPr>
      <w:r>
        <w:rPr>
          <w:b/>
        </w:rPr>
        <w:t xml:space="preserve">摘要（ZH）: </w:t>
      </w:r>
      <w:r>
        <w:t>摘要 掺杂spiro-OMeTAD有助于钙钛矿太阳能电池功率转换效率（PCE）的提高。然而，自由基和掺杂剂的实际作用及其对空穴传输的影响尚未明确。在此，我们探讨了自由基和掺杂剂在掺杂螺-OMeTAD中的作用，并研究了它们对空穴传输的影响。特别是，我们确定了由自由基-掺杂剂协同相互作用驱动的渗滤离子网络（PIN）的形成，这是掺杂螺-OMeTAD中以前未被认识到的高效空穴传输的起源。此外，我们通过改变阳离子体积来优化掺杂剂设计，以在没有共溶剂的情况下最大化空穴传输。最后，我们引入掺杂剂的原位聚合来固定渗透网络，以提高形态稳定性。结果，我们实现了 25.59% 的 PCE 和更高的稳定性，在 85 °C 下 1600 小时后保持超过 90% 的初始效率，在 60 ± 10% 相对湿度下 800 小时后保持超过 95% 的初始效率。</w:t>
      </w:r>
    </w:p>
    <w:p>
      <w:pPr>
        <w:spacing w:before="0" w:after="200" w:lineRule="auto" w:line="276"/>
      </w:pPr>
      <w:r>
        <w:rPr>
          <w:b/>
        </w:rPr>
        <w:t xml:space="preserve">Abstract (EN): </w:t>
      </w:r>
      <w:r>
        <w:t>Doping spiro-OMeTAD has contributed to the power conversion efficiency (PCE) improvement of perovskite solar cells. Nevertheless, the actual roles of the radical and dopant, and their influence on the hole transport, have not been identified much. Herein, we explore the roles of the radical and dopant in doped spiro-OMeTAD and study their effects on hole transport. In particular, we identify the formation of a percolating ionic network (PIN), driven by cooperative radical-dopant interactions, as a previously unrecognized origin of efficient hole transport in doped spiro-OMeTAD. Moreover, we optimized the dopant design by changing the cation bulkiness to maximize hole transport without co-solvents. Finally, we introduce in situ polymerization of the dopant for fixation of the percolated network to improve morphological stability. As a result, we achieve 25.59% PCE with improved stability, retaining over 90% of its initial efficiency after 1600 h under 85 °C and over 95% after 800 h under 60 ± 10% relative humidity.</w:t>
      </w:r>
    </w:p>
    <w:p>
      <w:pPr>
        <w:spacing w:before="120" w:after="120"/>
      </w:pPr>
      <w:r>
        <w:rPr>
          <w:sz w:val="18"/>
        </w:rPr>
        <w:t>——————————————————————————————————————————————————————————————————————</w:t>
      </w:r>
    </w:p>
    <w:p>
      <w:pPr>
        <w:spacing w:before="160" w:after="40" w:line="240" w:lineRule="auto"/>
      </w:pPr>
      <w:r>
        <w:rPr>
          <w:b/>
        </w:rPr>
        <w:t xml:space="preserve">[6] </w:t>
      </w:r>
      <w:hyperlink r:id="rId19">
        <w:r>
          <w:rPr>
            <w:color w:val="1155CC"/>
            <w:u w:val="single"/>
          </w:rPr>
          <w:t>作者更正：多功能氮氧化钛复合层实现高性能钙钛矿/硅串联太阳能电池</w:t>
        </w:r>
      </w:hyperlink>
    </w:p>
    <w:p>
      <w:pPr>
        <w:spacing w:before="0" w:after="80"/>
      </w:pPr>
      <w:r>
        <w:rPr>
          <w:i/>
          <w:sz w:val="20"/>
        </w:rPr>
        <w:t>EN: Author Correction: High-performance perovskite/silicon tandem solar cells enabled by multifunctional titanium oxynitride recombination layers</w:t>
      </w:r>
    </w:p>
    <w:p>
      <w:pPr>
        <w:spacing w:before="0" w:after="120"/>
      </w:pPr>
      <w:r>
        <w:rPr>
          <w:b/>
        </w:rPr>
        <w:t xml:space="preserve">Source: </w:t>
      </w:r>
      <w:r>
        <w:t>Nature Energy</w:t>
      </w:r>
      <w:r>
        <w:t xml:space="preserve">    </w:t>
      </w:r>
      <w:r>
        <w:rPr>
          <w:b/>
        </w:rPr>
        <w:t xml:space="preserve">Pub date: </w:t>
      </w:r>
      <w:r>
        <w:t>2026-08-14 00:00:00+00:00</w:t>
      </w:r>
      <w:r>
        <w:t xml:space="preserve">    </w:t>
      </w:r>
      <w:r>
        <w:rPr>
          <w:b/>
        </w:rPr>
        <w:t xml:space="preserve">DOI: </w:t>
      </w:r>
      <w:hyperlink r:id="rId20">
        <w:r>
          <w:rPr>
            <w:color w:val="1155CC"/>
            <w:u w:val="single"/>
          </w:rPr>
          <w:t>10.1038/s41560-026-02137-z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1">
        <w:r>
          <w:rPr>
            <w:color w:val="1155CC"/>
            <w:u w:val="single"/>
          </w:rPr>
          <w:t>二维半导体同质双层中的点状光伏结</w:t>
        </w:r>
      </w:hyperlink>
    </w:p>
    <w:p>
      <w:pPr>
        <w:spacing w:before="0" w:after="80"/>
      </w:pPr>
      <w:r>
        <w:rPr>
          <w:i/>
          <w:sz w:val="20"/>
        </w:rPr>
        <w:t>EN: Point-like photovoltaic junction in 2D semiconductor homobilayer</w:t>
      </w:r>
    </w:p>
    <w:p>
      <w:pPr>
        <w:spacing w:before="0" w:after="120"/>
      </w:pPr>
      <w:r>
        <w:rPr>
          <w:b/>
        </w:rPr>
        <w:t xml:space="preserve">Source: </w:t>
      </w:r>
      <w:r>
        <w:t>Nature Nanotechnology</w:t>
      </w:r>
      <w:r>
        <w:t xml:space="preserve">    </w:t>
      </w:r>
      <w:r>
        <w:rPr>
          <w:b/>
        </w:rPr>
        <w:t xml:space="preserve">Pub date: </w:t>
      </w:r>
      <w:r>
        <w:t>2026-08-14 00:00:00+00:00</w:t>
      </w:r>
      <w:r>
        <w:t xml:space="preserve">    </w:t>
      </w:r>
      <w:r>
        <w:rPr>
          <w:b/>
        </w:rPr>
        <w:t xml:space="preserve">DOI: </w:t>
      </w:r>
      <w:hyperlink r:id="rId22">
        <w:r>
          <w:rPr>
            <w:color w:val="1155CC"/>
            <w:u w:val="single"/>
          </w:rPr>
          <w:t>10.1038/s41565-026-02251-9</w:t>
        </w:r>
      </w:hyperlink>
    </w:p>
    <w:p>
      <w:pPr>
        <w:spacing w:before="0" w:after="120"/>
      </w:pPr>
      <w:r>
        <w:rPr>
          <w:b/>
        </w:rPr>
        <w:t xml:space="preserve">Notes: </w:t>
      </w:r>
      <w:r>
        <w:t>abstract_source=pubmed</w:t>
      </w:r>
    </w:p>
    <w:p>
      <w:pPr>
        <w:spacing w:before="0" w:after="80" w:lineRule="auto" w:line="276"/>
      </w:pPr>
      <w:r>
        <w:rPr>
          <w:b/>
        </w:rPr>
        <w:t xml:space="preserve">摘要（ZH）: </w:t>
      </w:r>
      <w:r>
        <w:t>原子薄的半导体结为探测超越连续极限的光电过程提供了一个平台，其中减少的屏蔽和强的激子结合使得局部场对于电荷分离特别重要。然而，当结厚度与原子长度尺度相当并且小于传统的耗尽或扩散长度时，单个掺杂剂如何对光伏响应做出贡献仍不清楚。在这里，我们通过探测包含电离受体的范德华半导体同双层的微观光响应来证明这一概念。在掺钒 WSe2 (V:WSe2) 双层上使用光电导原子力显微镜，我们直接可视化以单一掺杂剂为中心的纳米级光电流热点，这些热点对于顶层和底层的掺杂剂具有相反的电流极性。垂直WSe2/V:WSe2同质双层器件表明，与体同质结器件相比，宏观光电流与掺杂剂浓度成线性关系，并且表现出与照明功率和掺杂剂密度无关的补偿电压。光电流光谱和准经典模型表明，带电掺杂剂将紧密束缚的层内激子局部转化为电荷分离的层间态，从而在约 1 nm 的区域内实现有效的激子解离。这些结果将掺杂剂定义的点状结确立为原子薄同质双层中的基本光伏单元。</w:t>
      </w:r>
    </w:p>
    <w:p>
      <w:pPr>
        <w:spacing w:before="0" w:after="200" w:lineRule="auto" w:line="276"/>
      </w:pPr>
      <w:r>
        <w:rPr>
          <w:b/>
        </w:rPr>
        <w:t xml:space="preserve">Abstract (EN): </w:t>
      </w:r>
      <w:r>
        <w:t>Atomically thin semiconductor junctions offer a platform for probing optoelectronic processes beyond the continuum limit, where reduced screening and strong exciton binding make local fields especially important for charge separation. Yet it remains unclear how individual dopants contribute to the photovoltaic response when the junction thickness becomes comparable with the atomic length scales and smaller than conventional depletion or diffusion lengths. Here we demonstrate this concept by probing the microscopic photoresponse of a van der Waals semiconductor homobilayer containing ionizing acceptors. Using photoconductive atomic force microscopy on vanadium-doped WSe2 (V:WSe2) bilayers, we directly visualize nanometre-scale photocurrent hotspots centred on single dopants, which have opposite current polarities for dopants in the top and bottom layers. Vertical WSe2/V:WSe2 homobilayer devices show that the macroscopic photocurrent scales linearly with dopant concentration and exhibits a compensation voltage that is independent of illumination power and dopant density, in contrast to bulk homojunction devices. Photocurrent spectroscopy and quasi-classical modelling indicate that charged dopants locally convert tightly bound intralayer excitons into charge-separated interlayer states, thereby enabling efficient exciton dissociation within a region of about 1 nm. These results establish dopant-defined point-like junctions as the elementary photovoltaic units in atomically thin homobilayers.</w:t>
      </w:r>
    </w:p>
    <w:p>
      <w:pPr>
        <w:spacing w:before="120" w:after="120"/>
      </w:pPr>
      <w:r>
        <w:rPr>
          <w:sz w:val="18"/>
        </w:rPr>
        <w:t>——————————————————————————————————————————————————————————————————————</w:t>
      </w:r>
    </w:p>
    <w:p>
      <w:pPr>
        <w:spacing w:before="160" w:after="40" w:line="240" w:lineRule="auto"/>
      </w:pPr>
      <w:r>
        <w:rPr>
          <w:b/>
        </w:rPr>
        <w:t xml:space="preserve">[8] </w:t>
      </w:r>
      <w:hyperlink r:id="rId23">
        <w:r>
          <w:rPr>
            <w:color w:val="1155CC"/>
            <w:u w:val="single"/>
          </w:rPr>
          <w:t>超分子配位使多阳离子宽带隙钙钛矿均质化，用于高压全钙钛矿串联太阳能电池</w:t>
        </w:r>
      </w:hyperlink>
    </w:p>
    <w:p>
      <w:pPr>
        <w:spacing w:before="0" w:after="80"/>
      </w:pPr>
      <w:r>
        <w:rPr>
          <w:i/>
          <w:sz w:val="20"/>
        </w:rPr>
        <w:t>EN: Supramolecular coordination homogenizes multi-cation wide-band-gap perovskites for high-voltage all-perovskite tandem solar cells</w:t>
      </w:r>
    </w:p>
    <w:p>
      <w:pPr>
        <w:spacing w:before="0" w:after="120"/>
      </w:pPr>
      <w:r>
        <w:rPr>
          <w:b/>
        </w:rPr>
        <w:t xml:space="preserve">Source: </w:t>
      </w:r>
      <w:r>
        <w:t>Joule</w:t>
      </w:r>
      <w:r>
        <w:t xml:space="preserve">    </w:t>
      </w:r>
      <w:r>
        <w:rPr>
          <w:b/>
        </w:rPr>
        <w:t xml:space="preserve">Pub date: </w:t>
      </w:r>
      <w:r>
        <w:t>2026-08-14 00:00:00+00:00</w:t>
      </w:r>
      <w:r>
        <w:t xml:space="preserve">    </w:t>
      </w:r>
      <w:r>
        <w:rPr>
          <w:b/>
        </w:rPr>
        <w:t xml:space="preserve">DOI: </w:t>
      </w:r>
      <w:hyperlink r:id="rId24">
        <w:r>
          <w:rPr>
            <w:color w:val="1155CC"/>
            <w:u w:val="single"/>
          </w:rPr>
          <w:t>10.1016/j.joule.2026.102637</w:t>
        </w:r>
      </w:hyperlink>
    </w:p>
    <w:p>
      <w:pPr>
        <w:spacing w:before="0" w:after="120"/>
      </w:pPr>
      <w:r>
        <w:rPr>
          <w:b/>
        </w:rPr>
        <w:t xml:space="preserve">Notes: </w:t>
      </w:r>
      <w:r>
        <w:t>abstract_source=rss_cell</w:t>
      </w:r>
    </w:p>
    <w:p>
      <w:pPr>
        <w:spacing w:before="0" w:after="80" w:lineRule="auto" w:line="276"/>
      </w:pPr>
      <w:r>
        <w:rPr>
          <w:b/>
        </w:rPr>
        <w:t xml:space="preserve">摘要（ZH）: </w:t>
      </w:r>
      <w:r>
        <w:t>这项研究提出了一种采用冠醚和铯盐用于宽带隙钙钛矿太阳能电池的超分子策略。这种方法可实现高效稳定的双结全钙钛矿串联太阳能电池，实现 30.35% 的效率以及出色的光稳定性（T95 为 518 小时）。</w:t>
      </w:r>
    </w:p>
    <w:p>
      <w:pPr>
        <w:spacing w:before="0" w:after="200" w:lineRule="auto" w:line="276"/>
      </w:pPr>
      <w:r>
        <w:rPr>
          <w:b/>
        </w:rPr>
        <w:t xml:space="preserve">Abstract (EN): </w:t>
      </w:r>
      <w:r>
        <w:t>This study presents a supramolecular strategy employing a crown ether and a Cs salt for wide-band-gap perovskite solar cells. This approach enables efficient and stable double-junction all-perovskite tandem solar cells, achieving 30.35% efficiency alongside exceptional photostability with a T95 of 518 h.</w:t>
      </w:r>
    </w:p>
    <w:p>
      <w:pPr>
        <w:spacing w:before="120" w:after="120"/>
      </w:pPr>
      <w:r>
        <w:rPr>
          <w:sz w:val="18"/>
        </w:rPr>
        <w:t>——————————————————————————————————————————————————————————————————————</w:t>
      </w:r>
    </w:p>
    <w:p>
      <w:pPr>
        <w:spacing w:before="160" w:after="40" w:line="240" w:lineRule="auto"/>
      </w:pPr>
      <w:r>
        <w:rPr>
          <w:b/>
        </w:rPr>
        <w:t xml:space="preserve">[9] </w:t>
      </w:r>
      <w:hyperlink r:id="rId25">
        <w:r>
          <w:rPr>
            <w:color w:val="1155CC"/>
            <w:u w:val="single"/>
          </w:rPr>
          <w:t>通过单面取向自组装分子将 1.84 eV 宽带隙钙钛矿光伏技术推进超过 20%</w:t>
        </w:r>
      </w:hyperlink>
    </w:p>
    <w:p>
      <w:pPr>
        <w:spacing w:before="0" w:after="80"/>
      </w:pPr>
      <w:r>
        <w:rPr>
          <w:i/>
          <w:sz w:val="20"/>
        </w:rPr>
        <w:t>EN: Advancing 1.84 eV Wide‐Bandgap Perovskite Photovoltaics Beyond 20% via Single‐Facet‐Oriented Self‐Assembled Molecules</w:t>
      </w:r>
    </w:p>
    <w:p>
      <w:pPr>
        <w:spacing w:before="0" w:after="120"/>
      </w:pPr>
      <w:r>
        <w:rPr>
          <w:b/>
        </w:rPr>
        <w:t xml:space="preserve">Source: </w:t>
      </w:r>
      <w:r>
        <w:t>Wiley: Advanced Materials: Table of Contents</w:t>
      </w:r>
      <w:r>
        <w:t xml:space="preserve">    </w:t>
      </w:r>
      <w:r>
        <w:rPr>
          <w:b/>
        </w:rPr>
        <w:t xml:space="preserve">Pub date: </w:t>
      </w:r>
      <w:r>
        <w:t>2026-08-14 06:47:35+00:00</w:t>
      </w:r>
      <w:r>
        <w:t xml:space="preserve">    </w:t>
      </w:r>
      <w:r>
        <w:rPr>
          <w:b/>
        </w:rPr>
        <w:t xml:space="preserve">DOI: </w:t>
      </w:r>
      <w:hyperlink r:id="rId26">
        <w:r>
          <w:rPr>
            <w:color w:val="1155CC"/>
            <w:u w:val="single"/>
          </w:rPr>
          <w:t>10.1002/adma.74675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溶液处理的自组装分子（SAM）中不受控制的晶体生长和结构异质性仍然是高效界面电荷传输的主要限制。在此，我们报告了一种偶极工程分子策略，通过合理设计氟化苯并咪唑-羧酸（BzIm-COOH）衍生物（1F-COOH、2F-COOH和3F-COOH）来调节SAM结晶。这些分子与母体 SAM 的共组装会产生强烈的静电和偶极-偶极相互作用，引导晶体沿 (100) 面生长，将 SAM 层从多面、无序的形态转变为高度定向的结构。其中，3F-COOH具有最大的分子偶极矩，表现出最明显的面导向能力。除了结构调节之外，BzIm-COOH 分子还优化了空穴传输层/钙钛矿连接处的界面能量，从而实现更有效的空穴提取。同时，3F-COOH和钙钛矿前驱体之间强烈的化学相互作用调节结晶动力学并钝化界面缺陷。因此，包含 3F-COOH 的宽带隙 (1.84 eV) PSC 的效率高达 20.16%（认证为 19.25%），并且运行稳定性显着提高（600 小时后为 90.38%）。该策略进一步实现了 26.75% 的钙钛矿/有机串联器件，并扩展到 1.67 eV 钙钛矿器件 (23.56%) 和钙钛矿/硅串联器件 (32.34%，认证为 31.54%)。这项工作将偶极子工程分子工程确立为一种</w:t>
      </w:r>
    </w:p>
    <w:p>
      <w:pPr>
        <w:spacing w:before="0" w:after="200" w:lineRule="auto" w:line="276"/>
      </w:pPr>
      <w:r>
        <w:rPr>
          <w:b/>
        </w:rPr>
        <w:t xml:space="preserve">Abstract (EN): </w:t>
      </w:r>
      <w:r>
        <w:t>Uncontrolled crystal growth and structural heterogeneity in solution‐processed self‐assembled molecules (SAMs) remain major limitations for efficient interfacial charge transport. Herein, we report a dipole‐engineered molecular strategy to regulate SAMs crystallization through the rational design of fluorinated benzimidazole‐carboxylic acid (BzIm‐COOH) derivatives (1F‐COOH, 2F‐COOH, and 3F‐COOH). Co‐assembly of these molecules with the parent SAMs induces strong electrostatic and dipole‐dipole interactions that direct crystal growth along the (100) facet, converting the SAMs layer from a polyfaceted, disordered morphology into a highly oriented architecture. Among them, 3F‐COOH, possessing the largest molecular dipole moment, exhibits the most pronounced facet‐directing capability. In addition to structural regulation, the BzIm‐COOH molecules optimize the interfacial energetics at the hole‐transport‐layer/perovskite junction, enabling more efficient hole extraction. Meanwhile, strong chemical interactions between 3F‐COOH and the perovskite precursor regulate crystallization kinetics and passivate interfacial defects. Consequently, wide‐bandgap (1.84 eV) PSCs incorporating 3F‐COOH deliver a champion efficiency of 20.16% (certified 19.25%) with markedly improved operational stability (90.38% after 600 h). The strategy further enables 26.75% perovskite/organic tandem devices and extends to 1.67 eV perovskite devices (23.56%) and perovskite/silicon tandems (32.34%, certified 31.54%). This work establishes dipole‐engineered molecular engineering as a powerful approach for directing SAMs crystallography and optimizing charge‐selective interfaces.</w:t>
      </w:r>
    </w:p>
    <w:p>
      <w:pPr>
        <w:spacing w:before="120" w:after="120"/>
      </w:pPr>
      <w:r>
        <w:rPr>
          <w:sz w:val="18"/>
        </w:rPr>
        <w:t>——————————————————————————————————————————————————————————————————————</w:t>
      </w:r>
    </w:p>
    <w:p>
      <w:pPr>
        <w:spacing w:before="160" w:after="40" w:line="240" w:lineRule="auto"/>
      </w:pPr>
      <w:r>
        <w:rPr>
          <w:b/>
        </w:rPr>
        <w:t xml:space="preserve">[10] </w:t>
      </w:r>
      <w:hyperlink r:id="rId27">
        <w:r>
          <w:rPr>
            <w:color w:val="1155CC"/>
            <w:u w:val="single"/>
          </w:rPr>
          <w:t>分子桥克服高效量子点光伏的载流子传输限制</w:t>
        </w:r>
      </w:hyperlink>
    </w:p>
    <w:p>
      <w:pPr>
        <w:spacing w:before="0" w:after="80"/>
      </w:pPr>
      <w:r>
        <w:rPr>
          <w:i/>
          <w:sz w:val="20"/>
        </w:rPr>
        <w:t>EN: Molecular Bridge Overcomes Carrier Transport Limitations for High‐Efficiency Quantum Dot Photovoltaic</w:t>
      </w:r>
    </w:p>
    <w:p>
      <w:pPr>
        <w:spacing w:before="0" w:after="120"/>
      </w:pPr>
      <w:r>
        <w:rPr>
          <w:b/>
        </w:rPr>
        <w:t xml:space="preserve">Source: </w:t>
      </w:r>
      <w:r>
        <w:t>Wiley: Advanced Materials: Table of Contents</w:t>
      </w:r>
      <w:r>
        <w:t xml:space="preserve">    </w:t>
      </w:r>
      <w:r>
        <w:rPr>
          <w:b/>
        </w:rPr>
        <w:t xml:space="preserve">Pub date: </w:t>
      </w:r>
      <w:r>
        <w:t>2026-08-14 06:49:47+00:00</w:t>
      </w:r>
      <w:r>
        <w:t xml:space="preserve">    </w:t>
      </w:r>
      <w:r>
        <w:rPr>
          <w:b/>
        </w:rPr>
        <w:t xml:space="preserve">DOI: </w:t>
      </w:r>
      <w:hyperlink r:id="rId28">
        <w:r>
          <w:rPr>
            <w:color w:val="1155CC"/>
            <w:u w:val="single"/>
          </w:rPr>
          <w:t>10.1002/adma.74668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卤化物钙钛矿量子点（QD）是下一代光伏器件的有希望的候选者；然而，它们的实际性能在很大程度上受到相邻量子点之间低效电荷传输的限制。为了解决这个问题，我们设计并合成了一系列共轭功能分子，Mono-OMe、Bi-OMe 和 Tetra-OMe，具有不同数量的锚定位点以定制固体 QD 薄膜内的界面。 π共轭主链促进量子点之间的有效电荷传输，而多齿锚定基团增强量子点表面钝化。系统的实验表征表明，更高的密度可以更有效地增强量子点/有机异质界面。特别是，合理设计的四齿分子桥Tetra-OMe与钙钛矿量子点形成更强大的配位，有效钝化表面缺陷并促进相邻量子点之间的电荷传输。因此，基于分子桥 QD 的太阳能电池在宽带隙 CsPbI 中实现了 17.71% 的高功率转换效率 (PCE)</w:t>
      </w:r>
      <w:r>
        <w:rPr>
          <w:vertAlign w:val="subscript"/>
        </w:rPr>
        <w:t>3</w:t>
      </w:r>
      <w:r>
        <w:t>窄带隙 FAPbI 为 19.06%（认证为 18.72%）</w:t>
      </w:r>
      <w:r>
        <w:rPr>
          <w:vertAlign w:val="subscript"/>
        </w:rPr>
        <w:t>3</w:t>
      </w:r>
      <w:r>
        <w:t>钙钛矿量子点，代表了量子点光伏发电的最先进性能。</w:t>
      </w:r>
    </w:p>
    <w:p>
      <w:pPr>
        <w:spacing w:before="0" w:after="200" w:lineRule="auto" w:line="276"/>
      </w:pPr>
      <w:r>
        <w:rPr>
          <w:b/>
        </w:rPr>
        <w:t xml:space="preserve">Abstract (EN): </w:t>
      </w:r>
      <w:r>
        <w:t>Metal halide perovskite quantum dots (QDs) are promising candidates for next‐generation photovoltaic devices; however, their practical performance is largely limited by inefficient charge transport between neighboring QDs. To address this issue, we designed and synthesized a series of conjugated functional molecules, Mono‐OMe, Bi‐OMe, and Tetra‐OMe, featuring varying numbers of anchoring sites to tailor the interfaces within solid QD films. The π‐conjugated backbone promotes efficient charge transport between QDs, while multidentate anchoring groups enhance QD surface passivation. Systematic experimental characterizations reveal that higher denticity leads to more effective enhancements of the QD/organic heterointerfaces. In particular, the rationally designed tetradentate molecular bridge Tetra‐OMe forms more robust coordination with perovskite QDs, effectively passivating surface defects and promoting charge transport between adjacent QDs. As a result, molecularly bridged QD‐based solar cells achieve high‐power conversion efficiencies (PCEs) of 17.71% for wide‐bandgap CsPbI</w:t>
      </w:r>
      <w:r>
        <w:rPr>
          <w:vertAlign w:val="subscript"/>
        </w:rPr>
        <w:t>3</w:t>
      </w:r>
      <w:r>
        <w:t>and 19.06% (certified 18.72%) for narrow‐bandgap FAPbI</w:t>
      </w:r>
      <w:r>
        <w:rPr>
          <w:vertAlign w:val="subscript"/>
        </w:rPr>
        <w:t>3</w:t>
      </w:r>
      <w:r>
        <w:t>perovskite QDs, representing state‐of‐the‐art performance in QD photovoltaics.</w:t>
      </w:r>
    </w:p>
    <w:p>
      <w:pPr>
        <w:spacing w:before="120" w:after="120"/>
      </w:pPr>
      <w:r>
        <w:rPr>
          <w:sz w:val="18"/>
        </w:rPr>
        <w:t>——————————————————————————————————————————————————————————————————————</w:t>
      </w:r>
    </w:p>
    <w:p>
      <w:pPr>
        <w:spacing w:before="160" w:after="40" w:line="240" w:lineRule="auto"/>
      </w:pPr>
      <w:r>
        <w:rPr>
          <w:b/>
        </w:rPr>
        <w:t xml:space="preserve">[11] </w:t>
      </w:r>
      <w:hyperlink r:id="rId29">
        <w:r>
          <w:rPr>
            <w:color w:val="1155CC"/>
            <w:u w:val="single"/>
          </w:rPr>
          <w:t>连接器上具有可交联标头的自组装单分子层，用于耐用的钙钛矿光伏发电</w:t>
        </w:r>
      </w:hyperlink>
    </w:p>
    <w:p>
      <w:pPr>
        <w:spacing w:before="0" w:after="80"/>
      </w:pPr>
      <w:r>
        <w:rPr>
          <w:i/>
          <w:sz w:val="20"/>
        </w:rPr>
        <w:t>EN: Self-assembled monolayers with cross-linkable header on the linker for durable perovskite photovoltaics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30">
        <w:r>
          <w:rPr>
            <w:color w:val="1155CC"/>
            <w:u w:val="single"/>
          </w:rPr>
          <w:t>10.1126/sciadv.aec3096</w:t>
        </w:r>
      </w:hyperlink>
    </w:p>
    <w:p>
      <w:pPr>
        <w:spacing w:before="0" w:after="120"/>
      </w:pPr>
      <w:r>
        <w:rPr>
          <w:b/>
        </w:rPr>
        <w:t xml:space="preserve">Notes: </w:t>
      </w:r>
      <w:r>
        <w:t>abstract_source=crossref</w:t>
      </w:r>
    </w:p>
    <w:p>
      <w:pPr>
        <w:spacing w:before="0" w:after="80" w:lineRule="auto" w:line="276"/>
      </w:pPr>
      <w:r>
        <w:rPr>
          <w:b/>
        </w:rPr>
        <w:t xml:space="preserve">摘要（ZH）: </w:t>
      </w:r>
      <w:r>
        <w:t>使用自组装单层（SAM）作为空穴传输材料的钙钛矿太阳能电池（PSC）已经取得了令人印象深刻的效率。然而，SAM 的脆弱性会导致光和热应力下的解吸。虽然人们已经探索了对 SAM 的共轭核心和锚定基团进行各种修改，但平衡效率和稳定性方面的挑战仍然存在。在这里，我们介绍了一类新型可交联 SAM，其分子连接器具有独特的功能。原位交联后，这些混合单层表现出令人印象深刻的电导率和最佳的能级排列，使 PSC 的功率转换效率 (PCE) 达到 26.76%（认证为 26.45%）。具有可交联SAM的钙钛矿太阳能电池在老化测试中也表现出卓越的耐久性，在超过2000小时的热应力下保留了99%的初始PCE，在500小时的紫外线照射下保留了95%的初始PCE。此外，该策略已应用于高效刚性和柔性微型模块的制造。这种分子设计策略为推进光电器件中基于 SAM 的接口提供了一个有前景的多功能修饰位点。</w:t>
      </w:r>
    </w:p>
    <w:p>
      <w:pPr>
        <w:spacing w:before="0" w:after="200" w:lineRule="auto" w:line="276"/>
      </w:pPr>
      <w:r>
        <w:rPr>
          <w:b/>
        </w:rPr>
        <w:t xml:space="preserve">Abstract (EN): </w:t>
      </w:r>
      <w:r>
        <w:t>Perovskite solar cells (PSCs) using self-assembled monolayers (SAMs) as hole transporting materials have achieved impressive efficiencies. However, the vulnerability of SAMs causes desorption under light and thermal stress. While various modifications to the conjugated core and anchoring group of SAMs have been explored, challenges in balancing efficiency and stability remain. Here, we introduce a new class of cross-linkable SAMs, uniquely functionalized at the molecular linker. Upon in situ cross-linking, these hybrid monolayers exhibit impressive conductivity and optimal energy level alignment, enabling a power conversion efficiency (PCE) of 26.76% (certified 26.45%) in PSCs. The perovskite solar cells with cross-linkable SAMs also demonstrate superior durability in ageing tests, retaining 99% of its initial PCE under more than 2000 hours thermal stress and 95% of that under 500 hours ultraviolet irradiation. Furthermore, the strategy has been applied in the fabrication of high-efficiency rigid and flexible mini-modules. This molecular design strategy offers a promising and versatile modification site for advancing SAMs-based interfaces in optoelectronic devices.</w:t>
      </w:r>
    </w:p>
    <w:p>
      <w:pPr>
        <w:spacing w:before="120" w:after="120"/>
      </w:pPr>
      <w:r>
        <w:rPr>
          <w:sz w:val="18"/>
        </w:rPr>
        <w:t>——————————————————————————————————————————————————————————————————————</w:t>
      </w:r>
    </w:p>
    <w:p>
      <w:pPr>
        <w:spacing w:before="160" w:after="40" w:line="240" w:lineRule="auto"/>
      </w:pPr>
      <w:r>
        <w:rPr>
          <w:b/>
        </w:rPr>
        <w:t xml:space="preserve">[12] </w:t>
      </w:r>
      <w:hyperlink r:id="rId31">
        <w:r>
          <w:rPr>
            <w:color w:val="1155CC"/>
            <w:u w:val="single"/>
          </w:rPr>
          <w:t>双作用锍-氨基酸添加剂能够实现高性能碳电极可印刷介观钙钛矿太阳能电池的结晶调节和缺陷钝化</w:t>
        </w:r>
      </w:hyperlink>
    </w:p>
    <w:p>
      <w:pPr>
        <w:spacing w:before="0" w:after="80"/>
      </w:pPr>
      <w:r>
        <w:rPr>
          <w:i/>
          <w:sz w:val="20"/>
        </w:rPr>
        <w:t>EN: Dual‐Action Sulfonium‐Amino Acid Additive Enabling Crystallization Regulation and Defect Passivation for High‐Performance Carbon‐Electrode Printable Mesoscopic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2026-08-14 16:41:03+00:00</w:t>
      </w:r>
      <w:r>
        <w:t xml:space="preserve">    </w:t>
      </w:r>
      <w:r>
        <w:rPr>
          <w:b/>
        </w:rPr>
        <w:t xml:space="preserve">DOI: </w:t>
      </w:r>
      <w:hyperlink r:id="rId32">
        <w:r>
          <w:rPr>
            <w:color w:val="1155CC"/>
            <w:u w:val="single"/>
          </w:rPr>
          <w:t>10.1002/anie.5667084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溶液的卤化物钙钛矿加工通常会产生结晶度有限的薄膜，并受到丰富的晶界和表面缺陷的困扰，从而降低了器件的性能。为了解决这个问题，我们引入了多功能DL-蛋氨酸-S-甲基氯化锍（DMSC）作为钙钛矿前驱体的双作用添加剂，它能够实现高质量的结晶和有效的缺陷钝化，从而大大提高具有碳电极的无空穴导体、可印刷介观钙钛矿太阳能电池（p-MPSC）的性能。 DMSC 的不同官能团 (–NH</w:t>
      </w:r>
      <w:r>
        <w:rPr>
          <w:vertAlign w:val="subscript"/>
        </w:rPr>
        <w:t>2</w:t>
      </w:r>
      <w:r>
        <w:t>、-COOH 和锍）与钙钛矿组分强烈配位。这种相互作用细化了前体溶液中的胶体粒径分布，延迟了不受控制的成核，并促进了随后的晶体生长，最终增强了介孔支架内的钙钛矿结晶度。此外，DMSC 通过与 Pb 和 I 物质相互作用，有效钝化缺陷位点，从而抑制非辐射复合并增强抗老化稳定性。因此，采用 DMSC 的 p-MPSC 实现了 22.5% 的冠军功率转换效率，比控制设备 20.6% 的效率取得了令人鼓舞的进步。此外，在 55 ± 5°C 和 55 ± 5% 相对湿度的连续单太阳照明下，封装的基于 DMSC 的 p-MPSC 在最大功率点跟踪 1000 小时后仍保留了 95% 的初始效率。这项工作建立了一个有效的</w:t>
      </w:r>
    </w:p>
    <w:p>
      <w:pPr>
        <w:spacing w:before="0" w:after="200" w:lineRule="auto" w:line="276"/>
      </w:pPr>
      <w:r>
        <w:rPr>
          <w:b/>
        </w:rPr>
        <w:t xml:space="preserve">Abstract (EN): </w:t>
      </w:r>
      <w:r>
        <w:t>The solution‐based processing of halide perovskites typically yields films of limited crystallinity, plagued by abundant grain boundaries and surface defects that degrade device performance. To address this, we introduce multifunctional DL‐methionine‐S‐methyl sulfonium chloride (DMSC) as a dual‐action additive for the perovskite precursor, which enables high‐quality crystallization and efficient defect passivation, substantially boosting the performance of hole‐conductor‐free, printable mesoscopic perovskite solar cells (p‐MPSCs) with carbon electrodes. The distinct functional groups of DMSC (–NH</w:t>
      </w:r>
      <w:r>
        <w:rPr>
          <w:vertAlign w:val="subscript"/>
        </w:rPr>
        <w:t>2</w:t>
      </w:r>
      <w:r>
        <w:t>, –COOH, and sulfonium) coordinate strongly with the perovskite components. This interaction refines the colloidal particle size distribution in the precursor solution, retards uncontrolled nucleation, and promotes subsequent crystal growth, ultimately enhancing the perovskite crystallinity within the mesoporous scaffold. Moreover, DMSC effectively passivates defect sites by interacting with Pb and I species, which suppresses non‐radiative recombination and enhances stability against aging. Consequently, p‐MPSCs incorporating DMSC achieve a champion power conversion efficiency of 22.5%, an encouraging advance over the 20.6% efficiency of control devices. Furthermore, encapsulated DMSC‐based p‐MPSCs retain 95% of their initial efficiency after 1000 h of maximum power point tracking under continuous one‐sun illumination at 55 ± 5°C and 55 ± 5% relative humidity. This work establishes an effective dual‐action additive strategy for achieving high‐quality perovskites towards high‐performance p‐MPSCs.</w:t>
      </w:r>
    </w:p>
    <w:p>
      <w:pPr>
        <w:spacing w:before="120" w:after="120"/>
      </w:pPr>
      <w:r>
        <w:rPr>
          <w:sz w:val="18"/>
        </w:rPr>
        <w:t>——————————————————————————————————————————————————————————————————————</w:t>
      </w:r>
    </w:p>
    <w:p>
      <w:pPr>
        <w:spacing w:before="160" w:after="40" w:line="240" w:lineRule="auto"/>
      </w:pPr>
      <w:r>
        <w:rPr>
          <w:b/>
        </w:rPr>
        <w:t xml:space="preserve">[13] </w:t>
      </w:r>
      <w:hyperlink r:id="rId33">
        <w:r>
          <w:rPr>
            <w:color w:val="1155CC"/>
            <w:u w:val="single"/>
          </w:rPr>
          <w:t>溶液相转变区控制金属卤化物钙钛矿单晶的晶体学完美性</w:t>
        </w:r>
      </w:hyperlink>
    </w:p>
    <w:p>
      <w:pPr>
        <w:spacing w:before="0" w:after="80"/>
      </w:pPr>
      <w:r>
        <w:rPr>
          <w:i/>
          <w:sz w:val="20"/>
        </w:rPr>
        <w:t>EN: Solution-phase transition zones govern crystallographic perfection in metal halide perovskite single crystals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尽管用于光电应用的溶液生长金属卤化物钙钛矿单晶取得了快速进展，但通过溶液工程进一步提高其内在晶体质量仍然具有挑战性。特别是，前体溶液性质和晶体质量之间的基本联系以及控制溶液结晶的通用机制仍然知之甚少。在这里，我们利用原位显微光谱，通过对溶液相变区的调节，确定了粘度、浓度、配位数和生长温度等关键溶液特性，作为晶体质量的关键决定因素，这些相变区在距离晶体-溶液界面 10 – 60 μm 处通过实验直接观察。我们揭示了晶体质量（通过载流子迁移率-寿命乘积量化）与过渡区宽度之间的直接相关性，为通过加宽该区域来提高晶体学质量提供了明确的指导。结果，通过溶液工程实现了晶体学完美性显着改善的 FAPbBr3 单晶，对于来自 137Cs 源的 662 keV γ 射线表现出 99% 的高电荷收集效率和 1.32% 的能量分辨率。</w:t>
      </w:r>
    </w:p>
    <w:p>
      <w:pPr>
        <w:spacing w:before="0" w:after="200" w:lineRule="auto" w:line="276"/>
      </w:pPr>
      <w:r>
        <w:rPr>
          <w:b/>
        </w:rPr>
        <w:t xml:space="preserve">Abstract (EN): </w:t>
      </w:r>
      <w:r>
        <w:t>Despite rapid progress in solution-grown metal halide perovskite single crystals for optoelectronic applications, further enhancement of their intrinsic crystallographic quality through solution engineering remains challenging. In particular, the fundamental links between precursor solution properties and crystal quality, as well as a universal mechanism governing crystallization from solution, remains poorly understood. Here, using in-situ microscopic spectroscopy, we identify key solution properties of viscosity, concentration, coordination number and growing temperature as critical determinants of crystal quality through their modulation of solution-phase transition zones, which are directly observed experimentally located 10 – 60 μm away from the crystal-solution interface. We reveal a direct correlation between crystal quality, quantified by the carrier mobility–lifetime product, and the width of the transition zone, providing a clear guideline for improving crystallographic quality by widening this zone. As a result, FAPbBr3 single crystals with markedly improved crystallographic perfection are achieved via solution engineering, demonstrating a high charge-collection efficiency of 99% and an energy resolution of 1.32% for 662 keV γ-rays from a 137Cs source.</w:t>
      </w:r>
    </w:p>
    <w:p>
      <w:pPr>
        <w:spacing w:before="120" w:after="120"/>
      </w:pPr>
      <w:r>
        <w:rPr>
          <w:sz w:val="18"/>
        </w:rPr>
        <w:t>——————————————————————————————————————————————————————————————————————</w:t>
      </w:r>
    </w:p>
    <w:p>
      <w:pPr>
        <w:spacing w:before="160" w:after="40" w:line="240" w:lineRule="auto"/>
      </w:pPr>
      <w:r>
        <w:rPr>
          <w:b/>
        </w:rPr>
        <w:t xml:space="preserve">[14] </w:t>
      </w:r>
      <w:hyperlink r:id="rId34">
        <w:r>
          <w:rPr>
            <w:color w:val="1155CC"/>
            <w:u w:val="single"/>
          </w:rPr>
          <w:t>通过熔环电子受体的受控堆积实现接近 21% 的有机太阳能电池效率</w:t>
        </w:r>
      </w:hyperlink>
    </w:p>
    <w:p>
      <w:pPr>
        <w:spacing w:before="0" w:after="80"/>
      </w:pPr>
      <w:r>
        <w:rPr>
          <w:i/>
          <w:sz w:val="20"/>
        </w:rPr>
        <w:t>EN: Achieving Near 21% Efficiency Organic Solar Cells through Controlled Packing of Fused-Ring Electron Acceptors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非辐射能量损失仍然是有机太阳能电池的一个挑战。在这里，我们表明，在内侧链末端引入庞大的氯苯部分会产生两种受体材料，Y6-2Cl 和 Y6-4Cl。氯苯基团的引入增强了溶解度，同时也提高了 Y6-2Cl 和 Y6-4Cl 的光致发光量子产率并诱导了独特的分子堆积模式。这些材料并不遵循 Y 系列受体中观察到的传统三维网络结构，而是形成高度有序的阵列状排列，同时保持优异的晶体特性。这种独特的结构特征不仅保留了高电荷传输特性，而且还优化了活性层的聚集行为和形态。 D18:Y6-2Cl 二元装置的 PCE 为 20.0%。由D18:L8-BO:Y6-2Cl组成的三元器件的PCE达到20.92%，填充因子达到82.93%。总体而言，本研究提出的侧链功能化策略为开发高性能非富勒烯受体提供了方向。</w:t>
      </w:r>
    </w:p>
    <w:p>
      <w:pPr>
        <w:spacing w:before="0" w:after="200" w:lineRule="auto" w:line="276"/>
      </w:pPr>
      <w:r>
        <w:rPr>
          <w:b/>
        </w:rPr>
        <w:t xml:space="preserve">Abstract (EN): </w:t>
      </w:r>
      <w:r>
        <w:t>Non-radiative energy loss remains a challenge in organic solar cells. Here we show that introducing bulky chlorobenzene moieties at the end of inner side chains yields two acceptor materials, Y6-2Cl and Y6-4Cl. The introduction of chlorobenzene groups enhances the solubility, while also boosting the photoluminescence quantum yield and inducing a distinct molecular packing mode in Y6-2Cl and Y6-4Cl. Rather than following the conventional three-dimensional network structure observed in Y-series acceptors, these materials form a highly ordered, array-like arrangement while maintaining excellent crystalline characteristics. This unique structural feature not only preserves high charge-transport properties but also optimizes aggregation behavior and morphology of the active layers. The D18:Y6-2Cl binary device demonstrates a PCE of 20.0%. The ternary device composed of D18:L8-BO:Y6-2Cl achieves a PCE of 20.92%, accompanied by a fill factor of 82.93%. Overall, the side-chain functionalization strategy proposed in this study offers a direction for developing high-performance non-fullerene acceptors.</w:t>
      </w:r>
    </w:p>
    <w:p>
      <w:pPr>
        <w:spacing w:before="120" w:after="120"/>
      </w:pPr>
      <w:r>
        <w:rPr>
          <w:sz w:val="18"/>
        </w:rPr>
        <w:t>——————————————————————————————————————————————————————————————————————</w:t>
      </w:r>
    </w:p>
    <w:p>
      <w:pPr>
        <w:spacing w:before="160" w:after="40" w:line="240" w:lineRule="auto"/>
      </w:pPr>
      <w:r>
        <w:rPr>
          <w:b/>
        </w:rPr>
        <w:t xml:space="preserve">[15] </w:t>
      </w:r>
      <w:hyperlink r:id="rId35">
        <w:r>
          <w:rPr>
            <w:color w:val="1155CC"/>
            <w:u w:val="single"/>
          </w:rPr>
          <w:t>MoS2/Ta2NiSe5 异质结构中界面对称性破缺驱动的巨体光伏效应</w:t>
        </w:r>
      </w:hyperlink>
    </w:p>
    <w:p>
      <w:pPr>
        <w:spacing w:before="0" w:after="80"/>
      </w:pPr>
      <w:r>
        <w:rPr>
          <w:i/>
          <w:sz w:val="20"/>
        </w:rPr>
        <w:t>EN: Giant bulk photovoltaic effect driven by interfacial symmetry breaking in MoS2/Ta2NiSe5 heterostructures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范德华 (vdW) 异质结构为通过界面对称性破坏来设计非常规体光伏 (BPV) 效应提供了一个多功能平台。然而，在结构复杂性、自发电荷转移和强层间耦合的驱动下，多种光物理机制的共存往往掩盖了BPV响应的微观起源，并阻碍了其合理优化。在这里，我们证明了位于横杆 MoS2/Ta2NiSe5 vdW 异质结构重叠区域的明显 BPV 效应，其中垂直堆叠引起的对称性破缺提升了 MoS2 的反转中心。正交装置几何形状能够独立探测层内和界面光响应路径，促进竞争机制的清晰分离。 MoS2 和 Ta2NiSe5 之间的自发界面电荷转移进一步建立了强大的层间电子耦合。通过栅极电压和垂直电场调节层间电势景观，我们实现了 247 A/cm2 的优化零偏置光电流密度和 0.99 V−1 的 BPV 系数。在理论模型的支持下，我们的结果说明了极简器件几何结构如何将复杂的异质结构转变为实验上易于处理的平台。该策略为分析和优化界面驱动的 BPV 效应铺平了道路，对自供电光电、宽带光电检测和能量收集纳米器件具有影响。</w:t>
      </w:r>
    </w:p>
    <w:p>
      <w:pPr>
        <w:spacing w:before="0" w:after="200" w:lineRule="auto" w:line="276"/>
      </w:pPr>
      <w:r>
        <w:rPr>
          <w:b/>
        </w:rPr>
        <w:t xml:space="preserve">Abstract (EN): </w:t>
      </w:r>
      <w:r>
        <w:t>Van der Waals (vdW) heterostructures offer a versatile platform for engineering unconventional bulk photovoltaic (BPV) effect through interfacial symmetry breaking. However, the coexistence of multiple photophysical mechanisms, driven by structural complexity, spontaneous charge transfer, and strong interlayer coupling, often obscures the microscopic origin of the BPV response and hinders its rational optimization. Here, we demonstrate a pronounced BPV effect localized at the overlap region of a cross-bar MoS2/Ta2NiSe5 vdW heterostructure, where symmetry breaking induced by vertical stacking lifts the inversion center of MoS2. The orthogonal device geometry enables the independent probing of intralayer and interfacial photoresponse pathways, facilitating clear separation of competing mechanisms. Spontaneous interfacial charge transfer between MoS2 and Ta2NiSe5 further establishes a strong interlayer electronic coupling. By modulating the interlayer potential landscape through gate voltage and vertical electric fields, we achieve an optimized zero-bias photocurrent density of 247 A/cm2 and a BPV coefficient of 0.99 V−1. Supported by theoretical modeling, our results illustrate how minimalist device geometry can transform complex heterostructures into experimentally tractable platforms. This strategy paves the way for analyzing and optimizing interface-driven BPV effect, with implications for self-powered optoelectronics, broadband photodetection, and energy-harvesting nanodevices.</w:t>
      </w:r>
    </w:p>
    <w:p>
      <w:pPr>
        <w:spacing w:before="120" w:after="120"/>
      </w:pPr>
      <w:r>
        <w:rPr>
          <w:sz w:val="18"/>
        </w:rPr>
        <w:t>——————————————————————————————————————————————————————————————————————</w:t>
      </w:r>
    </w:p>
    <w:p>
      <w:pPr>
        <w:spacing w:before="160" w:after="40" w:line="240" w:lineRule="auto"/>
      </w:pPr>
      <w:r>
        <w:rPr>
          <w:b/>
        </w:rPr>
        <w:t xml:space="preserve">[16] </w:t>
      </w:r>
      <w:hyperlink r:id="rId36">
        <w:r>
          <w:rPr>
            <w:color w:val="1155CC"/>
            <w:u w:val="single"/>
          </w:rPr>
          <w:t>多功能卤化第三组分通过调节分子堆积和抑制激子振动耦合使无添加剂有机太阳能电池效率达到 20.63%</w:t>
        </w:r>
      </w:hyperlink>
    </w:p>
    <w:p>
      <w:pPr>
        <w:spacing w:before="0" w:after="80"/>
      </w:pPr>
      <w:r>
        <w:rPr>
          <w:i/>
          <w:sz w:val="20"/>
        </w:rPr>
        <w:t>EN: Multifunctional Halogenated Third Components Enable Additive‐Free Organic Solar Cells with 20.63% Efficiency via Regulating Molecular Stacking and Suppressing Exciton‐Vibration Coupling</w:t>
      </w:r>
    </w:p>
    <w:p>
      <w:pPr>
        <w:spacing w:before="0" w:after="120"/>
      </w:pPr>
      <w:r>
        <w:rPr>
          <w:b/>
        </w:rPr>
        <w:t xml:space="preserve">Source: </w:t>
      </w:r>
      <w:r>
        <w:t>Wiley: Advanced Energy Materials: Table of Contents</w:t>
      </w:r>
      <w:r>
        <w:t xml:space="preserve">    </w:t>
      </w:r>
      <w:r>
        <w:rPr>
          <w:b/>
        </w:rPr>
        <w:t xml:space="preserve">Pub date: </w:t>
      </w:r>
      <w:r>
        <w:t>2026-08-15 14:34:06+00:00</w:t>
      </w:r>
      <w:r>
        <w:t xml:space="preserve">    </w:t>
      </w:r>
      <w:r>
        <w:rPr>
          <w:b/>
        </w:rPr>
        <w:t xml:space="preserve">DOI: </w:t>
      </w:r>
      <w:hyperlink r:id="rId37">
        <w:r>
          <w:rPr>
            <w:color w:val="1155CC"/>
            <w:u w:val="single"/>
          </w:rPr>
          <w:t>10.1002/aenm.71457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在无添加剂有机太阳能电池（OSC）中同时实现形态优化和能量损失抑制仍然是一个重大挑战。在这里，我们报告了一种卤化第三组分策略，用于调节无添加剂 D18:L8-BO 共混物中的分子堆积和激子振动耦合。我们表明，卤素依赖性调节有效地调整了分子间相互作用、分子堆积和光诱导动力学，从而导致显着不同的光伏行为。其中，氟化第三组分eC9-4F提供了最有效的调节，能够实现更强的静电调制和更有利的包装结构，并具有增强的</w:t>
      </w:r>
      <w:r>
        <w:t xml:space="preserve"> </w:t>
      </w:r>
      <w:r>
        <w:t>π</w:t>
      </w:r>
      <w:r>
        <w:t xml:space="preserve"> </w:t>
      </w:r>
      <w:r>
        <w:t>–</w:t>
      </w:r>
      <w:r>
        <w:t xml:space="preserve"> </w:t>
      </w:r>
      <w:r>
        <w:t>π</w:t>
      </w:r>
      <w:r>
        <w:t xml:space="preserve"> </w:t>
      </w:r>
      <w:r>
        <w:t>堆叠连贯性。这种优化的局部堆积抑制了激子振动耦合，减少了振动耗散和能量损失，延长了激子扩散，并改善了电荷的产生和传输。结果，无添加剂的 D18:L8-BO:eC9-4F 器件的功率转换效率 (PCE) 为 20.63%（认证为 20.07%），而在 PEN 基板上制造的柔性器件的 PCE 为 19.34%（认证为 18.65%）。这些结果凸显了卤化第三组分工程在同时提高无添加剂 OSC 的效率、机械灵活性和实际适用性方面的巨大潜力。我们的工作揭示了分子堆积、能量无序、振动耗散和电荷动力学之间的多尺度相互作用，</w:t>
      </w:r>
    </w:p>
    <w:p>
      <w:pPr>
        <w:spacing w:before="0" w:after="200" w:lineRule="auto" w:line="276"/>
      </w:pPr>
      <w:r>
        <w:rPr>
          <w:b/>
        </w:rPr>
        <w:t xml:space="preserve">Abstract (EN): </w:t>
      </w:r>
      <w:r>
        <w:t>Achieving simultaneous morphology optimization and energy‐loss suppression in additive‐free organic solar cells (OSCs) remains a major challenge. Here, we report a halogenated third‐component strategy to regulate molecular stacking and exciton‐vibration coupling in additive‐free D18:L8‐BO blends. We show that halogen‐dependent modulation effectively tailors intermolecular interactions, molecular packing, and photoinduced dynamics, leading to markedly different photovoltaic behaviors. Among them, the fluorinated third component, eC9‐4F, delivers the most effective regulation, enabling stronger electrostatic modulation and a more favorable packing configuration with enhanced</w:t>
      </w:r>
      <w:r>
        <w:t xml:space="preserve"> </w:t>
      </w:r>
      <w:r>
        <w:t>π</w:t>
      </w:r>
      <w:r>
        <w:t xml:space="preserve"> </w:t>
      </w:r>
      <w:r>
        <w:t>–</w:t>
      </w:r>
      <w:r>
        <w:t xml:space="preserve"> </w:t>
      </w:r>
      <w:r>
        <w:t>π</w:t>
      </w:r>
      <w:r>
        <w:t xml:space="preserve"> </w:t>
      </w:r>
      <w:r>
        <w:t>stacking coherence. Such optimized local packing suppresses exciton‐vibration coupling, reduces vibrational dissipation and energy loss, prolongs exciton diffusion, and improves charge generation and transport. As a result, the additive‐free D18:L8‐BO:eC9‐4F device achieves a power conversion efficiency (PCE) of 20.63% (certified as 20.07%), while flexible devices fabricated on PEN substrates deliver a PCE of 19.34% (certified as 18.65%). These results highlight the strong potential of halogenated third‐component engineering for simultaneously advancing efficiency, mechanical flexibility, and practical applicability in additive‐free OSCs. Our work reveals the multiscale interplay among molecular stacking, energetic disorder, vibrational dissipation, and charge dynamics, and establishes halogenated third‐component engineering as an effective route toward low‐loss, high‐efficiency additive‐free OSCs.</w:t>
      </w:r>
    </w:p>
    <w:p>
      <w:pPr>
        <w:spacing w:before="120" w:after="120"/>
      </w:pPr>
      <w:r>
        <w:rPr>
          <w:sz w:val="18"/>
        </w:rPr>
        <w:t>——————————————————————————————————————————————————————————————————————</w:t>
      </w:r>
    </w:p>
    <w:p>
      <w:pPr>
        <w:spacing w:before="160" w:after="40" w:line="240" w:lineRule="auto"/>
      </w:pPr>
      <w:r>
        <w:rPr>
          <w:b/>
        </w:rPr>
        <w:t xml:space="preserve">[17] </w:t>
      </w:r>
      <w:hyperlink r:id="rId38">
        <w:r>
          <w:rPr>
            <w:color w:val="1155CC"/>
            <w:u w:val="single"/>
          </w:rPr>
          <w:t>金属卤化物钙钛矿超长冷却时间的物理原理</w:t>
        </w:r>
      </w:hyperlink>
    </w:p>
    <w:p>
      <w:pPr>
        <w:spacing w:before="0" w:after="80"/>
      </w:pPr>
      <w:r>
        <w:rPr>
          <w:i/>
          <w:sz w:val="20"/>
        </w:rPr>
        <w:t>EN: The Physics of Ultra-Long Cooling Times in Metal Halide Perovskites</w:t>
      </w:r>
    </w:p>
    <w:p>
      <w:pPr>
        <w:spacing w:before="0" w:after="120"/>
      </w:pPr>
      <w:r>
        <w:rPr>
          <w:b/>
        </w:rPr>
        <w:t xml:space="preserve">Source: </w:t>
      </w:r>
      <w:r>
        <w:t>ACS Energy Letters: Latest Articles (ACS Publications)</w:t>
      </w:r>
      <w:r>
        <w:t xml:space="preserve">    </w:t>
      </w:r>
      <w:r>
        <w:rPr>
          <w:b/>
        </w:rPr>
        <w:t xml:space="preserve">Pub date: </w:t>
      </w:r>
      <w:r>
        <w:t>2026-08-17 00:00:00+00:00</w:t>
      </w:r>
      <w:r>
        <w:t xml:space="preserve">    </w:t>
      </w:r>
      <w:r>
        <w:rPr>
          <w:b/>
        </w:rPr>
        <w:t xml:space="preserve">DOI: </w:t>
      </w:r>
      <w:hyperlink r:id="rId39">
        <w:r>
          <w:rPr>
            <w:color w:val="1155CC"/>
            <w:u w:val="single"/>
          </w:rPr>
          <w:t>10.1021/acsenergylett.6c00547</w:t>
        </w:r>
      </w:hyperlink>
    </w:p>
    <w:p>
      <w:pPr>
        <w:spacing w:before="0" w:after="120"/>
      </w:pPr>
      <w:r>
        <w:rPr>
          <w:b/>
        </w:rPr>
        <w:t xml:space="preserve">Notes: </w:t>
      </w:r>
      <w:r>
        <w:t>abstract_source=crossref</w:t>
      </w:r>
    </w:p>
    <w:p>
      <w:pPr>
        <w:spacing w:before="0" w:after="80" w:lineRule="auto" w:line="276"/>
      </w:pPr>
      <w:r>
        <w:rPr>
          <w:b/>
        </w:rPr>
        <w:t xml:space="preserve">摘要（ZH）: </w:t>
      </w:r>
      <w:r>
        <w:t>摘要 超长冷却时间是热载流子太阳能电池成功开发的最关键因素。最近的金属卤化物钙钛矿实验报告表明，由于锡基钙钛矿组合物的有效质量较低，有可能达到这些相关值。在这项工作中，通过研究能带填充和热声子瓶颈效应之间的相互作用，揭示了控制的基础物理。通过使用集合蒙特卡罗模拟并通过与时间分辨光致发光测量的比较，证明仅这两种现象的组合就足以再现超长载流子冷却时间。分析了能带填充对材料参数的依赖性，并且至关重要的是，受能带填充影响的载流子在其能量弛豫周期的剩余时间内保持其费米-狄拉克温度的高温。我们的结果对于讨论金属卤化物钙钛矿在未来 HCSC 应用中的适用性非常重要，并且可以作为成功构建基于钙钛矿的 HCSC 的路线图。</w:t>
      </w:r>
    </w:p>
    <w:p>
      <w:pPr>
        <w:spacing w:before="0" w:after="200" w:lineRule="auto" w:line="276"/>
      </w:pPr>
      <w:r>
        <w:rPr>
          <w:b/>
        </w:rPr>
        <w:t xml:space="preserve">Abstract (EN): </w:t>
      </w:r>
      <w:r>
        <w:t>Ultra-long cooling times are the most crucial ingredient for the successful development of a hot-carrier solar cell. Recent experimental reports for metal halide perovskites show the possibility of reaching these relevant values using Sn-based perovskite compositions, due to their low effective mass. In this work, the governing underlying physics is uncovered by investigating the interplay between band filling and the hot phonon bottleneck effect. By using ensemble Monte Carlo simulations and through comparison with time-resolved photoluminescence measurements, it is demonstrated that solely the combination of these two phenomena is sufficient to reproduce ultra-long carrier cooling times. The dependency of band filling on material parameters is analyzed, and it is crucially shown that carriers affected by band filling remain hot in terms of their Fermi–Dirac temperature for the remainder of their energy relaxation period. Our results are important in the discussion regarding the suitability of metal halide perovskites for future HCSC applications, and function as a road-map towards the successful construction of a perovskite-based HCSC.</w:t>
      </w:r>
    </w:p>
    <w:p>
      <w:pPr>
        <w:spacing w:before="120" w:after="120"/>
      </w:pPr>
      <w:r>
        <w:rPr>
          <w:sz w:val="18"/>
        </w:rPr>
        <w:t>——————————————————————————————————————————————————————————————————————</w:t>
      </w:r>
    </w:p>
    <w:p>
      <w:pPr>
        <w:spacing w:before="160" w:after="40" w:line="240" w:lineRule="auto"/>
      </w:pPr>
      <w:r>
        <w:rPr>
          <w:b/>
        </w:rPr>
        <w:t xml:space="preserve">[18] </w:t>
      </w:r>
      <w:hyperlink r:id="rId40">
        <w:r>
          <w:rPr>
            <w:color w:val="1155CC"/>
            <w:u w:val="single"/>
          </w:rPr>
          <w:t>三结太阳能电池的缺陷钝化和光学管理</w:t>
        </w:r>
      </w:hyperlink>
    </w:p>
    <w:p>
      <w:pPr>
        <w:spacing w:before="0" w:after="80"/>
      </w:pPr>
      <w:r>
        <w:rPr>
          <w:i/>
          <w:sz w:val="20"/>
        </w:rPr>
        <w:t>EN: Defect passivation and optical management of triple-junction solar cells</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41">
        <w:r>
          <w:rPr>
            <w:color w:val="1155CC"/>
            <w:u w:val="single"/>
          </w:rPr>
          <w:t>10.1038/s41586-026-11010-8</w:t>
        </w:r>
      </w:hyperlink>
    </w:p>
    <w:p>
      <w:pPr>
        <w:spacing w:before="0" w:after="120"/>
      </w:pPr>
      <w:r>
        <w:rPr>
          <w:b/>
        </w:rPr>
        <w:t xml:space="preserve">Notes: </w:t>
      </w:r>
      <w:r>
        <w:t>abstract_source=nature_html</w:t>
      </w:r>
    </w:p>
    <w:p>
      <w:pPr>
        <w:spacing w:before="0" w:after="80" w:lineRule="auto" w:line="276"/>
      </w:pPr>
      <w:r>
        <w:rPr>
          <w:b/>
        </w:rPr>
        <w:t xml:space="preserve">摘要（ZH）: </w:t>
      </w:r>
      <w:r>
        <w:t>钙钛矿/钙钛矿/硅基三结太阳能电池是超越单结光伏电池肖克利-奎瑟效率极限的一种有前途的低成本途径，但其性能受到宽带隙钙钛矿的非辐射损耗和多层堆叠中次优光管理的限制1-3。在这里，我们引入了一种钝化分子 4F-POEABr，它可以强烈抑制 WBG 钙钛矿薄膜的表面缺陷介导的重组。 4F-POEABr 的铵附着和缺电子结构提供化学钝化和场效应钝化相结合，从而在 WBG 子电池中实现 1.53 eV 的准费米能级分裂和 1.413 V 的开路电压。同时，系统干扰管理用于优化限流中间子电池的电流密度，通过定制的氧化锡/氧化铟锌双层结构产生 0.5 mA cm-2 的增益。因此，三结器件在 1.046 cm2 孔径面积下实现了 32.22% 的经认证稳态功率转换效率，在 15.62 cm2 孔径面积下实现了 26.97% 的认证稳态功率转换效率，且磁滞可以忽略不计。强大的互连层和工程钙钛矿接口进一步增强了运行稳定性并减少了设备间的差异。这项工作展示了一种协同策略，可将钙钛矿/硅三结太阳能电池推向理论效率极限，从而实现可扩展的高性能光伏技术。</w:t>
      </w:r>
    </w:p>
    <w:p>
      <w:pPr>
        <w:spacing w:before="0" w:after="200" w:lineRule="auto" w:line="276"/>
      </w:pPr>
      <w:r>
        <w:rPr>
          <w:b/>
        </w:rPr>
        <w:t xml:space="preserve">Abstract (EN): </w:t>
      </w:r>
      <w:r>
        <w:t>Perovskite/perovskite/silicon-based triple-junction solar cells are a promising low-cost route to surpass the Shockley–Queisser efficiency limit of single-junction photovoltaics, but their performance is constrained by non-radiative losses in wide-bandgap perovskites and sub-optimal light management across the multilayer stack1-3. Here, we introduce a passivating molecule, 4F-POEABr, which strongly suppresses surface-defect-mediated recombination of WBG perovskite films. The ammonium attached and electron-deficient structure of 4F-POEABr provides combined chemical and field-effect passivation, enabling a quasi-Fermi-level splitting of 1.53 eV and an open-circuit voltage of 1.413 V in the WBG sub-cell. In parallel, systematic interference management is used to optimize the current density of the current-limited middle sub-cell, yielding a gain of 0.5 mA cm⁻2 via a tailored tin oxide/indium zinc oxide bilayer structure. As a result, the triple-junction devices achieve certified steady-state power conversion efficiencies of 32.22% for a 1.046 cm2 aperture area and 26.97% for a 15.62 cm2 aperture area, with negligible hysteresis. Robust interconnection layers and engineered perovskite interfaces further enhance operational stability and reduce device-to-device variation. This work demonstrates a synergistic strategy for pushing perovskite/silicon triple-junction solar cells toward their theoretical efficiency limits, enabling scalable, high-performance photovoltaic technologies.</w:t>
      </w:r>
    </w:p>
    <w:p>
      <w:pPr>
        <w:spacing w:before="120" w:after="120"/>
      </w:pPr>
      <w:r>
        <w:rPr>
          <w:sz w:val="18"/>
        </w:rPr>
        <w:t>——————————————————————————————————————————————————————————————————————</w:t>
      </w:r>
    </w:p>
    <w:p>
      <w:pPr>
        <w:spacing w:before="160" w:after="40" w:line="240" w:lineRule="auto"/>
      </w:pPr>
      <w:r>
        <w:rPr>
          <w:b/>
        </w:rPr>
        <w:t xml:space="preserve">[19] </w:t>
      </w:r>
      <w:hyperlink r:id="rId42">
        <w:r>
          <w:rPr>
            <w:color w:val="1155CC"/>
            <w:u w:val="single"/>
          </w:rPr>
          <w:t>高效钙钛矿/CIGS串联太阳能电池的界面工程</w:t>
        </w:r>
      </w:hyperlink>
    </w:p>
    <w:p>
      <w:pPr>
        <w:spacing w:before="0" w:after="80"/>
      </w:pPr>
      <w:r>
        <w:rPr>
          <w:i/>
          <w:sz w:val="20"/>
        </w:rPr>
        <w:t>EN: Interface engineering towards high-efficiency perovskite/CIGS tandem solar cells</w:t>
      </w:r>
    </w:p>
    <w:p>
      <w:pPr>
        <w:spacing w:before="0" w:after="120"/>
      </w:pPr>
      <w:r>
        <w:rPr>
          <w:b/>
        </w:rPr>
        <w:t xml:space="preserve">Source: </w:t>
      </w:r>
      <w:r>
        <w:t>Nature Energy</w:t>
      </w:r>
      <w:r>
        <w:t xml:space="preserve">    </w:t>
      </w:r>
      <w:r>
        <w:rPr>
          <w:b/>
        </w:rPr>
        <w:t xml:space="preserve">Pub date: </w:t>
      </w:r>
      <w:r>
        <w:t>2026-08-17 00:00:00+00:00</w:t>
      </w:r>
      <w:r>
        <w:t xml:space="preserve">    </w:t>
      </w:r>
      <w:r>
        <w:rPr>
          <w:b/>
        </w:rPr>
        <w:t xml:space="preserve">DOI: </w:t>
      </w:r>
      <w:hyperlink r:id="rId43">
        <w:r>
          <w:rPr>
            <w:color w:val="1155CC"/>
            <w:u w:val="single"/>
          </w:rPr>
          <w:t>10.1038/s41560-026-02124-4</w:t>
        </w:r>
      </w:hyperlink>
    </w:p>
    <w:p>
      <w:pPr>
        <w:spacing w:before="0" w:after="120"/>
      </w:pPr>
      <w:r>
        <w:rPr>
          <w:b/>
        </w:rPr>
        <w:t xml:space="preserve">Notes: </w:t>
      </w:r>
      <w:r>
        <w:t>abstract_source=rss_nature</w:t>
      </w:r>
    </w:p>
    <w:p>
      <w:pPr>
        <w:spacing w:before="0" w:after="80" w:lineRule="auto" w:line="276"/>
      </w:pPr>
      <w:r>
        <w:rPr>
          <w:b/>
        </w:rPr>
        <w:t xml:space="preserve">摘要（ZH）: </w:t>
      </w:r>
      <w:r>
        <w:t>钙钛矿/Cu(In,Ga)Se2 (CIGS)串联太阳能电池的效率受到界面问题的限制。现在，双界面工程策略可以在纹理化的 CIGS 底部电池表面上实现保形钙钛矿覆盖，同时增加电子和空穴传输界面的载流子提取。这种策略使得单片钙钛矿/CIGS串联具有&gt;30%的功率转换效率和良好的稳定性。</w:t>
      </w:r>
    </w:p>
    <w:p>
      <w:pPr>
        <w:spacing w:before="0" w:after="200" w:lineRule="auto" w:line="276"/>
      </w:pPr>
      <w:r>
        <w:rPr>
          <w:b/>
        </w:rPr>
        <w:t xml:space="preserve">Abstract (EN): </w:t>
      </w:r>
      <w:r>
        <w:t>The efficiency of perovskite/Cu(In,Ga)Se2 (CIGS) tandem solar cells has been limited by interfacial challenges. Now, a dual-interface engineering strategy enables conformal perovskite coverage on textured CIGS bottom-cell surfaces while increasing carrier extraction at the electron‑ and hole‑transport interfaces. This strategy enables monolithic perovskite/CIGS tandems with a power conversion efficiency of &gt;30% and good stability.</w:t>
      </w:r>
    </w:p>
    <w:p>
      <w:pPr>
        <w:spacing w:before="120" w:after="120"/>
      </w:pPr>
      <w:r>
        <w:rPr>
          <w:sz w:val="18"/>
        </w:rPr>
        <w:t>——————————————————————————————————————————————————————————————————————</w:t>
      </w:r>
    </w:p>
    <w:p>
      <w:pPr>
        <w:spacing w:before="160" w:after="40" w:line="240" w:lineRule="auto"/>
      </w:pPr>
      <w:r>
        <w:rPr>
          <w:b/>
        </w:rPr>
        <w:t xml:space="preserve">[20] </w:t>
      </w:r>
      <w:hyperlink r:id="rId44">
        <w:r>
          <w:rPr>
            <w:color w:val="1155CC"/>
            <w:u w:val="single"/>
          </w:rPr>
          <w:t>MXene 纳米球对全槽模涂层钙钛矿太阳能电池的稳定性可实现数千小时的运行寿命</w:t>
        </w:r>
      </w:hyperlink>
    </w:p>
    <w:p>
      <w:pPr>
        <w:spacing w:before="0" w:after="80"/>
      </w:pPr>
      <w:r>
        <w:rPr>
          <w:i/>
          <w:sz w:val="20"/>
        </w:rPr>
        <w:t>EN: Stabilization of All-Slot-Die-Coated Perovskite Solar Cells by MXene Nanospheres Unleashes Thousand-Hour Operational Lifetimes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45">
        <w:r>
          <w:rPr>
            <w:color w:val="1155CC"/>
            <w:u w:val="single"/>
          </w:rPr>
          <w:t>10.1021/acsami.6c07537</w:t>
        </w:r>
      </w:hyperlink>
    </w:p>
    <w:p>
      <w:pPr>
        <w:spacing w:before="0" w:after="120"/>
      </w:pPr>
      <w:r>
        <w:rPr>
          <w:b/>
        </w:rPr>
        <w:t xml:space="preserve">Notes: </w:t>
      </w:r>
      <w:r>
        <w:t>abstract_source=crossref</w:t>
      </w:r>
    </w:p>
    <w:p>
      <w:pPr>
        <w:spacing w:before="0" w:after="80" w:lineRule="auto" w:line="276"/>
      </w:pPr>
      <w:r>
        <w:rPr>
          <w:b/>
        </w:rPr>
        <w:t xml:space="preserve">摘要（ZH）: </w:t>
      </w:r>
      <w:r>
        <w:t>摘要 卤化物钙钛矿太阳能电池（PSC）已成为极具前景的光伏技术。然而，由于固有缺陷和腐蚀性分解产物，它们的商业化受到界面快速降解的阻碍。在这里，我们演示了使用通过飞秒激光烧蚀合成的球形 Ti3C2Tx MXene 纳米颗粒作为全槽模涂层 PSC 的稳定添加剂。与传统的 MXene 薄片不同，这些纳米颗粒表现出更好的胶体稳定性、均匀的分散性以及易于集成到薄膜层中。将 MXene 纳米粒子纳入电子传输层可显着增强电荷载流子动力学，使功率转换效率从 17.4% 提高至 18.2%。此外，由于 MXene 纳米粒子，连续照明下的运行稳定性从 400 小时延长至 1700 小时以上。结构和光物理分析表明，MXene 纳米粒子通过钝化离子缺陷和改善能级排列来减轻界面降解。这种基于纳米粒子的可扩展策略为稳定、高效和商业上可行的钙钛矿光伏发电提供了一条通用途径，并为 MXene 在先进光电应用中开辟了新的前景。</w:t>
      </w:r>
    </w:p>
    <w:p>
      <w:pPr>
        <w:spacing w:before="0" w:after="200" w:lineRule="auto" w:line="276"/>
      </w:pPr>
      <w:r>
        <w:rPr>
          <w:b/>
        </w:rPr>
        <w:t xml:space="preserve">Abstract (EN): </w:t>
      </w:r>
      <w:r>
        <w:t>Halide perovskite solar cells (PSCs) have emerged as highly promising photovoltaic technologies. However, their commercialization is impeded by rapid degradation at interfaces due to intrinsic defects and corrosive decomposition products. Here, we demonstrate the use of spherical Ti3C2Tx MXene nanoparticles synthesized by femtosecond laser ablation as stabilizing additives for all-slot-die-coated PSCs. Unlike conventional MXene flakes, these nanoparticles exhibit improved colloidal stability, uniform dispersion, and facile integration into thin-film layers. Incorporation of MXene nanoparticles into electron transport layers notably enhances charge carrier dynamics, yielding an increased power conversion efficiency from 17.4 to 18.2%. Moreover, operational stability under continuous illumination extends from 400 h to over 1700 h owing to MXene nanoparticles. Structural and photophysical analyses suggest that MXene nanoparticles mitigate interfacial degradation by passivating ionic defects and improving energy-level alignment. This scalable nanoparticle-based strategy offers a versatile pathway toward stable, efficient, and commercially viable perovskite photovoltaics and opens new prospects for MXenes in advanced optoelectronic applications.</w:t>
      </w:r>
    </w:p>
    <w:p>
      <w:pPr>
        <w:spacing w:before="120" w:after="120"/>
      </w:pPr>
      <w:r>
        <w:rPr>
          <w:sz w:val="18"/>
        </w:rPr>
        <w:t>——————————————————————————————————————————————————————————————————————</w:t>
      </w:r>
    </w:p>
    <w:p>
      <w:pPr>
        <w:spacing w:before="160" w:after="40" w:line="240" w:lineRule="auto"/>
      </w:pPr>
      <w:r>
        <w:rPr>
          <w:b/>
        </w:rPr>
        <w:t xml:space="preserve">[21] </w:t>
      </w:r>
      <w:hyperlink r:id="rId46">
        <w:r>
          <w:rPr>
            <w:color w:val="1155CC"/>
            <w:u w:val="single"/>
          </w:rPr>
          <w:t>对“钙钛矿上直接沉积无 C60 SnO x 电子接触可实现高效且户外稳定的倒置太阳能模块”的修正</w:t>
        </w:r>
      </w:hyperlink>
    </w:p>
    <w:p>
      <w:pPr>
        <w:spacing w:before="0" w:after="80"/>
      </w:pPr>
      <w:r>
        <w:rPr>
          <w:i/>
          <w:sz w:val="20"/>
        </w:rPr>
        <w:t>EN: Correction to “Direct Deposition of C60-Free SnO x Electron Contact on Perovskite Enables Efficient and Outdoor-Stable Inverted Solar Modules”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47">
        <w:r>
          <w:rPr>
            <w:color w:val="1155CC"/>
            <w:u w:val="single"/>
          </w:rPr>
          <w:t>10.1021/acsami.6c16004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48">
        <w:r>
          <w:rPr>
            <w:color w:val="1155CC"/>
            <w:u w:val="single"/>
          </w:rPr>
          <w:t>用于光无线通信的基于环境空气处理的 Cs3Bi2I9 异质结的自供电光电探测器</w:t>
        </w:r>
      </w:hyperlink>
    </w:p>
    <w:p>
      <w:pPr>
        <w:spacing w:before="0" w:after="80"/>
      </w:pPr>
      <w:r>
        <w:rPr>
          <w:i/>
          <w:sz w:val="20"/>
        </w:rPr>
        <w:t>EN: A Self-Powered Photodetector Based on an Ambient-Air-Processed Cs3Bi2I9 Heterojunction for Optical Wireless Communication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49">
        <w:r>
          <w:rPr>
            <w:color w:val="1155CC"/>
            <w:u w:val="single"/>
          </w:rPr>
          <w:t>10.1021/acsami.6c13483</w:t>
        </w:r>
      </w:hyperlink>
    </w:p>
    <w:p>
      <w:pPr>
        <w:spacing w:before="0" w:after="120"/>
      </w:pPr>
      <w:r>
        <w:rPr>
          <w:b/>
        </w:rPr>
        <w:t xml:space="preserve">Notes: </w:t>
      </w:r>
      <w:r>
        <w:t>abstract_source=crossref</w:t>
      </w:r>
    </w:p>
    <w:p>
      <w:pPr>
        <w:spacing w:before="0" w:after="80" w:lineRule="auto" w:line="276"/>
      </w:pPr>
      <w:r>
        <w:rPr>
          <w:b/>
        </w:rPr>
        <w:t xml:space="preserve">摘要（ZH）: </w:t>
      </w:r>
      <w:r>
        <w:t>摘要 向真正智能物联网的演进设想了未来的光学无线网络，该网络由广泛的终端节点锚定，以促进普遍的传感和通信。这一愿景对底层硬件提出了前所未有的要求，特别是在可扩展性、能源效率和成本效益方面。作为这些终端节点内的关键组件，光电探测器的系统可集成性和制造成本至关重要。因此，Cs3Bi2I9/SnO2 异质结光电探测器是完全通过环境空气、基于溶液的技术开发的。该器件具有 365 至 520 nm 的光谱响应，在零外部偏压下，可实现 11.7 mA/W 的峰值响应度、2.9 × 1011 Jones 的比探测率以及 33/52 μs 的快速响应时间。在环境空气中储存超过 2160 小时后，它仍保持其关键性能指标，表现出出色的长期环境稳定性。在操作测试中，连续照明超过 4000 秒后仅观察到轻微的性能下降，证实了其持续使用的可靠性。作为核心接收设备，它忠实地将 ASCII 编码的光输入转换为高保真电信号，从而能够跨三个独立通信频段进行准确的文本恢复。这项研究为开发用于开放物联网系统的功能性和可持续光电探测器提供了可行的策略。</w:t>
      </w:r>
    </w:p>
    <w:p>
      <w:pPr>
        <w:spacing w:before="0" w:after="200" w:lineRule="auto" w:line="276"/>
      </w:pPr>
      <w:r>
        <w:rPr>
          <w:b/>
        </w:rPr>
        <w:t xml:space="preserve">Abstract (EN): </w:t>
      </w:r>
      <w:r>
        <w:t>The evolution toward a genuinely intelligent Internet of Things envisions future optical wireless networks anchored by extensive terminal nodes to facilitate pervasive sensing and communication. This vision places unprecedented demands on the underlying hardware, particularly in terms of scalability, energy efficiency, and cost-effectiveness. As the pivotal component within these terminal nodes, the system integrability and manufacturing cost of photodetectors are of critical importance. Accordingly, a Cs3Bi2I9/SnO2 heterojunction photodetector was developed entirely via an ambient-air, solution-based technique. The device exhibits a spectral response from 365 to 520 nm and, at zero external bias, achieves a peak responsivity of 11.7 mA/W, a specific detectivity of 2.9 × 1011 Jones, and a rapid response time of 33/52 μs. It retained its key performance metrics after more than 2160 h of storage in ambient air, demonstrating excellent long-term environmental stability. Under operational testing, only marginal performance degradation was observed after continuous illumination for over 4000 s, confirming its reliability for sustained use. As the core receiving device, it faithfully converted ASCII-encoded optical inputs into high-fidelity electrical signals, enabling accurate text recovery across three independent communication bands. This study provides a viable strategy for developing functional and sustainable photodetectors for open Internet of Things systems.</w:t>
      </w:r>
    </w:p>
    <w:p>
      <w:pPr>
        <w:spacing w:before="120" w:after="120"/>
      </w:pPr>
      <w:r>
        <w:rPr>
          <w:sz w:val="18"/>
        </w:rPr>
        <w:t>——————————————————————————————————————————————————————————————————————</w:t>
      </w:r>
    </w:p>
    <w:p>
      <w:pPr>
        <w:spacing w:before="160" w:after="40" w:line="240" w:lineRule="auto"/>
      </w:pPr>
      <w:r>
        <w:rPr>
          <w:b/>
        </w:rPr>
        <w:t xml:space="preserve">[23] </w:t>
      </w:r>
      <w:hyperlink r:id="rId50">
        <w:r>
          <w:rPr>
            <w:color w:val="1155CC"/>
            <w:u w:val="single"/>
          </w:rPr>
          <w:t>用于能源可持续应用的数据驱动材料科学</w:t>
        </w:r>
      </w:hyperlink>
    </w:p>
    <w:p>
      <w:pPr>
        <w:spacing w:before="0" w:after="80"/>
      </w:pPr>
      <w:r>
        <w:rPr>
          <w:i/>
          <w:sz w:val="20"/>
        </w:rPr>
        <w:t>EN: Data‐Driven Materials Science for Energy‐Sustainable Applications</w:t>
      </w:r>
    </w:p>
    <w:p>
      <w:pPr>
        <w:spacing w:before="0" w:after="120"/>
      </w:pPr>
      <w:r>
        <w:rPr>
          <w:b/>
        </w:rPr>
        <w:t xml:space="preserve">Source: </w:t>
      </w:r>
      <w:r>
        <w:t>Wiley: Advanced Materials: Table of Contents</w:t>
      </w:r>
      <w:r>
        <w:t xml:space="preserve">    </w:t>
      </w:r>
      <w:r>
        <w:rPr>
          <w:b/>
        </w:rPr>
        <w:t xml:space="preserve">Pub date: </w:t>
      </w:r>
      <w:r>
        <w:t>2026-08-17 08:45:54+00:00</w:t>
      </w:r>
      <w:r>
        <w:t xml:space="preserve">    </w:t>
      </w:r>
      <w:r>
        <w:rPr>
          <w:b/>
        </w:rPr>
        <w:t xml:space="preserve">DOI: </w:t>
      </w:r>
      <w:hyperlink r:id="rId51">
        <w:r>
          <w:rPr>
            <w:color w:val="1155CC"/>
            <w:u w:val="single"/>
          </w:rPr>
          <w:t>10.1002/adma.74491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材料科学以控制材料功能的结构-性能关系为基础。这些关系可以被编码到算法中并集成到机器学习模型中，从而能够预测材料及其同源属性。然而，由于全球范围内缺乏现实（实验）数据集，机器学习模型主要是在计算数据上进行训练的。这篇综述描述了如何使用人工智能（AI）方法从科学文献中捕获和整理实验数据，以生成材料领域特定的数据集或语言模型。然后通过六个案例研究说明了它们在人工智能驱动的查询中的应用，促进了能源可持续材料科学的进步，这些案例涵盖：训练机器学习模型、数据驱动的材料发现、优化制造工艺、绘制材料阶段、预测以材料为中心的研究趋势以及使用自动提示工程对材料类型进行分类。然后为能源行业设想了使用人工智能代理的材料领域特定数据集、语言模型和决策工作流程的未来。然后描述了访问材料科学中的历史暗数据的内在挑战，并将其与未来利用实验室大量实验数据的及时机会进行了对比；通过利用电子实验室笔记本、高通量实验和数字孪生技术。这些机会说明了能源可持续发展</w:t>
      </w:r>
    </w:p>
    <w:p>
      <w:pPr>
        <w:spacing w:before="0" w:after="200" w:lineRule="auto" w:line="276"/>
      </w:pPr>
      <w:r>
        <w:rPr>
          <w:b/>
        </w:rPr>
        <w:t xml:space="preserve">Abstract (EN): </w:t>
      </w:r>
      <w:r>
        <w:t>Materials science is underpinned by structure‐property relationships that govern the function of a material. These relationships can be encoded into algorithms and integrated into machine‐learning models that enable the prediction of materials and their cognate properties. However, machine‐learning models are largely being trained on computed data owing to a worldwide shortage of real‐world (experimental) datasets. This review describes how to capture and collate experimental data from scientific literature using artificial‐intelligence (AI) methods to produce materials‐domain‐specific datasets or language models. Their application in AI‐driven enquiries that facilitate progress in energy‐sustainable materials science is then illustrated via six case studies that cover: training machine‐learning models, data‐driven materials discovery, optimizing manufacturing processes, mapping phases of materials, forecasting materials‐centric research trends, and classifying types of materials using automated prompt engineering. The future of materials‐domain‐specific datasets, language models, and decision‐making workflows using AI agents is then envisioned for the energy sector. The intrinsic challenges of accessing historical dark data in materials science are then described and contrasted with timely opportunities for leveraging massive amounts of experimental data from laboratories in going forwards; by exploiting electronic‐lab notebooks, high‐throughput experiments, and digital‐twin technologies. These opportunities are illustrated for energy‐sustainable materials science, especially the photovoltaic and battery industries.</w:t>
      </w:r>
    </w:p>
    <w:p>
      <w:pPr>
        <w:spacing w:before="120" w:after="120"/>
      </w:pPr>
      <w:r>
        <w:rPr>
          <w:sz w:val="18"/>
        </w:rPr>
        <w:t>——————————————————————————————————————————————————————————————————————</w:t>
      </w:r>
    </w:p>
    <w:p>
      <w:pPr>
        <w:spacing w:before="160" w:after="40" w:line="240" w:lineRule="auto"/>
      </w:pPr>
      <w:r>
        <w:rPr>
          <w:b/>
        </w:rPr>
        <w:t xml:space="preserve">[24] </w:t>
      </w:r>
      <w:hyperlink r:id="rId52">
        <w:r>
          <w:rPr>
            <w:color w:val="1155CC"/>
            <w:u w:val="single"/>
          </w:rPr>
          <w:t>有机 n 型分子介导的 Sn-Pb 钙钛矿太阳能电池的结晶调控</w:t>
        </w:r>
      </w:hyperlink>
    </w:p>
    <w:p>
      <w:pPr>
        <w:spacing w:before="0" w:after="80"/>
      </w:pPr>
      <w:r>
        <w:rPr>
          <w:i/>
          <w:sz w:val="20"/>
        </w:rPr>
        <w:t>EN: Organic n‐Type Molecule Mediated Crystallization Regulation for Sn‐Pb Perovskite Solar Cells</w:t>
      </w:r>
    </w:p>
    <w:p>
      <w:pPr>
        <w:spacing w:before="0" w:after="120"/>
      </w:pPr>
      <w:r>
        <w:rPr>
          <w:b/>
        </w:rPr>
        <w:t xml:space="preserve">Source: </w:t>
      </w:r>
      <w:r>
        <w:t>Wiley: Advanced Materials: Table of Contents</w:t>
      </w:r>
      <w:r>
        <w:t xml:space="preserve">    </w:t>
      </w:r>
      <w:r>
        <w:rPr>
          <w:b/>
        </w:rPr>
        <w:t xml:space="preserve">Pub date: </w:t>
      </w:r>
      <w:r>
        <w:t>2026-08-17 08:47:09+00:00</w:t>
      </w:r>
      <w:r>
        <w:t xml:space="preserve">    </w:t>
      </w:r>
      <w:r>
        <w:rPr>
          <w:b/>
        </w:rPr>
        <w:t xml:space="preserve">DOI: </w:t>
      </w:r>
      <w:hyperlink r:id="rId53">
        <w:r>
          <w:rPr>
            <w:color w:val="1155CC"/>
            <w:u w:val="single"/>
          </w:rPr>
          <w:t>10.1002/adma.74623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窄带隙锡铅钙钛矿在构建串联钙钛矿太阳能电池（PSC）方面展现出了巨大的潜力。然而，锡</w:t>
      </w:r>
      <w:r>
        <w:rPr>
          <w:vertAlign w:val="subscript"/>
        </w:rPr>
        <w:t>2</w:t>
      </w:r>
      <w:r>
        <w:t>+</w:t>
      </w:r>
      <w:r>
        <w:t xml:space="preserve"> </w:t>
      </w:r>
      <w:r>
        <w:t>Sn-Pb PSCs中的Sn-Pb PSC很容易被氧化成Sn</w:t>
      </w:r>
      <w:r>
        <w:rPr>
          <w:vertAlign w:val="subscript"/>
        </w:rPr>
        <w:t>4</w:t>
      </w:r>
      <w:r>
        <w:t>+</w:t>
      </w:r>
      <w:r>
        <w:t xml:space="preserve"> </w:t>
      </w:r>
      <w:r>
        <w:t>，以及这样的B位Sn</w:t>
      </w:r>
      <w:r>
        <w:rPr>
          <w:vertAlign w:val="subscript"/>
        </w:rPr>
        <w:t>4</w:t>
      </w:r>
      <w:r>
        <w:t>+</w:t>
      </w:r>
      <w:r>
        <w:t xml:space="preserve"> </w:t>
      </w:r>
      <w:r>
        <w:t>会引入过量的正电荷并导致严重的p型自掺杂，从而固定费米能级并加剧非辐射复合。此外，Sn基成分的结晶速度远远快于Pb的结晶速度，导致Sn-Pb结晶不平衡。为了应对这些挑战，我们开发了一种新型 n 型分子 NDBH 作为钙钛矿添加剂。该分子具有三个关键优势： 防止 Sn 氧化</w:t>
      </w:r>
      <w:r>
        <w:rPr>
          <w:vertAlign w:val="subscript"/>
        </w:rPr>
        <w:t>2</w:t>
      </w:r>
      <w:r>
        <w:t>+</w:t>
      </w:r>
      <w:r>
        <w:t xml:space="preserve"> </w:t>
      </w:r>
      <w:r>
        <w:t>通过螯合并阻止氧气沿晶界进入；通过选择性螯合 Sn 来平衡 Sn-Pb 钙钛矿的结晶速率</w:t>
      </w:r>
      <w:r>
        <w:rPr>
          <w:vertAlign w:val="subscript"/>
        </w:rPr>
        <w:t>2</w:t>
      </w:r>
      <w:r>
        <w:t>+</w:t>
      </w:r>
      <w:r>
        <w:t xml:space="preserve"> </w:t>
      </w:r>
      <w:r>
        <w:t>;将钙钛矿表面修饰得更加n型。利用这种有机 n 型分子，反向 Sn-Pb PSC 的功率转换效率 (PCE) 达到 24.11%。该器件还表现出卓越的长期稳定性，在 600 小时的最大功率点 (MPP) 跟踪后仍保持 90% 以上的初始效率。这种设计多功能n型分子的方法为提高效率和稳定性提供了新的视角。</w:t>
      </w:r>
    </w:p>
    <w:p>
      <w:pPr>
        <w:spacing w:before="0" w:after="200" w:lineRule="auto" w:line="276"/>
      </w:pPr>
      <w:r>
        <w:rPr>
          <w:b/>
        </w:rPr>
        <w:t xml:space="preserve">Abstract (EN): </w:t>
      </w:r>
      <w:r>
        <w:t>Narrow‐bandgap Sn‐Pb perovskites have showcased great potential for constructing tandem perovskite solar cells (PSCs). However, Sn</w:t>
      </w:r>
      <w:r>
        <w:rPr>
          <w:vertAlign w:val="subscript"/>
        </w:rPr>
        <w:t>2</w:t>
      </w:r>
      <w:r>
        <w:t>+</w:t>
      </w:r>
      <w:r>
        <w:t xml:space="preserve"> </w:t>
      </w:r>
      <w:r>
        <w:t>in Sn‐Pb PSCs is readily oxidized to Sn</w:t>
      </w:r>
      <w:r>
        <w:rPr>
          <w:vertAlign w:val="subscript"/>
        </w:rPr>
        <w:t>4</w:t>
      </w:r>
      <w:r>
        <w:t>+</w:t>
      </w:r>
      <w:r>
        <w:t xml:space="preserve"> </w:t>
      </w:r>
      <w:r>
        <w:t>, and such B‐site Sn</w:t>
      </w:r>
      <w:r>
        <w:rPr>
          <w:vertAlign w:val="subscript"/>
        </w:rPr>
        <w:t>4</w:t>
      </w:r>
      <w:r>
        <w:t>+</w:t>
      </w:r>
      <w:r>
        <w:t xml:space="preserve"> </w:t>
      </w:r>
      <w:r>
        <w:t>will introduce excess positive charge and causes severe p‐type self‐doping, which pins the Fermi level and aggravates non‐radiative recombination. Additionally, the Sn‐based component crystallizes far more rapidly than that of Pb, resulting in unbalanced Sn‐Pb crystallization. To address these challenges, we develop a novel n‐type molecule NDBH as perovskite additive. This molecule offers three key advantages: prevents the oxidation of Sn</w:t>
      </w:r>
      <w:r>
        <w:rPr>
          <w:vertAlign w:val="subscript"/>
        </w:rPr>
        <w:t>2</w:t>
      </w:r>
      <w:r>
        <w:t>+</w:t>
      </w:r>
      <w:r>
        <w:t xml:space="preserve"> </w:t>
      </w:r>
      <w:r>
        <w:t>through chelation and blocks oxygen ingress along grain boundaries; balances the crystallization rates of Sn‐Pb perovskite by selectively chelating Sn</w:t>
      </w:r>
      <w:r>
        <w:rPr>
          <w:vertAlign w:val="subscript"/>
        </w:rPr>
        <w:t>2</w:t>
      </w:r>
      <w:r>
        <w:t>+</w:t>
      </w:r>
      <w:r>
        <w:t xml:space="preserve"> </w:t>
      </w:r>
      <w:r>
        <w:t>; modifies the perovskite surface to be more n‐type. With this organic n‐type molecule, the inverted Sn‐Pb PSCs achieve power conversion efficiency (PCE) of 24.11%. The devices also exhibited remarkable long‐term stability, retaining over 90% of their initial efficiency after 600 h of maximum power point (MPP) tracking. This approach of designing multifunctional n‐type molecules offers a new perspective for enhancing the efficiency and stability of Sn‐Pb PSCs.</w:t>
      </w:r>
    </w:p>
    <w:p>
      <w:pPr>
        <w:spacing w:before="120" w:after="120"/>
      </w:pPr>
      <w:r>
        <w:rPr>
          <w:sz w:val="18"/>
        </w:rPr>
        <w:t>——————————————————————————————————————————————————————————————————————</w:t>
      </w:r>
    </w:p>
    <w:p>
      <w:pPr>
        <w:spacing w:before="160" w:after="40" w:line="240" w:lineRule="auto"/>
      </w:pPr>
      <w:r>
        <w:rPr>
          <w:b/>
        </w:rPr>
        <w:t xml:space="preserve">[25] </w:t>
      </w:r>
      <w:hyperlink r:id="rId54">
        <w:r>
          <w:rPr>
            <w:color w:val="1155CC"/>
            <w:u w:val="single"/>
          </w:rPr>
          <w:t>高性能钙钛矿太阳能电池的协同双向结晶</w:t>
        </w:r>
      </w:hyperlink>
    </w:p>
    <w:p>
      <w:pPr>
        <w:spacing w:before="0" w:after="80"/>
      </w:pPr>
      <w:r>
        <w:rPr>
          <w:i/>
          <w:sz w:val="20"/>
        </w:rPr>
        <w:t>EN: Synergistic Bidirectional Crystallization for High‐Performance Perovskite Solar Cells</w:t>
      </w:r>
    </w:p>
    <w:p>
      <w:pPr>
        <w:spacing w:before="0" w:after="120"/>
      </w:pPr>
      <w:r>
        <w:rPr>
          <w:b/>
        </w:rPr>
        <w:t xml:space="preserve">Source: </w:t>
      </w:r>
      <w:r>
        <w:t>Wiley: Advanced Materials: Table of Contents</w:t>
      </w:r>
      <w:r>
        <w:t xml:space="preserve">    </w:t>
      </w:r>
      <w:r>
        <w:rPr>
          <w:b/>
        </w:rPr>
        <w:t xml:space="preserve">Pub date: </w:t>
      </w:r>
      <w:r>
        <w:t>2026-08-17 10:17:16+00:00</w:t>
      </w:r>
      <w:r>
        <w:t xml:space="preserve">    </w:t>
      </w:r>
      <w:r>
        <w:rPr>
          <w:b/>
        </w:rPr>
        <w:t xml:space="preserve">DOI: </w:t>
      </w:r>
      <w:hyperlink r:id="rId55">
        <w:r>
          <w:rPr>
            <w:color w:val="1155CC"/>
            <w:u w:val="single"/>
          </w:rPr>
          <w:t>10.1002/adma.74653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 n-i-p 钙钛矿太阳能电池 (PSC) 已经实现了超过 26% 的卓越功率转换效率，但其性能和稳定性仍然受到界面空隙和埋入界面处有害陷阱态的严重瓶颈。这些结构异常从根本上起源于传统的自上而下的结晶过程，其中快速形成的顶部外壳会引起溶剂封锁效应，捕获残留溶剂，随后蒸发，留下有害的埋藏空隙。在这里，我们通过双功能分子连接体氨基磷酸二乙酯（DAPE）实现的协同双向结晶策略克服了这一动力学限制。通过牢固锚定到 SnO</w:t>
      </w:r>
      <w:r>
        <w:rPr>
          <w:vertAlign w:val="subscript"/>
        </w:rPr>
        <w:t>2</w:t>
      </w:r>
      <w:r>
        <w:t>DAPE 与底物和化学桥联的钙钛矿前驱体一起诱导同步的自下而上的生长前沿，补充了反溶剂诱导的自上而下的结晶。这种动力学重构过程保持开放的溶剂逃逸通道，有效消除溶剂封锁，产生致密、无空隙的界面。因此，优化后的器件表现出松弛的残余应力和最小化的非辐射复合，实现了 26.25% 的冠军功率转换效率和卓越的运行稳定性。我们的工作强调了调节结晶动力学以消除物理界面异常的重要作用，为进一步开发高效的 n-i-p PSC 提供了有用的见解。</w:t>
      </w:r>
    </w:p>
    <w:p>
      <w:pPr>
        <w:spacing w:before="0" w:after="200" w:lineRule="auto" w:line="276"/>
      </w:pPr>
      <w:r>
        <w:rPr>
          <w:b/>
        </w:rPr>
        <w:t xml:space="preserve">Abstract (EN): </w:t>
      </w:r>
      <w:r>
        <w:t>Traditional n‐i‐p perovskite solar cells (PSCs) have achieved remarkable power conversion efficiencies exceeding 26%, yet their performance and stability remain critically bottlenecked by interfacial voids and detrimental trap states at the buried interface. These structural anomalies fundamentally originate from the conventional top‐down crystallization process, where a rapidly formed top crust induces a solvent blockade effect, trapping residual solvents that subsequently evaporate to leave detrimental buried voids. Here, we overcome this kinetic limitation via a synergistic bidirectional crystallization strategy, enabled by a dual‐functional molecular linker, diethyl phosphoramidate (DAPE). By strongly anchoring to the SnO</w:t>
      </w:r>
      <w:r>
        <w:rPr>
          <w:vertAlign w:val="subscript"/>
        </w:rPr>
        <w:t>2</w:t>
      </w:r>
      <w:r>
        <w:t>substrate and chemically bridging perovskite precursors, DAPE induces a synchronous bottom‐up growth front that complements the anti‐solvent‐induced top‐down crystallization. This kinetically reconstructed process maintains open solvent‐evasion channels, effectively eliminating the solvent blockade to yield a dense, void‐free interface. Consequently, the optimized devices exhibit relaxed residual stress and minimized non‐radiative recombination, achieving a champion power conversion efficiency of 26.25% with superior operational stability. Our work underscores the vital role of regulating crystallization kinetics to eliminate physical interfacial anomalies, offering useful insights for the further development of efficient n‐i‐p PSCs.</w:t>
      </w:r>
    </w:p>
    <w:p>
      <w:pPr>
        <w:spacing w:before="120" w:after="120"/>
      </w:pPr>
      <w:r>
        <w:rPr>
          <w:sz w:val="18"/>
        </w:rPr>
        <w:t>——————————————————————————————————————————————————————————————————————</w:t>
      </w:r>
    </w:p>
    <w:p>
      <w:pPr>
        <w:spacing w:before="160" w:after="40" w:line="240" w:lineRule="auto"/>
      </w:pPr>
      <w:r>
        <w:rPr>
          <w:b/>
        </w:rPr>
        <w:t xml:space="preserve">[26] </w:t>
      </w:r>
      <w:hyperlink r:id="rId56">
        <w:r>
          <w:rPr>
            <w:color w:val="1155CC"/>
            <w:u w:val="single"/>
          </w:rPr>
          <w:t>基于高分辨率数据和物理模型的我国城市屋顶光伏发展潜力及综合效益评估</w:t>
        </w:r>
      </w:hyperlink>
    </w:p>
    <w:p>
      <w:pPr>
        <w:spacing w:before="0" w:after="80"/>
      </w:pPr>
      <w:r>
        <w:rPr>
          <w:i/>
          <w:sz w:val="20"/>
        </w:rPr>
        <w:t>EN: Assessment of development potential and comprehensive benefits of urban rooftop photovoltaics in China based on high-resolution data and physical model</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57">
        <w:r>
          <w:rPr>
            <w:color w:val="1155CC"/>
            <w:u w:val="single"/>
          </w:rPr>
          <w:t>10.1016/j.apenergy.2026.128700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58">
        <w:r>
          <w:rPr>
            <w:color w:val="1155CC"/>
            <w:u w:val="single"/>
          </w:rPr>
          <w:t>优化光伏组件清洁频率的进展：灰尘形成机制和清洁策略耦合效应的综述</w:t>
        </w:r>
      </w:hyperlink>
    </w:p>
    <w:p>
      <w:pPr>
        <w:spacing w:before="0" w:after="80"/>
      </w:pPr>
      <w:r>
        <w:rPr>
          <w:i/>
          <w:sz w:val="20"/>
        </w:rPr>
        <w:t>EN: Progress in optimizing cleaning frequency for photovoltaic modules: a review of the coupled effects of dust formation mechanisms and cleaning strategies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59">
        <w:r>
          <w:rPr>
            <w:color w:val="1155CC"/>
            <w:u w:val="single"/>
          </w:rPr>
          <w:t>10.1016/j.apenergy.2026.128676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60">
        <w:r>
          <w:rPr>
            <w:color w:val="1155CC"/>
            <w:u w:val="single"/>
          </w:rPr>
          <w:t>测量室内光伏设备性能和稳定性的最佳实践</w:t>
        </w:r>
      </w:hyperlink>
    </w:p>
    <w:p>
      <w:pPr>
        <w:spacing w:before="0" w:after="80"/>
      </w:pPr>
      <w:r>
        <w:rPr>
          <w:i/>
          <w:sz w:val="20"/>
        </w:rPr>
        <w:t>EN: Best practices for measuring the performance and stability of indoor photovoltaic devices</w:t>
      </w:r>
    </w:p>
    <w:p>
      <w:pPr>
        <w:spacing w:before="0" w:after="120"/>
      </w:pPr>
      <w:r>
        <w:rPr>
          <w:b/>
        </w:rPr>
        <w:t xml:space="preserve">Source: </w:t>
      </w:r>
      <w:r>
        <w:t>Nature Energy</w:t>
      </w:r>
      <w:r>
        <w:t xml:space="preserve">    </w:t>
      </w:r>
      <w:r>
        <w:rPr>
          <w:b/>
        </w:rPr>
        <w:t xml:space="preserve">Pub date: </w:t>
      </w:r>
      <w:r>
        <w:t>2026-08-18 00:00:00+00:00</w:t>
      </w:r>
      <w:r>
        <w:t xml:space="preserve">    </w:t>
      </w:r>
      <w:r>
        <w:rPr>
          <w:b/>
        </w:rPr>
        <w:t xml:space="preserve">DOI: </w:t>
      </w:r>
      <w:hyperlink r:id="rId61">
        <w:r>
          <w:rPr>
            <w:color w:val="1155CC"/>
            <w:u w:val="single"/>
          </w:rPr>
          <w:t>10.1038/s41560-026-02101-x</w:t>
        </w:r>
      </w:hyperlink>
    </w:p>
    <w:p>
      <w:pPr>
        <w:spacing w:before="0" w:after="120"/>
      </w:pPr>
      <w:r>
        <w:rPr>
          <w:b/>
        </w:rPr>
        <w:t xml:space="preserve">Notes: </w:t>
      </w:r>
      <w:r>
        <w:t>abstract_source=rss_nature</w:t>
      </w:r>
    </w:p>
    <w:p>
      <w:pPr>
        <w:spacing w:before="0" w:after="80" w:lineRule="auto" w:line="276"/>
      </w:pPr>
      <w:r>
        <w:rPr>
          <w:b/>
        </w:rPr>
        <w:t xml:space="preserve">摘要（ZH）: </w:t>
      </w:r>
      <w:r>
        <w:t>室内光伏发电面临的主要挑战是缺乏统一的测试协议、标准和共享的性能基准。本共识声明概述了测试和报告设备性能、功耗、效率和稳定性的推荐做法。</w:t>
      </w:r>
    </w:p>
    <w:p>
      <w:pPr>
        <w:spacing w:before="0" w:after="200" w:lineRule="auto" w:line="276"/>
      </w:pPr>
      <w:r>
        <w:rPr>
          <w:b/>
        </w:rPr>
        <w:t xml:space="preserve">Abstract (EN): </w:t>
      </w:r>
      <w:r>
        <w:t>A major challenge for indoor photovoltaics is the absence of harmonized testing protocols, standards, and shared performance benchmarks. This Consensus Statement outlines recommended practices for testing and reporting device performance, power, efficiency and stability.</w:t>
      </w:r>
    </w:p>
    <w:p>
      <w:pPr>
        <w:spacing w:before="120" w:after="120"/>
      </w:pPr>
      <w:r>
        <w:rPr>
          <w:sz w:val="18"/>
        </w:rPr>
        <w:t>——————————————————————————————————————————————————————————————————————</w:t>
      </w:r>
    </w:p>
    <w:p>
      <w:pPr>
        <w:spacing w:before="160" w:after="40" w:line="240" w:lineRule="auto"/>
      </w:pPr>
      <w:r>
        <w:rPr>
          <w:b/>
        </w:rPr>
        <w:t xml:space="preserve">[29] </w:t>
      </w:r>
      <w:hyperlink r:id="rId62">
        <w:r>
          <w:rPr>
            <w:color w:val="1155CC"/>
            <w:u w:val="single"/>
          </w:rPr>
          <w:t>PV-JSSR：联合超分辨率和分割以及跨任务交互，用于多分辨率图像的光伏电池板映射</w:t>
        </w:r>
      </w:hyperlink>
    </w:p>
    <w:p>
      <w:pPr>
        <w:spacing w:before="0" w:after="80"/>
      </w:pPr>
      <w:r>
        <w:rPr>
          <w:i/>
          <w:sz w:val="20"/>
        </w:rPr>
        <w:t>EN: PV-JSSR: Joint super-resolution and segmentation with cross-task interaction for photovoltaic panel mapping from multi-resolution imagery</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63">
        <w:r>
          <w:rPr>
            <w:color w:val="1155CC"/>
            <w:u w:val="single"/>
          </w:rPr>
          <w:t>10.1016/j.apenergy.2026.128627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64">
        <w:r>
          <w:rPr>
            <w:color w:val="1155CC"/>
            <w:u w:val="single"/>
          </w:rPr>
          <w:t>通过全无机钙钛矿纳米晶体晶种克服可扩展钙钛矿沉积中不受控制的成核和铯盐溶解度限制</w:t>
        </w:r>
      </w:hyperlink>
    </w:p>
    <w:p>
      <w:pPr>
        <w:spacing w:before="0" w:after="80"/>
      </w:pPr>
      <w:r>
        <w:rPr>
          <w:i/>
          <w:sz w:val="20"/>
        </w:rPr>
        <w:t>EN: Overcoming Uncontrolled Nucleation and Cesium Salt Solubility Limits in Scalable Perovskite Deposition through All-Inorganic Perovskite Nanocrystal Seeding</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65">
        <w:r>
          <w:rPr>
            <w:color w:val="1155CC"/>
            <w:u w:val="single"/>
          </w:rPr>
          <w:t>10.1021/acsami.6c11722</w:t>
        </w:r>
      </w:hyperlink>
    </w:p>
    <w:p>
      <w:pPr>
        <w:spacing w:before="0" w:after="120"/>
      </w:pPr>
      <w:r>
        <w:rPr>
          <w:b/>
        </w:rPr>
        <w:t xml:space="preserve">Notes: </w:t>
      </w:r>
      <w:r>
        <w:t>abstract_source=crossref</w:t>
      </w:r>
    </w:p>
    <w:p>
      <w:pPr>
        <w:spacing w:before="0" w:after="80" w:lineRule="auto" w:line="276"/>
      </w:pPr>
      <w:r>
        <w:rPr>
          <w:b/>
        </w:rPr>
        <w:t xml:space="preserve">摘要（ZH）: </w:t>
      </w:r>
      <w:r>
        <w:t>摘要 可溶液加工的卤化铅钙钛矿的光电性能、缺陷密度和薄膜形貌高度依赖于加工过程中的成核和生长条件。此外，Cs+掺入晶格可以对薄膜产生良性影响，这对于可扩展、沉积友好的溶剂（例如2-甲氧基乙醇或乙腈）来说是一个挑战，因为它们对含Cs盐的溶解度非常有限。为了解决这两个问题，我们提出了一种界面工程方法，利用 CsPbI3 纳米立方体作为 FAPbI3 槽模涂层的晶种。晶种改善了底部界面的生长控制，并增强了 Cs+ 与有源层晶格的结合。入射角变化的掠入射广角 X 射线散射能够对薄膜进行深度分辨结构探测，揭示出随着薄膜深度的增加，Cs+ 的掺入量增加。此外，晶种膜的形态参数，例如薄膜“正面”取向和晶体结构，也得到了显着改善。因此，由于结构有序性的增加和 Cs+ 合金引起的跨有源层厚度的带隙调节，籽晶膜表现出降低的缺陷密度和增强的电荷载流子分离。由此产生的 p-i-n 光伏器件表现出优异的平均值以及更窄的短路电流密度、填充因子和功率转换效率的分布，凸显了纳米晶晶种对有源层质量和再现性的有益影响。</w:t>
      </w:r>
    </w:p>
    <w:p>
      <w:pPr>
        <w:spacing w:before="0" w:after="200" w:lineRule="auto" w:line="276"/>
      </w:pPr>
      <w:r>
        <w:rPr>
          <w:b/>
        </w:rPr>
        <w:t xml:space="preserve">Abstract (EN): </w:t>
      </w:r>
      <w:r>
        <w:t>Optoelectronic performance, defect density, and thin-film morphology of solution-processable lead halide perovskites are highly dependent on nucleation and growth conditions during processing. Additionally, Cs+ incorporation into the lattice can have benign effects on the thin films, which is challenging for scalable, deposition-friendly solvents such as 2-methoxyethanol or acetonitrile due to their highly limited solubility of Cs-containing salts. To address both issues, we present an interface-engineering approach that utilizes CsPbI3 nanocubes as seed crystals for slot-die coating of FAPbI3. The seeds improve growth-control at the bottom interface and enhance Cs+ incorporation into the active layer lattice. Incidence angle varied grazing-incidence wide-angle X-ray scattering enables depth-resolved structural probing of thin films, revealing increased Cs+ incorporation with increasing film depth. Additionally, morphological parameters, such as thin-film “face-on” orientation and crystallographic texture, are significantly improved in the seeded film. Accordingly, the seeded films exhibit reduced defect density and enhanced charge-carrier separation due to increased structural ordering and Cs+ alloy-induced bandgap tuning across the active layer thickness. Resulting p-i-n photovoltaic devices exhibit superior mean values as well as a narrower spread across short-circuit current density, fill factor, and power conversion efficiency, highlighting the beneficial effects of nanocrystal seeding on active-layer quality and reproducibility.</w:t>
      </w:r>
    </w:p>
    <w:p>
      <w:pPr>
        <w:spacing w:before="120" w:after="120"/>
      </w:pPr>
      <w:r>
        <w:rPr>
          <w:sz w:val="18"/>
        </w:rPr>
        <w:t>——————————————————————————————————————————————————————————————————————</w:t>
      </w:r>
    </w:p>
    <w:p>
      <w:pPr>
        <w:spacing w:before="160" w:after="40" w:line="240" w:lineRule="auto"/>
      </w:pPr>
      <w:r>
        <w:rPr>
          <w:b/>
        </w:rPr>
        <w:t xml:space="preserve">[31] </w:t>
      </w:r>
      <w:hyperlink r:id="rId66">
        <w:r>
          <w:rPr>
            <w:color w:val="1155CC"/>
            <w:u w:val="single"/>
          </w:rPr>
          <w:t>分子间激子耦合的定向调节以最小化近红外吸收非富勒烯受体中激发态的非辐射重组</w:t>
        </w:r>
      </w:hyperlink>
    </w:p>
    <w:p>
      <w:pPr>
        <w:spacing w:before="0" w:after="80"/>
      </w:pPr>
      <w:r>
        <w:rPr>
          <w:i/>
          <w:sz w:val="20"/>
        </w:rPr>
        <w:t>EN: Directed Regulation of Intermolecular Excitonic Couplings to Minimize Non‐Radiative Recombination of Excited States in NIR‐Absorbing Non‐Fullerene Acceptors</w:t>
      </w:r>
    </w:p>
    <w:p>
      <w:pPr>
        <w:spacing w:before="0" w:after="120"/>
      </w:pPr>
      <w:r>
        <w:rPr>
          <w:b/>
        </w:rPr>
        <w:t xml:space="preserve">Source: </w:t>
      </w:r>
      <w:r>
        <w:t>Wiley: Advanced Materials: Table of Contents</w:t>
      </w:r>
      <w:r>
        <w:t xml:space="preserve">    </w:t>
      </w:r>
      <w:r>
        <w:rPr>
          <w:b/>
        </w:rPr>
        <w:t xml:space="preserve">Pub date: </w:t>
      </w:r>
      <w:r>
        <w:t>2026-08-18 07:35:56+00:00</w:t>
      </w:r>
      <w:r>
        <w:t xml:space="preserve">    </w:t>
      </w:r>
      <w:r>
        <w:rPr>
          <w:b/>
        </w:rPr>
        <w:t xml:space="preserve">DOI: </w:t>
      </w:r>
      <w:hyperlink r:id="rId67">
        <w:r>
          <w:rPr>
            <w:color w:val="1155CC"/>
            <w:u w:val="single"/>
          </w:rPr>
          <w:t>10.1002/adma.74699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抑制激发态非辐射复合对于克服有机光电子学的效率瓶颈至关重要。然而，在薄膜中，聚集体激发态非辐射复合的机制以及如何抑制其速率（</w:t>
      </w:r>
      <w:r>
        <w:t xml:space="preserve"> </w:t>
      </w:r>
      <w:r>
        <w:t>k</w:t>
      </w:r>
      <w:r>
        <w:t xml:space="preserve"> </w:t>
      </w:r>
      <w:r>
        <w:t>号</w:t>
      </w:r>
      <w:r>
        <w:t xml:space="preserve"> </w:t>
      </w:r>
      <w:r>
        <w:t>）仍不清楚。在这里，以经典的 Y6 型受体为例，我们研究了其分子堆积模式的变化如何影响聚集体的激发态性质和</w:t>
      </w:r>
      <w:r>
        <w:t xml:space="preserve"> </w:t>
      </w:r>
      <w:r>
        <w:t>k</w:t>
      </w:r>
      <w:r>
        <w:t xml:space="preserve"> </w:t>
      </w:r>
      <w:r>
        <w:t>号</w:t>
      </w:r>
      <w:r>
        <w:t xml:space="preserve"> </w:t>
      </w:r>
      <w:r>
        <w:t>。我们发现</w:t>
      </w:r>
      <w:r>
        <w:t xml:space="preserve"> </w:t>
      </w:r>
      <w:r>
        <w:t>k</w:t>
      </w:r>
      <w:r>
        <w:t xml:space="preserve"> </w:t>
      </w:r>
      <w:r>
        <w:t>号</w:t>
      </w:r>
      <w:r>
        <w:t xml:space="preserve"> </w:t>
      </w:r>
      <w:r>
        <w:t>随着紧凑型 EECC（端-端和芯-芯）封装模式数量的增加而减少。我们的结果表明，EECC模式增强了分子间电荷转移（iCT）和局部激发（LE）激子态之间的电子耦合，促进聚集体的激发态波函数离域并降低聚集体的激子-声子耦合，从而补偿了能隙定律效应。这种分子间激子耦合调节策略在 L8BO 系列中通过增加 EE 堆积模式和增强的 LE-LE 激子耦合得到进一步支持。相应的D18:L8BO:HDL8三元OPV器件实现了20.63%的高效率（认证为20.40%），同时降低了非辐射电压损耗（Δ</w:t>
      </w:r>
      <w:r>
        <w:t xml:space="preserve"> </w:t>
      </w:r>
      <w:r>
        <w:t>V</w:t>
      </w:r>
      <w:r>
        <w:t xml:space="preserve"> </w:t>
      </w:r>
      <w:r>
        <w:t>号</w:t>
      </w:r>
      <w:r>
        <w:t xml:space="preserve"> </w:t>
      </w:r>
      <w:r>
        <w:t>）。我们的工作不仅揭示了分子如何</w:t>
      </w:r>
    </w:p>
    <w:p>
      <w:pPr>
        <w:spacing w:before="0" w:after="200" w:lineRule="auto" w:line="276"/>
      </w:pPr>
      <w:r>
        <w:rPr>
          <w:b/>
        </w:rPr>
        <w:t xml:space="preserve">Abstract (EN): </w:t>
      </w:r>
      <w:r>
        <w:t>Suppression of excited‐state non‐radiative recombination is pivotal for overcoming efficiency bottleneck in organic optoelectronics. However, in film, mechanism of aggregates’ excited‐state non‐radiative recombination and how to suppress its rate (</w:t>
      </w:r>
      <w:r>
        <w:t xml:space="preserve"> </w:t>
      </w:r>
      <w:r>
        <w:t>k</w:t>
      </w:r>
      <w:r>
        <w:t xml:space="preserve"> </w:t>
      </w:r>
      <w:r>
        <w:t>nr</w:t>
      </w:r>
      <w:r>
        <w:t xml:space="preserve"> </w:t>
      </w:r>
      <w:r>
        <w:t>) remain unclear. Here, taking classical Y6‐type acceptors as an example, we investigate how change in their molecular packing modes impacts aggregates’ excited‐state properties and</w:t>
      </w:r>
      <w:r>
        <w:t xml:space="preserve"> </w:t>
      </w:r>
      <w:r>
        <w:t>k</w:t>
      </w:r>
      <w:r>
        <w:t xml:space="preserve"> </w:t>
      </w:r>
      <w:r>
        <w:t>nr</w:t>
      </w:r>
      <w:r>
        <w:t xml:space="preserve"> </w:t>
      </w:r>
      <w:r>
        <w:t>. We find that</w:t>
      </w:r>
      <w:r>
        <w:t xml:space="preserve"> </w:t>
      </w:r>
      <w:r>
        <w:t>k</w:t>
      </w:r>
      <w:r>
        <w:t xml:space="preserve"> </w:t>
      </w:r>
      <w:r>
        <w:t>nr</w:t>
      </w:r>
      <w:r>
        <w:t xml:space="preserve"> </w:t>
      </w:r>
      <w:r>
        <w:t>decreases with an increased population of the compact EECC (end‐end and core‐core) packing mode. Our results reveal that the EECC mode enhances the electronic coupling between intermolecular charge‐transfer (iCT) and locally excited (LE) exciton states, facilitating aggregates’ excited‐state wavefunction delocalization and lowering the aggregates’ exciton‐phonon coupling, which compensates for the energy‐gap‐law effect. This intermolecular excitonic‐coupling regulation strategy is further supported in the L8BO series through an increased population of the EE packing mode and enhanced LE–LE excitonic coupling. The corresponding D18:L8BO:HDL8 ternary OPV devices achieved a high efficiency of 20.63% (certified as 20.40%) with reduced non‐radiative voltage loss (Δ</w:t>
      </w:r>
      <w:r>
        <w:t xml:space="preserve"> </w:t>
      </w:r>
      <w:r>
        <w:t>V</w:t>
      </w:r>
      <w:r>
        <w:t xml:space="preserve"> </w:t>
      </w:r>
      <w:r>
        <w:t>nr</w:t>
      </w:r>
      <w:r>
        <w:t xml:space="preserve"> </w:t>
      </w:r>
      <w:r>
        <w:t>). Our work has not only uncovered the underlying mechanism of how molecular packing mode impacts aggregates’ electronic structures and</w:t>
      </w:r>
      <w:r>
        <w:t xml:space="preserve"> </w:t>
      </w:r>
      <w:r>
        <w:t>k</w:t>
      </w:r>
      <w:r>
        <w:t xml:space="preserve"> </w:t>
      </w:r>
      <w:r>
        <w:t>nr</w:t>
      </w:r>
      <w:r>
        <w:t xml:space="preserve"> </w:t>
      </w:r>
      <w:r>
        <w:t>, but also provided a molecule‐design strategy for improving NIR luminescent efficiencies/exciton lifetimes of films and OPV device efficiencies with reduced Δ</w:t>
      </w:r>
      <w:r>
        <w:t xml:space="preserve"> </w:t>
      </w:r>
      <w:r>
        <w:t>V</w:t>
      </w:r>
      <w:r>
        <w:t xml:space="preserve"> </w:t>
      </w:r>
      <w:r>
        <w:t>nr</w:t>
      </w:r>
      <w:r>
        <w:t xml:space="preserve"> </w:t>
      </w:r>
      <w:r>
        <w:t>.</w:t>
      </w:r>
    </w:p>
    <w:p>
      <w:pPr>
        <w:spacing w:before="120" w:after="120"/>
      </w:pPr>
      <w:r>
        <w:rPr>
          <w:sz w:val="18"/>
        </w:rPr>
        <w:t>——————————————————————————————————————————————————————————————————————</w:t>
      </w:r>
    </w:p>
    <w:p>
      <w:pPr>
        <w:spacing w:before="160" w:after="40" w:line="240" w:lineRule="auto"/>
      </w:pPr>
      <w:r>
        <w:rPr>
          <w:b/>
        </w:rPr>
        <w:t xml:space="preserve">[32] </w:t>
      </w:r>
      <w:hyperlink r:id="rId68">
        <w:r>
          <w:rPr>
            <w:color w:val="1155CC"/>
            <w:u w:val="single"/>
          </w:rPr>
          <w:t>二酮吡咯并吡咯基阳离子作为层状钙钛矿中的半导体间隔物</w:t>
        </w:r>
      </w:hyperlink>
    </w:p>
    <w:p>
      <w:pPr>
        <w:spacing w:before="0" w:after="80"/>
      </w:pPr>
      <w:r>
        <w:rPr>
          <w:i/>
          <w:sz w:val="20"/>
        </w:rPr>
        <w:t>EN: Diketopyrrolopyrrole‐Based Cation as a Semiconducting Spacer in Layered Perovskite</w:t>
      </w:r>
    </w:p>
    <w:p>
      <w:pPr>
        <w:spacing w:before="0" w:after="120"/>
      </w:pPr>
      <w:r>
        <w:rPr>
          <w:b/>
        </w:rPr>
        <w:t xml:space="preserve">Source: </w:t>
      </w:r>
      <w:r>
        <w:t>Wiley: Advanced Materials: Table of Contents</w:t>
      </w:r>
      <w:r>
        <w:t xml:space="preserve">    </w:t>
      </w:r>
      <w:r>
        <w:rPr>
          <w:b/>
        </w:rPr>
        <w:t xml:space="preserve">Pub date: </w:t>
      </w:r>
      <w:r>
        <w:t>2026-08-18 10:05:06+00:00</w:t>
      </w:r>
      <w:r>
        <w:t xml:space="preserve">    </w:t>
      </w:r>
      <w:r>
        <w:rPr>
          <w:b/>
        </w:rPr>
        <w:t xml:space="preserve">DOI: </w:t>
      </w:r>
      <w:hyperlink r:id="rId69">
        <w:r>
          <w:rPr>
            <w:color w:val="1155CC"/>
            <w:u w:val="single"/>
          </w:rPr>
          <w:t>10.1002/adma.74681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在层状“2D”钙钛矿中掺入 π 共轭有机间隔物以延长太阳光收集仍然是一个挑战，因为通常掺入的间隔物（例如苯乙基铵、PEA</w:t>
      </w:r>
      <w:r>
        <w:t xml:space="preserve"> </w:t>
      </w:r>
      <w:r>
        <w:t>+</w:t>
      </w:r>
      <w:r>
        <w:t xml:space="preserve"> </w:t>
      </w:r>
      <w:r>
        <w:t>）不吸收深入可见光谱。在这里，我们引入了一种可见光吸收的π共轭二噻吩-二酮吡咯并吡咯基间隔阳离子，它形成纯碘化物层状钙钛矿，表现出互补的有机-无机吸收和II型纳米异质结电子结构。通过链长工程，二己基取代的二酮吡咯并吡咯阳离子（DPP-dH</w:t>
      </w:r>
      <w:r>
        <w:t xml:space="preserve"> </w:t>
      </w:r>
      <w:r>
        <w:t>2+</w:t>
      </w:r>
      <w:r>
        <w:t xml:space="preserve"> </w:t>
      </w:r>
      <w:r>
        <w:t>）被确定为形成有序层状结构所需的最佳长度</w:t>
      </w:r>
      <w:r>
        <w:t xml:space="preserve"> </w:t>
      </w:r>
      <w:r>
        <w:t>(DPP-dH)PbI</w:t>
      </w:r>
      <w:r>
        <w:rPr>
          <w:vertAlign w:val="subscript"/>
        </w:rPr>
        <w:t>4</w:t>
      </w:r>
      <w:r>
        <w:t xml:space="preserve"> </w:t>
      </w:r>
      <w:r>
        <w:t>。瞬态吸收光谱揭示了双向电荷转移，其中空穴从无机[PbI</w:t>
      </w:r>
      <w:r>
        <w:rPr>
          <w:vertAlign w:val="subscript"/>
        </w:rPr>
        <w:t>4</w:t>
      </w:r>
      <w:r>
        <w:t>]</w:t>
      </w:r>
      <w:r>
        <w:t xml:space="preserve"> </w:t>
      </w:r>
      <w:r>
        <w:t>2−</w:t>
      </w:r>
      <w:r>
        <w:t>平板到有机间隔物，并且在较长波长激发时电子沿相反方向转移。时间分辨微波电导率和空间电荷限制电流测量表明陷阱密度降低，电子迁移率高达 1.3 × 10</w:t>
      </w:r>
      <w:r>
        <w:t xml:space="preserve"> </w:t>
      </w:r>
      <w:r>
        <w:t>−3</w:t>
      </w:r>
      <w:r>
        <w:t xml:space="preserve"> </w:t>
      </w:r>
      <w:r>
        <w:t>厘米</w:t>
      </w:r>
      <w:r>
        <w:rPr>
          <w:vertAlign w:val="subscript"/>
        </w:rPr>
        <w:t>2</w:t>
      </w:r>
      <w:r>
        <w:t>V</w:t>
      </w:r>
      <w:r>
        <w:t xml:space="preserve"> </w:t>
      </w:r>
      <w:r>
        <w:t>−1</w:t>
      </w:r>
      <w:r>
        <w:t xml:space="preserve"> </w:t>
      </w:r>
      <w:r>
        <w:t>s</w:t>
      </w:r>
      <w:r>
        <w:t xml:space="preserve"> </w:t>
      </w:r>
      <w:r>
        <w:t>−1</w:t>
      </w:r>
      <w:r>
        <w:t xml:space="preserve"> </w:t>
      </w:r>
      <w:r>
        <w:t>。列弗</w:t>
      </w:r>
    </w:p>
    <w:p>
      <w:pPr>
        <w:spacing w:before="0" w:after="200" w:lineRule="auto" w:line="276"/>
      </w:pPr>
      <w:r>
        <w:rPr>
          <w:b/>
        </w:rPr>
        <w:t xml:space="preserve">Abstract (EN): </w:t>
      </w:r>
      <w:r>
        <w:t>Incorporating π‐conjugated organic spacers in layered “2D” perovskites in order to extend solar light harvesting has remained a challenge, as typically‐incorporated spacers (e.g. phenethylammonium, PEA</w:t>
      </w:r>
      <w:r>
        <w:t xml:space="preserve"> </w:t>
      </w:r>
      <w:r>
        <w:t>+</w:t>
      </w:r>
      <w:r>
        <w:t xml:space="preserve"> </w:t>
      </w:r>
      <w:r>
        <w:t>) do not absorb deep into the visible spectrum. Here, we introduce a visible‐light‐absorbing π‐conjugated dithiophene–diketopyrrolopyrrole‐based spacer cation that forms a pure iodide layered perovskite that exhibits complementary organic–inorganic absorption and a type‐II nano‐heterojunction electronic structure. By chain length engineering, a dihexyl‐substituted diketopyrrolopyrrole cation (DPP‐dH</w:t>
      </w:r>
      <w:r>
        <w:t xml:space="preserve"> </w:t>
      </w:r>
      <w:r>
        <w:t>2+</w:t>
      </w:r>
      <w:r>
        <w:t xml:space="preserve"> </w:t>
      </w:r>
      <w:r>
        <w:t>) is identified as the optimal length required to form an ordered layered structure</w:t>
      </w:r>
      <w:r>
        <w:t xml:space="preserve"> </w:t>
      </w:r>
      <w:r>
        <w:t>(DPP‐dH)PbI</w:t>
      </w:r>
      <w:r>
        <w:rPr>
          <w:vertAlign w:val="subscript"/>
        </w:rPr>
        <w:t>4</w:t>
      </w:r>
      <w:r>
        <w:t xml:space="preserve"> </w:t>
      </w:r>
      <w:r>
        <w:t>. Transient absorption spectroscopy reveals bidirectional charge transfer, with hole transfer from the inorganic [PbI</w:t>
      </w:r>
      <w:r>
        <w:rPr>
          <w:vertAlign w:val="subscript"/>
        </w:rPr>
        <w:t>4</w:t>
      </w:r>
      <w:r>
        <w:t>]</w:t>
      </w:r>
      <w:r>
        <w:t xml:space="preserve"> </w:t>
      </w:r>
      <w:r>
        <w:t>2−</w:t>
      </w:r>
      <w:r>
        <w:t>slabs to the organic spacer, and electron transfer in the reverse direction upon excitation at longer wavelengths. Time‐resolved microwave conductivity and space‐charge‐limited current measurements demonstrate reduced trap density and electron mobilities up to 1.3 × 10</w:t>
      </w:r>
      <w:r>
        <w:t xml:space="preserve"> </w:t>
      </w:r>
      <w:r>
        <w:t>−3</w:t>
      </w:r>
      <w:r>
        <w:t xml:space="preserve"> </w:t>
      </w:r>
      <w:r>
        <w:t>cm</w:t>
      </w:r>
      <w:r>
        <w:rPr>
          <w:vertAlign w:val="subscript"/>
        </w:rPr>
        <w:t>2</w:t>
      </w:r>
      <w:r>
        <w:t>V</w:t>
      </w:r>
      <w:r>
        <w:t xml:space="preserve"> </w:t>
      </w:r>
      <w:r>
        <w:t>−1</w:t>
      </w:r>
      <w:r>
        <w:t xml:space="preserve"> </w:t>
      </w:r>
      <w:r>
        <w:t>s</w:t>
      </w:r>
      <w:r>
        <w:t xml:space="preserve"> </w:t>
      </w:r>
      <w:r>
        <w:t>−1</w:t>
      </w:r>
      <w:r>
        <w:t xml:space="preserve"> </w:t>
      </w:r>
      <w:r>
        <w:t>. Leveraging its extended visible absorption, the resulting layered perovskite exhibits a marked improvement in photovoltaic power conversion efficiency compared to</w:t>
      </w:r>
      <w:r>
        <w:t xml:space="preserve"> </w:t>
      </w:r>
      <w:r>
        <w:t>(PEA)</w:t>
      </w:r>
      <w:r>
        <w:rPr>
          <w:vertAlign w:val="subscript"/>
        </w:rPr>
        <w:t>2</w:t>
      </w:r>
      <w:r>
        <w:t>PbI</w:t>
      </w:r>
      <w:r>
        <w:rPr>
          <w:vertAlign w:val="subscript"/>
        </w:rPr>
        <w:t>4</w:t>
      </w:r>
      <w:r>
        <w:t xml:space="preserve"> </w:t>
      </w:r>
      <w:r>
        <w:t>as well as an extended incident photon harvesting reaching 650 nm (1.9 eV), establishing diketopyrrolopyrrole spacers as a promising platform for next‐generation optoelectronics.</w:t>
      </w:r>
    </w:p>
    <w:p>
      <w:pPr>
        <w:spacing w:before="120" w:after="120"/>
      </w:pPr>
      <w:r>
        <w:rPr>
          <w:sz w:val="18"/>
        </w:rPr>
        <w:t>——————————————————————————————————————————————————————————————————————</w:t>
      </w:r>
    </w:p>
    <w:p>
      <w:pPr>
        <w:spacing w:before="160" w:after="40" w:line="240" w:lineRule="auto"/>
      </w:pPr>
      <w:r>
        <w:rPr>
          <w:b/>
        </w:rPr>
        <w:t xml:space="preserve">[33] </w:t>
      </w:r>
      <w:hyperlink r:id="rId70">
        <w:r>
          <w:rPr>
            <w:color w:val="1155CC"/>
            <w:u w:val="single"/>
          </w:rPr>
          <w:t>扩散驱动的大分子自组织使共形钙钛矿/硅串联成为可能</w:t>
        </w:r>
      </w:hyperlink>
    </w:p>
    <w:p>
      <w:pPr>
        <w:spacing w:before="0" w:after="80"/>
      </w:pPr>
      <w:r>
        <w:rPr>
          <w:i/>
          <w:sz w:val="20"/>
        </w:rPr>
        <w:t>EN: Diffusion‐Driven Macromolecular Self‐Organization Enables Conformal Perovskite/Silicon Tandems</w:t>
      </w:r>
    </w:p>
    <w:p>
      <w:pPr>
        <w:spacing w:before="0" w:after="120"/>
      </w:pPr>
      <w:r>
        <w:rPr>
          <w:b/>
        </w:rPr>
        <w:t xml:space="preserve">Source: </w:t>
      </w:r>
      <w:r>
        <w:t>Wiley: Advanced Materials: Table of Contents</w:t>
      </w:r>
      <w:r>
        <w:t xml:space="preserve">    </w:t>
      </w:r>
      <w:r>
        <w:rPr>
          <w:b/>
        </w:rPr>
        <w:t xml:space="preserve">Pub date: </w:t>
      </w:r>
      <w:r>
        <w:t>2026-08-18 13:23:14+00:00</w:t>
      </w:r>
      <w:r>
        <w:t xml:space="preserve">    </w:t>
      </w:r>
      <w:r>
        <w:rPr>
          <w:b/>
        </w:rPr>
        <w:t xml:space="preserve">DOI: </w:t>
      </w:r>
      <w:hyperlink r:id="rId71">
        <w:r>
          <w:rPr>
            <w:color w:val="1155CC"/>
            <w:u w:val="single"/>
          </w:rPr>
          <w:t>10.1002/adma.74663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硅串联太阳能电池的工业部署受到难以形成厚的、缺陷控制的宽带隙（WBG）钙钛矿层的限制，该钙钛矿层保形地涂覆微米纹理的硅，同时保持界面钝化。在这里，我们引入了一种扩散驱动的大分子钝化策略（DMPS），采用π延伸的锌酞菁衍生物（ZnPc-C）</w:t>
      </w:r>
      <w:r>
        <w:rPr>
          <w:vertAlign w:val="subscript"/>
        </w:rPr>
        <w:t>12</w:t>
      </w:r>
      <w:r>
        <w:t>）同时调节钙钛矿结晶并减轻界面缺陷。溶剂蒸发过程中产生的界面能量梯度施加热力学驱动力，驱逐 ZnPc-C</w:t>
      </w:r>
      <w:r>
        <w:rPr>
          <w:vertAlign w:val="subscript"/>
        </w:rPr>
        <w:t>12</w:t>
      </w:r>
      <w:r>
        <w:t>从本体到两个界面，在工业直拉硅异质结上建立双界面钝化和均匀的 1.5 µm WBG 钙钛矿薄膜。由此产生的单结器件可实现 24.26% 的功率转换效率，而单片串联器件可实现 34.26%（认证为 33.83%）的效率，并且在连续运行 800 小时后保持率 &gt; 90%。 DMPS 提供了一种通用且可扩展的途径，用于将缺陷控制的钙钛矿吸收剂集成到纹理硅结构中，从而提高下一代晶圆上薄膜串联光伏器件的可制造性。</w:t>
      </w:r>
    </w:p>
    <w:p>
      <w:pPr>
        <w:spacing w:before="0" w:after="200" w:lineRule="auto" w:line="276"/>
      </w:pPr>
      <w:r>
        <w:rPr>
          <w:b/>
        </w:rPr>
        <w:t xml:space="preserve">Abstract (EN): </w:t>
      </w:r>
      <w:r>
        <w:t>Industrial deployment of perovskite/silicon tandem solar cells is limited by the difficulty of forming thick, defect‐controlled wide‐bandgap (WBG) perovskite layers that conformally coat micron‐textured silicon while retaining interfacial passivation. Here, we introduce a diffusion‐driven macromolecular passivation strategy (DMPS) employing a π‐extended zinc phthalocyanine derivative (ZnPc‐C</w:t>
      </w:r>
      <w:r>
        <w:rPr>
          <w:vertAlign w:val="subscript"/>
        </w:rPr>
        <w:t>12</w:t>
      </w:r>
      <w:r>
        <w:t>) that simultaneously regulates perovskite crystallization and mitigates interfacial defects. Interfacial‐energy gradients created during solvent evaporation impose a thermodynamic driving force that expels ZnPc‐C</w:t>
      </w:r>
      <w:r>
        <w:rPr>
          <w:vertAlign w:val="subscript"/>
        </w:rPr>
        <w:t>12</w:t>
      </w:r>
      <w:r>
        <w:t>from the bulk toward both interfaces, establishing dual‐interface passivation and uniform 1.5 µm WBG perovskite films on industrial Czochralski silicon heterojunctions. The resulting single‐junction devices achieve 24.26% power‐conversion efficiency, while monolithic tandems deliver 34.26% (certified 33.83%) efficiency and &amp;gt; 90% retention after 800 h of continuous operation. DMPS provides a general and scalable pathway for integrating defect‐controlled perovskite absorbers into textured silicon architectures, advancing the manufacturability of next‐generation film‐on‐wafer tandem photovoltaics.</w:t>
      </w:r>
    </w:p>
    <w:p>
      <w:pPr>
        <w:spacing w:before="120" w:after="120"/>
      </w:pPr>
      <w:r>
        <w:rPr>
          <w:sz w:val="18"/>
        </w:rPr>
        <w:t>——————————————————————————————————————————————————————————————————————</w:t>
      </w:r>
    </w:p>
    <w:p>
      <w:pPr>
        <w:spacing w:before="160" w:after="40" w:line="240" w:lineRule="auto"/>
      </w:pPr>
      <w:r>
        <w:rPr>
          <w:b/>
        </w:rPr>
        <w:t xml:space="preserve">[34] </w:t>
      </w:r>
      <w:hyperlink r:id="rId72">
        <w:r>
          <w:rPr>
            <w:color w:val="1155CC"/>
            <w:u w:val="single"/>
          </w:rPr>
          <w:t>常温处理有机太阳能电池实现近 20.5% 的效率和工业上可行的环境稳定性</w:t>
        </w:r>
      </w:hyperlink>
    </w:p>
    <w:p>
      <w:pPr>
        <w:spacing w:before="0" w:after="80"/>
      </w:pPr>
      <w:r>
        <w:rPr>
          <w:i/>
          <w:sz w:val="20"/>
        </w:rPr>
        <w:t>EN: Ambient‐Processed Organic Solar Cells Achieving Nearly 20.5% Efficiency and Industrially Viable Environmental Stability</w:t>
      </w:r>
    </w:p>
    <w:p>
      <w:pPr>
        <w:spacing w:before="0" w:after="120"/>
      </w:pPr>
      <w:r>
        <w:rPr>
          <w:b/>
        </w:rPr>
        <w:t xml:space="preserve">Source: </w:t>
      </w:r>
      <w:r>
        <w:t>Wiley: Advanced Materials: Table of Contents</w:t>
      </w:r>
      <w:r>
        <w:t xml:space="preserve">    </w:t>
      </w:r>
      <w:r>
        <w:rPr>
          <w:b/>
        </w:rPr>
        <w:t xml:space="preserve">Pub date: </w:t>
      </w:r>
      <w:r>
        <w:t>2026-08-18 13:26:12+00:00</w:t>
      </w:r>
      <w:r>
        <w:t xml:space="preserve">    </w:t>
      </w:r>
      <w:r>
        <w:rPr>
          <w:b/>
        </w:rPr>
        <w:t xml:space="preserve">DOI: </w:t>
      </w:r>
      <w:hyperlink r:id="rId73">
        <w:r>
          <w:rPr>
            <w:color w:val="1155CC"/>
            <w:u w:val="single"/>
          </w:rPr>
          <w:t>10.1002/adma.74716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环境空气中加工有机太阳能电池（OSC）的能力是工业规模生产的关键先决条件，因为它不需要高成本的惰性气氛。然而，最先进的阴极中间层（CIL）通常需要强亲水基团来确保足够的溶解度和可行的功函数，这不可避免地使它们容易受到空气中的水分和氧气的影响，从而损害光伏性能。在这项研究中，我们将二乙氧基硅烷（DEES）及其衍生物引入高性能CIL PNDIT-F3N中，它们在环境条件下水解并缩合，形成交联的疏水性Si─O─Si防潮网络。此外，DEES的加入有效降低了PNDIT-F3N电子传输的活化能并抑制有害的聚集，从而优化了电荷传输和提取效率。因此，经过 DEES 改进的 OSC 在 50% 相对湿度 (RH) 下实现了 20.48% 的效率记录，在 80% RH 下实现了 20.22% 的效率记录，这两个值都代表了空气处理设备报告的最高值之​​一。更重要的是，未封装的 DEES 改进器件表现出卓越的运行稳定性，在连续可见 LED 照明下（光电流相当于 AM1.5G，45%–55% RH），平均 2270 小时达到初始效率的 80%。这项工作提供了一种简单且可推广的策略来增强 OSC 的耐湿性，从而促进空气处理有机光伏的工业生产和商业可行性。</w:t>
      </w:r>
    </w:p>
    <w:p>
      <w:pPr>
        <w:spacing w:before="0" w:after="200" w:lineRule="auto" w:line="276"/>
      </w:pPr>
      <w:r>
        <w:rPr>
          <w:b/>
        </w:rPr>
        <w:t xml:space="preserve">Abstract (EN): </w:t>
      </w:r>
      <w:r>
        <w:t>The ability to process organic solar cells (OSCs) in ambient air is a critical prerequisite for industrial‐scale production, as it obviates the need for a high‐cost inert atmosphere. However, state‐of‐the‐art cathode interlayers (CILs) typically require strongly hydrophilic groups to ensure adequate solubility and feasible work function, which inevitably render them susceptible to moisture and oxygen in air, thereby compromising the photovoltaic performance. In this study, we introduce diethoxysilane (DEES) and its derivatives into the high‐performance CIL PNDIT‐F3N, where they hydrolyze and condense under ambient conditions to form a cross‐linked, hydrophobic Si─O─Si moisture‐protective network. Moreover, DEES incorporation effectively reduces the activation energy for electron transport of PNDIT‐F3N and suppresses detrimental aggregation, thus optimizing charge transport and extraction efficiency. As a result, the DEES‐modified OSCs achieve record efficiencies of 20.48% under 50% relative humidity (RH) and 20.22% under 80% RH, each representing one of the highest values reported for air‐processed devices. More importantly, the unencapsulated DEES‐modified devices exhibit exceptional operational stability, averaging 2270 h to 80% of initial efficiency under continuous visible‐LED illumination (photocurrent equivalent to AM1.5G, 45%–55% RH). This work provides a facile and generalizable strategy to enhance moisture tolerance of OSCs, advancing the industrial production and commercial viability of air‐processed organic photovoltaics.</w:t>
      </w:r>
    </w:p>
    <w:p>
      <w:pPr>
        <w:spacing w:before="120" w:after="120"/>
      </w:pPr>
      <w:r>
        <w:rPr>
          <w:sz w:val="18"/>
        </w:rPr>
        <w:t>——————————————————————————————————————————————————————————————————————</w:t>
      </w:r>
    </w:p>
    <w:p>
      <w:pPr>
        <w:spacing w:before="160" w:after="40" w:line="240" w:lineRule="auto"/>
      </w:pPr>
      <w:r>
        <w:rPr>
          <w:b/>
        </w:rPr>
        <w:t xml:space="preserve">[35] </w:t>
      </w:r>
      <w:hyperlink r:id="rId74">
        <w:r>
          <w:rPr>
            <w:color w:val="1155CC"/>
            <w:u w:val="single"/>
          </w:rPr>
          <w:t>有序液晶-SAM超分子稳定钙钛矿界面</w:t>
        </w:r>
      </w:hyperlink>
    </w:p>
    <w:p>
      <w:pPr>
        <w:spacing w:before="0" w:after="80"/>
      </w:pPr>
      <w:r>
        <w:rPr>
          <w:i/>
          <w:sz w:val="20"/>
        </w:rPr>
        <w:t>EN: Ordered liquid crystal-SAM supramolecules stabilize perovskite interfaces</w:t>
      </w:r>
    </w:p>
    <w:p>
      <w:pPr>
        <w:spacing w:before="0" w:after="120"/>
      </w:pPr>
      <w:r>
        <w:rPr>
          <w:b/>
        </w:rPr>
        <w:t xml:space="preserve">Source: </w:t>
      </w:r>
      <w:r>
        <w:t>Joule</w:t>
      </w:r>
      <w:r>
        <w:t xml:space="preserve">    </w:t>
      </w:r>
      <w:r>
        <w:rPr>
          <w:b/>
        </w:rPr>
        <w:t xml:space="preserve">Pub date: </w:t>
      </w:r>
      <w:r>
        <w:t>2026-08-19 00:00:00+00:00</w:t>
      </w:r>
      <w:r>
        <w:t xml:space="preserve">    </w:t>
      </w:r>
      <w:r>
        <w:rPr>
          <w:b/>
        </w:rPr>
        <w:t xml:space="preserve">DOI: </w:t>
      </w:r>
      <w:hyperlink r:id="rId75">
        <w:r>
          <w:rPr>
            <w:color w:val="1155CC"/>
            <w:u w:val="single"/>
          </w:rPr>
          <w:t>10.1016/j.joule.2026.102636</w:t>
        </w:r>
      </w:hyperlink>
    </w:p>
    <w:p>
      <w:pPr>
        <w:spacing w:before="0" w:after="120"/>
      </w:pPr>
      <w:r>
        <w:rPr>
          <w:b/>
        </w:rPr>
        <w:t xml:space="preserve">Notes: </w:t>
      </w:r>
      <w:r>
        <w:t>abstract_source=rss_cell</w:t>
      </w:r>
    </w:p>
    <w:p>
      <w:pPr>
        <w:spacing w:before="0" w:after="80" w:lineRule="auto" w:line="276"/>
      </w:pPr>
      <w:r>
        <w:rPr>
          <w:b/>
        </w:rPr>
        <w:t xml:space="preserve">摘要（ZH）: </w:t>
      </w:r>
      <w:r>
        <w:t>在这里，我们开发了一种“液晶-SAM超分子”策略来抑制SAM聚集并构建致密、优先取向的单层。这种超分子策略增强了 SAM 在外部应力下的粘附力，并通过强 π-π 相互作用促进空穴传输。由此产生的基于 nBuO-TPEP 的器件在小面积中实现了 26.72% 的 PCE，在柔性模块中实现了 20.10% 的 PCE，并且在空气中具有出色的运行稳定性。该策略在不同 SAM 分子中也表现出良好的通用性。</w:t>
      </w:r>
    </w:p>
    <w:p>
      <w:pPr>
        <w:spacing w:before="0" w:after="200" w:lineRule="auto" w:line="276"/>
      </w:pPr>
      <w:r>
        <w:rPr>
          <w:b/>
        </w:rPr>
        <w:t xml:space="preserve">Abstract (EN): </w:t>
      </w:r>
      <w:r>
        <w:t>Here, we developed a “liquid crystal-SAM supramolecule” strategy to suppress SAM aggregation and construct a dense, preferentially oriented monolayer. This supramolecular strategy enhanced SAM adhesion under external stress and promoted hole transport through strong π-π interactions. The resulting nBuO-TPEP-based devices achieved a PCE of 26.72% in small areas and 20.10% in flexible modules, along with outstanding operational stability in air. This strategy also showed good universality across different SAM molecules.</w:t>
      </w:r>
    </w:p>
    <w:p>
      <w:pPr>
        <w:spacing w:before="120" w:after="120"/>
      </w:pPr>
      <w:r>
        <w:rPr>
          <w:sz w:val="18"/>
        </w:rPr>
        <w:t>——————————————————————————————————————————————————————————————————————</w:t>
      </w:r>
    </w:p>
    <w:p>
      <w:pPr>
        <w:spacing w:before="160" w:after="40" w:line="240" w:lineRule="auto"/>
      </w:pPr>
      <w:r>
        <w:rPr>
          <w:b/>
        </w:rPr>
        <w:t xml:space="preserve">[36] </w:t>
      </w:r>
      <w:hyperlink r:id="rId76">
        <w:r>
          <w:rPr>
            <w:color w:val="1155CC"/>
            <w:u w:val="single"/>
          </w:rPr>
          <w:t>宽带隙钙钛矿中硒氰酸盐驱动的有机阳离子均质化</w:t>
        </w:r>
      </w:hyperlink>
    </w:p>
    <w:p>
      <w:pPr>
        <w:spacing w:before="0" w:after="80"/>
      </w:pPr>
      <w:r>
        <w:rPr>
          <w:i/>
          <w:sz w:val="20"/>
        </w:rPr>
        <w:t>EN: Selenocyanate Driven Organic Cations Homogenization in Wide‐Bandgap Perovskite</w:t>
      </w:r>
    </w:p>
    <w:p>
      <w:pPr>
        <w:spacing w:before="0" w:after="120"/>
      </w:pPr>
      <w:r>
        <w:rPr>
          <w:b/>
        </w:rPr>
        <w:t xml:space="preserve">Source: </w:t>
      </w:r>
      <w:r>
        <w:t>Wiley: Advanced Energy Materials: Table of Contents</w:t>
      </w:r>
      <w:r>
        <w:t xml:space="preserve">    </w:t>
      </w:r>
      <w:r>
        <w:rPr>
          <w:b/>
        </w:rPr>
        <w:t xml:space="preserve">Pub date: </w:t>
      </w:r>
      <w:r>
        <w:t>2026-08-19 06:28:16+00:00</w:t>
      </w:r>
      <w:r>
        <w:t xml:space="preserve">    </w:t>
      </w:r>
      <w:r>
        <w:rPr>
          <w:b/>
        </w:rPr>
        <w:t xml:space="preserve">DOI: </w:t>
      </w:r>
      <w:hyperlink r:id="rId77">
        <w:r>
          <w:rPr>
            <w:color w:val="1155CC"/>
            <w:u w:val="single"/>
          </w:rPr>
          <w:t>10.1002/aenm.71462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实现宽带隙甲脒的高效率和长期稳定性（（FA</w:t>
      </w:r>
      <w:r>
        <w:t xml:space="preserve"> </w:t>
      </w:r>
      <w:r>
        <w:t>+</w:t>
      </w:r>
      <w:r>
        <w:t xml:space="preserve"> </w:t>
      </w:r>
      <w:r>
        <w:t>）基于钙钛矿太阳能电池仍然具有挑战性。这个困难主要来自于FA</w:t>
      </w:r>
      <w:r>
        <w:t xml:space="preserve"> </w:t>
      </w:r>
      <w:r>
        <w:t>+</w:t>
      </w:r>
      <w:r>
        <w:t xml:space="preserve"> </w:t>
      </w:r>
      <w:r>
        <w:t>空位形成和卤化物离子迁移，导致离子无序和结构降解。这些耦合的不稳定性会损害晶格完整性，破坏载流子动力学，并加速器件衰减。在这里，我们介绍一下硒氰酸盐（SeCN</w:t>
      </w:r>
      <w:r>
        <w:t xml:space="preserve"> </w:t>
      </w:r>
      <w:r>
        <w:t>-</w:t>
      </w:r>
      <w:r>
        <w:t>) 拟卤化物阴离子转化为宽带隙 (1.66 eV) FA 基钙钛矿，同时稳定晶格并抑制离子迁移。利用其晶格相容性和与 FA 的强大氢键作用</w:t>
      </w:r>
      <w:r>
        <w:t xml:space="preserve"> </w:t>
      </w:r>
      <w:r>
        <w:t>+</w:t>
      </w:r>
      <w:r>
        <w:t xml:space="preserve"> </w:t>
      </w:r>
      <w:r>
        <w:t>, FA 的形成能</w:t>
      </w:r>
      <w:r>
        <w:t xml:space="preserve"> </w:t>
      </w:r>
      <w:r>
        <w:t>+</w:t>
      </w:r>
      <w:r>
        <w:t xml:space="preserve"> </w:t>
      </w:r>
      <w:r>
        <w:t>职位空缺增加，从而增加了我的移民壁垒</w:t>
      </w:r>
      <w:r>
        <w:t xml:space="preserve"> </w:t>
      </w:r>
      <w:r>
        <w:t>-</w:t>
      </w:r>
      <w:r>
        <w:t>，从而减轻离子异质性。因此，SeCN</w:t>
      </w:r>
      <w:r>
        <w:t xml:space="preserve"> </w:t>
      </w:r>
      <w:r>
        <w:t>-</w:t>
      </w:r>
      <w:r>
        <w:t>‐掺杂薄膜在横向和纵向上表现出均匀的 FA 分布、降低的缺陷密度和更稳健的晶格网络。这些微观改进转化为巨大的器件级优势：单结宽带隙太阳能电池的效率超过 24%，而单片钙钛矿/硅串联器件的效率超过 32%，并且在连续运行 1000 小时后仍保留其初始性能的 90% 以上。</w:t>
      </w:r>
    </w:p>
    <w:p>
      <w:pPr>
        <w:spacing w:before="0" w:after="200" w:lineRule="auto" w:line="276"/>
      </w:pPr>
      <w:r>
        <w:rPr>
          <w:b/>
        </w:rPr>
        <w:t xml:space="preserve">Abstract (EN): </w:t>
      </w:r>
      <w:r>
        <w:t>Achieving both high efficiency and long‐term stability in wide‐bandgap formamidinium ((FA</w:t>
      </w:r>
      <w:r>
        <w:t xml:space="preserve"> </w:t>
      </w:r>
      <w:r>
        <w:t>+</w:t>
      </w:r>
      <w:r>
        <w:t xml:space="preserve"> </w:t>
      </w:r>
      <w:r>
        <w:t>)‐based perovskite solar cells remains challenging. This difficulty primarily arises from FA</w:t>
      </w:r>
      <w:r>
        <w:t xml:space="preserve"> </w:t>
      </w:r>
      <w:r>
        <w:t>+</w:t>
      </w:r>
      <w:r>
        <w:t xml:space="preserve"> </w:t>
      </w:r>
      <w:r>
        <w:t>vacancy formation and halide ion migration, which induce ionic disorder and structural degradation. These coupled instabilities compromise lattice integrity, disrupt carrier dynamics, and accelerate device decay. Here, we introduce selenocyanate (SeCN</w:t>
      </w:r>
      <w:r>
        <w:t xml:space="preserve"> </w:t>
      </w:r>
      <w:r>
        <w:t>−</w:t>
      </w:r>
      <w:r>
        <w:t>) pseudohalide anions into wide bandgap (1.66 eV) FA‐based perovskites to simultaneously stabilize the lattice and suppress ion migration. Leveraging its lattice compatibility and robust hydrogen bonding with FA</w:t>
      </w:r>
      <w:r>
        <w:t xml:space="preserve"> </w:t>
      </w:r>
      <w:r>
        <w:t>+</w:t>
      </w:r>
      <w:r>
        <w:t xml:space="preserve"> </w:t>
      </w:r>
      <w:r>
        <w:t>, the formation energy of FA</w:t>
      </w:r>
      <w:r>
        <w:t xml:space="preserve"> </w:t>
      </w:r>
      <w:r>
        <w:t>+</w:t>
      </w:r>
      <w:r>
        <w:t xml:space="preserve"> </w:t>
      </w:r>
      <w:r>
        <w:t>vacancies is raised, thereby increasing the migration barrier for I</w:t>
      </w:r>
      <w:r>
        <w:t xml:space="preserve"> </w:t>
      </w:r>
      <w:r>
        <w:t>−</w:t>
      </w:r>
      <w:r>
        <w:t>, thereby mitigating ionic heterogeneity. Consequently, SeCN</w:t>
      </w:r>
      <w:r>
        <w:t xml:space="preserve"> </w:t>
      </w:r>
      <w:r>
        <w:t>−</w:t>
      </w:r>
      <w:r>
        <w:t>‐doped films exhibit uniform FA distributions both laterally and vertically, reduced defect densities, and a more robust lattice network. These microscopic improvements translate into substantial device‐level benefits: single‐junction wide‐bandgap solar cells deliver efficiencies exceeding 24%, while monolithic perovskite/silicon tandem devices achieve over 32% efficiency and retain more than 90% of their initial performance after 1000 h of continuous operation. This work establishes anion‐site engineering with pseudohalides as a promising strategy to homogenize cation distributions, stabilize lattice structures, and suppress ion migration.</w:t>
      </w:r>
    </w:p>
    <w:p>
      <w:pPr>
        <w:spacing w:before="120" w:after="120"/>
      </w:pPr>
      <w:r>
        <w:rPr>
          <w:sz w:val="18"/>
        </w:rPr>
        <w:t>——————————————————————————————————————————————————————————————————————</w:t>
      </w:r>
    </w:p>
    <w:p>
      <w:pPr>
        <w:spacing w:before="160" w:after="40" w:line="240" w:lineRule="auto"/>
      </w:pPr>
      <w:r>
        <w:rPr>
          <w:b/>
        </w:rPr>
        <w:t xml:space="preserve">[37] </w:t>
      </w:r>
      <w:hyperlink r:id="rId78">
        <w:r>
          <w:rPr>
            <w:color w:val="1155CC"/>
            <w:u w:val="single"/>
          </w:rPr>
          <w:t>高性能有机太阳能电池小分子受体的简化一步二聚化</w:t>
        </w:r>
      </w:hyperlink>
    </w:p>
    <w:p>
      <w:pPr>
        <w:spacing w:before="0" w:after="80"/>
      </w:pPr>
      <w:r>
        <w:rPr>
          <w:i/>
          <w:sz w:val="20"/>
        </w:rPr>
        <w:t>EN: Streamlined One‐Step Dimerization of Small‐Molecule Acceptors for High‐Performance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2026-08-19 08:27:50+00:00</w:t>
      </w:r>
      <w:r>
        <w:t xml:space="preserve">    </w:t>
      </w:r>
      <w:r>
        <w:rPr>
          <w:b/>
        </w:rPr>
        <w:t xml:space="preserve">DOI: </w:t>
      </w:r>
      <w:hyperlink r:id="rId79">
        <w:r>
          <w:rPr>
            <w:color w:val="1155CC"/>
            <w:u w:val="single"/>
          </w:rPr>
          <w:t>10.1002/anie.1114374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对于有机太阳能电池（OSC）来说，实现高功率转换效率（PCE）和长期运行稳定性仍然是一个艰巨的挑战。通过连接小分子受体（SMA）亚基构建的二聚小分子受体（DSMA）最近成为有前途的候选者。然而，它们通过 Stille 偶联的传统合成需要多步反应，使得大规模、低成本的制备不切实际。在此，我们报告了一种简化的直接二聚策略，该策略通过溴乙酰基与二胺亚基的缩合有效地构建了核心连接的DSMA，从而避免了对昂贵的钯催化剂和有毒有机锡试剂的需要。通过系统地改变连接单元，我们合成了一系列具有精确可调光学和电子特性的 DSMA，证明了该方法的通用性。这种直接二聚方法有效地解决了经济有效的合成和高光伏性能之间长期存在的权衡问题。因此，性能最佳的器件可实现 20.15% 的创纪录高 PCE，同时保持出色的光稳定性。总的来说，这项工作为稳定、高性能 DSMA 的经济高效合成提供了通用蓝图，有效地弥合了分子设计和实际 OSC 可扩展性之间的差距。</w:t>
      </w:r>
    </w:p>
    <w:p>
      <w:pPr>
        <w:spacing w:before="0" w:after="200" w:lineRule="auto" w:line="276"/>
      </w:pPr>
      <w:r>
        <w:rPr>
          <w:b/>
        </w:rPr>
        <w:t xml:space="preserve">Abstract (EN): </w:t>
      </w:r>
      <w:r>
        <w:t>Achieving both high power conversion efficiency (PCE) and long‐term operational stability remains a formidable challenge for organic solar cells (OSCs). Dimeric small‐molecule acceptors (DSMAs), constructed by linking small‐molecule acceptor (SMA) subunits, have recently emerged as promising candidates. However, their conventional synthesis via Stille coupling necessitates multistep reactions, rendering large‐scale, low‐cost preparation impractical. Herein, we report a streamlined direct dimerization strategy that efficiently constructs core‐linked DSMAs through the condensation of bromoacetyl groups with diamine subunits, obviating the need for expensive palladium catalysts and toxic organotin reagents. By systematically varying the linking units, we synthesized a series of DSMAs with precisely tunable optical and electronic properties, demonstrating the generality of the approach. Such a direct dimerization approach effectively resolves the long‐standing trade‐off between cost‐effective synthesis and high photovoltaic performance. Consequently, the best‐performing device delivers a record‐high PCE of 20.15%, while maintaining outstanding photostability. Collectively, this work provides a versatile blueprint for the cost‐effective synthesis of stable, high‐performance DSMAs, effectively bridging the gap between molecular design and practical OSC scalability.</w:t>
      </w:r>
    </w:p>
    <w:p>
      <w:pPr>
        <w:spacing w:before="120" w:after="120"/>
      </w:pPr>
      <w:r>
        <w:rPr>
          <w:sz w:val="18"/>
        </w:rPr>
        <w:t>——————————————————————————————————————————————————————————————————————</w:t>
      </w:r>
    </w:p>
    <w:p>
      <w:pPr>
        <w:spacing w:before="160" w:after="40" w:line="240" w:lineRule="auto"/>
      </w:pPr>
      <w:r>
        <w:rPr>
          <w:b/>
        </w:rPr>
        <w:t xml:space="preserve">[38] </w:t>
      </w:r>
      <w:hyperlink r:id="rId80">
        <w:r>
          <w:rPr>
            <w:color w:val="1155CC"/>
            <w:u w:val="single"/>
          </w:rPr>
          <w:t>基于螺核和共轭连接体的自组装分子使有机太阳能电池的效率达到 21%</w:t>
        </w:r>
      </w:hyperlink>
    </w:p>
    <w:p>
      <w:pPr>
        <w:spacing w:before="0" w:after="80"/>
      </w:pPr>
      <w:r>
        <w:rPr>
          <w:i/>
          <w:sz w:val="20"/>
        </w:rPr>
        <w:t>EN: Self‐Assembled Molecules Based on a Spiro‐Core and Conjugated Linkers Enable 21% Efficiency in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2026-08-19 08:47:35+00:00</w:t>
      </w:r>
      <w:r>
        <w:t xml:space="preserve">    </w:t>
      </w:r>
      <w:r>
        <w:rPr>
          <w:b/>
        </w:rPr>
        <w:t xml:space="preserve">DOI: </w:t>
      </w:r>
      <w:hyperlink r:id="rId81">
        <w:r>
          <w:rPr>
            <w:color w:val="1155CC"/>
            <w:u w:val="single"/>
          </w:rPr>
          <w:t>10.1002/anie.9288707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传统的咔唑衍生的自组装单层（SAM）被广泛用作有机太阳能电池（OSC）中的空穴传输层。然而，咔唑核的平面结构，加上烷基连接体的构象灵活性和绝缘性质，通常会导致 SAM 覆盖不足、分子堆积松散和电荷传输效率低下，从而限制器件性能和运行稳定性。在这项工作中，我们开发了一种新型 SAM 分子，SAF-Ph-PA，采用空间庞大的螺核作为主链，并用刚性亚苯基取代传统的柔性烷基连接基。与烷基连接的对应物 SAF-PA 相比，这种新设计的 SAM 表现出更致密、更有序的分子堆积，以及增强的空穴提取和电荷转移效率。在基于 PM6:BTP-eC9 系统的 OSC 中，SAF-Ph-PA 实现了 20.3% 的出色功率转换效率 (PCE)，代表了该二元系统的最高报告值之一。此外，SAF-Ph-PA 在包含 PM6:FTCC-Br:BTP-eC9 混合物的器件中表现出出色的性能，达到 21.0% 的峰值 PCE（认证为 20.68%）。这些发现强调了在 SAM 工程中整合头基团和连接器的协同设计策略的至关重要性，为进一步提高 OSC 的效率铺平了道路。</w:t>
      </w:r>
    </w:p>
    <w:p>
      <w:pPr>
        <w:spacing w:before="0" w:after="200" w:lineRule="auto" w:line="276"/>
      </w:pPr>
      <w:r>
        <w:rPr>
          <w:b/>
        </w:rPr>
        <w:t xml:space="preserve">Abstract (EN): </w:t>
      </w:r>
      <w:r>
        <w:t>Conventional carbazole‐derived self‐assembled monolayers (SAMs) are widely utilized as hole‐transport layers in organic solar cells (OSCs). However, the planar structure of the carbazole core, combined with the conformational flexibility and insulating nature of the alkyl linkers, often results in inadequate SAM coverage, loose molecular packing, and inefficient charge transport, thereby limiting device performance and operational stability. In this work, we develop a novel SAM molecule, SAF‐Ph‐PA, by employing a sterically bulky spiro core as the backbone and replacing the conventional flexible alkyl linker with a rigid phenylene group. Compared to its alkyl‐linked counterpart SAF‐PA, this newly designed SAM exhibits denser and more ordered molecular packing, as well as enhanced hole extraction and charge transfer efficiencies. In OSCs based on the PM6:BTP‐eC9 system, SAF‐Ph‐PA achieves an excellent power conversion efficiency (PCE) of 20.3%, representing one of the highest reported values for this binary system. Furthermore, SAF‐Ph‐PA demonstrates outstanding performance in devices incorporating a PM6:FTCC‐Br:BTP‐eC9 blend, achieving a peak PCE of 21.0% (certified 20.68%). These findings highlight the critical importance of a synergistic design strategy that integrates both the head group and the linker in SAM engineering, paving the way toward further efficiency enhancements in OSCs.</w:t>
      </w:r>
    </w:p>
    <w:p>
      <w:pPr>
        <w:spacing w:before="120" w:after="120"/>
      </w:pPr>
      <w:r>
        <w:rPr>
          <w:sz w:val="18"/>
        </w:rPr>
        <w:t>——————————————————————————————————————————————————————————————————————</w:t>
      </w:r>
    </w:p>
    <w:p>
      <w:pPr>
        <w:spacing w:before="160" w:after="40" w:line="240" w:lineRule="auto"/>
      </w:pPr>
      <w:r>
        <w:rPr>
          <w:b/>
        </w:rPr>
        <w:t xml:space="preserve">[39] </w:t>
      </w:r>
      <w:hyperlink r:id="rId82">
        <w:r>
          <w:rPr>
            <w:color w:val="1155CC"/>
            <w:u w:val="single"/>
          </w:rPr>
          <w:t>用于高效稳定钙钛矿太阳能电池的定向工程界面双锚定分子</w:t>
        </w:r>
      </w:hyperlink>
    </w:p>
    <w:p>
      <w:pPr>
        <w:spacing w:before="0" w:after="80"/>
      </w:pPr>
      <w:r>
        <w:rPr>
          <w:i/>
          <w:sz w:val="20"/>
        </w:rPr>
        <w:t>EN: Orientation‐Engineered Interfacial Bi‐Anchoring Molecules for Efficient and Stable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2026-08-19 08:50:50+00:00</w:t>
      </w:r>
      <w:r>
        <w:t xml:space="preserve">    </w:t>
      </w:r>
      <w:r>
        <w:rPr>
          <w:b/>
        </w:rPr>
        <w:t xml:space="preserve">DOI: </w:t>
      </w:r>
      <w:hyperlink r:id="rId83">
        <w:r>
          <w:rPr>
            <w:color w:val="1155CC"/>
            <w:u w:val="single"/>
          </w:rPr>
          <w:t>10.1002/anie.2298813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空穴传输材料的自组装单层膜一直是倒置钙钛矿太阳能电池（PSC）发展的里程碑。然而，其强酸性和弱界面键合的固有特性对于商业上理想的PSCs仍然是巨大的挑战。为了克服这一限制，我们提出了具有对称线性供体-受体-供体（D-A-D）结构的N-氧化物基结构单元的取向工程界面双锚定分子。具有分子内推拉电子效应的D-A-D结构具有比广泛使用的供体单元更优异的空穴选择性能力，赋予有效的空穴传输平面。然而，双边N-氧化物官能团（N</w:t>
      </w:r>
      <w:r>
        <w:t xml:space="preserve"> </w:t>
      </w:r>
      <w:r>
        <w:t>+</w:t>
      </w:r>
      <w:r>
        <w:t xml:space="preserve"> </w:t>
      </w:r>
      <w:r>
        <w:t>‐O</w:t>
      </w:r>
      <w:r>
        <w:t xml:space="preserve"> </w:t>
      </w:r>
      <w:r>
        <w:t>-</w:t>
      </w:r>
      <w:r>
        <w:t>）在受体联吡啶中引入空间效应以在面内和面外方向驱动D-A-D平面，有效促进空穴提取。此外，反向N</w:t>
      </w:r>
      <w:r>
        <w:t xml:space="preserve"> </w:t>
      </w:r>
      <w:r>
        <w:t>+</w:t>
      </w:r>
      <w:r>
        <w:t xml:space="preserve"> </w:t>
      </w:r>
      <w:r>
        <w:t>‐O</w:t>
      </w:r>
      <w:r>
        <w:t xml:space="preserve"> </w:t>
      </w:r>
      <w:r>
        <w:t>-</w:t>
      </w:r>
      <w:r>
        <w:t>官能团可以分别牢固地吸附在 ITO 基板和钙钛矿埋表面上，构建界面双锚定连接。这种分子构型极大地提高了钙钛矿/HTL 界面的光热耐受性、连接强度以及能级排列，从而实现卓越的电荷提取和耐久性。因此，基于 BPyDO-TPA 的倒置 PSC 实现了 26.53% 的令人印象深刻的效率，位居最高效率之一</w:t>
      </w:r>
    </w:p>
    <w:p>
      <w:pPr>
        <w:spacing w:before="0" w:after="200" w:lineRule="auto" w:line="276"/>
      </w:pPr>
      <w:r>
        <w:rPr>
          <w:b/>
        </w:rPr>
        <w:t xml:space="preserve">Abstract (EN): </w:t>
      </w:r>
      <w:r>
        <w:t>Self‐assembled monolayers as hole‐transport materials have been a milestone in the advancement of inverted perovskite solar cells (PSCs). However, its strong‐acidity and weak‐interface‐bonding inherences remain great challenges for commercially desirable PSCs. To overcome the limitation, we proposed the orientation‐engineered interfacial bi‐anchoring molecules with a symmetric linear donor–acceptor–donor (D–A–D) structured N‐oxide‐based building block. The D–A–D structure with intramolecular push–pull electron effects features superior hole‐selective ability than the widely used donor units, endowing effective hole‐transport planar. However, the bilateral N‐oxide functional groups (N</w:t>
      </w:r>
      <w:r>
        <w:t xml:space="preserve"> </w:t>
      </w:r>
      <w:r>
        <w:t>+</w:t>
      </w:r>
      <w:r>
        <w:t xml:space="preserve"> </w:t>
      </w:r>
      <w:r>
        <w:t>‐O</w:t>
      </w:r>
      <w:r>
        <w:t xml:space="preserve"> </w:t>
      </w:r>
      <w:r>
        <w:t>−</w:t>
      </w:r>
      <w:r>
        <w:t>) in the acceptor bipyridine introduce a steric effect to drive the D–A–D planar in both in‐plane and out‐of‐plane directions, effectively promoting the hole extraction. Moreover, the reversely oriented N</w:t>
      </w:r>
      <w:r>
        <w:t xml:space="preserve"> </w:t>
      </w:r>
      <w:r>
        <w:t>+</w:t>
      </w:r>
      <w:r>
        <w:t xml:space="preserve"> </w:t>
      </w:r>
      <w:r>
        <w:t>‐O</w:t>
      </w:r>
      <w:r>
        <w:t xml:space="preserve"> </w:t>
      </w:r>
      <w:r>
        <w:t>−</w:t>
      </w:r>
      <w:r>
        <w:t>function groups can firmly adsorb on ITO substrate and perovskite buried surface, respectively, constructing an interfacial bi‐anchoring connection. This molecular configuration considerably promotes the photothermal tolerance, connective strength as well as energy‐level alignment at perovskite/HTLs interface, enabling superior charge extraction and durability. Consequently, BPyDO‐TPA‐based inverted PSCs achieve an impressive efficiency of 26.53%, ranking as one of the highest efficiencies among nonphosphonic acid small‐molecule transporting materials. BPyDO‐TPA‐based devices also demonstrate excellent operational stability, retaining 94.82% of its initial efficiency after MPP tracking for 1000 h at 85 °C.</w:t>
      </w:r>
    </w:p>
    <w:p>
      <w:pPr>
        <w:spacing w:before="120" w:after="120"/>
      </w:pPr>
      <w:r>
        <w:rPr>
          <w:sz w:val="18"/>
        </w:rPr>
        <w:t>——————————————————————————————————————————————————————————————————————</w:t>
      </w:r>
    </w:p>
    <w:p>
      <w:pPr>
        <w:spacing w:before="160" w:after="40" w:line="240" w:lineRule="auto"/>
      </w:pPr>
      <w:r>
        <w:rPr>
          <w:b/>
        </w:rPr>
        <w:t xml:space="preserve">[40] </w:t>
      </w:r>
      <w:hyperlink r:id="rId84">
        <w:r>
          <w:rPr>
            <w:color w:val="1155CC"/>
            <w:u w:val="single"/>
          </w:rPr>
          <w:t>用于扩展钙钛矿太阳能电池中的空间电荷调制区域和增强载流子动力学的分级超分子框架</w:t>
        </w:r>
      </w:hyperlink>
    </w:p>
    <w:p>
      <w:pPr>
        <w:spacing w:before="0" w:after="80"/>
      </w:pPr>
      <w:r>
        <w:rPr>
          <w:i/>
          <w:sz w:val="20"/>
        </w:rPr>
        <w:t>EN: Graded Supramolecular Frameworks for Extending Space‐Charge Modulation Regions and Boosting Carrier Dynamics in Perovskite Solar Cells</w:t>
      </w:r>
    </w:p>
    <w:p>
      <w:pPr>
        <w:spacing w:before="0" w:after="120"/>
      </w:pPr>
      <w:r>
        <w:rPr>
          <w:b/>
        </w:rPr>
        <w:t xml:space="preserve">Source: </w:t>
      </w:r>
      <w:r>
        <w:t>Wiley: Advanced Materials: Table of Contents</w:t>
      </w:r>
      <w:r>
        <w:t xml:space="preserve">    </w:t>
      </w:r>
      <w:r>
        <w:rPr>
          <w:b/>
        </w:rPr>
        <w:t xml:space="preserve">Pub date: </w:t>
      </w:r>
      <w:r>
        <w:t>2026-08-19 10:24:16+00:00</w:t>
      </w:r>
      <w:r>
        <w:t xml:space="preserve">    </w:t>
      </w:r>
      <w:r>
        <w:rPr>
          <w:b/>
        </w:rPr>
        <w:t xml:space="preserve">DOI: </w:t>
      </w:r>
      <w:hyperlink r:id="rId85">
        <w:r>
          <w:rPr>
            <w:color w:val="1155CC"/>
            <w:u w:val="single"/>
          </w:rPr>
          <w:t>10.1002/adma.74489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中的有效载流子分离和传输从根本上受到传统器件结构固有的狭窄空间电荷区域的限制，导致厚的钙钛矿块体不具有电活性。在这里，我们报告了一种由氟功能化多孔芳香框架（PAF-2F）实现的超分子分级静电势调制策略，该策略可在整个钙钛矿吸收体中空间电荷重新分布。 PAF-2F的分级掺入不断调节整个钙钛矿块体的局域电子结构，建立扩展的静电势梯度，并将载流子传输从扩散主导的运动转变为场辅助漂移。这种扩展的内部场加速了电荷分离，抑制非辐射复合，并增强了电荷提取，从而产生了 26.66% 的冠军功率转换效率。此外，PAF-2F 的刚性共轭框架和强界面相互作用稳定了分级掺杂分布并抑制离子迁移，从而在无封装的情况下连续照明 1000 小时后具有出色的运行稳定性和 93% 的效率保持率。这项工作提出了钙钛矿半导体体电子结构工程的通用超分子策略，为同时实现高效率和长期稳定性提供了可行的途径。</w:t>
      </w:r>
    </w:p>
    <w:p>
      <w:pPr>
        <w:spacing w:before="0" w:after="200" w:lineRule="auto" w:line="276"/>
      </w:pPr>
      <w:r>
        <w:rPr>
          <w:b/>
        </w:rPr>
        <w:t xml:space="preserve">Abstract (EN): </w:t>
      </w:r>
      <w:r>
        <w:t>Efficient carrier separation and transport in perovskite solar cells are fundamentally constrained by the narrow space‐charge regions intrinsic to conventional device architectures, leaving thick perovskite bulks electrically inactive. Here, we report a supramolecular graded electrostatic potential modulation strategy enabled by a fluorine‐functionalized porous aromatic framework (PAF‐2F) that spatially redistributes space charge throughout the perovskite absorber. The graded incorporation of PAF‐2F continuously modulates the local electronic structure throughout the perovskite bulk, establishing an extended electrostatic potential gradient and transforming carrier transport from diffusion‐dominated motion into field‐assisted drift. This extended internal field accelerates charge separation, suppresses nonradiative recombination, and enhances charge extraction, yielding a champion power conversion efficiency of 26.66%. Moreover, the rigid conjugated framework and strong interfacial interactions of PAF‐2F stabilize the graded doping profile and inhibit ion migration, resulting in excellent operational stability with 93% efficiency retention after 1000 h of continuous illumination without encapsulation. This work presents a general supramolecular strategy for bulk electronic structure engineering in perovskite semiconductors, offering a viable pathway toward simultaneously achieving high efficiency and long‐term stability.</w:t>
      </w:r>
    </w:p>
    <w:p>
      <w:pPr>
        <w:spacing w:before="120" w:after="120"/>
      </w:pPr>
      <w:r>
        <w:rPr>
          <w:sz w:val="18"/>
        </w:rPr>
        <w:t>——————————————————————————————————————————————————————————————————————</w:t>
      </w:r>
    </w:p>
    <w:p>
      <w:pPr>
        <w:spacing w:before="160" w:after="40" w:line="240" w:lineRule="auto"/>
      </w:pPr>
      <w:r>
        <w:rPr>
          <w:b/>
        </w:rPr>
        <w:t xml:space="preserve">[41] </w:t>
      </w:r>
      <w:hyperlink r:id="rId86">
        <w:r>
          <w:rPr>
            <w:color w:val="1155CC"/>
            <w:u w:val="single"/>
          </w:rPr>
          <w:t>太阳能电池 Shockley-Queisser 基准测试的实用、与技术无关的框架：稳健的带隙定义和 EQE、电致发光和 J-V 数据的损耗分解</w:t>
        </w:r>
      </w:hyperlink>
    </w:p>
    <w:p>
      <w:pPr>
        <w:spacing w:before="0" w:after="80"/>
      </w:pPr>
      <w:r>
        <w:rPr>
          <w:i/>
          <w:sz w:val="20"/>
        </w:rPr>
        <w:t>EN: A Practical, Technology‐Agnostic Framework For Shockley–Queisser Benchmarking of Solar Cells: Robust Bandgap Definitions and Loss Decomposition From EQE, Electroluminescence, and J–V Data</w:t>
      </w:r>
    </w:p>
    <w:p>
      <w:pPr>
        <w:spacing w:before="0" w:after="120"/>
      </w:pPr>
      <w:r>
        <w:rPr>
          <w:b/>
        </w:rPr>
        <w:t xml:space="preserve">Source: </w:t>
      </w:r>
      <w:r>
        <w:t>Wiley: Advanced Energy Materials: Table of Contents</w:t>
      </w:r>
      <w:r>
        <w:t xml:space="preserve">    </w:t>
      </w:r>
      <w:r>
        <w:rPr>
          <w:b/>
        </w:rPr>
        <w:t xml:space="preserve">Pub date: </w:t>
      </w:r>
      <w:r>
        <w:t>2026-08-19 10:29:45+00:00</w:t>
      </w:r>
      <w:r>
        <w:t xml:space="preserve">    </w:t>
      </w:r>
      <w:r>
        <w:rPr>
          <w:b/>
        </w:rPr>
        <w:t xml:space="preserve">DOI: </w:t>
      </w:r>
      <w:hyperlink r:id="rId87">
        <w:r>
          <w:rPr>
            <w:color w:val="1155CC"/>
            <w:u w:val="single"/>
          </w:rPr>
          <w:t>10.1002/aenm.71465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Shockley-Queisser (SQ) 基准测试用于背景化光伏 (PV) 效率，但当设备偏离阶跃函数吸收器理想化或当光学、辐射和电损耗混合时，它经常被误用。在这里，我们提出了一个实用的工作流程，从规定的 SQ 参考和测量的外部量子效率 (EQE)、电致发光量子效率 () 和电流密度电压 (-) 数据开始。该框架定义了光伏带隙 ()，计算基于 EQE 的辐射暗电流和开路电压，并分离发电/电流损耗、光学展量、辐射边缘形状损耗、非辐射复合、温度、分流和填充因子损耗。它适用于硅、砷化镓、铜铟镓硒、卤化物钙钛矿、有机光伏和过渡金属二硫属化物。我们提供了短路电流因子 ()、辐射发射因子 ()、发光因子 () 和填充因子比 () 的解释顺序。在这种表示法中， 不是电/非辐射损耗；对于规定的步骤 SQ 参考和正确定义的 ，它对应于正辐射边缘形状电压损耗，而不一致的因素表明应报告测量的 EQE 详细平衡。这种排序使得接近极限的声明在材料、架构、光学参考和测量状态下具有可重复性和可比性。</w:t>
      </w:r>
    </w:p>
    <w:p>
      <w:pPr>
        <w:spacing w:before="0" w:after="200" w:lineRule="auto" w:line="276"/>
      </w:pPr>
      <w:r>
        <w:rPr>
          <w:b/>
        </w:rPr>
        <w:t xml:space="preserve">Abstract (EN): </w:t>
      </w:r>
      <w:r>
        <w:t>Shockley–Queisser (SQ) benchmarking is used to contextualize photovoltaic (PV) efficiencies, but it is often misapplied when devices deviate from the step‐function absorber idealization or when optical, radiative, and electrical losses are mixed. Here, we present a practical workflow that begins with a stated SQ reference and measured external quantum efficiency (EQE), electroluminescence quantum efficiency (), and current‐density–voltage (–) data. The framework defines a photovoltaic bandgap (), computes EQE‐based radiative dark current and open‐circuit voltage, and separates generation/current loss, optical étendue, radiative edge‐shape loss, nonradiative recombination, temperature, shunt, and fill‐factor losses. It applies across silicon, gallium arsenide, copper indium gallium selenide, halide perovskites, organic PVs, and transition‐metal dichalcogenides. We provide an interpretation order for the short‐circuit‐current factor (), radiative‐emission factor (), luminescence factor (), and fill‐factor ratio (). In this notation,  is not an electrical/nonradiative loss; for a stated step‐SQ reference and a properly defined , it corresponds to a positive radiative edge‐shape voltage loss, whereas inconsistent factors indicate the measured‐EQE detailed balance should be reported. This ordering makes closeness‐to‐limit claims reproducible and comparable across materials, architectures, optical references, and measurement states.</w:t>
      </w:r>
    </w:p>
    <w:p>
      <w:pPr>
        <w:spacing w:before="120" w:after="120"/>
      </w:pPr>
      <w:r>
        <w:rPr>
          <w:sz w:val="18"/>
        </w:rPr>
        <w:t>——————————————————————————————————————————————————————————————————————</w:t>
      </w:r>
    </w:p>
    <w:p>
      <w:pPr>
        <w:spacing w:before="160" w:after="40" w:line="240" w:lineRule="auto"/>
      </w:pPr>
      <w:r>
        <w:rPr>
          <w:b/>
        </w:rPr>
        <w:t xml:space="preserve">[42] </w:t>
      </w:r>
      <w:hyperlink r:id="rId88">
        <w:r>
          <w:rPr>
            <w:color w:val="1155CC"/>
            <w:u w:val="single"/>
          </w:rPr>
          <w:t>通过面外晶格织构和应变的综合调节抑制钙钛矿太阳能电池中的非辐射复合</w:t>
        </w:r>
      </w:hyperlink>
    </w:p>
    <w:p>
      <w:pPr>
        <w:spacing w:before="0" w:after="80"/>
      </w:pPr>
      <w:r>
        <w:rPr>
          <w:i/>
          <w:sz w:val="20"/>
        </w:rPr>
        <w:t>EN: Suppressing Non‐Radiative Recombination in Perovskite Solar Cells Through Integrated Tuning of Out‐of‐Plane Lattice Texture and Strain</w:t>
      </w:r>
    </w:p>
    <w:p>
      <w:pPr>
        <w:spacing w:before="0" w:after="120"/>
      </w:pPr>
      <w:r>
        <w:rPr>
          <w:b/>
        </w:rPr>
        <w:t xml:space="preserve">Source: </w:t>
      </w:r>
      <w:r>
        <w:t>Wiley: Advanced Energy Materials: Table of Contents</w:t>
      </w:r>
      <w:r>
        <w:t xml:space="preserve">    </w:t>
      </w:r>
      <w:r>
        <w:rPr>
          <w:b/>
        </w:rPr>
        <w:t xml:space="preserve">Pub date: </w:t>
      </w:r>
      <w:r>
        <w:t>2026-08-19 10:32:59+00:00</w:t>
      </w:r>
      <w:r>
        <w:t xml:space="preserve">    </w:t>
      </w:r>
      <w:r>
        <w:rPr>
          <w:b/>
        </w:rPr>
        <w:t xml:space="preserve">DOI: </w:t>
      </w:r>
      <w:hyperlink r:id="rId89">
        <w:r>
          <w:rPr>
            <w:color w:val="1155CC"/>
            <w:u w:val="single"/>
          </w:rPr>
          <w:t>10.1002/aenm.71474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晶体取向和晶格应变直接决定性能和稳定性；然而，它们通常被视为独立的结构参数，因此它们对非辐射复合的综合影响仍然知之甚少。在这里，我们揭示了这些参数之间的相互作用，并建立了它们与钙钛矿太阳能电池（PSC）中非辐射复合的相关性。通过羟基喹啉磺酸钠和氨基萘磺酸钠之间的新型双分子协同相互作用实现了结构参数的耦合控制。这些相互作用通过使溶剂 PbI 不稳定来在分子水平上调节结晶</w:t>
      </w:r>
      <w:r>
        <w:rPr>
          <w:vertAlign w:val="subscript"/>
        </w:rPr>
        <w:t>2</w:t>
      </w:r>
      <w:r>
        <w:t>加合物。因此，它们促进了角共享[PbI</w:t>
      </w:r>
      <w:r>
        <w:rPr>
          <w:vertAlign w:val="subscript"/>
        </w:rPr>
        <w:t>6</w:t>
      </w:r>
      <w:r>
        <w:t>]</w:t>
      </w:r>
      <w:r>
        <w:t xml:space="preserve"> </w:t>
      </w:r>
      <w:r>
        <w:t>4─</w:t>
      </w:r>
      <w:r>
        <w:t xml:space="preserve"> </w:t>
      </w:r>
      <w:r>
        <w:t>网络沿[100]方向移动，并将晶格应变从拉伸状态转变为压缩状态。这导致 PSC 的开路电压为 1.22 V（仅比理论极限低 49 mV），功率转换效率 (PCE) 高达 26.21%，反向偏置击穿电压为 -16.5 V。此外，在 &gt;85% 的相对湿度下，3300 小时后，该器件仍保留了 90% 的初始 PCE。控制实验进一步证实，这种集成结构调整是控制抑制非辐射复合和增强击穿电压的主导因素。</w:t>
      </w:r>
    </w:p>
    <w:p>
      <w:pPr>
        <w:spacing w:before="0" w:after="200" w:lineRule="auto" w:line="276"/>
      </w:pPr>
      <w:r>
        <w:rPr>
          <w:b/>
        </w:rPr>
        <w:t xml:space="preserve">Abstract (EN): </w:t>
      </w:r>
      <w:r>
        <w:t>Crystallographic orientation and lattice strain directly govern performance and stability; however, they are often treated as independent structural parameters, and therefore their combined influence on non‐radiative recombination remains poorly understood. Here, we reveal the interplay between these parameters and establish their correlation with non‐radiative recombination in perovskite solar cells (PSCs). The coupled control of structural parameters is achieved through novel bimolecular cooperative interactions between sodium hydroxyquinoline sulfonate and sodium aminonaphthalene sulfonate. These interactions regulate crystallization at molecular level by destabilizing solvent–PbI</w:t>
      </w:r>
      <w:r>
        <w:rPr>
          <w:vertAlign w:val="subscript"/>
        </w:rPr>
        <w:t>2</w:t>
      </w:r>
      <w:r>
        <w:t>adducts. As a result, they promote out‐of‐plane growth of corner‐sharing [PbI</w:t>
      </w:r>
      <w:r>
        <w:rPr>
          <w:vertAlign w:val="subscript"/>
        </w:rPr>
        <w:t>6</w:t>
      </w:r>
      <w:r>
        <w:t>]</w:t>
      </w:r>
      <w:r>
        <w:t xml:space="preserve"> </w:t>
      </w:r>
      <w:r>
        <w:t>4─</w:t>
      </w:r>
      <w:r>
        <w:t xml:space="preserve"> </w:t>
      </w:r>
      <w:r>
        <w:t>networks along [100] direction and shift the lattice strain from a tensile to a compressive state. This leads to an open‐circuit voltage of 1.22 V (only 49 mV behind the theoretical limit), achieving a power conversion efficiency (PCE) up to 26.21% and a reverse‐bias breakdown voltage of −16.5 V in PSCs. Furthermore, the device retains 90% of its initial PCE after 3300 h at &amp;gt;85% relative humidity. Control experiments further confirm that this integrated structural tuning is the dominant factor governing suppressed non‐radiative recombination and enhanced breakdown voltage.</w:t>
      </w:r>
    </w:p>
    <w:p>
      <w:pPr>
        <w:spacing w:before="120" w:after="120"/>
      </w:pPr>
      <w:r>
        <w:rPr>
          <w:sz w:val="18"/>
        </w:rPr>
        <w:t>——————————————————————————————————————————————————————————————————————</w:t>
      </w:r>
    </w:p>
    <w:p>
      <w:pPr>
        <w:spacing w:before="160" w:after="40" w:line="240" w:lineRule="auto"/>
      </w:pPr>
      <w:r>
        <w:rPr>
          <w:b/>
        </w:rPr>
        <w:t xml:space="preserve">[43] </w:t>
      </w:r>
      <w:hyperlink r:id="rId90">
        <w:r>
          <w:rPr>
            <w:color w:val="1155CC"/>
            <w:u w:val="single"/>
          </w:rPr>
          <w:t>几何不对称磷两性离子可实现高效可印刷介观钙钛矿太阳能电池</w:t>
        </w:r>
      </w:hyperlink>
    </w:p>
    <w:p>
      <w:pPr>
        <w:spacing w:before="0" w:after="80"/>
      </w:pPr>
      <w:r>
        <w:rPr>
          <w:i/>
          <w:sz w:val="20"/>
        </w:rPr>
        <w:t>EN: Geometrically Asymmetric Phosphonium Zwitterions Enable Efficient Printable Mesoscopic Perovskite Solar Cells</w:t>
      </w:r>
    </w:p>
    <w:p>
      <w:pPr>
        <w:spacing w:before="0" w:after="120"/>
      </w:pPr>
      <w:r>
        <w:rPr>
          <w:b/>
        </w:rPr>
        <w:t xml:space="preserve">Source: </w:t>
      </w:r>
      <w:r>
        <w:t>Wiley: Advanced Materials: Table of Contents</w:t>
      </w:r>
      <w:r>
        <w:t xml:space="preserve">    </w:t>
      </w:r>
      <w:r>
        <w:rPr>
          <w:b/>
        </w:rPr>
        <w:t xml:space="preserve">Pub date: </w:t>
      </w:r>
      <w:r>
        <w:t>2026-08-19 10:41:41+00:00</w:t>
      </w:r>
      <w:r>
        <w:t xml:space="preserve">    </w:t>
      </w:r>
      <w:r>
        <w:rPr>
          <w:b/>
        </w:rPr>
        <w:t xml:space="preserve">DOI: </w:t>
      </w:r>
      <w:hyperlink r:id="rId91">
        <w:r>
          <w:rPr>
            <w:color w:val="1155CC"/>
            <w:u w:val="single"/>
          </w:rPr>
          <w:t>10.1002/adma.74629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基、完全可印刷的无空穴传输层介观钙钛矿太阳能电池（p-MPSC）提供了一种低成本、可扩展的光伏技术，但由于电子选择性界面处的非辐射复合而遭受效率损失。在这里，我们设计了几何不对称的两性离子，其特征是大体积的电荷分散的三苯基鏻阳离子和通过烷基链连接的小电荷集中的磺酸根阴离子，以减弱分子间和分子内的电荷吸引力，从而构建一个永久的偶极子夹层来减轻这种重组。通过延伸烷基间隔基并在三苯基鏻上引入甲基取代基，优化的两性离子 4-(三对甲苯基膦酰基)丁烷-1-磺酸盐 (4MePS) 实现了 14.92 德拜的超高偶极矩。 4MePS 与钙钛矿和 TiO 强烈相互作用</w:t>
      </w:r>
      <w:r>
        <w:rPr>
          <w:vertAlign w:val="subscript"/>
        </w:rPr>
        <w:t>2</w:t>
      </w:r>
      <w:r>
        <w:t>形成表面偶极子，其功函数分别大幅降低 0.42 和 0.54 eV。综合表征证实 4MePS 抑制非辐射复合并加速 p-MPSC 中的电荷提取。因此，经过 4MePS 处理的 p-MPSC 的冠军功率转换效率 (PCE) 为 23.3%（对照为 21.8%），在 57.3 cm 范围内的微型模块效率为 20.2%</w:t>
      </w:r>
      <w:r>
        <w:rPr>
          <w:vertAlign w:val="subscript"/>
        </w:rPr>
        <w:t>2</w:t>
      </w:r>
      <w:r>
        <w:t>，是 p-MPSC 报告中最高的。在 55 ± 5 °C 的 1 太阳光照下进行 1200 小时的最大功率点跟踪后，封装器件保留了 90% 的初始 PCE。这</w:t>
      </w:r>
    </w:p>
    <w:p>
      <w:pPr>
        <w:spacing w:before="0" w:after="200" w:lineRule="auto" w:line="276"/>
      </w:pPr>
      <w:r>
        <w:rPr>
          <w:b/>
        </w:rPr>
        <w:t xml:space="preserve">Abstract (EN): </w:t>
      </w:r>
      <w:r>
        <w:t>Carbon‐based, fully printable hole‐transport‐layer‐free mesoscopic perovskite solar cells (p‐MPSCs) offer a low‐cost, scalable photovoltaic technology, yet suffer from efficiency losses due to non‐radiative recombination at electron‐selective interface. Here, we design geometrically asymmetric zwitterions, featuring a bulky charge‐dispersed triphenylphosphonium cation and a small charge‐concentrated sulfonate anion linked by an alkyl chain, to weaken intermolecular and intramolecular charge attraction, thereby constructing a permanent dipole interlayer that mitigates such recombination. By extending the alkyl spacer and introducing methyl substituents on triphenylphosphonium, the optimized zwitterion, 4‐(tri‐p‐tolylphosphonio)butane‐1‐sulfonate (4MePS), achieves an ultrahigh dipole moment of 14.92 Debye. 4MePS strongly interacts with both perovskite and TiO</w:t>
      </w:r>
      <w:r>
        <w:rPr>
          <w:vertAlign w:val="subscript"/>
        </w:rPr>
        <w:t>2</w:t>
      </w:r>
      <w:r>
        <w:t>to form surface dipoles, drastically lowering their work functions by 0.42 and 0.54 eV, respectively. Comprehensive characterizations confirm that 4MePS suppresses non‐radiative recombination and accelerates charge extraction in p‐MPSCs. Consequently, 4MePS‐treated p‐MPSCs deliver a champion power conversion efficiency (PCE) of 23.3% (vs. 21.8% for control) and a minimodule efficiency of 20.2% over 57.3 cm</w:t>
      </w:r>
      <w:r>
        <w:rPr>
          <w:vertAlign w:val="subscript"/>
        </w:rPr>
        <w:t>2</w:t>
      </w:r>
      <w:r>
        <w:t>, among the highest reported for p‐MPSCs. Encapsulated devices retain 90% of their initial PCE after 1200 hours of maximum power point tracking under 1‑sun illumination at 55 ± 5 °C. This work establishes a charge density‐asymmetric molecular design strategy for engineering interfacial dipoles toward high‐performance perovskite devices.</w:t>
      </w:r>
    </w:p>
    <w:p>
      <w:pPr>
        <w:spacing w:before="120" w:after="120"/>
      </w:pPr>
      <w:r>
        <w:rPr>
          <w:sz w:val="18"/>
        </w:rPr>
        <w:t>——————————————————————————————————————————————————————————————————————</w:t>
      </w:r>
    </w:p>
    <w:p>
      <w:pPr>
        <w:spacing w:before="160" w:after="40" w:line="240" w:lineRule="auto"/>
      </w:pPr>
      <w:r>
        <w:rPr>
          <w:b/>
        </w:rPr>
        <w:t xml:space="preserve">[44] </w:t>
      </w:r>
      <w:hyperlink r:id="rId92">
        <w:r>
          <w:rPr>
            <w:color w:val="1155CC"/>
            <w:u w:val="single"/>
          </w:rPr>
          <w:t>液晶工程对结晶动力学和热力学的协同调节使有机太阳能电池高效稳定</w:t>
        </w:r>
      </w:hyperlink>
    </w:p>
    <w:p>
      <w:pPr>
        <w:spacing w:before="0" w:after="80"/>
      </w:pPr>
      <w:r>
        <w:rPr>
          <w:i/>
          <w:sz w:val="20"/>
        </w:rPr>
        <w:t>EN: Synergistic Regulation of Crystallization Kinetics and Thermodynamics by Liquid Crystal Engineering Enables Efficient and Stable Organic Solar Cells</w:t>
      </w:r>
    </w:p>
    <w:p>
      <w:pPr>
        <w:spacing w:before="0" w:after="120"/>
      </w:pPr>
      <w:r>
        <w:rPr>
          <w:b/>
        </w:rPr>
        <w:t xml:space="preserve">Source: </w:t>
      </w:r>
      <w:r>
        <w:t>Wiley: Advanced Materials: Table of Contents</w:t>
      </w:r>
      <w:r>
        <w:t xml:space="preserve">    </w:t>
      </w:r>
      <w:r>
        <w:rPr>
          <w:b/>
        </w:rPr>
        <w:t xml:space="preserve">Pub date: </w:t>
      </w:r>
      <w:r>
        <w:t>2026-08-19 11:20:38+00:00</w:t>
      </w:r>
      <w:r>
        <w:t xml:space="preserve">    </w:t>
      </w:r>
      <w:r>
        <w:rPr>
          <w:b/>
        </w:rPr>
        <w:t xml:space="preserve">DOI: </w:t>
      </w:r>
      <w:hyperlink r:id="rId93">
        <w:r>
          <w:rPr>
            <w:color w:val="1155CC"/>
            <w:u w:val="single"/>
          </w:rPr>
          <w:t>10.1002/adma.74697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OSC）对于下一代光伏发电有着巨大的前景，但同时实现高效率和长期稳定性仍然是一个艰巨的挑战。这一困难源于本体异质结薄膜中结晶动力学和热力学的多重影响。在此，我们引入了一种向列液晶 3UTPP4，以协同调节 PM6:BTP-eC9 系统中成膜的动力学和热力学方面。 3UTPP4延长了成膜过程，使分子组装更加受控，并有效避免了BTP-eC9的亚稳态（冷结晶）。所得薄膜表现出增强的分子有序性、减小的 π-π 堆叠距离、抑制的复合以及改进的载流子迁移率。因此，优化后的器件具有 20.07% 的功率转换效率 (PCE) 和 80.51% 的出色填充因子 (FF)。此外，成功实现了出色的器件稳定性，在氮气中储存 1,600 小时后仍保留了 95% 的初始 PCE，并实现了超过 1,000 小时的光热稳定性 T80。该策略的通用性在其他高性能系统中得到了进一步验证，D18:L8-BO 实现了 20.73% 的优异 PCE 和 82.14% 的 FF。这项工作建立了液晶辅助的动力学和热力学过程的协同调节，作为实现高效和稳定的 OSC 的有希望的途径。</w:t>
      </w:r>
    </w:p>
    <w:p>
      <w:pPr>
        <w:spacing w:before="0" w:after="200" w:lineRule="auto" w:line="276"/>
      </w:pPr>
      <w:r>
        <w:rPr>
          <w:b/>
        </w:rPr>
        <w:t xml:space="preserve">Abstract (EN): </w:t>
      </w:r>
      <w:r>
        <w:t>Organic solar cells (OSCs) hold great promise for next‐generation photovoltaics, yet achieving both high efficiency and long‐term stability remains a formidable challenge. This difficulty originates from the multiple influences of crystallization kinetics and thermodynamics in bulk heterojunction films. Herein, we introduce a nematic liquid crystal, 3UTPP4, to synergistically regulate both the kinetic and thermodynamic aspects of film formation in the PM6:BTP‐eC9 system. 3UTPP4 prolongs the film formation process, enabling more controlled molecular assembly and effectively circumventing the metastable state (cold crystallization) of BTP‐eC9. The resulting films exhibit enhanced molecular ordering with reduced π–π stacking distance, suppressed recombination, and improved charge carrier mobility. Consequently, the optimized devices deliver a power conversion efficiency (PCE) of 20.07% with an excellent fill factor (FF) of 80.51%. Moreover, outstanding device stability was successfully realized, retaining 95% of the initial PCE after 1,600 h of storage in nitrogen and achieving a photothermal stability T80 exceeding 1,000 h. The generality of this strategy is further validated across other high‐performance systems, with D18:L8‐BO achieving an excellent PCE of 20.73% and an FF of 82.14%. This work establishes liquid crystal‐assisted synergistic regulation of kinetic and thermodynamic processes as a promising pathway toward efficient and stable OSCs.</w:t>
      </w:r>
    </w:p>
    <w:p>
      <w:pPr>
        <w:spacing w:before="120" w:after="120"/>
      </w:pPr>
      <w:r>
        <w:rPr>
          <w:sz w:val="18"/>
        </w:rPr>
        <w:t>——————————————————————————————————————————————————————————————————————</w:t>
      </w:r>
    </w:p>
    <w:p>
      <w:pPr>
        <w:spacing w:before="160" w:after="40" w:line="240" w:lineRule="auto"/>
      </w:pPr>
      <w:r>
        <w:rPr>
          <w:b/>
        </w:rPr>
        <w:t xml:space="preserve">[45] </w:t>
      </w:r>
      <w:hyperlink r:id="rId94">
        <w:r>
          <w:rPr>
            <w:color w:val="1155CC"/>
            <w:u w:val="single"/>
          </w:rPr>
          <w:t>核壳手性钙钛矿纳米晶体中激发波长控制的自旋注入用于放大圆偏振发光</w:t>
        </w:r>
      </w:hyperlink>
    </w:p>
    <w:p>
      <w:pPr>
        <w:spacing w:before="0" w:after="80"/>
      </w:pPr>
      <w:r>
        <w:rPr>
          <w:i/>
          <w:sz w:val="20"/>
        </w:rPr>
        <w:t>EN: Excitation‐Wavelength‐Controlled Spin Injection in Core–Shell Chiral Perovskite Nanocrystals for Amplified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2026-08-19 14:04:38+00:00</w:t>
      </w:r>
      <w:r>
        <w:t xml:space="preserve">    </w:t>
      </w:r>
      <w:r>
        <w:rPr>
          <w:b/>
        </w:rPr>
        <w:t xml:space="preserve">DOI: </w:t>
      </w:r>
      <w:hyperlink r:id="rId95">
        <w:r>
          <w:rPr>
            <w:color w:val="1155CC"/>
            <w:u w:val="single"/>
          </w:rPr>
          <w:t>10.1002/anie.3461860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手性钙钛矿通过手性诱导自旋选择性（CISS）效应实现自旋偏振光发射，为无磁自旋光电器件提供了一条途径。然而，在大多数基于 CISS 的发光系统中，自旋过滤和发光功能本质上是耦合的，这掩盖了自旋注入在调制发射中的独立作用，并妨碍了对机理的清晰理解。这里，由非手性 MAPbI 组成的核壳手性钙钛矿纳米晶体系统</w:t>
      </w:r>
      <w:r>
        <w:rPr>
          <w:vertAlign w:val="subscript"/>
        </w:rPr>
        <w:t>3</w:t>
      </w:r>
      <w:r>
        <w:t>核和基于二维手性钙钛矿壳</w:t>
      </w:r>
      <w:r>
        <w:t xml:space="preserve"> </w:t>
      </w:r>
      <w:r>
        <w:t>右</w:t>
      </w:r>
      <w:r>
        <w:t xml:space="preserve"> </w:t>
      </w:r>
      <w:r>
        <w:t>/</w:t>
      </w:r>
      <w:r>
        <w:t>S</w:t>
      </w:r>
      <w:r>
        <w:t xml:space="preserve"> </w:t>
      </w:r>
      <w:r>
        <w:t>报道了 ‐1-(2-萘基)乙胺 (NEA)。这种异质结构能够实现激发波长控制的自旋注入。由于手性壳在 375 nm 处的强吸收及其在 532 nm 处的透明度，375 nm 激发激活 CISS 介导的壳到核自旋极化载流子注入途径，而 532 nm 激发主要填充 MAPbI</w:t>
      </w:r>
      <w:r>
        <w:rPr>
          <w:vertAlign w:val="subscript"/>
        </w:rPr>
        <w:t>3</w:t>
      </w:r>
      <w:r>
        <w:t>直接核心。注入路径的这种光学切换增强了圆偏振发光（CPL）不对称因子（</w:t>
      </w:r>
      <w:r>
        <w:t xml:space="preserve"> </w:t>
      </w:r>
      <w:r>
        <w:t>克</w:t>
      </w:r>
      <w:r>
        <w:t xml:space="preserve"> </w:t>
      </w:r>
      <w:r>
        <w:t>卢姆</w:t>
      </w:r>
      <w:r>
        <w:t xml:space="preserve"> </w:t>
      </w:r>
      <w:r>
        <w:t>) 从 1.5 × 10</w:t>
      </w:r>
      <w:r>
        <w:t xml:space="preserve"> </w:t>
      </w:r>
      <w:r>
        <w:t>−3</w:t>
      </w:r>
      <w:r>
        <w:t xml:space="preserve"> </w:t>
      </w:r>
      <w:r>
        <w:t>（532 nm 激发）至 3.8 × 10</w:t>
      </w:r>
      <w:r>
        <w:t xml:space="preserve"> </w:t>
      </w:r>
      <w:r>
        <w:t>−3</w:t>
      </w:r>
      <w:r>
        <w:t xml:space="preserve"> </w:t>
      </w:r>
      <w:r>
        <w:t>（375 nm 激发）。与此同时，磁导探针原子力显微镜（mCP-AFM）</w:t>
      </w:r>
    </w:p>
    <w:p>
      <w:pPr>
        <w:spacing w:before="0" w:after="200" w:lineRule="auto" w:line="276"/>
      </w:pPr>
      <w:r>
        <w:rPr>
          <w:b/>
        </w:rPr>
        <w:t xml:space="preserve">Abstract (EN): </w:t>
      </w:r>
      <w:r>
        <w:t>Chiral perovskites enable spin‐polarized light emission through the chiral‐induced spin selectivity (CISS) effect, offering a pathway toward magnet‐free spin‐optoelectronic devices. However, in most CISS‐based luminescent systems, the spin‐filtering and light‐emitting functions are intrinsically coupled, which obscures the independent role of spin injection in modulating emission and precludes a clear mechanistic understanding. Here, a core–shell chiral perovskite nanocrystal system consisting of an achiral MAPbI</w:t>
      </w:r>
      <w:r>
        <w:rPr>
          <w:vertAlign w:val="subscript"/>
        </w:rPr>
        <w:t>3</w:t>
      </w:r>
      <w:r>
        <w:t>core and a two‐dimensional chiral perovskite shell based on</w:t>
      </w:r>
      <w:r>
        <w:t xml:space="preserve"> </w:t>
      </w:r>
      <w:r>
        <w:t>R</w:t>
      </w:r>
      <w:r>
        <w:t xml:space="preserve"> </w:t>
      </w:r>
      <w:r>
        <w:t>/</w:t>
      </w:r>
      <w:r>
        <w:t>S</w:t>
      </w:r>
      <w:r>
        <w:t xml:space="preserve"> </w:t>
      </w:r>
      <w:r>
        <w:t>‐1‐(2‐naphthyl)ethylamine (NEA) is reported. This heterostructure enables excitation‐wavelength‐controlled spin injection. Owing to the strong absorption of the chiral shell at 375 nm and its transparency at 532 nm, 375 nm excitation activates a CISS‐mediated shell‐to‐core spin‐polarized carrier injection pathway, whereas 532 nm excitation mainly populates the MAPbI</w:t>
      </w:r>
      <w:r>
        <w:rPr>
          <w:vertAlign w:val="subscript"/>
        </w:rPr>
        <w:t>3</w:t>
      </w:r>
      <w:r>
        <w:t>core directly. This optical switching of the injection pathway boosts the circularly polarized luminescence (CPL) dissymmetry factor (</w:t>
      </w:r>
      <w:r>
        <w:t xml:space="preserve"> </w:t>
      </w:r>
      <w:r>
        <w:t>g</w:t>
      </w:r>
      <w:r>
        <w:t xml:space="preserve"> </w:t>
      </w:r>
      <w:r>
        <w:t>lum</w:t>
      </w:r>
      <w:r>
        <w:t xml:space="preserve"> </w:t>
      </w:r>
      <w:r>
        <w:t>) from 1.5 × 10</w:t>
      </w:r>
      <w:r>
        <w:t xml:space="preserve"> </w:t>
      </w:r>
      <w:r>
        <w:t>−3</w:t>
      </w:r>
      <w:r>
        <w:t xml:space="preserve"> </w:t>
      </w:r>
      <w:r>
        <w:t>(532 nm excitation) to 3.8 × 10</w:t>
      </w:r>
      <w:r>
        <w:t xml:space="preserve"> </w:t>
      </w:r>
      <w:r>
        <w:t>−3</w:t>
      </w:r>
      <w:r>
        <w:t xml:space="preserve"> </w:t>
      </w:r>
      <w:r>
        <w:t>(375 nm excitation). In parallel, the magnetic conductive‐probe atomic force microscopy (mCP‐AFM) measurements reveal up to 85% spin polarization, and transient absorption spectroscopy shows a distinct 48 ps shell‐mediated population transfer component. These findings establish that CISS‐mediated spin injection can be optically controlled by excitation wavelength, enabling wavelength‐addressable spin manipulation in chiral heterostructures.</w:t>
      </w:r>
    </w:p>
    <w:p>
      <w:pPr>
        <w:spacing w:before="120" w:after="120"/>
      </w:pPr>
      <w:r>
        <w:rPr>
          <w:sz w:val="18"/>
        </w:rPr>
        <w:t>——————————————————————————————————————————————————————————————————————</w:t>
      </w:r>
    </w:p>
    <w:p>
      <w:pPr>
        <w:spacing w:before="160" w:after="40" w:line="240" w:lineRule="auto"/>
      </w:pPr>
      <w:r>
        <w:rPr>
          <w:b/>
        </w:rPr>
        <w:t xml:space="preserve">[46] </w:t>
      </w:r>
      <w:hyperlink r:id="rId96">
        <w:r>
          <w:rPr>
            <w:color w:val="1155CC"/>
            <w:u w:val="single"/>
          </w:rPr>
          <w:t>羟甲基化 EDOT/ProDOT 共聚物空穴传输路径的比例调节与 BiOIO3 极性界面工程相结合，用于柔性自供电紫外光电探测器</w:t>
        </w:r>
      </w:hyperlink>
    </w:p>
    <w:p>
      <w:pPr>
        <w:spacing w:before="0" w:after="80"/>
      </w:pPr>
      <w:r>
        <w:rPr>
          <w:i/>
          <w:sz w:val="20"/>
        </w:rPr>
        <w:t>EN: Hydroxymethylated EDOT/ProDOT Copolymer-Ratio Regulation of Hole-Transport Pathways Coupled with BiOIO3 Polar-Interphase Engineering for Flexible Self-Powered UV Photodetectors</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97">
        <w:r>
          <w:rPr>
            <w:color w:val="1155CC"/>
            <w:u w:val="single"/>
          </w:rPr>
          <w:t>10.1021/acsami.6c12684</w:t>
        </w:r>
      </w:hyperlink>
    </w:p>
    <w:p>
      <w:pPr>
        <w:spacing w:before="0" w:after="120"/>
      </w:pPr>
      <w:r>
        <w:rPr>
          <w:b/>
        </w:rPr>
        <w:t xml:space="preserve">Notes: </w:t>
      </w:r>
      <w:r>
        <w:t>abstract_source=crossref</w:t>
      </w:r>
    </w:p>
    <w:p>
      <w:pPr>
        <w:spacing w:before="0" w:after="80" w:lineRule="auto" w:line="276"/>
      </w:pPr>
      <w:r>
        <w:rPr>
          <w:b/>
        </w:rPr>
        <w:t xml:space="preserve">摘要（ZH）: </w:t>
      </w:r>
      <w:r>
        <w:t>摘要 灵活的自供电紫外探测器的关键要求包括高效的光生电荷分离、畅通无阻的载流子传输和强大的机械耐久性。在这里，通过协同调节 ZnO NF 上的羟甲基化共聚物衍生的 p 型层和 BiOIO3 界面层，开发了一种柔性光伏紫外线探测器。 P(EDOT-CH2OH-co-ProDOT-2CH2OH)通过电化学共聚制备作为空穴传输层，其中羟甲基改善了表面极性和界面亲和力，而ProDOT单元增强了薄膜的柔韧性。同时，BiOIO3修饰调节ZnO表面缺陷，调节局部极化环境，促进异质结处的电荷分离。组合调节改善了界面接触、能带耦合和载流子传输路径，从而在弯曲下实现稳定的光响应。当 EDOT-CH2OH/ProDOT-2CH2OH 比例为 2:1 时，该器件实现了 214 nA 的光电流、2.96 mA W-1 的响应度、3.06 × 1010 Jones 的探测灵敏度，并在 150° 弯曲和 2000 次弯曲循环后保持约 50 nA。这项工作展示了一种界面化学工程策略，通过将共聚物分子设计与无机异质结构中的缺陷和偏振调节相结合，构建机械耐用、能量自主的紫外传感材料。</w:t>
      </w:r>
    </w:p>
    <w:p>
      <w:pPr>
        <w:spacing w:before="0" w:after="200" w:lineRule="auto" w:line="276"/>
      </w:pPr>
      <w:r>
        <w:rPr>
          <w:b/>
        </w:rPr>
        <w:t xml:space="preserve">Abstract (EN): </w:t>
      </w:r>
      <w:r>
        <w:t>Key requirements for flexible self-powered UV detectors include efficient photoinduced charge separation, unimpeded carrier transport, and strong mechanical endurance. Here, a flexible photovoltaic UV detector is developed by synergistically regulating a hydroxymethylated copolymer-derived p-type layer and a BiOIO3 interfacial layer on ZnO NFs. P(EDOT-CH2OH-co-ProDOT-2CH2OH) is prepared by electrochemical copolymerization as the hole-transport layer, where hydroxymethyl groups improve surface polarity and interfacial affinity, while ProDOT units enhance film flexibility. Meanwhile, BiOIO3 modification regulates ZnO surface defects, modulates the local polarization environment, and promotes charge separation at the heterojunction. The combined regulation improves interfacial contact, band coupling, and carrier transport pathways, enabling stable photoresponse under bending. With an EDOT-CH2OH/ProDOT-2CH2OH ratio of 2:1, the device achieves a photocurrent of 214 nA, a responsivity of 2.96 mA W–1, a detectivity of 3.06 × 1010 Jones, and maintains about 50 nA after 150° bending and 2000 bending cycles. This work demonstrates an interfacial chemical engineering strategy for constructing mechanically durable, energy-autonomous UV sensing materials by coupling copolymer molecular design with defect and polarization regulation in inorganic heterostructures.</w:t>
      </w:r>
    </w:p>
    <w:p>
      <w:pPr>
        <w:spacing w:before="120" w:after="120"/>
      </w:pPr>
      <w:r>
        <w:rPr>
          <w:sz w:val="18"/>
        </w:rPr>
        <w:t>——————————————————————————————————————————————————————————————————————</w:t>
      </w:r>
    </w:p>
    <w:p>
      <w:pPr>
        <w:spacing w:before="160" w:after="40" w:line="240" w:lineRule="auto"/>
      </w:pPr>
      <w:r>
        <w:rPr>
          <w:b/>
        </w:rPr>
        <w:t xml:space="preserve">[47] </w:t>
      </w:r>
      <w:hyperlink r:id="rId98">
        <w:r>
          <w:rPr>
            <w:color w:val="1155CC"/>
            <w:u w:val="single"/>
          </w:rPr>
          <w:t>透明木材发光太阳能聚光器中的光散射效应可提高性能和光稳定性</w:t>
        </w:r>
      </w:hyperlink>
    </w:p>
    <w:p>
      <w:pPr>
        <w:spacing w:before="0" w:after="80"/>
      </w:pPr>
      <w:r>
        <w:rPr>
          <w:i/>
          <w:sz w:val="20"/>
        </w:rPr>
        <w:t>EN: Effect of Light Scattering in Transparent Wood Luminescent Solar Concentrators for Improved Performance and Photostability</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99">
        <w:r>
          <w:rPr>
            <w:color w:val="1155CC"/>
            <w:u w:val="single"/>
          </w:rPr>
          <w:t>10.1021/acsami.6c12150</w:t>
        </w:r>
      </w:hyperlink>
    </w:p>
    <w:p>
      <w:pPr>
        <w:spacing w:before="0" w:after="120"/>
      </w:pPr>
      <w:r>
        <w:rPr>
          <w:b/>
        </w:rPr>
        <w:t xml:space="preserve">Notes: </w:t>
      </w:r>
      <w:r>
        <w:t>abstract_source=crossref</w:t>
      </w:r>
    </w:p>
    <w:p>
      <w:pPr>
        <w:spacing w:before="0" w:after="80" w:lineRule="auto" w:line="276"/>
      </w:pPr>
      <w:r>
        <w:rPr>
          <w:b/>
        </w:rPr>
        <w:t xml:space="preserve">摘要（ZH）: </w:t>
      </w:r>
      <w:r>
        <w:t>摘要 透明木材（TW）是可持续建筑一体化光伏发电的有希望的候选者，但其复杂的各向异性光传输行为仍然知之甚少。这项工作阐明了散射和光导在 TW 中的作用，并为可持续、高效的木质发光太阳能聚光器 (LSC) 提供了必要的框架。我们报道了罗丹明 6G 功能化的 TW-LSC，其纤维素支架对荧光团具有保护作用，增强其光稳定性。我们通过解决各向异性散射和光引导之间的相互作用来挑战纵向引导发射主导性能的普遍假设。这项工作还表明，对于小器件尺寸，光主要垂直于光纤轴传播，因为横向散射胜过发射的纵向波导，并产生 1.3% 的功率转换效率。对于较长的光路长度，引导发射比散射占主导地位。除了光学性能之外，一项关键的生命周期评估估计全球变暖潜力为 17 kg CO2 当量·kg–1 TW，突显了 TW 中化石基质带来的负担。</w:t>
      </w:r>
    </w:p>
    <w:p>
      <w:pPr>
        <w:spacing w:before="0" w:after="200" w:lineRule="auto" w:line="276"/>
      </w:pPr>
      <w:r>
        <w:rPr>
          <w:b/>
        </w:rPr>
        <w:t xml:space="preserve">Abstract (EN): </w:t>
      </w:r>
      <w:r>
        <w:t>Transparent wood (TW) is a promising candidate for sustainable building-integrated photovoltaics, yet its complex anisotropic light transport behavior remains poorly understood. This work clarifies the roles of scattering and light guiding in TW and provides the necessary framework for sustainable, efficient wood-based luminescent solar concentrators (LSCs). We report on a Rhodamine 6G-functionalized TW-LSC whose cellulose scaffold has a protective effect on the fluorophore, enhancing its photostability. We challenge the prevailing assumption that longitudinal guided emission dominates performance by resolving the interplay between anisotropic scattering and light guidance. This work also demonstrates that for small device dimensions, light is mainly directed perpendicular to the fiber axis as transverse scattering outcompetes longitudinal waveguiding of emission and yields a power conversion efficiency of 1.3%. For longer light path lengths, guided emission dominates over scattering. Beyond optical performance, a critical life cycle assessment estimated a global warming potential of 17 kg CO2 equiv·kg–1 TW, highlighting the burdens posed by the fossil-based matrix in TW.</w:t>
      </w:r>
    </w:p>
    <w:p>
      <w:pPr>
        <w:spacing w:before="120" w:after="120"/>
      </w:pPr>
      <w:r>
        <w:rPr>
          <w:sz w:val="18"/>
        </w:rPr>
        <w:t>——————————————————————————————————————————————————————————————————————</w:t>
      </w:r>
    </w:p>
    <w:p>
      <w:pPr>
        <w:spacing w:before="160" w:after="40" w:line="240" w:lineRule="auto"/>
      </w:pPr>
      <w:r>
        <w:rPr>
          <w:b/>
        </w:rPr>
        <w:t xml:space="preserve">[48] </w:t>
      </w:r>
      <w:hyperlink r:id="rId100">
        <w:r>
          <w:rPr>
            <w:color w:val="1155CC"/>
            <w:u w:val="single"/>
          </w:rPr>
          <w:t>级联氧化镍的可扩展双步沉积可实现高效倒置钙钛矿太阳能电池和微型模块</w:t>
        </w:r>
      </w:hyperlink>
    </w:p>
    <w:p>
      <w:pPr>
        <w:spacing w:before="0" w:after="80"/>
      </w:pPr>
      <w:r>
        <w:rPr>
          <w:i/>
          <w:sz w:val="20"/>
        </w:rPr>
        <w:t>EN: Scalable dual-step deposition of cascaded nickel oxide enables high-efficiency inverted perovskite solar cells and mini-modules</w:t>
      </w:r>
    </w:p>
    <w:p>
      <w:pPr>
        <w:spacing w:before="0" w:after="120"/>
      </w:pPr>
      <w:r>
        <w:rPr>
          <w:b/>
        </w:rPr>
        <w:t xml:space="preserve">Source: </w:t>
      </w:r>
      <w:r>
        <w:t>Joule</w:t>
      </w:r>
      <w:r>
        <w:t xml:space="preserve">    </w:t>
      </w:r>
      <w:r>
        <w:rPr>
          <w:b/>
        </w:rPr>
        <w:t xml:space="preserve">Pub date: </w:t>
      </w:r>
      <w:r>
        <w:t>2026-08-20 00:00:00+00:00</w:t>
      </w:r>
      <w:r>
        <w:t xml:space="preserve">    </w:t>
      </w:r>
      <w:r>
        <w:rPr>
          <w:b/>
        </w:rPr>
        <w:t xml:space="preserve">DOI: </w:t>
      </w:r>
      <w:hyperlink r:id="rId101">
        <w:r>
          <w:rPr>
            <w:color w:val="1155CC"/>
            <w:u w:val="single"/>
          </w:rPr>
          <w:t>10.1016/j.joule.2026.102635</w:t>
        </w:r>
      </w:hyperlink>
    </w:p>
    <w:p>
      <w:pPr>
        <w:spacing w:before="0" w:after="120"/>
      </w:pPr>
      <w:r>
        <w:rPr>
          <w:b/>
        </w:rPr>
        <w:t xml:space="preserve">Notes: </w:t>
      </w:r>
      <w:r>
        <w:t>abstract_source=rss_cell</w:t>
      </w:r>
    </w:p>
    <w:p>
      <w:pPr>
        <w:spacing w:before="0" w:after="80" w:lineRule="auto" w:line="276"/>
      </w:pPr>
      <w:r>
        <w:rPr>
          <w:b/>
        </w:rPr>
        <w:t xml:space="preserve">摘要（ZH）: </w:t>
      </w:r>
      <w:r>
        <w:t>通过可扩展的双步 CBD 工艺制造的级联 NiOx 薄膜建立了梯度结构，可优化能量排列并减轻界面非辐射复合，从而提高空穴提取效率，实现 27.05% 的效率和 87% 的 FF。</w:t>
      </w:r>
    </w:p>
    <w:p>
      <w:pPr>
        <w:spacing w:before="0" w:after="200" w:lineRule="auto" w:line="276"/>
      </w:pPr>
      <w:r>
        <w:rPr>
          <w:b/>
        </w:rPr>
        <w:t xml:space="preserve">Abstract (EN): </w:t>
      </w:r>
      <w:r>
        <w:t>A cascaded NiOx film fabricated via a scalable dual-step CBD process establishes a gradient structure that optimizes energetic alignment and mitigates interfacial non-radiative recombination, boosting hole extraction to deliver an efficiency of 27.05% with an FF of 87%.</w:t>
      </w:r>
    </w:p>
    <w:p>
      <w:pPr>
        <w:spacing w:before="120" w:after="120"/>
      </w:pPr>
      <w:r>
        <w:rPr>
          <w:sz w:val="18"/>
        </w:rPr>
        <w:t>——————————————————————————————————————————————————————————————————————</w:t>
      </w:r>
    </w:p>
    <w:p>
      <w:pPr>
        <w:spacing w:before="160" w:after="40" w:line="240" w:lineRule="auto"/>
      </w:pPr>
      <w:r>
        <w:rPr>
          <w:b/>
        </w:rPr>
        <w:t xml:space="preserve">[49] </w:t>
      </w:r>
      <w:hyperlink r:id="rId102">
        <w:r>
          <w:rPr>
            <w:color w:val="1155CC"/>
            <w:u w:val="single"/>
          </w:rPr>
          <w:t>重定向湿界面氧化还原途径，实现高效倒置钙钛矿太阳能电池</w:t>
        </w:r>
      </w:hyperlink>
    </w:p>
    <w:p>
      <w:pPr>
        <w:spacing w:before="0" w:after="80"/>
      </w:pPr>
      <w:r>
        <w:rPr>
          <w:i/>
          <w:sz w:val="20"/>
        </w:rPr>
        <w:t>EN: Redirecting wet–interfacial redox pathways for efficient inverted perovskite solar cells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03">
        <w:r>
          <w:rPr>
            <w:color w:val="1155CC"/>
            <w:u w:val="single"/>
          </w:rPr>
          <w:t>10.1126/science.aeg8415</w:t>
        </w:r>
      </w:hyperlink>
    </w:p>
    <w:p>
      <w:pPr>
        <w:spacing w:before="0" w:after="120"/>
      </w:pPr>
      <w:r>
        <w:rPr>
          <w:b/>
        </w:rPr>
        <w:t xml:space="preserve">Notes: </w:t>
      </w:r>
      <w:r>
        <w:t>abstract_source=crossref</w:t>
      </w:r>
    </w:p>
    <w:p>
      <w:pPr>
        <w:spacing w:before="0" w:after="80" w:lineRule="auto" w:line="276"/>
      </w:pPr>
      <w:r>
        <w:rPr>
          <w:b/>
        </w:rPr>
        <w:t xml:space="preserve">摘要（ZH）: </w:t>
      </w:r>
      <w:r>
        <w:t>咔唑基膦酸自组装单层 (SAM) 对于高效 p-i-n 钙钛矿太阳能电池至关重要。然而，在加工过程中，这些 SAM 不可避免地会接触钙钛矿墨水，其酸性会触发二甲亚砜 (DMSO) 介导的碘化物氧化还原反应，从而影响器件性能，这是倒置器件的普遍瓶颈。我们解决了 SAM 触发的氧化还原机制，并引入化学匹配的酰肼添加剂来减轻降解。这些添加剂消除了 DMSO 的活化作用，并将不需要的副产物重新导向良性的酰肼-甲脒加合物。因此，我们在小面积（0.06 cm2）内实现了 27.7% 的功率转换效率 (PCE)（认证为 27.4%）</w:t>
      </w:r>
      <w:r>
        <w:rPr>
          <w:vertAlign w:val="subscript"/>
        </w:rPr>
        <w:t>2</w:t>
      </w:r>
      <w:r>
        <w:t>) 细胞和 2.0 m 内的 20.1%</w:t>
      </w:r>
      <w:r>
        <w:rPr>
          <w:vertAlign w:val="subscript"/>
        </w:rPr>
        <w:t>2</w:t>
      </w:r>
      <w:r>
        <w:t>模块的 T95 寿命在 85°C 时约为 2000 小时最大功率点跟踪 (MPPT)，在 85°C 和 85% 相对湿度下约为 1500 小时 MPPT。</w:t>
      </w:r>
    </w:p>
    <w:p>
      <w:pPr>
        <w:spacing w:before="0" w:after="200" w:lineRule="auto" w:line="276"/>
      </w:pPr>
      <w:r>
        <w:rPr>
          <w:b/>
        </w:rPr>
        <w:t xml:space="preserve">Abstract (EN): </w:t>
      </w:r>
      <w:r>
        <w:t>Carbazole-based phosphonic acid self-assembled monolayers (SAMs) are essential for high-efficiency p-i-n perovskite solar cells. However, during processing, these SAMs inevitably contact perovskite inks, where their acidity triggers a dimethyl sulfoxide (DMSO)-mediated iodide redox reaction that imprints device performance, representing a universal bottleneck for inverted devices. We resolve this SAM-triggered redox mechanism and introduce chemistry-matched hydrazide additives to mitigate the degradation. These additives abrogate DMSO activation and redirect unwanted by-products toward benign hydrazide–formamidinium adducts. Consequently, we achieved power conversion efficiencies (PCEs) of 27.7% (certified 27.4%) in small-area (0.06 cm</w:t>
      </w:r>
      <w:r>
        <w:rPr>
          <w:vertAlign w:val="subscript"/>
        </w:rPr>
        <w:t>2</w:t>
      </w:r>
      <w:r>
        <w:t>) cells and 20.1% in 2.0 m</w:t>
      </w:r>
      <w:r>
        <w:rPr>
          <w:vertAlign w:val="subscript"/>
        </w:rPr>
        <w:t>2</w:t>
      </w:r>
      <w:r>
        <w:t>modules, along with T95 lifetimes of ~2000 hours of maximum power point tracking (MPPT) at 85°C and ~1500 hours MPPT at 85°C and 85% relative humidity.</w:t>
      </w:r>
    </w:p>
    <w:p>
      <w:pPr>
        <w:spacing w:before="120" w:after="120"/>
      </w:pPr>
      <w:r>
        <w:rPr>
          <w:sz w:val="18"/>
        </w:rPr>
        <w:t>——————————————————————————————————————————————————————————————————————</w:t>
      </w:r>
    </w:p>
    <w:p>
      <w:pPr>
        <w:spacing w:before="160" w:after="40" w:line="240" w:lineRule="auto"/>
      </w:pPr>
      <w:r>
        <w:rPr>
          <w:b/>
        </w:rPr>
        <w:t xml:space="preserve">[50] </w:t>
      </w:r>
      <w:hyperlink r:id="rId104">
        <w:r>
          <w:rPr>
            <w:color w:val="1155CC"/>
            <w:u w:val="single"/>
          </w:rPr>
          <w:t>用于无网水电解的室内 NFA 有机光伏</w:t>
        </w:r>
      </w:hyperlink>
    </w:p>
    <w:p>
      <w:pPr>
        <w:spacing w:before="0" w:after="80"/>
      </w:pPr>
      <w:r>
        <w:rPr>
          <w:i/>
          <w:sz w:val="20"/>
        </w:rPr>
        <w:t>EN: Indoor NFA‐Organic Photovoltaic for Grid‐Free Water Electrolysis</w:t>
      </w:r>
    </w:p>
    <w:p>
      <w:pPr>
        <w:spacing w:before="0" w:after="120"/>
      </w:pPr>
      <w:r>
        <w:rPr>
          <w:b/>
        </w:rPr>
        <w:t xml:space="preserve">Source: </w:t>
      </w:r>
      <w:r>
        <w:t>Wiley: Advanced Energy Materials: Table of Contents</w:t>
      </w:r>
      <w:r>
        <w:t xml:space="preserve">    </w:t>
      </w:r>
      <w:r>
        <w:rPr>
          <w:b/>
        </w:rPr>
        <w:t xml:space="preserve">Pub date: </w:t>
      </w:r>
      <w:r>
        <w:t>2026-08-20 06:35:48+00:00</w:t>
      </w:r>
      <w:r>
        <w:t xml:space="preserve">    </w:t>
      </w:r>
      <w:r>
        <w:rPr>
          <w:b/>
        </w:rPr>
        <w:t xml:space="preserve">DOI: </w:t>
      </w:r>
      <w:hyperlink r:id="rId105">
        <w:r>
          <w:rPr>
            <w:color w:val="1155CC"/>
            <w:u w:val="single"/>
          </w:rPr>
          <w:t>10.1002/aenm.71363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通过水电解进行离网制氢正在获得分散能源的青睐；然而，对室外太阳能的依赖限制了室内操作。室内有机光伏（iOPV）在人工照明下表现出高效率，并为此类应用提供了有前途的电源。我们通过将优化的 OPV 设备与高性能析氧反应 (OER) 催化剂集成，展示了基于 PM6:Y6 的光伏驱动水电解 (iOPV-WE) 系统。 iOPV 器件采用 PDINO 作为电子传输层进行设计，其中厚度优化（~6-8 nm）显着改善了电荷提取并减少了界面复合。结果，基于 PM6:Y6 的 iOPV 在卤素照明（1000 勒克斯）下实现了 12.2% 的功率转换效率，同时在 30 cm 的距离内保持稳定运行。</w:t>
      </w:r>
      <w:r>
        <w:rPr>
          <w:vertAlign w:val="subscript"/>
        </w:rPr>
        <w:t>2</w:t>
      </w:r>
      <w:r>
        <w:t>大面积装置。为了有效电解，掺杂 Co 和 Fe 的 Ni(OH)</w:t>
      </w:r>
      <w:r>
        <w:rPr>
          <w:vertAlign w:val="subscript"/>
        </w:rPr>
        <w:t>2</w:t>
      </w:r>
      <w:r>
        <w:t>开发了 CuO 纳米线负载的纳米片催化剂 (NCF-CuO)，在 100 mA cm 电流下表现出 291 mV 的低过电势</w:t>
      </w:r>
      <w:r>
        <w:t xml:space="preserve"> </w:t>
      </w:r>
      <w:r>
        <w:t>-</w:t>
      </w:r>
      <w:r>
        <w:rPr>
          <w:vertAlign w:val="subscript"/>
        </w:rPr>
        <w:t>2</w:t>
      </w:r>
      <w:r>
        <w:t>和优良的稳定性。通过将优化的 iOPV 与 NCF-CuO 电极耦合，集成系统在卤素照明（1000 勒克斯）下提供~1.5 V 和 35 mA 的稳定输出，实现连续水电解，O 的法拉第效率为~99.2%</w:t>
      </w:r>
      <w:r>
        <w:rPr>
          <w:vertAlign w:val="subscript"/>
        </w:rPr>
        <w:t>2</w:t>
      </w:r>
      <w:r>
        <w:t>。这些结果表明</w:t>
      </w:r>
    </w:p>
    <w:p>
      <w:pPr>
        <w:spacing w:before="0" w:after="200" w:lineRule="auto" w:line="276"/>
      </w:pPr>
      <w:r>
        <w:rPr>
          <w:b/>
        </w:rPr>
        <w:t xml:space="preserve">Abstract (EN): </w:t>
      </w:r>
      <w:r>
        <w:t>Off‐grid hydrogen production via water electrolysis is gaining traction for decentralized energy; however, outdoor solar dependence limits indoor operation. Indoor organic photovoltaics (iOPVs) exhibit high efficiency under artificial illumination and offer a promising power source for such applications. We demonstrate a PM6:Y6‐ based photovoltaic–driven water electrolysis (iOPV–WE) system by integrating optimized OPV devices with a high‐performance oxygen evolution reaction (OER) catalyst. The iOPV devices were engineered using PDINO as the electron transport layer, where thickness optimization (∼6–8 nm) significantly improved charge extraction and reduced interfacial recombination. As a result, the PM6:Y6‐based iOPVs achieved power conversion efficiencies of 12.2% under halogen illumination (1000 lux), while maintaining stable operation in a 30 cm</w:t>
      </w:r>
      <w:r>
        <w:rPr>
          <w:vertAlign w:val="subscript"/>
        </w:rPr>
        <w:t>2</w:t>
      </w:r>
      <w:r>
        <w:t>large‐area device. For efficient electrolysis, a Co‐ and Fe‐doped Ni(OH)</w:t>
      </w:r>
      <w:r>
        <w:rPr>
          <w:vertAlign w:val="subscript"/>
        </w:rPr>
        <w:t>2</w:t>
      </w:r>
      <w:r>
        <w:t>nanosheet catalyst supported on CuO nanowires (NCF–CuO) was developed, exhibiting a low overpotential of 291 mV at 100 mA cm</w:t>
      </w:r>
      <w:r>
        <w:t xml:space="preserve"> </w:t>
      </w:r>
      <w:r>
        <w:t>−</w:t>
      </w:r>
      <w:r>
        <w:rPr>
          <w:vertAlign w:val="subscript"/>
        </w:rPr>
        <w:t>2</w:t>
      </w:r>
      <w:r>
        <w:t>and excellent stability. By coupling the optimized iOPV with the NCF–CuO electrode, the integrated system delivered a stable output of ∼1.5 V and 35 mA under halogen illumination (1000 lux), enabling continuous water electrolysis with a Faradaic efficiency of ∼99.2% for O</w:t>
      </w:r>
      <w:r>
        <w:rPr>
          <w:vertAlign w:val="subscript"/>
        </w:rPr>
        <w:t>2</w:t>
      </w:r>
      <w:r>
        <w:t>. These results demonstrate the feasibility of indoor solar‐to‐hydrogen conversion using organic photovoltaics.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106">
        <w:r>
          <w:rPr>
            <w:color w:val="1155CC"/>
            <w:u w:val="single"/>
          </w:rPr>
          <w:t>用于高容量和耐用水性锌离子电池的鲁棒聚酰亚胺共价有机框架阴极的可扩展合成</w:t>
        </w:r>
      </w:hyperlink>
    </w:p>
    <w:p>
      <w:pPr>
        <w:spacing w:before="0" w:after="80"/>
      </w:pPr>
      <w:r>
        <w:rPr>
          <w:i/>
          <w:sz w:val="20"/>
        </w:rPr>
        <w:t>EN: Scalable Synthesis of Robust Polyimide Covalent Organic Framework Cathodes for High-Capacity and Durable Aqueous Zn-Ion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107">
        <w:r>
          <w:rPr>
            <w:color w:val="1155CC"/>
            <w:u w:val="single"/>
          </w:rPr>
          <w:t>10.1021/jacs.6c09208</w:t>
        </w:r>
      </w:hyperlink>
    </w:p>
    <w:p>
      <w:pPr>
        <w:spacing w:before="0" w:after="120"/>
      </w:pPr>
      <w:r>
        <w:rPr>
          <w:b/>
        </w:rPr>
        <w:t xml:space="preserve">Notes: </w:t>
      </w:r>
      <w:r>
        <w:t>abstract_source=crossref</w:t>
      </w:r>
    </w:p>
    <w:p>
      <w:pPr>
        <w:spacing w:before="0" w:after="80" w:lineRule="auto" w:line="276"/>
      </w:pPr>
      <w:r>
        <w:rPr>
          <w:b/>
        </w:rPr>
        <w:t xml:space="preserve">摘要（ZH）: </w:t>
      </w:r>
      <w:r>
        <w:t>摘要 水系锌离子电池由于其高安全性、低成本和环境友好而具有广阔的前景，但开发高容量、优异的倍率性能和长循环寿命的正极材料仍然具有挑战性。在此，我们设计并构建了一系列高结晶、稳定、多孔的聚酰亚胺共价有机骨架（COF），具有大的共轭芳香族结构和密集的多个活性基团，使其成为锌离子电池的理想正极。由此产生的 COF 正极在 0.1 A/g 电流下具有 320 mAh/g 的高可逆容量（能量密度 240 Wh/kg）、出色的倍率性能（在 100 A/g 电流下保持 55% 的容量）和出色的耐用性（在 10 A/g 电流下经过 50,000 次循环后容量保持率为 98%），使它们跻身报道最好的 COF 基正极之列。原位/异位表征和 DFT 计算相结合，详细揭示了电荷存储的行为和机制。受益于克级通量合成，我们组装了大尺寸功能性COF软包电池，在0.1 A/g电流下可实现300 mAh/g的可逆容量（总容量0.6 Ah，接近理论设计），并具有出色的倍率性能和长期稳定性。这项工作为设计多功能COF以实现高性能、长寿命的水性锌离子电池铺平了一条新途径。</w:t>
      </w:r>
    </w:p>
    <w:p>
      <w:pPr>
        <w:spacing w:before="0" w:after="200" w:lineRule="auto" w:line="276"/>
      </w:pPr>
      <w:r>
        <w:rPr>
          <w:b/>
        </w:rPr>
        <w:t xml:space="preserve">Abstract (EN): </w:t>
      </w:r>
      <w:r>
        <w:t>Aqueous Zn-ion batteries are promising due to their high safety, low cost, and environmental friendliness, but developing cathode materials with high capacity, excellent rate capability, and long cycle life remains challenging. Herein, we design and construct a series of highly crystalline, stable, and porous polyimide covalent organic frameworks (COFs) featuring large conjugated aromatic structures and dense multiple active groups, making them ideal cathodes for Zn-ion batteries. The resulting COF cathodes deliver a high reversible capacity of 320 mAh/g at 0.1 A/g (energy density 240 Wh/kg), excellent rate capability (55% retention at 100 A/g), and exceptional durability (98% capacity retention after 50,000 cycles at 10 A/g), placing them among the best reported COF-based cathodes. A combination of in situ/ex-situ characterizations and DFT calculations reveals the behavior and mechanism of charge storage in detail. Benefiting from gram-scale flux synthesis, we assemble large-sized functional COF-based pouch batteries that achieve a reversible capacity of 300 mAh/g at 0.1 A/g (total capacity 0.6 Ah, approaching theoretical design), along with outstanding rate capability and long-term stability. This work paves a new avenue for designing multifunctional COFs toward high-performance, long-life aqueous Zn-ion batteries.</w:t>
      </w:r>
    </w:p>
    <w:p>
      <w:pPr>
        <w:spacing w:before="120" w:after="120"/>
      </w:pPr>
      <w:r>
        <w:rPr>
          <w:sz w:val="18"/>
        </w:rPr>
        <w:t>——————————————————————————————————————————————————————————————————————</w:t>
      </w:r>
    </w:p>
    <w:p>
      <w:pPr>
        <w:spacing w:before="160" w:after="40" w:line="240" w:lineRule="auto"/>
      </w:pPr>
      <w:r>
        <w:rPr>
          <w:b/>
        </w:rPr>
        <w:t xml:space="preserve">[2] </w:t>
      </w:r>
      <w:hyperlink r:id="rId108">
        <w:r>
          <w:rPr>
            <w:color w:val="1155CC"/>
            <w:u w:val="single"/>
          </w:rPr>
          <w:t>稳定水系锌离子电池的埃克斯特罗姆受限水的拓扑挫败</w:t>
        </w:r>
      </w:hyperlink>
    </w:p>
    <w:p>
      <w:pPr>
        <w:spacing w:before="0" w:after="80"/>
      </w:pPr>
      <w:r>
        <w:rPr>
          <w:i/>
          <w:sz w:val="20"/>
        </w:rPr>
        <w:t>EN: Topological Frustration of Ångström‐Confined Water for Stable Aqueous Zinc‐Ion Batteries</w:t>
      </w:r>
    </w:p>
    <w:p>
      <w:pPr>
        <w:spacing w:before="0" w:after="120"/>
      </w:pPr>
      <w:r>
        <w:rPr>
          <w:b/>
        </w:rPr>
        <w:t xml:space="preserve">Source: </w:t>
      </w:r>
      <w:r>
        <w:t>Wiley: Advanced Materials: Table of Contents</w:t>
      </w:r>
      <w:r>
        <w:t xml:space="preserve">    </w:t>
      </w:r>
      <w:r>
        <w:rPr>
          <w:b/>
        </w:rPr>
        <w:t xml:space="preserve">Pub date: </w:t>
      </w:r>
      <w:r>
        <w:t>2026-08-14 06:35:37+00:00</w:t>
      </w:r>
      <w:r>
        <w:t xml:space="preserve">    </w:t>
      </w:r>
      <w:r>
        <w:rPr>
          <w:b/>
        </w:rPr>
        <w:t xml:space="preserve">DOI: </w:t>
      </w:r>
      <w:hyperlink r:id="rId109">
        <w:r>
          <w:rPr>
            <w:color w:val="1155CC"/>
            <w:u w:val="single"/>
          </w:rPr>
          <w:t>10.1002/adma.74640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在调节水性锌离子电池（AZIB）的水凝胶电解质中的水活性方面做出了广泛的努力，但目前的策略不足以对水分子施加空间限制并防止大量水网络的自组装。在此，我们报告了一种准固体混合电解质（HM），通过将聚丙烯酰胺与刚性无机蒙脱土（MMT）框架相结合，对层间水分子施加强埃限制。这种空间限制限制了组装大块三维四面体氢键网络所需的体积。同时，MMT 表面上的极性 Si-O 键以化学方式将水分子锚定为单氢向下构型，从而导致对称性破缺和拓扑挫败。因此，格罗萨斯型质子输运和水自电离被抑制。这种分子水平的调节减轻了水引起的寄生反应和副产物积累，确保了可逆的锌/电解质界面。结果，组装的 Zn||NH</w:t>
      </w:r>
      <w:r>
        <w:rPr>
          <w:vertAlign w:val="subscript"/>
        </w:rPr>
        <w:t>4</w:t>
      </w:r>
      <w:r>
        <w:t>V</w:t>
      </w:r>
      <w:r>
        <w:rPr>
          <w:vertAlign w:val="subscript"/>
        </w:rPr>
        <w:t>4</w:t>
      </w:r>
      <w:r>
        <w:t>氧</w:t>
      </w:r>
      <w:r>
        <w:rPr>
          <w:vertAlign w:val="subscript"/>
        </w:rPr>
        <w:t>10</w:t>
      </w:r>
      <w:r>
        <w:t>全电池在 1 A g 下实现超过 800 个循环的稳定循环</w:t>
      </w:r>
      <w:r>
        <w:t xml:space="preserve"> </w:t>
      </w:r>
      <w:r>
        <w:t>−1</w:t>
      </w:r>
      <w:r>
        <w:t xml:space="preserve"> </w:t>
      </w:r>
      <w:r>
        <w:t>。通过将电解质设计转向 ångström 拓扑工程，这项工作为抑制高性能 AZIB 中水引起的寄生反应建立了一个有前途的范例。</w:t>
      </w:r>
    </w:p>
    <w:p>
      <w:pPr>
        <w:spacing w:before="0" w:after="200" w:lineRule="auto" w:line="276"/>
      </w:pPr>
      <w:r>
        <w:rPr>
          <w:b/>
        </w:rPr>
        <w:t xml:space="preserve">Abstract (EN): </w:t>
      </w:r>
      <w:r>
        <w:t>Despite extensive efforts to regulate water activity in hydrogel electrolytes for aqueous zinc‐ion batteries (AZIBs), current strategies are insufficient to impose spatial constraints on water molecules and prevent the self‐assembly of bulk water networks. Herein, we report a quasi‐solid hybrid electrolyte (HM) by integrating polyacrylamide with a rigid inorganic montmorillonite (MMT) framework that imposes strong ångström confinement on interlayer water molecules. Such spatial confinement restricts the volume required to assemble a bulk three‐dimensional tetrahedral hydrogen‐bond network. Concurrently, polar Si‐O bonds on the MMT surface chemically anchor water molecules in a one‐hydrogen‐down configuration, inducing symmetry breaking and topological frustration. Consequently, Grotthuss‐type proton transport and water autoionization are suppressed. This molecular‐level regulation mitigates water‐induced parasitic reactions and byproduct accumulation, ensuring a reversible Zn/electrolyte interface. As a result, the assembled Zn||NH</w:t>
      </w:r>
      <w:r>
        <w:rPr>
          <w:vertAlign w:val="subscript"/>
        </w:rPr>
        <w:t>4</w:t>
      </w:r>
      <w:r>
        <w:t>V</w:t>
      </w:r>
      <w:r>
        <w:rPr>
          <w:vertAlign w:val="subscript"/>
        </w:rPr>
        <w:t>4</w:t>
      </w:r>
      <w:r>
        <w:t>O</w:t>
      </w:r>
      <w:r>
        <w:rPr>
          <w:vertAlign w:val="subscript"/>
        </w:rPr>
        <w:t>10</w:t>
      </w:r>
      <w:r>
        <w:t>full cell achieves stable cycling for over 800 cycles at 1 A g</w:t>
      </w:r>
      <w:r>
        <w:t xml:space="preserve"> </w:t>
      </w:r>
      <w:r>
        <w:t>−1</w:t>
      </w:r>
      <w:r>
        <w:t xml:space="preserve"> </w:t>
      </w:r>
      <w:r>
        <w:t>. By shifting the electrolyte design toward ångström topological engineering, this work establishes a promising paradigm for suppressing water‐induced parasitic reactions in high‐performance AZIBs.</w:t>
      </w:r>
    </w:p>
    <w:p>
      <w:pPr>
        <w:spacing w:before="120" w:after="120"/>
      </w:pPr>
      <w:r>
        <w:rPr>
          <w:sz w:val="18"/>
        </w:rPr>
        <w:t>——————————————————————————————————————————————————————————————————————</w:t>
      </w:r>
    </w:p>
    <w:p>
      <w:pPr>
        <w:spacing w:before="160" w:after="40" w:line="240" w:lineRule="auto"/>
      </w:pPr>
      <w:r>
        <w:rPr>
          <w:b/>
        </w:rPr>
        <w:t xml:space="preserve">[3] </w:t>
      </w:r>
      <w:hyperlink r:id="rId110">
        <w:r>
          <w:rPr>
            <w:color w:val="1155CC"/>
            <w:u w:val="single"/>
          </w:rPr>
          <w:t>固态电池的界面失效和自修复</w:t>
        </w:r>
      </w:hyperlink>
    </w:p>
    <w:p>
      <w:pPr>
        <w:spacing w:before="0" w:after="80"/>
      </w:pPr>
      <w:r>
        <w:rPr>
          <w:i/>
          <w:sz w:val="20"/>
        </w:rPr>
        <w:t>EN: Interfacial Failure and Self‐Healing in Solid‐State Batteries</w:t>
      </w:r>
    </w:p>
    <w:p>
      <w:pPr>
        <w:spacing w:before="0" w:after="120"/>
      </w:pPr>
      <w:r>
        <w:rPr>
          <w:b/>
        </w:rPr>
        <w:t xml:space="preserve">Source: </w:t>
      </w:r>
      <w:r>
        <w:t>Wiley: Advanced Materials: Table of Contents</w:t>
      </w:r>
      <w:r>
        <w:t xml:space="preserve">    </w:t>
      </w:r>
      <w:r>
        <w:rPr>
          <w:b/>
        </w:rPr>
        <w:t xml:space="preserve">Pub date: </w:t>
      </w:r>
      <w:r>
        <w:t>2026-08-14 06:36:32+00:00</w:t>
      </w:r>
      <w:r>
        <w:t xml:space="preserve">    </w:t>
      </w:r>
      <w:r>
        <w:rPr>
          <w:b/>
        </w:rPr>
        <w:t xml:space="preserve">DOI: </w:t>
      </w:r>
      <w:hyperlink r:id="rId111">
        <w:r>
          <w:rPr>
            <w:color w:val="1155CC"/>
            <w:u w:val="single"/>
          </w:rPr>
          <w:t>10.1002/adma.74666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在同时提高能量密度和本质安全性方面前景广阔。然而，它们的实际应用受到循环过程中机械、化学和电化学耦合降解产生的界面不稳定性的严重阻碍，最终导致性能快速衰减。尽管界面涂层或电极结构优化等传统策略部分改善了电化学性能，但其固有的静态性质使其无法适应长期运行过程中界面损伤的连续动态演变。为了解决这些持续存在的挑战，动态界面自修复已成为开发高度耐用和稳定的固态电池的一个引人注目的策略。在这篇综述中，我们首先讨论界面处机械、化学和电化学故障的起源和演变，强调它们复杂的相互作用。随后分析了自修复策略（包括物理流动、化学修复、外部刺激和电场）的最新进展，以解决特定的界面失效行为。最后提供了对实现高自愈效率的新兴策略和关键挑战的看法。自愈机制的发展为实现坚固的低压固态电池提供了一条非常可行的途径。</w:t>
      </w:r>
    </w:p>
    <w:p>
      <w:pPr>
        <w:spacing w:before="0" w:after="200" w:lineRule="auto" w:line="276"/>
      </w:pPr>
      <w:r>
        <w:rPr>
          <w:b/>
        </w:rPr>
        <w:t xml:space="preserve">Abstract (EN): </w:t>
      </w:r>
      <w:r>
        <w:t>Solid‐state batteries hold great promise for simultaneously improving energy density and intrinsic safety. However, their practical application is severely impeded by interfacial instabilities arising from coupled mechanical, chemical, and electrochemical degradation during cycling, ultimately resulting in rapid performance decay. Although conventional strategies, such as interfacial coatings or electrode structural optimization, have partially improved electrochemical performance, their inherently static nature renders them ill‐equipped to adapt to the continuous and dynamic evolution of interfacial damage during long‐term operation. To address these persistent challenges, dynamic interfacial self‐healing has emerged as a compelling strategy for developing highly durable and stable solid‐state batteries. In this review, we first discuss the origins and evolution of mechanical, chemical, and electrochemical failures at the interface, highlighting their intricate interplay. Recent progress in self‐healing strategies, including physical flow, chemical restoration, external stimuli, and electric fields was subsequently analyzed to solve specific interfacial failure behavior. Perspectives on the emerging strategies and key challenges for achieving high self‐healing efficiency were provided in the end. The development of self‐healing mechanisms presents a highly viable route toward the realization of robust, low‐pressure solid‐state batteries.</w:t>
      </w:r>
    </w:p>
    <w:p>
      <w:pPr>
        <w:spacing w:before="120" w:after="120"/>
      </w:pPr>
      <w:r>
        <w:rPr>
          <w:sz w:val="18"/>
        </w:rPr>
        <w:t>——————————————————————————————————————————————————————————————————————</w:t>
      </w:r>
    </w:p>
    <w:p>
      <w:pPr>
        <w:spacing w:before="160" w:after="40" w:line="240" w:lineRule="auto"/>
      </w:pPr>
      <w:r>
        <w:rPr>
          <w:b/>
        </w:rPr>
        <w:t xml:space="preserve">[4] </w:t>
      </w:r>
      <w:hyperlink r:id="rId112">
        <w:r>
          <w:rPr>
            <w:color w:val="1155CC"/>
            <w:u w:val="single"/>
          </w:rPr>
          <w:t>利用牛磺酸/过氧化牛磺酸氧化还原对回收活性氧，实现 4.8 V 富锂层状氧化物阴极的超长期循环稳定性</w:t>
        </w:r>
      </w:hyperlink>
    </w:p>
    <w:p>
      <w:pPr>
        <w:spacing w:before="0" w:after="80"/>
      </w:pPr>
      <w:r>
        <w:rPr>
          <w:i/>
          <w:sz w:val="20"/>
        </w:rPr>
        <w:t>EN: Reclaiming Reactive Oxygen Species With Taurine/Peroxytaurine Redox Couple for Achieving Ultra‐Long‐Term Cycle Stability in 4.8 V Li‐Rich Layered Oxide Cathodes</w:t>
      </w:r>
    </w:p>
    <w:p>
      <w:pPr>
        <w:spacing w:before="0" w:after="120"/>
      </w:pPr>
      <w:r>
        <w:rPr>
          <w:b/>
        </w:rPr>
        <w:t xml:space="preserve">Source: </w:t>
      </w:r>
      <w:r>
        <w:t>Wiley: Advanced Materials: Table of Contents</w:t>
      </w:r>
      <w:r>
        <w:t xml:space="preserve">    </w:t>
      </w:r>
      <w:r>
        <w:rPr>
          <w:b/>
        </w:rPr>
        <w:t xml:space="preserve">Pub date: </w:t>
      </w:r>
      <w:r>
        <w:t>2026-08-14 06:39:05+00:00</w:t>
      </w:r>
      <w:r>
        <w:t xml:space="preserve">    </w:t>
      </w:r>
      <w:r>
        <w:rPr>
          <w:b/>
        </w:rPr>
        <w:t xml:space="preserve">DOI: </w:t>
      </w:r>
      <w:hyperlink r:id="rId113">
        <w:r>
          <w:rPr>
            <w:color w:val="1155CC"/>
            <w:u w:val="single"/>
          </w:rPr>
          <w:t>10.1002/adma.74626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锰基层状氧化物（LRMO）是提高电池能量密度的重要正极材料。然而，高电压下活性氧（ROS）的释放，伴随着表面氧空位和过渡金属离子的迁移，导致电解质连续分解、不可逆相变以及块体材料内纳米空隙的形成。这些过程显着缩短了电池的循环寿命并限制了实际应用。在此，受牛磺酸（TA）清除ROS的生物特性的启发，我们提出了一种简单的阴极添加剂策略，通过利用TA有效地与ROS相互作用，从而产生可逆的TA/过氧牛磺酸氧化还原对。这种创新机制可实现 ROS 的有效回收，从而抑制电解质的连续分解，O</w:t>
      </w:r>
      <w:r>
        <w:rPr>
          <w:vertAlign w:val="subscript"/>
        </w:rPr>
        <w:t>2</w:t>
      </w:r>
      <w:r>
        <w:t>释放和纳米空隙的形成。此外，所得的高质量正极电解质中间相层富含无机成分且结构更薄，在保证高效Li的同时稳定了层状结构。</w:t>
      </w:r>
      <w:r>
        <w:t xml:space="preserve"> </w:t>
      </w:r>
      <w:r>
        <w:t>+</w:t>
      </w:r>
      <w:r>
        <w:t xml:space="preserve"> </w:t>
      </w:r>
      <w:r>
        <w:t>运输动力学。因此，改进的 LRMO 表现出 89% 的出色初始库仑效率（LRMO 为 81%），400 次循环后在 1C 下的容量保持率为 92%（LRMO 为 68%）。此外，与石墨阳极配对的软包电池在 1/3C 下经过 1000 次超长循环后，仍表现出 78% 的卓越容量保持率。</w:t>
      </w:r>
    </w:p>
    <w:p>
      <w:pPr>
        <w:spacing w:before="0" w:after="200" w:lineRule="auto" w:line="276"/>
      </w:pPr>
      <w:r>
        <w:rPr>
          <w:b/>
        </w:rPr>
        <w:t xml:space="preserve">Abstract (EN): </w:t>
      </w:r>
      <w:r>
        <w:t>Li‐rich Mn‐based layered oxides (LRMOs) are essential cathode materials for higher energy densities in batteries. Nevertheless, the release of reactive oxygen species (ROS) at high voltages, accompanied by the migration of surface oxygen vacancies and transition metal ions, results in continuous electrolyte decomposition, irreversible phase transition, and nanovoids formation within bulk materials. These processes significantly shorten cycle life of batteries and limit practical applications. Herein, inspired by biological properties of taurine (TA) in scavenging ROS, we propose a straightforward cathode additive strategy by employing TA to effectively interact with ROS, thereby generating a reversible TA/peroxotaurine redox couple. This innovative mechanism enables efficient recycling of ROS, which in turn inhibits continuous electrolyte decomposition, O</w:t>
      </w:r>
      <w:r>
        <w:rPr>
          <w:vertAlign w:val="subscript"/>
        </w:rPr>
        <w:t>2</w:t>
      </w:r>
      <w:r>
        <w:t>release, and nanovoid formation. Furthermore, the derived high‐quality cathode electrolyte interphase layer, which is rich in inorganic components and thinner in structure, stabilizes the layered structure while ensuring efficient Li</w:t>
      </w:r>
      <w:r>
        <w:t xml:space="preserve"> </w:t>
      </w:r>
      <w:r>
        <w:t>+</w:t>
      </w:r>
      <w:r>
        <w:t xml:space="preserve"> </w:t>
      </w:r>
      <w:r>
        <w:t>transport kinetics. Consequently, the modified LRMO demonstrates an exceptional initial Coulombic efficiency of 89% (vs. 81% for LRMO), and a splendid capacity retention of 92% at 1C after 400 cycles (vs. 68% for LRMO). Additionally, the pouch cell paired with graphite anodes exhibits superior capacity retention of 78% after 1000 ultra‐long cycles at 1/3C.</w:t>
      </w:r>
    </w:p>
    <w:p>
      <w:pPr>
        <w:spacing w:before="120" w:after="120"/>
      </w:pPr>
      <w:r>
        <w:rPr>
          <w:sz w:val="18"/>
        </w:rPr>
        <w:t>——————————————————————————————————————————————————————————————————————</w:t>
      </w:r>
    </w:p>
    <w:p>
      <w:pPr>
        <w:spacing w:before="160" w:after="40" w:line="240" w:lineRule="auto"/>
      </w:pPr>
      <w:r>
        <w:rPr>
          <w:b/>
        </w:rPr>
        <w:t xml:space="preserve">[5] </w:t>
      </w:r>
      <w:hyperlink r:id="rId114">
        <w:r>
          <w:rPr>
            <w:color w:val="1155CC"/>
            <w:u w:val="single"/>
          </w:rPr>
          <w:t>LiCoO2 与固态电解质之间的固体界面电化学</w:t>
        </w:r>
      </w:hyperlink>
    </w:p>
    <w:p>
      <w:pPr>
        <w:spacing w:before="0" w:after="80"/>
      </w:pPr>
      <w:r>
        <w:rPr>
          <w:i/>
          <w:sz w:val="20"/>
        </w:rPr>
        <w:t>EN: Solid interface electrochemistry between LiCoO2 and solid-state electrolytes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115">
        <w:r>
          <w:rPr>
            <w:color w:val="1155CC"/>
            <w:u w:val="single"/>
          </w:rPr>
          <w:t>10.1126/sciadv.aef1533</w:t>
        </w:r>
      </w:hyperlink>
    </w:p>
    <w:p>
      <w:pPr>
        <w:spacing w:before="0" w:after="120"/>
      </w:pPr>
      <w:r>
        <w:rPr>
          <w:b/>
        </w:rPr>
        <w:t xml:space="preserve">Notes: </w:t>
      </w:r>
      <w:r>
        <w:t>abstract_source=crossref</w:t>
      </w:r>
    </w:p>
    <w:p>
      <w:pPr>
        <w:spacing w:before="0" w:after="80" w:lineRule="auto" w:line="276"/>
      </w:pPr>
      <w:r>
        <w:rPr>
          <w:b/>
        </w:rPr>
        <w:t xml:space="preserve">摘要（ZH）: </w:t>
      </w:r>
      <w:r>
        <w:t>已开发出优化阴极/固体电解质界面（CSEI）的策略，以提高 LiCoO 的高电压耐久性</w:t>
      </w:r>
      <w:r>
        <w:rPr>
          <w:vertAlign w:val="subscript"/>
        </w:rPr>
        <w:t>2</w:t>
      </w:r>
      <w:r>
        <w:t>（LCO），但潜在的界面机制仍不清楚。在这里，我们为全固态电池（ASSB）构建了稳定的卤氧化物衍生 CSEI，以确定高电压运行所需的关键界面特征。 4.6 伏时，商用 LCO 与 Li</w:t>
      </w:r>
      <w:r>
        <w:rPr>
          <w:vertAlign w:val="subscript"/>
        </w:rPr>
        <w:t>6</w:t>
      </w:r>
      <w:r>
        <w:t>聚苯乙烯</w:t>
      </w:r>
      <w:r>
        <w:rPr>
          <w:vertAlign w:val="subscript"/>
        </w:rPr>
        <w:t>5</w:t>
      </w:r>
      <w:r>
        <w:t>Cl (LPSC) 遭受严重的界面不稳定，Li 缓慢</w:t>
      </w:r>
      <w:r>
        <w:t xml:space="preserve"> </w:t>
      </w:r>
      <w:r>
        <w:t>+</w:t>
      </w:r>
      <w:r>
        <w:t xml:space="preserve"> </w:t>
      </w:r>
      <w:r>
        <w:t>运输和连续的副反应。通过引入LiNbOCl</w:t>
      </w:r>
      <w:r>
        <w:rPr>
          <w:vertAlign w:val="subscript"/>
        </w:rPr>
        <w:t>4</w:t>
      </w:r>
      <w:r>
        <w:t>(LNOC)，建立了一种原位形成的富含 Li-Cl/Nb-O/Nb-O-Cl 物质的 CSEI，将界面能垒降低至 0.363 电子伏特，并增强界面韧性和离子电导率。这种稳定的界面抑制晶格氧活性，加速Li</w:t>
      </w:r>
      <w:r>
        <w:t xml:space="preserve"> </w:t>
      </w:r>
      <w:r>
        <w:t>+</w:t>
      </w:r>
      <w:r>
        <w:t xml:space="preserve"> </w:t>
      </w:r>
      <w:r>
        <w:t>运输，并提高 O3/H1-3 相变的可逆性。因此，LCO|LNOC|LPSC|Li-In ASSB 在 ~1.0 C 倍率下循环 500 次后容量保持率为 95.8%，LCO 负载量为每平方厘米 15.31 毫克。该软包电池可实现 90% 的初始库仑效率和超过 50 个循环的稳定循环。</w:t>
      </w:r>
    </w:p>
    <w:p>
      <w:pPr>
        <w:spacing w:before="0" w:after="200" w:lineRule="auto" w:line="276"/>
      </w:pPr>
      <w:r>
        <w:rPr>
          <w:b/>
        </w:rPr>
        <w:t xml:space="preserve">Abstract (EN): </w:t>
      </w:r>
      <w:r>
        <w:t>Strategies to optimize the cathode/solid electrolyte interphase (CSEI) have been developed to improve the high voltage durability of LiCoO</w:t>
      </w:r>
      <w:r>
        <w:rPr>
          <w:vertAlign w:val="subscript"/>
        </w:rPr>
        <w:t>2</w:t>
      </w:r>
      <w:r>
        <w:t>(LCO), yet the underlying interfacial mechanism remains unclear. Here, we construct a stable oxyhalide-derived CSEI for all-solid-state batteries (ASSBs) to identify the key interfacial features required for high-voltage operation. At 4.6 volts, commercial LCO coupled with Li</w:t>
      </w:r>
      <w:r>
        <w:rPr>
          <w:vertAlign w:val="subscript"/>
        </w:rPr>
        <w:t>6</w:t>
      </w:r>
      <w:r>
        <w:t>PS</w:t>
      </w:r>
      <w:r>
        <w:rPr>
          <w:vertAlign w:val="subscript"/>
        </w:rPr>
        <w:t>5</w:t>
      </w:r>
      <w:r>
        <w:t>Cl (LPSC) suffers from severe interfacial instability, sluggish Li</w:t>
      </w:r>
      <w:r>
        <w:t xml:space="preserve"> </w:t>
      </w:r>
      <w:r>
        <w:t>+</w:t>
      </w:r>
      <w:r>
        <w:t xml:space="preserve"> </w:t>
      </w:r>
      <w:r>
        <w:t>transport, and continuous side reactions. By introducing LiNbOCl</w:t>
      </w:r>
      <w:r>
        <w:rPr>
          <w:vertAlign w:val="subscript"/>
        </w:rPr>
        <w:t>4</w:t>
      </w:r>
      <w:r>
        <w:t>(LNOC), an in situ formed CSEI rich in Li-Cl/Nb-O/Nb-O-Cl species is established, lowering the interfacial energy barrier to 0.363 electron volts and enhancing interfacial toughness and ionic conductivity. This stabilized interface suppresses lattice oxygen activity, accelerates Li</w:t>
      </w:r>
      <w:r>
        <w:t xml:space="preserve"> </w:t>
      </w:r>
      <w:r>
        <w:t>+</w:t>
      </w:r>
      <w:r>
        <w:t xml:space="preserve"> </w:t>
      </w:r>
      <w:r>
        <w:t>transport, and improves the reversibility of O3/H1-3 phase transitions. Consequently, LCO|LNOC|LPSC|Li-In ASSBs deliver 95.8% capacity retention after 500 cycles at ∼1.0 C-rate with an LCO loading of 15.31 milligrams per square centimeter. The pouch cell achieves 90% initial Coulombic efficiency and stable cycling over 50 cycles.</w:t>
      </w:r>
    </w:p>
    <w:p>
      <w:pPr>
        <w:spacing w:before="120" w:after="120"/>
      </w:pPr>
      <w:r>
        <w:rPr>
          <w:sz w:val="18"/>
        </w:rPr>
        <w:t>——————————————————————————————————————————————————————————————————————</w:t>
      </w:r>
    </w:p>
    <w:p>
      <w:pPr>
        <w:spacing w:before="160" w:after="40" w:line="240" w:lineRule="auto"/>
      </w:pPr>
      <w:r>
        <w:rPr>
          <w:b/>
        </w:rPr>
        <w:t xml:space="preserve">[6] </w:t>
      </w:r>
      <w:hyperlink r:id="rId116">
        <w:r>
          <w:rPr>
            <w:color w:val="1155CC"/>
            <w:u w:val="single"/>
          </w:rPr>
          <w:t>超分子自组装可实现受控锂补充，实现废旧磷酸铁锂电池的高性能和可持续再生</w:t>
        </w:r>
      </w:hyperlink>
    </w:p>
    <w:p>
      <w:pPr>
        <w:spacing w:before="0" w:after="80"/>
      </w:pPr>
      <w:r>
        <w:rPr>
          <w:i/>
          <w:sz w:val="20"/>
        </w:rPr>
        <w:t>EN: Supramolecular Self‐Assembly Enables Controlled Lithium Replenishment Toward High‐Performance and Sustainable Regeneration of Spent LiFePO4 Batteries</w:t>
      </w:r>
    </w:p>
    <w:p>
      <w:pPr>
        <w:spacing w:before="0" w:after="120"/>
      </w:pPr>
      <w:r>
        <w:rPr>
          <w:b/>
        </w:rPr>
        <w:t xml:space="preserve">Source: </w:t>
      </w:r>
      <w:r>
        <w:t>Wiley: Angewandte Chemie International Edition: Table of Contents</w:t>
      </w:r>
      <w:r>
        <w:t xml:space="preserve">    </w:t>
      </w:r>
      <w:r>
        <w:rPr>
          <w:b/>
        </w:rPr>
        <w:t xml:space="preserve">Pub date: </w:t>
      </w:r>
      <w:r>
        <w:t>2026-08-14 16:36:08+00:00</w:t>
      </w:r>
      <w:r>
        <w:t xml:space="preserve">    </w:t>
      </w:r>
      <w:r>
        <w:rPr>
          <w:b/>
        </w:rPr>
        <w:t xml:space="preserve">DOI: </w:t>
      </w:r>
      <w:hyperlink r:id="rId117">
        <w:r>
          <w:rPr>
            <w:color w:val="1155CC"/>
            <w:u w:val="single"/>
          </w:rPr>
          <w:t>10.1002/anie.4146793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随着锂离子电池部署的迅速扩大，磷酸铁锂（LiFePO）</w:t>
      </w:r>
      <w:r>
        <w:rPr>
          <w:vertAlign w:val="subscript"/>
        </w:rPr>
        <w:t>4</w:t>
      </w:r>
      <w:r>
        <w:t>（LFP）再生对于闭合材料循环至关重要。然而，在传统的固态再生中，有限的固-固接触和致密导电碳层的过早形成阻碍了锂补充、结构缺陷修复和界面重建的有效协调，从而限制了锂的利用效率和结构恢复。本文提出了一种由三硫氰尿酸（TMT）和醋酸锂（CH）自发形成的自组装超分子（SAS）再生系统</w:t>
      </w:r>
      <w:r>
        <w:rPr>
          <w:vertAlign w:val="subscript"/>
        </w:rPr>
        <w:t>3</w:t>
      </w:r>
      <w:r>
        <w:t>酷利）。通过Li-S配位和氢键相互作用，前驱体自组装成有序的超分子结构，调节固态再生过程的热演化。与传统固态再生中机械混合前驱体的独立热分解不同，有序超分子结构调节反应顺序，使锂优先进入LiFePO</w:t>
      </w:r>
      <w:r>
        <w:rPr>
          <w:vertAlign w:val="subscript"/>
        </w:rPr>
        <w:t>4</w:t>
      </w:r>
      <w:r>
        <w:t>晶格在形成致密的导电碳层之前，从而实现高效的锂补充和结构修复。随后，原位生成的 N/S 共掺杂导电碳层提高了再生 LFP 的界面电导率。再生正极可提供 160.3 mAh g</w:t>
      </w:r>
      <w:r>
        <w:t xml:space="preserve"> </w:t>
      </w:r>
      <w:r>
        <w:t>-</w:t>
      </w:r>
    </w:p>
    <w:p>
      <w:pPr>
        <w:spacing w:before="0" w:after="200" w:lineRule="auto" w:line="276"/>
      </w:pPr>
      <w:r>
        <w:rPr>
          <w:b/>
        </w:rPr>
        <w:t xml:space="preserve">Abstract (EN): </w:t>
      </w:r>
      <w:r>
        <w:t>With the rapid expansion of lithium–ion battery deployment, spent LiFePO</w:t>
      </w:r>
      <w:r>
        <w:rPr>
          <w:vertAlign w:val="subscript"/>
        </w:rPr>
        <w:t>4</w:t>
      </w:r>
      <w:r>
        <w:t>(LFP) regeneration is vital for closing material loops. However, in conventional solid‐state regeneration, limited solid–solid contact and the premature formation of a dense conductive carbon layer hinder the effective coordination of lithium replenishment, structural defect repair, and interfacial reconstruction, thereby limiting lithium utilization efficiency and structural restoration. This paper presents a self‐assembled supramolecular (SAS) regeneration system spontaneously formed from trithiocyanuric acid (TMT) and lithium acetate (CH</w:t>
      </w:r>
      <w:r>
        <w:rPr>
          <w:vertAlign w:val="subscript"/>
        </w:rPr>
        <w:t>3</w:t>
      </w:r>
      <w:r>
        <w:t>COOLi). Through Li–S coordination and hydrogen‐bonding interactions, the precursor self‐assembles into an ordered supramolecular architecture that regulates the thermal evolution of the solid‐state regeneration process. Unlike the independent thermal decomposition of mechanically mixed precursors in conventional solid‐state regeneration, the ordered supramolecular architecture regulates the reaction sequence, enabling lithium to preferentially enter the LiFePO</w:t>
      </w:r>
      <w:r>
        <w:rPr>
          <w:vertAlign w:val="subscript"/>
        </w:rPr>
        <w:t>4</w:t>
      </w:r>
      <w:r>
        <w:t>lattice before the formation of a dense conductive carbon layer, thereby achieving efficient lithium replenishment and structural restoration. Subsequently, an in situ generated N/S co‐doped conductive carbon layer elevates interfacial conductivity of regenerated LFP. The regenerated cathode delivers 160.3 mAh g</w:t>
      </w:r>
      <w:r>
        <w:t xml:space="preserve"> </w:t>
      </w:r>
      <w:r>
        <w:t>−</w:t>
      </w:r>
      <w:r>
        <w:rPr>
          <w:vertAlign w:val="subscript"/>
        </w:rPr>
        <w:t>1</w:t>
      </w:r>
      <w:r>
        <w:t>(0.1 C) and 143.0 mAh g</w:t>
      </w:r>
      <w:r>
        <w:t xml:space="preserve"> </w:t>
      </w:r>
      <w:r>
        <w:t>−</w:t>
      </w:r>
      <w:r>
        <w:rPr>
          <w:vertAlign w:val="subscript"/>
        </w:rPr>
        <w:t>1</w:t>
      </w:r>
      <w:r>
        <w:t>(1 C), maintaining 88% capacity over 500 cycles at 1 C, while the pouch cell exhibits 81% capacity retention after 500 cycles at 0.5 C.</w:t>
      </w:r>
    </w:p>
    <w:p>
      <w:pPr>
        <w:spacing w:before="120" w:after="120"/>
      </w:pPr>
      <w:r>
        <w:rPr>
          <w:sz w:val="18"/>
        </w:rPr>
        <w:t>——————————————————————————————————————————————————————————————————————</w:t>
      </w:r>
    </w:p>
    <w:p>
      <w:pPr>
        <w:spacing w:before="160" w:after="40" w:line="240" w:lineRule="auto"/>
      </w:pPr>
      <w:r>
        <w:rPr>
          <w:b/>
        </w:rPr>
        <w:t xml:space="preserve">[7] </w:t>
      </w:r>
      <w:hyperlink r:id="rId118">
        <w:r>
          <w:rPr>
            <w:color w:val="1155CC"/>
            <w:u w:val="single"/>
          </w:rPr>
          <w:t>用于高稳定性四电子锌碘电池的疏水性季铵碘化物</w:t>
        </w:r>
      </w:hyperlink>
    </w:p>
    <w:p>
      <w:pPr>
        <w:spacing w:before="0" w:after="80"/>
      </w:pPr>
      <w:r>
        <w:rPr>
          <w:i/>
          <w:sz w:val="20"/>
        </w:rPr>
        <w:t>EN: Hydrophobic Quaternary Ammonium Iodides for Highly Stable Four−Electron Zinc−Iodine Batteries</w:t>
      </w:r>
    </w:p>
    <w:p>
      <w:pPr>
        <w:spacing w:before="0" w:after="120"/>
      </w:pPr>
      <w:r>
        <w:rPr>
          <w:b/>
        </w:rPr>
        <w:t xml:space="preserve">Source: </w:t>
      </w:r>
      <w:r>
        <w:t>Wiley: Angewandte Chemie International Edition: Table of Contents</w:t>
      </w:r>
      <w:r>
        <w:t xml:space="preserve">    </w:t>
      </w:r>
      <w:r>
        <w:rPr>
          <w:b/>
        </w:rPr>
        <w:t xml:space="preserve">Pub date: </w:t>
      </w:r>
      <w:r>
        <w:t>2026-08-14 16:40:27+00:00</w:t>
      </w:r>
      <w:r>
        <w:t xml:space="preserve">    </w:t>
      </w:r>
      <w:r>
        <w:rPr>
          <w:b/>
        </w:rPr>
        <w:t xml:space="preserve">DOI: </w:t>
      </w:r>
      <w:hyperlink r:id="rId119">
        <w:r>
          <w:rPr>
            <w:color w:val="1155CC"/>
            <w:u w:val="single"/>
          </w:rPr>
          <w:t>10.1002/anie.8492354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水系四电子锌碘（Zn−I）电池由于其高容量、材料丰富和高安全性而受到广泛关注。然而，由于多碘化物穿梭效应和高价态 I，Zn−I 电池可逆性差，自放电严重。</w:t>
      </w:r>
      <w:r>
        <w:t xml:space="preserve"> </w:t>
      </w:r>
      <w:r>
        <w:t>+</w:t>
      </w:r>
      <w:r>
        <w:t xml:space="preserve"> </w:t>
      </w:r>
      <w:r>
        <w:t>传统I面临的水解问题</w:t>
      </w:r>
      <w:r>
        <w:rPr>
          <w:vertAlign w:val="subscript"/>
        </w:rPr>
        <w:t>2</w:t>
      </w:r>
      <w:r>
        <w:t>阴极。本文通过络合 I 设计了一系列有机碘化物</w:t>
      </w:r>
      <w:r>
        <w:rPr>
          <w:vertAlign w:val="subscript"/>
        </w:rPr>
        <w:t>3</w:t>
      </w:r>
      <w:r>
        <w:t>-</w:t>
      </w:r>
      <w:r>
        <w:t>具有不同烷基链长度的季铵阳离子。实验和理论分析表明这些有机阳离子与 I 形成稳定的络合物</w:t>
      </w:r>
      <w:r>
        <w:rPr>
          <w:vertAlign w:val="subscript"/>
        </w:rPr>
        <w:t>3</w:t>
      </w:r>
      <w:r>
        <w:t>-</w:t>
      </w:r>
      <w:r>
        <w:t>，有效抑制聚碘化物的穿梭效应，从而稳定锌金属阳极。同时，它们的疏水性烷基链在电极-电解质界面处形成物理屏障，限制水的进入并减轻 I</w:t>
      </w:r>
      <w:r>
        <w:t xml:space="preserve"> </w:t>
      </w:r>
      <w:r>
        <w:t>+</w:t>
      </w:r>
      <w:r>
        <w:t xml:space="preserve"> </w:t>
      </w:r>
      <w:r>
        <w:t>水解。因此，设计的（CH</w:t>
      </w:r>
      <w:r>
        <w:rPr>
          <w:vertAlign w:val="subscript"/>
        </w:rPr>
        <w:t>2</w:t>
      </w:r>
      <w:r>
        <w:t>）</w:t>
      </w:r>
      <w:r>
        <w:rPr>
          <w:vertAlign w:val="subscript"/>
        </w:rPr>
        <w:t>18</w:t>
      </w:r>
      <w:r>
        <w:t>氮(CH</w:t>
      </w:r>
      <w:r>
        <w:rPr>
          <w:vertAlign w:val="subscript"/>
        </w:rPr>
        <w:t>3</w:t>
      </w:r>
      <w:r>
        <w:t>）</w:t>
      </w:r>
      <w:r>
        <w:rPr>
          <w:vertAlign w:val="subscript"/>
        </w:rPr>
        <w:t>3</w:t>
      </w:r>
      <w:r>
        <w:t>我</w:t>
      </w:r>
      <w:r>
        <w:rPr>
          <w:vertAlign w:val="subscript"/>
        </w:rPr>
        <w:t>3</w:t>
      </w:r>
      <w:r>
        <w:t>（C</w:t>
      </w:r>
      <w:r>
        <w:rPr>
          <w:vertAlign w:val="subscript"/>
        </w:rPr>
        <w:t>18</w:t>
      </w:r>
      <w:r>
        <w:t>我</w:t>
      </w:r>
      <w:r>
        <w:rPr>
          <w:vertAlign w:val="subscript"/>
        </w:rPr>
        <w:t>3</w:t>
      </w:r>
      <w:r>
        <w:t>）四电子 Zn−I 电池的阴极表现出 463.0 mAh g 的高可逆容量</w:t>
      </w:r>
      <w:r>
        <w:t xml:space="preserve"> </w:t>
      </w:r>
      <w:r>
        <w:t>-</w:t>
      </w:r>
    </w:p>
    <w:p>
      <w:pPr>
        <w:spacing w:before="0" w:after="200" w:lineRule="auto" w:line="276"/>
      </w:pPr>
      <w:r>
        <w:rPr>
          <w:b/>
        </w:rPr>
        <w:t xml:space="preserve">Abstract (EN): </w:t>
      </w:r>
      <w:r>
        <w:t>Aqueous four−electron zinc−iodine (Zn−I) batteries have attracted extensive attention due to their high capacity, material abundance, and high safety. However, the Zn−I battery suffers from poor reversibility and severe self−discharge due to the polyiodides shuttle effect and high‑valent I</w:t>
      </w:r>
      <w:r>
        <w:t xml:space="preserve"> </w:t>
      </w:r>
      <w:r>
        <w:t>+</w:t>
      </w:r>
      <w:r>
        <w:t xml:space="preserve"> </w:t>
      </w:r>
      <w:r>
        <w:t>hydrolysis facing by the conventional I</w:t>
      </w:r>
      <w:r>
        <w:rPr>
          <w:vertAlign w:val="subscript"/>
        </w:rPr>
        <w:t>2</w:t>
      </w:r>
      <w:r>
        <w:t>cathode. Herein, a series of organic iodides is designed by complexing I</w:t>
      </w:r>
      <w:r>
        <w:rPr>
          <w:vertAlign w:val="subscript"/>
        </w:rPr>
        <w:t>3</w:t>
      </w:r>
      <w:r>
        <w:t>−</w:t>
      </w:r>
      <w:r>
        <w:t>with quaternary ammonium cations with different alkyl chain lengths. Experimental and theoretical analyses reveal that these organic cations form stable complexes with I</w:t>
      </w:r>
      <w:r>
        <w:rPr>
          <w:vertAlign w:val="subscript"/>
        </w:rPr>
        <w:t>3</w:t>
      </w:r>
      <w:r>
        <w:t>−</w:t>
      </w:r>
      <w:r>
        <w:t>, effectively suppressing the shuttle effect of polyiodides and thereby stabilizing Zn metal anode. Meanwhile, their hydrophobic alkyl chains create a physical barrier at the electrode−electrolyte interface, limiting water access and mitigating the I</w:t>
      </w:r>
      <w:r>
        <w:t xml:space="preserve"> </w:t>
      </w:r>
      <w:r>
        <w:t>+</w:t>
      </w:r>
      <w:r>
        <w:t xml:space="preserve"> </w:t>
      </w:r>
      <w:r>
        <w:t>hydrolysis. Consequently, the as−designed (CH</w:t>
      </w:r>
      <w:r>
        <w:rPr>
          <w:vertAlign w:val="subscript"/>
        </w:rPr>
        <w:t>2</w:t>
      </w:r>
      <w:r>
        <w:t>)</w:t>
      </w:r>
      <w:r>
        <w:rPr>
          <w:vertAlign w:val="subscript"/>
        </w:rPr>
        <w:t>18</w:t>
      </w:r>
      <w:r>
        <w:t>N(CH</w:t>
      </w:r>
      <w:r>
        <w:rPr>
          <w:vertAlign w:val="subscript"/>
        </w:rPr>
        <w:t>3</w:t>
      </w:r>
      <w:r>
        <w:t>)</w:t>
      </w:r>
      <w:r>
        <w:rPr>
          <w:vertAlign w:val="subscript"/>
        </w:rPr>
        <w:t>3</w:t>
      </w:r>
      <w:r>
        <w:t>I</w:t>
      </w:r>
      <w:r>
        <w:rPr>
          <w:vertAlign w:val="subscript"/>
        </w:rPr>
        <w:t>3</w:t>
      </w:r>
      <w:r>
        <w:t>(C</w:t>
      </w:r>
      <w:r>
        <w:rPr>
          <w:vertAlign w:val="subscript"/>
        </w:rPr>
        <w:t>18</w:t>
      </w:r>
      <w:r>
        <w:t>I</w:t>
      </w:r>
      <w:r>
        <w:rPr>
          <w:vertAlign w:val="subscript"/>
        </w:rPr>
        <w:t>3</w:t>
      </w:r>
      <w:r>
        <w:t>) cathode for four−electron Zn−I batteries manifest a high reversible capacity of 463.0 mAh g</w:t>
      </w:r>
      <w:r>
        <w:t xml:space="preserve"> </w:t>
      </w:r>
      <w:r>
        <w:t>−1</w:t>
      </w:r>
      <w:r>
        <w:t xml:space="preserve"> </w:t>
      </w:r>
      <w:r>
        <w:t>at 0.5 A g</w:t>
      </w:r>
      <w:r>
        <w:t xml:space="preserve"> </w:t>
      </w:r>
      <w:r>
        <w:t>−1</w:t>
      </w:r>
      <w:r>
        <w:t xml:space="preserve"> </w:t>
      </w:r>
      <w:r>
        <w:t>and excellent cycling stability with 80.0% capacity retention after 42800 cycles at 10 A g</w:t>
      </w:r>
      <w:r>
        <w:t xml:space="preserve"> </w:t>
      </w:r>
      <w:r>
        <w:t>−1</w:t>
      </w:r>
      <w:r>
        <w:t xml:space="preserve"> </w:t>
      </w:r>
      <w:r>
        <w:t>, significantly outperforming the conventional I</w:t>
      </w:r>
      <w:r>
        <w:rPr>
          <w:vertAlign w:val="subscript"/>
        </w:rPr>
        <w:t>2</w:t>
      </w:r>
      <w:r>
        <w:t>@active carbon counterpart. Moreover, the reaction mechanism involving the I</w:t>
      </w:r>
      <w:r>
        <w:t xml:space="preserve"> </w:t>
      </w:r>
      <w:r>
        <w:t>−</w:t>
      </w:r>
      <w:r>
        <w:t>/I</w:t>
      </w:r>
      <w:r>
        <w:rPr>
          <w:vertAlign w:val="subscript"/>
        </w:rPr>
        <w:t>3</w:t>
      </w:r>
      <w:r>
        <w:t>−</w:t>
      </w:r>
      <w:r>
        <w:t>/I</w:t>
      </w:r>
      <w:r>
        <w:rPr>
          <w:vertAlign w:val="subscript"/>
        </w:rPr>
        <w:t>0</w:t>
      </w:r>
      <w:r>
        <w:t>/I</w:t>
      </w:r>
      <w:r>
        <w:t xml:space="preserve"> </w:t>
      </w:r>
      <w:r>
        <w:t>+</w:t>
      </w:r>
      <w:r>
        <w:t xml:space="preserve"> </w:t>
      </w:r>
      <w:r>
        <w:t>redox couples in the C</w:t>
      </w:r>
      <w:r>
        <w:rPr>
          <w:vertAlign w:val="subscript"/>
        </w:rPr>
        <w:t>18</w:t>
      </w:r>
      <w:r>
        <w:t>I</w:t>
      </w:r>
      <w:r>
        <w:rPr>
          <w:vertAlign w:val="subscript"/>
        </w:rPr>
        <w:t>3</w:t>
      </w:r>
      <w:r>
        <w:t>cathode has been well elucidated by in situ characterizations. This work provides new guidelines for designing advanced cathode materials for Zn−I batteries.</w:t>
      </w:r>
    </w:p>
    <w:p>
      <w:pPr>
        <w:spacing w:before="120" w:after="120"/>
      </w:pPr>
      <w:r>
        <w:rPr>
          <w:sz w:val="18"/>
        </w:rPr>
        <w:t>——————————————————————————————————————————————————————————————————————</w:t>
      </w:r>
    </w:p>
    <w:p>
      <w:pPr>
        <w:spacing w:before="160" w:after="40" w:line="240" w:lineRule="auto"/>
      </w:pPr>
      <w:r>
        <w:rPr>
          <w:b/>
        </w:rPr>
        <w:t xml:space="preserve">[8] </w:t>
      </w:r>
      <w:hyperlink r:id="rId120">
        <w:r>
          <w:rPr>
            <w:color w:val="1155CC"/>
            <w:u w:val="single"/>
          </w:rPr>
          <w:t>增强阴离子氧化还原反应可逆性，增强富锂正极的颗粒结构稳定性</w:t>
        </w:r>
      </w:hyperlink>
    </w:p>
    <w:p>
      <w:pPr>
        <w:spacing w:before="0" w:after="80"/>
      </w:pPr>
      <w:r>
        <w:rPr>
          <w:i/>
          <w:sz w:val="20"/>
        </w:rPr>
        <w:t>EN: Reinforcing Particle Architectural Stability of Li‐Rich Cathode With Enhanced Anionic Redox Reaction Reversibility</w:t>
      </w:r>
    </w:p>
    <w:p>
      <w:pPr>
        <w:spacing w:before="0" w:after="120"/>
      </w:pPr>
      <w:r>
        <w:rPr>
          <w:b/>
        </w:rPr>
        <w:t xml:space="preserve">Source: </w:t>
      </w:r>
      <w:r>
        <w:t>Wiley: Angewandte Chemie International Edition: Table of Contents</w:t>
      </w:r>
      <w:r>
        <w:t xml:space="preserve">    </w:t>
      </w:r>
      <w:r>
        <w:rPr>
          <w:b/>
        </w:rPr>
        <w:t xml:space="preserve">Pub date: </w:t>
      </w:r>
      <w:r>
        <w:t>2026-08-14 16:45:15+00:00</w:t>
      </w:r>
      <w:r>
        <w:t xml:space="preserve">    </w:t>
      </w:r>
      <w:r>
        <w:rPr>
          <w:b/>
        </w:rPr>
        <w:t xml:space="preserve">DOI: </w:t>
      </w:r>
      <w:hyperlink r:id="rId121">
        <w:r>
          <w:rPr>
            <w:color w:val="1155CC"/>
            <w:u w:val="single"/>
          </w:rPr>
          <w:t>10.1002/anie.6490997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富锂层状氧化物 (LRLO) 有望实现卓越的能量密度（∼1000 Wh kg</w:t>
      </w:r>
      <w:r>
        <w:t xml:space="preserve"> </w:t>
      </w:r>
      <w:r>
        <w:t>−1</w:t>
      </w:r>
      <w:r>
        <w:t xml:space="preserve"> </w:t>
      </w:r>
      <w:r>
        <w:t>）但由于结构和化学的不稳定性，阻碍了它们的商业化。虽然阴离子氧化还原反应（ARR）可逆性的原子尺度调控已被广泛探索，但由于前体遗传的有害多孔结构而加剧的中尺度结构退化仍然至关重要但被忽视。在此，引入了跨尺度协同策略，以同时增强中尺度粒子结构并稳定 LRLO 中的原子尺度电荷补偿。通过掺入氟来调节局部电子环境，活性（010）面的表面能被选择性降低，从而驱动初级粒子从板状到等轴的深刻形态转变。这种热力学重建有效地破坏了不利的前体继承的孔隙率，产生具有加速Li的高度致密的二次粒子</w:t>
      </w:r>
      <w:r>
        <w:t xml:space="preserve"> </w:t>
      </w:r>
      <w:r>
        <w:t>+</w:t>
      </w:r>
      <w:r>
        <w:t xml:space="preserve"> </w:t>
      </w:r>
      <w:r>
        <w:t>扩散动力学。同时，在原子尺度上，增强的过渡金属-氧（TM-O）共价键抑制了过度的氧活化，从而增强了ARR的可逆性。受益于这种协同结构和化学调制，阴极的库仑效率提高了 6.8%，并具有卓越的长期稳定性，950 次循环后容量保持率为 88.8%。为了啊</w:t>
      </w:r>
    </w:p>
    <w:p>
      <w:pPr>
        <w:spacing w:before="0" w:after="200" w:lineRule="auto" w:line="276"/>
      </w:pPr>
      <w:r>
        <w:rPr>
          <w:b/>
        </w:rPr>
        <w:t xml:space="preserve">Abstract (EN): </w:t>
      </w:r>
      <w:r>
        <w:t>Lithium‐rich layered oxides (LRLOs) promise exceptional energy densities (∼1000 Wh kg</w:t>
      </w:r>
      <w:r>
        <w:t xml:space="preserve"> </w:t>
      </w:r>
      <w:r>
        <w:t>−1</w:t>
      </w:r>
      <w:r>
        <w:t xml:space="preserve"> </w:t>
      </w:r>
      <w:r>
        <w:t>) but suffer from coupled structural and chemical instabilities that impede their commercialization. While atomic scale regulation of anionic redox reaction (ARR) reversibility has been extensively explored, the mesoscale architectural degradation, which is exacerbated by detrimental porous structures inherited from precursors, remains critical yet overlooked. Herein, a cross‐scale synergistic strategy was introduced to simultaneously reinforce the mesoscale particle architecture and stabilize the atomic‐scale charge compensation in LRLOs. By incorporating fluorine to modulate the local electronic environment, the surface energy of the active (010) facets is selectively lowered, driving a profound morphological transformation of primary particles from plate‐like to equiaxed. This thermodynamic reconstruction effectively disrupts the adverse precursor‐inherited porosity, yielding highly compact secondary particles with accelerated Li</w:t>
      </w:r>
      <w:r>
        <w:t xml:space="preserve"> </w:t>
      </w:r>
      <w:r>
        <w:t>+</w:t>
      </w:r>
      <w:r>
        <w:t xml:space="preserve"> </w:t>
      </w:r>
      <w:r>
        <w:t>diffusion kinetics. Simultaneously, at the atomic scale, the strengthened transition metal‐oxygen (TM‐O) covalency suppresses excessive oxygen activation, thereby enhancing reversibility of the ARR. Benefiting from this synergistic architectural and chemical modulation, the cathode exhibits a 6.8% increase in Coulombic efficiency and delivers exceptional long‐term stability with capacity retention of 88.8% after 950 cycles. For Ah‐level full cells, 96.3% of reversible capacity after 1500 cycles under high‐voltage is achieved.</w:t>
      </w:r>
    </w:p>
    <w:p>
      <w:pPr>
        <w:spacing w:before="120" w:after="120"/>
      </w:pPr>
      <w:r>
        <w:rPr>
          <w:sz w:val="18"/>
        </w:rPr>
        <w:t>——————————————————————————————————————————————————————————————————————</w:t>
      </w:r>
    </w:p>
    <w:p>
      <w:pPr>
        <w:spacing w:before="160" w:after="40" w:line="240" w:lineRule="auto"/>
      </w:pPr>
      <w:r>
        <w:rPr>
          <w:b/>
        </w:rPr>
        <w:t xml:space="preserve">[9] </w:t>
      </w:r>
      <w:hyperlink r:id="rId122">
        <w:r>
          <w:rPr>
            <w:color w:val="1155CC"/>
            <w:u w:val="single"/>
          </w:rPr>
          <w:t>具有定制窗口的不对称超细单中孔猪笼草的界面收缩调控合成</w:t>
        </w:r>
      </w:hyperlink>
    </w:p>
    <w:p>
      <w:pPr>
        <w:spacing w:before="0" w:after="80"/>
      </w:pPr>
      <w:r>
        <w:rPr>
          <w:i/>
          <w:sz w:val="20"/>
        </w:rPr>
        <w:t>EN: Interface-shrunk regulated synthesis of asymmetric ultrafine mono-mesopore Nepenthes with tailored window</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具有超小尺寸、开放窗口和独特物理化学性质的不对称超细单介孔结构为能量存储提供了巨大的机会，但其合成仍然具有挑战性。受猪笼草快速、单向捕获能力的启发，我们提出了一种界面收缩的单胶束组装策略，以合成在空心壳上具有开窗的不对称超细单介孔纳米颗粒（AUMN）。这些仿生纳米颗粒（~45 nm）具有单介孔腔（~40 nm）和开口窗口（~20 nm）。它们的结构参数，包括窗口尺寸（15-28 nm）、壳厚度（7-14 nm）和腔尺寸（38-59 nm），都是精确可调的。由此产生的AUMN表现出高表面积（1312平方米g-1）和丰富的赝电容位点。作为锌离子混合电容器 (ZIHC) 的阴极，它们表现出较低的电荷转移阻抗，并提供 210 mAh g⁻1 的最大容量。</w:t>
      </w:r>
    </w:p>
    <w:p>
      <w:pPr>
        <w:spacing w:before="0" w:after="200" w:lineRule="auto" w:line="276"/>
      </w:pPr>
      <w:r>
        <w:rPr>
          <w:b/>
        </w:rPr>
        <w:t xml:space="preserve">Abstract (EN): </w:t>
      </w:r>
      <w:r>
        <w:t>Asymmetric ultrafine mono-mesopore architectures with ultrasmall size, an open window, and unique physicochemical properties offer great opportunities in energy storage, yet their synthesis remains challenging. Inspired by the fast, unidirectional capture ability of Nepenthes, we propose an interface-shrunk monomicelle assembly strategy to synthesize asymmetric ultrafine mono-mesopore nanoparticles (AUMNs) with an open window on hollow shells. These biomimetic nanoparticles (∼45 nm) possess a mono-mesopore cavity (∼40 nm) and an opening window (∼20 nm). Their structural parameters, including window size (15–28 nm), shell thickness (7–14 nm), and cavity size (38–59 nm), are precisely tunable. The resulting AUMNs exhibit a high surface area (1312 m² g⁻¹) and abundant pseudocapacitive sites. As cathodes in zinc-ion hybrid capacitors (ZIHCs), they show low charge-transfer impedance and deliver a maximum capacity of 210 mAh g⁻¹.</w:t>
      </w:r>
    </w:p>
    <w:p>
      <w:pPr>
        <w:spacing w:before="120" w:after="120"/>
      </w:pPr>
      <w:r>
        <w:rPr>
          <w:sz w:val="18"/>
        </w:rPr>
        <w:t>——————————————————————————————————————————————————————————————————————</w:t>
      </w:r>
    </w:p>
    <w:p>
      <w:pPr>
        <w:spacing w:before="160" w:after="40" w:line="240" w:lineRule="auto"/>
      </w:pPr>
      <w:r>
        <w:rPr>
          <w:b/>
        </w:rPr>
        <w:t xml:space="preserve">[10] </w:t>
      </w:r>
      <w:hyperlink r:id="rId123">
        <w:r>
          <w:rPr>
            <w:color w:val="1155CC"/>
            <w:u w:val="single"/>
          </w:rPr>
          <w:t>锚定聚碘化物：用于锌碘电池的微相分离凝胶聚合物阴极</w:t>
        </w:r>
      </w:hyperlink>
    </w:p>
    <w:p>
      <w:pPr>
        <w:spacing w:before="0" w:after="80"/>
      </w:pPr>
      <w:r>
        <w:rPr>
          <w:i/>
          <w:sz w:val="20"/>
        </w:rPr>
        <w:t>EN: Anchoring Polyiodides: Microphase-Separated Gel Polymer Cathode for Zinc–Iodine Batteries</w:t>
      </w:r>
    </w:p>
    <w:p>
      <w:pPr>
        <w:spacing w:before="0" w:after="120"/>
      </w:pPr>
      <w:r>
        <w:rPr>
          <w:b/>
        </w:rPr>
        <w:t xml:space="preserve">Source: </w:t>
      </w:r>
      <w:r>
        <w:t>ACS Energy Letters: Latest Articles (ACS Publications)</w:t>
      </w:r>
      <w:r>
        <w:t xml:space="preserve">    </w:t>
      </w:r>
      <w:r>
        <w:rPr>
          <w:b/>
        </w:rPr>
        <w:t xml:space="preserve">Pub date: </w:t>
      </w:r>
      <w:r>
        <w:t>2026-08-15 00:00:00+00:00</w:t>
      </w:r>
      <w:r>
        <w:t xml:space="preserve">    </w:t>
      </w:r>
      <w:r>
        <w:rPr>
          <w:b/>
        </w:rPr>
        <w:t xml:space="preserve">DOI: </w:t>
      </w:r>
      <w:hyperlink r:id="rId124">
        <w:r>
          <w:rPr>
            <w:color w:val="1155CC"/>
            <w:u w:val="single"/>
          </w:rPr>
          <w:t>10.1021/acsenergylett.6c01706</w:t>
        </w:r>
      </w:hyperlink>
    </w:p>
    <w:p>
      <w:pPr>
        <w:spacing w:before="0" w:after="120"/>
      </w:pPr>
      <w:r>
        <w:rPr>
          <w:b/>
        </w:rPr>
        <w:t xml:space="preserve">Notes: </w:t>
      </w:r>
      <w:r>
        <w:t>abstract_source=crossref</w:t>
      </w:r>
    </w:p>
    <w:p>
      <w:pPr>
        <w:spacing w:before="0" w:after="80" w:lineRule="auto" w:line="276"/>
      </w:pPr>
      <w:r>
        <w:rPr>
          <w:b/>
        </w:rPr>
        <w:t xml:space="preserve">摘要（ZH）: </w:t>
      </w:r>
      <w:r>
        <w:t>摘要 锌碘（Zn-I2）电池由于安全和低成本而对电网规模储能具有吸引力，但可溶性聚碘中间体（I3-、I5-）的穿梭阻碍了实际部署，导致容量衰减、阳极腐蚀和热不稳定。我们报告了一种通用电极设计，使用基于两亲性丙烯酰胺共聚物（a-PAM）的微相分离凝胶阴极。该共聚物形成具有亲水性离子传输通道和嵌入式纳米级疏水域的 3D 网络。这些域以物理方式隔离并以化学方式锚定碘物质，有效地抑制其溶解和跨电极穿梭。该正极提供 209.3 mAh g-1 的容量，并在 1 A g-1 电流下经过 15,000 次循环（269 天）后仍保留其初始容量的 87.7%。它还在 80 °C 下保持稳定的循环，500 次循环后容量保持率为 80%。这项工作建立了一种可推广的设计原则来抑制可溶性中间体，从而为实际应用提供耐用且安全的水性电池。</w:t>
      </w:r>
    </w:p>
    <w:p>
      <w:pPr>
        <w:spacing w:before="0" w:after="200" w:lineRule="auto" w:line="276"/>
      </w:pPr>
      <w:r>
        <w:rPr>
          <w:b/>
        </w:rPr>
        <w:t xml:space="preserve">Abstract (EN): </w:t>
      </w:r>
      <w:r>
        <w:t>Zinc–iodine (Zn-I2) batteries are attractive for grid-scale energy storage owing to safety and low cost, yet practical deployment is hindered by shuttling of soluble polyiodide intermediates (I3–, I5–), which causes capacity decay, anode corrosion, and thermal instability. We report a universal electrode design using a microphase-separated gel cathode based on an amphiphilic acrylamide copolymer (a-PAM). The copolymer forms a 3D network with hydrophilic ion-transport channels and embedded nanoscale hydrophobic domains. These domains physically sequester and chemically anchor iodine species, effectively restraining their dissolution and cross-electrode shuttling. The cathode delivers 209.3 mAh g–1 and retains 87.7% of its initial capacity over 15,000 cycles (269 days) at 1 A g–1. It also sustains stable cycling at 80 °C with 80% capacity retention after 500 cycles. This work establishes a generalizable design principle to suppress soluble intermediates, enabling durable and safe aqueous batteries for practical applications.</w:t>
      </w:r>
    </w:p>
    <w:p>
      <w:pPr>
        <w:spacing w:before="120" w:after="120"/>
      </w:pPr>
      <w:r>
        <w:rPr>
          <w:sz w:val="18"/>
        </w:rPr>
        <w:t>——————————————————————————————————————————————————————————————————————</w:t>
      </w:r>
    </w:p>
    <w:p>
      <w:pPr>
        <w:spacing w:before="160" w:after="40" w:line="240" w:lineRule="auto"/>
      </w:pPr>
      <w:r>
        <w:rPr>
          <w:b/>
        </w:rPr>
        <w:t xml:space="preserve">[11] </w:t>
      </w:r>
      <w:hyperlink r:id="rId125">
        <w:r>
          <w:rPr>
            <w:color w:val="1155CC"/>
            <w:u w:val="single"/>
          </w:rPr>
          <w:t>电子自旋态调节解锁 Na4Fe3(PO4)2P2O7 阴极的结构鲁棒性和稳定的钠存储</w:t>
        </w:r>
      </w:hyperlink>
    </w:p>
    <w:p>
      <w:pPr>
        <w:spacing w:before="0" w:after="80"/>
      </w:pPr>
      <w:r>
        <w:rPr>
          <w:i/>
          <w:sz w:val="20"/>
        </w:rPr>
        <w:t>EN: Electron Spin‐State Regulation Unlocks Structural Robustness and Stable Sodium Storage in Na4Fe3(PO4)2P2O7 Cathode</w:t>
      </w:r>
    </w:p>
    <w:p>
      <w:pPr>
        <w:spacing w:before="0" w:after="120"/>
      </w:pPr>
      <w:r>
        <w:rPr>
          <w:b/>
        </w:rPr>
        <w:t xml:space="preserve">Source: </w:t>
      </w:r>
      <w:r>
        <w:t>Wiley: Advanced Energy Materials: Table of Contents</w:t>
      </w:r>
      <w:r>
        <w:t xml:space="preserve">    </w:t>
      </w:r>
      <w:r>
        <w:rPr>
          <w:b/>
        </w:rPr>
        <w:t xml:space="preserve">Pub date: </w:t>
      </w:r>
      <w:r>
        <w:t>2026-08-15 14:36:21+00:00</w:t>
      </w:r>
      <w:r>
        <w:t xml:space="preserve">    </w:t>
      </w:r>
      <w:r>
        <w:rPr>
          <w:b/>
        </w:rPr>
        <w:t xml:space="preserve">DOI: </w:t>
      </w:r>
      <w:hyperlink r:id="rId126">
        <w:r>
          <w:rPr>
            <w:color w:val="1155CC"/>
            <w:u w:val="single"/>
          </w:rPr>
          <w:t>10.1002/aenm.71459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低成本、结构坚固的Na</w:t>
      </w:r>
      <w:r>
        <w:rPr>
          <w:vertAlign w:val="subscript"/>
        </w:rPr>
        <w:t>4</w:t>
      </w:r>
      <w:r>
        <w:t>铁</w:t>
      </w:r>
      <w:r>
        <w:rPr>
          <w:vertAlign w:val="subscript"/>
        </w:rPr>
        <w:t>3</w:t>
      </w:r>
      <w:r>
        <w:t>（采购订单</w:t>
      </w:r>
      <w:r>
        <w:rPr>
          <w:vertAlign w:val="subscript"/>
        </w:rPr>
        <w:t>4</w:t>
      </w:r>
      <w:r>
        <w:t>）</w:t>
      </w:r>
      <w:r>
        <w:rPr>
          <w:vertAlign w:val="subscript"/>
        </w:rPr>
        <w:t>2</w:t>
      </w:r>
      <w:r>
        <w:t>磷</w:t>
      </w:r>
      <w:r>
        <w:rPr>
          <w:vertAlign w:val="subscript"/>
        </w:rPr>
        <w:t>2</w:t>
      </w:r>
      <w:r>
        <w:t>氧</w:t>
      </w:r>
      <w:r>
        <w:rPr>
          <w:vertAlign w:val="subscript"/>
        </w:rPr>
        <w:t>7</w:t>
      </w:r>
      <w:r>
        <w:t>（NFPP）钠离子电池的聚阴离子阴极受到电子绝缘和迟缓的Na的限制</w:t>
      </w:r>
      <w:r>
        <w:t xml:space="preserve"> </w:t>
      </w:r>
      <w:r>
        <w:t>+</w:t>
      </w:r>
      <w:r>
        <w:t xml:space="preserve"> </w:t>
      </w:r>
      <w:r>
        <w:t>运输。在此，自旋态工程阴极，Na</w:t>
      </w:r>
      <w:r>
        <w:rPr>
          <w:vertAlign w:val="subscript"/>
        </w:rPr>
        <w:t>4</w:t>
      </w:r>
      <w:r>
        <w:t>铁</w:t>
      </w:r>
      <w:r>
        <w:t xml:space="preserve"> </w:t>
      </w:r>
      <w:r>
        <w:t>2.94</w:t>
      </w:r>
      <w:r>
        <w:t xml:space="preserve"> </w:t>
      </w:r>
      <w:r>
        <w:t>莫</w:t>
      </w:r>
      <w:r>
        <w:t xml:space="preserve"> </w:t>
      </w:r>
      <w:r>
        <w:t>0.03</w:t>
      </w:r>
      <w:r>
        <w:t xml:space="preserve"> </w:t>
      </w:r>
      <w:r>
        <w:t>钴</w:t>
      </w:r>
      <w:r>
        <w:t xml:space="preserve"> </w:t>
      </w:r>
      <w:r>
        <w:t>0.03</w:t>
      </w:r>
      <w:r>
        <w:t xml:space="preserve"> </w:t>
      </w:r>
      <w:r>
        <w:t>（采购订单</w:t>
      </w:r>
      <w:r>
        <w:rPr>
          <w:vertAlign w:val="subscript"/>
        </w:rPr>
        <w:t>4</w:t>
      </w:r>
      <w:r>
        <w:t>）</w:t>
      </w:r>
      <w:r>
        <w:rPr>
          <w:vertAlign w:val="subscript"/>
        </w:rPr>
        <w:t>2</w:t>
      </w:r>
      <w:r>
        <w:t>磷</w:t>
      </w:r>
      <w:r>
        <w:rPr>
          <w:vertAlign w:val="subscript"/>
        </w:rPr>
        <w:t>2</w:t>
      </w:r>
      <w:r>
        <w:t>氧</w:t>
      </w:r>
      <w:r>
        <w:rPr>
          <w:vertAlign w:val="subscript"/>
        </w:rPr>
        <w:t>7</w:t>
      </w:r>
      <w:r>
        <w:t>（MC-NFPP）旨在调节 Fe 的局域电子结构，从而释放额外的不成对电子，同时增强本征电荷传输和晶格稳定性。高价Mo</w:t>
      </w:r>
      <w:r>
        <w:t xml:space="preserve"> </w:t>
      </w:r>
      <w:r>
        <w:t>6+</w:t>
      </w:r>
      <w:r>
        <w:t xml:space="preserve"> </w:t>
      </w:r>
      <w:r>
        <w:t>通过感应效应削弱局部配体场，而Co</w:t>
      </w:r>
      <w:r>
        <w:t xml:space="preserve"> </w:t>
      </w:r>
      <w:r>
        <w:t>2+</w:t>
      </w:r>
      <w:r>
        <w:t xml:space="preserve"> </w:t>
      </w:r>
      <w:r>
        <w:t>通过磁交换相互作用促进自旋重构。这种设计引起了深刻的电子重构，驱动 Fe 从中间自旋 (IS) 态转变为高自旋 (HS) 态（HS-Fe</w:t>
      </w:r>
      <w:r>
        <w:t xml:space="preserve"> </w:t>
      </w:r>
      <w:r>
        <w:t>2+</w:t>
      </w:r>
      <w:r>
        <w:t xml:space="preserve"> </w:t>
      </w:r>
      <w:r>
        <w:t>比例从 65.0% 上升至 79.2%），</w:t>
      </w:r>
    </w:p>
    <w:p>
      <w:pPr>
        <w:spacing w:before="0" w:after="200" w:lineRule="auto" w:line="276"/>
      </w:pPr>
      <w:r>
        <w:rPr>
          <w:b/>
        </w:rPr>
        <w:t xml:space="preserve">Abstract (EN): </w:t>
      </w:r>
      <w:r>
        <w:t>The low‐cost, structurally robust 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polyanionic cathode for sodium‐ion batteries is constrained by electronic insulation and sluggish Na</w:t>
      </w:r>
      <w:r>
        <w:t xml:space="preserve"> </w:t>
      </w:r>
      <w:r>
        <w:t>+</w:t>
      </w:r>
      <w:r>
        <w:t xml:space="preserve"> </w:t>
      </w:r>
      <w:r>
        <w:t>transport. Herein, a spin‐state‐engineered cathode, Na</w:t>
      </w:r>
      <w:r>
        <w:rPr>
          <w:vertAlign w:val="subscript"/>
        </w:rPr>
        <w:t>4</w:t>
      </w:r>
      <w:r>
        <w:t>Fe</w:t>
      </w:r>
      <w:r>
        <w:t xml:space="preserve"> </w:t>
      </w:r>
      <w:r>
        <w:t>2.94</w:t>
      </w:r>
      <w:r>
        <w:t xml:space="preserve"> </w:t>
      </w:r>
      <w:r>
        <w:t>Mo</w:t>
      </w:r>
      <w:r>
        <w:t xml:space="preserve"> </w:t>
      </w:r>
      <w:r>
        <w:t>0.03</w:t>
      </w:r>
      <w:r>
        <w:t xml:space="preserve"> </w:t>
      </w:r>
      <w:r>
        <w:t>Co</w:t>
      </w:r>
      <w:r>
        <w:t xml:space="preserve"> </w:t>
      </w:r>
      <w:r>
        <w:t>0.03</w:t>
      </w:r>
      <w:r>
        <w:t xml:space="preserve"> </w:t>
      </w:r>
      <w:r>
        <w:t>(PO</w:t>
      </w:r>
      <w:r>
        <w:rPr>
          <w:vertAlign w:val="subscript"/>
        </w:rPr>
        <w:t>4</w:t>
      </w:r>
      <w:r>
        <w:t>)</w:t>
      </w:r>
      <w:r>
        <w:rPr>
          <w:vertAlign w:val="subscript"/>
        </w:rPr>
        <w:t>2</w:t>
      </w:r>
      <w:r>
        <w:t>P</w:t>
      </w:r>
      <w:r>
        <w:rPr>
          <w:vertAlign w:val="subscript"/>
        </w:rPr>
        <w:t>2</w:t>
      </w:r>
      <w:r>
        <w:t>O</w:t>
      </w:r>
      <w:r>
        <w:rPr>
          <w:vertAlign w:val="subscript"/>
        </w:rPr>
        <w:t>7</w:t>
      </w:r>
      <w:r>
        <w:t>(MC‐NFPP), is developed to modulate the local electronic structure of Fe, thereby unlocking additional unpaired electrons to simultaneously enhance intrinsic charge transport and lattice stability. The high‐valence Mo</w:t>
      </w:r>
      <w:r>
        <w:t xml:space="preserve"> </w:t>
      </w:r>
      <w:r>
        <w:t>6+</w:t>
      </w:r>
      <w:r>
        <w:t xml:space="preserve"> </w:t>
      </w:r>
      <w:r>
        <w:t>weakens the local ligand field via the inductive effect, while Co</w:t>
      </w:r>
      <w:r>
        <w:t xml:space="preserve"> </w:t>
      </w:r>
      <w:r>
        <w:t>2+</w:t>
      </w:r>
      <w:r>
        <w:t xml:space="preserve"> </w:t>
      </w:r>
      <w:r>
        <w:t>promotes spin reconfiguration through magnetic exchange interactions. This design induces a profound electronic reconfiguration, driving the transition of Fe from an intermediate‐spin (IS) to a high‐spin (HS) state (with the HS‐Fe</w:t>
      </w:r>
      <w:r>
        <w:t xml:space="preserve"> </w:t>
      </w:r>
      <w:r>
        <w:t>2+</w:t>
      </w:r>
      <w:r>
        <w:t xml:space="preserve"> </w:t>
      </w:r>
      <w:r>
        <w:t>fraction rising from 65.0% to 79.2%), which concurrently narrows the bandgap and lowers the Na</w:t>
      </w:r>
      <w:r>
        <w:t xml:space="preserve"> </w:t>
      </w:r>
      <w:r>
        <w:t>+</w:t>
      </w:r>
      <w:r>
        <w:t xml:space="preserve"> </w:t>
      </w:r>
      <w:r>
        <w:t>migration barrier. Meanwhile, the increased fraction of flexible HS‐state FeO</w:t>
      </w:r>
      <w:r>
        <w:rPr>
          <w:vertAlign w:val="subscript"/>
        </w:rPr>
        <w:t>6</w:t>
      </w:r>
      <w:r>
        <w:t>octahedra activates a spin‐regulated structural breathing effect, enabling rapid relaxation of distorted [P</w:t>
      </w:r>
      <w:r>
        <w:rPr>
          <w:vertAlign w:val="subscript"/>
        </w:rPr>
        <w:t>2</w:t>
      </w:r>
      <w:r>
        <w:t>O</w:t>
      </w:r>
      <w:r>
        <w:rPr>
          <w:vertAlign w:val="subscript"/>
        </w:rPr>
        <w:t>7</w:t>
      </w:r>
      <w:r>
        <w:t>] units and markedly reducing unit cell volume fluctuation from 5.78% to 3.89%, thus ensuring robust structural resilience. Consequently, MC‐NFPP achieves a high reversible capacity of 89.2 mAh g</w:t>
      </w:r>
      <w:r>
        <w:t xml:space="preserve"> </w:t>
      </w:r>
      <w:r>
        <w:t>−1</w:t>
      </w:r>
      <w:r>
        <w:t xml:space="preserve"> </w:t>
      </w:r>
      <w:r>
        <w:t>at 30 C and retains 96.8% capacity after 1200 cycles in full cells. This spin‐state regulation effectively overcomes the intrinsic kinetic and structural bottlenecks of polyanionic cathodes, providing a viable pathway for their practical deployment.</w:t>
      </w:r>
    </w:p>
    <w:p>
      <w:pPr>
        <w:spacing w:before="120" w:after="120"/>
      </w:pPr>
      <w:r>
        <w:rPr>
          <w:sz w:val="18"/>
        </w:rPr>
        <w:t>——————————————————————————————————————————————————————————————————————</w:t>
      </w:r>
    </w:p>
    <w:p>
      <w:pPr>
        <w:spacing w:before="160" w:after="40" w:line="240" w:lineRule="auto"/>
      </w:pPr>
      <w:r>
        <w:rPr>
          <w:b/>
        </w:rPr>
        <w:t xml:space="preserve">[12] </w:t>
      </w:r>
      <w:hyperlink r:id="rId127">
        <w:r>
          <w:rPr>
            <w:color w:val="1155CC"/>
            <w:u w:val="single"/>
          </w:rPr>
          <w:t>具有动态质子碘调制的氧化还原催化对甲苯醌用于高容量和耐用的 Zn-I2 电池</w:t>
        </w:r>
      </w:hyperlink>
    </w:p>
    <w:p>
      <w:pPr>
        <w:spacing w:before="0" w:after="80"/>
      </w:pPr>
      <w:r>
        <w:rPr>
          <w:i/>
          <w:sz w:val="20"/>
        </w:rPr>
        <w:t>EN: Redox‐Catalytic p‐Toluquinone With Dynamic Proton‐Iodine Modulation for High‐Capacity and Durable Zn–I2 Battery</w:t>
      </w:r>
    </w:p>
    <w:p>
      <w:pPr>
        <w:spacing w:before="0" w:after="120"/>
      </w:pPr>
      <w:r>
        <w:rPr>
          <w:b/>
        </w:rPr>
        <w:t xml:space="preserve">Source: </w:t>
      </w:r>
      <w:r>
        <w:t>Wiley: Advanced Energy Materials: Table of Contents</w:t>
      </w:r>
      <w:r>
        <w:t xml:space="preserve">    </w:t>
      </w:r>
      <w:r>
        <w:rPr>
          <w:b/>
        </w:rPr>
        <w:t xml:space="preserve">Pub date: </w:t>
      </w:r>
      <w:r>
        <w:t>2026-08-15 14:41:02+00:00</w:t>
      </w:r>
      <w:r>
        <w:t xml:space="preserve">    </w:t>
      </w:r>
      <w:r>
        <w:rPr>
          <w:b/>
        </w:rPr>
        <w:t xml:space="preserve">DOI: </w:t>
      </w:r>
      <w:hyperlink r:id="rId128">
        <w:r>
          <w:rPr>
            <w:color w:val="1155CC"/>
            <w:u w:val="single"/>
          </w:rPr>
          <w:t>10.1002/aenm.71407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水性Zn─I</w:t>
      </w:r>
      <w:r>
        <w:rPr>
          <w:vertAlign w:val="subscript"/>
        </w:rPr>
        <w:t>2</w:t>
      </w:r>
      <w:r>
        <w:t>电池为实现无风险、成本效益和可持续能源存储提供了一条有吸引力的途径。然而，它们的实际实施受到缓慢的碘转化动力学和严重的多碘化物穿梭的挑战的阻碍。在此，我们报道了一种限制在多孔活性炭（表示为TQ@AC）上的生物源对甲苯醌（TQ）作为氧化还原催化阴极，利用其醌基骨架和羰基氧化还原中心来同时稳定TQ氧化还原循环并提高碘转化效率。根据原位/异位分析和理论计算相结合，TQ中的羰基作为质子存储位点，在电池工作过程中经历可逆质子耦合电子转移（PCET）过程。此外，质子化的羰基位点通过质子驱动的C=O/C─OH反应有效限制碘物种，并催化高度可逆的碘转化，实现四电子质子-碘双氧化还原机制。因此，电解Zn─I</w:t>
      </w:r>
      <w:r>
        <w:rPr>
          <w:vertAlign w:val="subscript"/>
        </w:rPr>
        <w:t>2</w:t>
      </w:r>
      <w:r>
        <w:t>基于 TQ@AC 正极的电池容量高达 410 mAh g</w:t>
      </w:r>
      <w:r>
        <w:t xml:space="preserve"> </w:t>
      </w:r>
      <w:r>
        <w:t>−1</w:t>
      </w:r>
      <w:r>
        <w:t xml:space="preserve"> </w:t>
      </w:r>
      <w:r>
        <w:t>，卓越的倍率性能，并在 63,000 次循环后实现 85% 的容量保持率。此外，软包电池在-15°C–45°C范围内出色的工作稳定性和优异的耐温性强调了其实际适用性，突出了有机碘协同调节对先进技术的有效性。</w:t>
      </w:r>
    </w:p>
    <w:p>
      <w:pPr>
        <w:spacing w:before="0" w:after="200" w:lineRule="auto" w:line="276"/>
      </w:pPr>
      <w:r>
        <w:rPr>
          <w:b/>
        </w:rPr>
        <w:t xml:space="preserve">Abstract (EN): </w:t>
      </w:r>
      <w:r>
        <w:t>Aqueous Zn─I</w:t>
      </w:r>
      <w:r>
        <w:rPr>
          <w:vertAlign w:val="subscript"/>
        </w:rPr>
        <w:t>2</w:t>
      </w:r>
      <w:r>
        <w:t>batteries offer an attractive route toward risk‐free, cost‐efficient, and sustainable energy storage. However, their practical implementation is hindered by the challenges of sluggish iodine conversion kinetics and severe polyiodide shuttling. Herein, we reported a bio‐derived p‐toluquinone (TQ) confined onto porous activated carbon (denoted as TQ@AC) as redox‐catalytic cathode that leverages its quinoid backbone and carbonyl redox centers to simultaneously stabilize TQ redox cycling and boost iodine conversion efficiency. According to a combination of in/ex situ analyses and theoretical calculations, carbonyl groups within TQ serve as proton storage sites, and undergo reversible proton‐coupled electron transfer (PCET) process during battery working. Moreover, protonated carbonyl sites effectively confine iodine species via proton‐driven C═O/C─OH reaction and catalyze highly‐reversible iodine conversion, achieving a four‐electron proton‐iodine dual‐redox mechanism. Therefore, electrolytic Zn─I</w:t>
      </w:r>
      <w:r>
        <w:rPr>
          <w:vertAlign w:val="subscript"/>
        </w:rPr>
        <w:t>2</w:t>
      </w:r>
      <w:r>
        <w:t>battery based on TQ@AC cathode delivers an impressive capacity of 410 mAh g</w:t>
      </w:r>
      <w:r>
        <w:t xml:space="preserve"> </w:t>
      </w:r>
      <w:r>
        <w:t>−1</w:t>
      </w:r>
      <w:r>
        <w:t xml:space="preserve"> </w:t>
      </w:r>
      <w:r>
        <w:t>, superior rate capability and achieves 85% capacity retention over 63 000 cycles. Additionally, the outstanding working stability and excellent temperature tolerance of the pouch cell within −15°C–45°C underscore its practical applicability, highlighting the effectiveness of synergistic organic‐iodine modulation for advanced Zn‐halogen batteries.</w:t>
      </w:r>
    </w:p>
    <w:p>
      <w:pPr>
        <w:spacing w:before="120" w:after="120"/>
      </w:pPr>
      <w:r>
        <w:rPr>
          <w:sz w:val="18"/>
        </w:rPr>
        <w:t>——————————————————————————————————————————————————————————————————————</w:t>
      </w:r>
    </w:p>
    <w:p>
      <w:pPr>
        <w:spacing w:before="160" w:after="40" w:line="240" w:lineRule="auto"/>
      </w:pPr>
      <w:r>
        <w:rPr>
          <w:b/>
        </w:rPr>
        <w:t xml:space="preserve">[13] </w:t>
      </w:r>
      <w:hyperlink r:id="rId129">
        <w:r>
          <w:rPr>
            <w:color w:val="1155CC"/>
            <w:u w:val="single"/>
          </w:rPr>
          <w:t>下一代锂离子电池的超高负载正极</w:t>
        </w:r>
      </w:hyperlink>
    </w:p>
    <w:p>
      <w:pPr>
        <w:spacing w:before="0" w:after="80"/>
      </w:pPr>
      <w:r>
        <w:rPr>
          <w:i/>
          <w:sz w:val="20"/>
        </w:rPr>
        <w:t>EN: Ultrahigh‐Loading Cathodes for Next‐Generation Lithium‐Ion Batteries</w:t>
      </w:r>
    </w:p>
    <w:p>
      <w:pPr>
        <w:spacing w:before="0" w:after="120"/>
      </w:pPr>
      <w:r>
        <w:rPr>
          <w:b/>
        </w:rPr>
        <w:t xml:space="preserve">Source: </w:t>
      </w:r>
      <w:r>
        <w:t>Wiley: Advanced Energy Materials: Table of Contents</w:t>
      </w:r>
      <w:r>
        <w:t xml:space="preserve">    </w:t>
      </w:r>
      <w:r>
        <w:rPr>
          <w:b/>
        </w:rPr>
        <w:t xml:space="preserve">Pub date: </w:t>
      </w:r>
      <w:r>
        <w:t>2026-08-15 14:41:36+00:00</w:t>
      </w:r>
      <w:r>
        <w:t xml:space="preserve">    </w:t>
      </w:r>
      <w:r>
        <w:rPr>
          <w:b/>
        </w:rPr>
        <w:t xml:space="preserve">DOI: </w:t>
      </w:r>
      <w:hyperlink r:id="rId130">
        <w:r>
          <w:rPr>
            <w:color w:val="1155CC"/>
            <w:u w:val="single"/>
          </w:rPr>
          <w:t>10.1002/aenm.71439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高负载正极是提高锂离子电池能量密度的关键途径。厚电极的设计可以通过最大限度地减少器件级别的非活性成分的比例来显着增加电极活性材料的负载量。然而，仍然需要付出相当大的努力来解决随着电极厚度增加而出现的挑战。本综述概述了超高负载阴极面临的共同挑战，重点关注不同阴极系统中厚电极的关键降解机制和最新进展。还讨论了实际电池水平的限制，并评估了各种修改策略和新兴制造工艺的工业可行性。最后，对超高负载正极的未来发展和研究方向提出建议。</w:t>
      </w:r>
    </w:p>
    <w:p>
      <w:pPr>
        <w:spacing w:before="0" w:after="200" w:lineRule="auto" w:line="276"/>
      </w:pPr>
      <w:r>
        <w:rPr>
          <w:b/>
        </w:rPr>
        <w:t xml:space="preserve">Abstract (EN): </w:t>
      </w:r>
      <w:r>
        <w:t>Ultrahigh‐loading cathodes are a key pathway to boosting the energy density of lithium‐ion batteries. The design of thick electrodes can significantly increase the loading of electrode active materials by minimizing the proportion of inactive components at the device level. However, considerable effort is still required to address the challenges that arise as the electrode thickness increases. This review outlines the common challenges faced by ultra‐high‐loading cathodes, focusing on the key degradation mechanisms of thick electrodes in different cathode systems and the latest advances. The constraints at the practical cell level are also discussed, and the industrial feasibility of various modification strategies and emerging fabrication processes is evaluated. Finally, suggestions on the future directions of ultrahigh‐loading cathode development and research are provided.</w:t>
      </w:r>
    </w:p>
    <w:p>
      <w:pPr>
        <w:spacing w:before="120" w:after="120"/>
      </w:pPr>
      <w:r>
        <w:rPr>
          <w:sz w:val="18"/>
        </w:rPr>
        <w:t>——————————————————————————————————————————————————————————————————————</w:t>
      </w:r>
    </w:p>
    <w:p>
      <w:pPr>
        <w:spacing w:before="160" w:after="40" w:line="240" w:lineRule="auto"/>
      </w:pPr>
      <w:r>
        <w:rPr>
          <w:b/>
        </w:rPr>
        <w:t xml:space="preserve">[14] </w:t>
      </w:r>
      <w:hyperlink r:id="rId131">
        <w:r>
          <w:rPr>
            <w:color w:val="1155CC"/>
            <w:u w:val="single"/>
          </w:rPr>
          <w:t>耐用钠离子电池的双驱动阴极电解质相间调节</w:t>
        </w:r>
      </w:hyperlink>
    </w:p>
    <w:p>
      <w:pPr>
        <w:spacing w:before="0" w:after="80"/>
      </w:pPr>
      <w:r>
        <w:rPr>
          <w:i/>
          <w:sz w:val="20"/>
        </w:rPr>
        <w:t>EN: Dual-Driven Cathode Electrolyte Interphase Regulation for Durable Sodium-Ion Batteries</w:t>
      </w:r>
    </w:p>
    <w:p>
      <w:pPr>
        <w:spacing w:before="0" w:after="120"/>
      </w:pPr>
      <w:r>
        <w:rPr>
          <w:b/>
        </w:rPr>
        <w:t xml:space="preserve">Source: </w:t>
      </w:r>
      <w:r>
        <w:t>ACS Energy Letters: Latest Articles (ACS Publications)</w:t>
      </w:r>
      <w:r>
        <w:t xml:space="preserve">    </w:t>
      </w:r>
      <w:r>
        <w:rPr>
          <w:b/>
        </w:rPr>
        <w:t xml:space="preserve">Pub date: </w:t>
      </w:r>
      <w:r>
        <w:t>2026-08-16 00:00:00+00:00</w:t>
      </w:r>
      <w:r>
        <w:t xml:space="preserve">    </w:t>
      </w:r>
      <w:r>
        <w:rPr>
          <w:b/>
        </w:rPr>
        <w:t xml:space="preserve">DOI: </w:t>
      </w:r>
      <w:hyperlink r:id="rId132">
        <w:r>
          <w:rPr>
            <w:color w:val="1155CC"/>
            <w:u w:val="single"/>
          </w:rPr>
          <w:t>10.1021/acsenergylett.6c02224</w:t>
        </w:r>
      </w:hyperlink>
    </w:p>
    <w:p>
      <w:pPr>
        <w:spacing w:before="0" w:after="120"/>
      </w:pPr>
      <w:r>
        <w:rPr>
          <w:b/>
        </w:rPr>
        <w:t xml:space="preserve">Notes: </w:t>
      </w:r>
      <w:r>
        <w:t>abstract_source=crossref</w:t>
      </w:r>
    </w:p>
    <w:p>
      <w:pPr>
        <w:spacing w:before="0" w:after="80" w:lineRule="auto" w:line="276"/>
      </w:pPr>
      <w:r>
        <w:rPr>
          <w:b/>
        </w:rPr>
        <w:t xml:space="preserve">摘要（ZH）: </w:t>
      </w:r>
      <w:r>
        <w:t>摘要 保护性不足的阴极电解质界面（CEI）仍然是钠离子电池面临的一个关键挑战，特别是在宽温度条件下。传统的 CEI 形成添加剂依赖于充电过程中电势驱动的分解，导致阴极表面在极化前变得脆弱。在这里，我们使用 N-氟苯磺酰亚胺 (NFSI) 开发了一种双驱动 CEI 调节策略，将接触驱动预形成与电位驱动强化相结合。当与 Na4Fe3(PO4)2P2O7 (NFPP) 接触时，NFSI 会引发自发的界面氧化还原反应，生成富含 NaF 的内层，而中间体 NaNSI 随后在充电过程中被氧化，形成含 N/S 的外层。这种双层 CEI 可抑制电解质分解、过渡金属溶解和界面降解，同时改善 Na+ 传输。 NFSI 含量为 1.0 wt% 时，NFPP/Na 电池在 500 次循环后仍保留 79.9% 的容量，而基础电解质的容量为 45.8%，并且在 –20 至 80 °C 范围内保持循环能力。该策略在其他阴极和 NFPP||HC 全电池中得到了进一步验证，为耐用钠离子电池提供了一种可编程方法。</w:t>
      </w:r>
    </w:p>
    <w:p>
      <w:pPr>
        <w:spacing w:before="0" w:after="200" w:lineRule="auto" w:line="276"/>
      </w:pPr>
      <w:r>
        <w:rPr>
          <w:b/>
        </w:rPr>
        <w:t xml:space="preserve">Abstract (EN): </w:t>
      </w:r>
      <w:r>
        <w:t>The insufficiently protective cathode electrolyte interphase (CEI) remains a critical challenge for sodium-ion batteries, particularly under wide temperature conditions. Conventional CEI-forming additives rely on potential-driven decomposition during charging, leaving the cathode surface vulnerable before polarization. Here, we develop a dual-driven CEI regulation strategy using N-fluorobenzenesulfonimide (NFSI), integrating contact-driven preformation with potential-driven reinforcement. Upon contact with Na4Fe3(PO4)2P2O7 (NFPP), NFSI induces spontaneous interfacial redox reactions to generate a NaF-rich inner layer, while the intermediate NaNSI is subsequently oxidized to form an N/S-containing outer layer during charging. This bilayer CEI suppresses electrolyte decomposition, transition-metal dissolution, and interfacial degradation while improving Na+ transport. With 1.0 wt % NFSI, NFPP/Na cells retain 79.9% capacity after 500 cycles, compared with 45.8% for the base electrolyte, and maintain cycling capability from –20 to 80 °C. The strategy is further validated in other cathodes and NFPP||HC full cells, providing a programmable approach for durable sodium-ion batteries.</w:t>
      </w:r>
    </w:p>
    <w:p>
      <w:pPr>
        <w:spacing w:before="120" w:after="120"/>
      </w:pPr>
      <w:r>
        <w:rPr>
          <w:sz w:val="18"/>
        </w:rPr>
        <w:t>——————————————————————————————————————————————————————————————————————</w:t>
      </w:r>
    </w:p>
    <w:p>
      <w:pPr>
        <w:spacing w:before="160" w:after="40" w:line="240" w:lineRule="auto"/>
      </w:pPr>
      <w:r>
        <w:rPr>
          <w:b/>
        </w:rPr>
        <w:t xml:space="preserve">[15] </w:t>
      </w:r>
      <w:hyperlink r:id="rId133">
        <w:r>
          <w:rPr>
            <w:color w:val="1155CC"/>
            <w:u w:val="single"/>
          </w:rPr>
          <w:t>走向稳健的阴离子衍生界面：一种用于高压快速充电钠电池的新型三元溶剂电解质</w:t>
        </w:r>
      </w:hyperlink>
    </w:p>
    <w:p>
      <w:pPr>
        <w:spacing w:before="0" w:after="80"/>
      </w:pPr>
      <w:r>
        <w:rPr>
          <w:i/>
          <w:sz w:val="20"/>
        </w:rPr>
        <w:t>EN: Toward Robust Anion‐Derived Interphases: A Novel Ternary‐Solvent Electrolyte for High‐Voltage Fast‐Charging Sodium Batteries</w:t>
      </w:r>
    </w:p>
    <w:p>
      <w:pPr>
        <w:spacing w:before="0" w:after="120"/>
      </w:pPr>
      <w:r>
        <w:rPr>
          <w:b/>
        </w:rPr>
        <w:t xml:space="preserve">Source: </w:t>
      </w:r>
      <w:r>
        <w:t>Wiley: Angewandte Chemie International Edition: Table of Contents</w:t>
      </w:r>
      <w:r>
        <w:t xml:space="preserve">    </w:t>
      </w:r>
      <w:r>
        <w:rPr>
          <w:b/>
        </w:rPr>
        <w:t xml:space="preserve">Pub date: </w:t>
      </w:r>
      <w:r>
        <w:t>2026-08-16 16:28:12+00:00</w:t>
      </w:r>
      <w:r>
        <w:t xml:space="preserve">    </w:t>
      </w:r>
      <w:r>
        <w:rPr>
          <w:b/>
        </w:rPr>
        <w:t xml:space="preserve">DOI: </w:t>
      </w:r>
      <w:hyperlink r:id="rId134">
        <w:r>
          <w:rPr>
            <w:color w:val="1155CC"/>
            <w:u w:val="single"/>
          </w:rPr>
          <w:t>10.1002/anie.3464448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传统的碳酸盐电解质存在严重的氧化分解和NaNi不稳定的界面</w:t>
      </w:r>
      <w:r>
        <w:t xml:space="preserve"> </w:t>
      </w:r>
      <w:r>
        <w:t>1/3</w:t>
      </w:r>
      <w:r>
        <w:t xml:space="preserve"> </w:t>
      </w:r>
      <w:r>
        <w:t>铁</w:t>
      </w:r>
      <w:r>
        <w:t xml:space="preserve"> </w:t>
      </w:r>
      <w:r>
        <w:t>1/3</w:t>
      </w:r>
      <w:r>
        <w:t xml:space="preserve"> </w:t>
      </w:r>
      <w:r>
        <w:t>锰</w:t>
      </w:r>
      <w:r>
        <w:t xml:space="preserve"> </w:t>
      </w:r>
      <w:r>
        <w:t>1/3</w:t>
      </w:r>
      <w:r>
        <w:t xml:space="preserve"> </w:t>
      </w:r>
      <w:r>
        <w:t>氧</w:t>
      </w:r>
      <w:r>
        <w:rPr>
          <w:vertAlign w:val="subscript"/>
        </w:rPr>
        <w:t>2</w:t>
      </w:r>
      <w:r>
        <w:t>高电压和快速充电条件下的（NaNFM）阴极。在此，通过利用环丁砜（SL）、碳酸二甲酯（DMC）和乙氧基（五氟）环三磷腈（PFPN）溶剂的协同溶剂化结构调节设计了阴离子衍生的界面策略。在新型电解质（表示为SDP）中，SL与Na竞争性配位</w:t>
      </w:r>
      <w:r>
        <w:t xml:space="preserve"> </w:t>
      </w:r>
      <w:r>
        <w:t>+</w:t>
      </w:r>
      <w:r>
        <w:t xml:space="preserve"> </w:t>
      </w:r>
      <w:r>
        <w:t>抑制 DMC 氧化，而 PFPN 作为游离共溶剂以保持相间稳定性。重要的是，协同相互作用促进阴离子（PF</w:t>
      </w:r>
      <w:r>
        <w:rPr>
          <w:vertAlign w:val="subscript"/>
        </w:rPr>
        <w:t>6</w:t>
      </w:r>
      <w:r>
        <w:t>-</w:t>
      </w:r>
      <w:r>
        <w:t>）进入初级溶剂化鞘层，诱导阴离子和溶剂优先分解，形成无机、富含阴离子的阴极电解质界面（CEI），具有高机械模量（19.967 GPa）和均匀厚度（∼7 nm）。因此，SDP 具有良好的循环稳定性（在 3 C、2–4.1 V 下循环 300 次后容量保持率为 85.72%）、高初始库仑效率（92.03%）和卓越的倍率容量（57.83 mAh g）</w:t>
      </w:r>
      <w:r>
        <w:t xml:space="preserve"> </w:t>
      </w:r>
      <w:r>
        <w:t>−1</w:t>
      </w:r>
      <w:r>
        <w:t xml:space="preserve"> </w:t>
      </w:r>
      <w:r>
        <w:t>20°C）。此外，SDP 可有效减轻颗粒破裂、过渡金属溶解和气体逸出 (H</w:t>
      </w:r>
      <w:r>
        <w:rPr>
          <w:vertAlign w:val="subscript"/>
        </w:rPr>
        <w:t>2</w:t>
      </w:r>
    </w:p>
    <w:p>
      <w:pPr>
        <w:spacing w:before="0" w:after="200" w:lineRule="auto" w:line="276"/>
      </w:pPr>
      <w:r>
        <w:rPr>
          <w:b/>
        </w:rPr>
        <w:t xml:space="preserve">Abstract (EN): </w:t>
      </w:r>
      <w:r>
        <w:t>Conventional carbonate electrolytes suffer from severe oxidative decomposition and unstable interphases for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(NaNFM) cathode under high‐voltage and fast‐charging condition. Herein, an anion‐derived interphase strategy is designed via synergistic solvation structure regulation utilizing sulfolane (SL), dimethyl carbonate (DMC), and ethoxy(pentafluoro)cyclotriphosphazene (PFPN) solvents. In the novel electrolyte (denoted as SDP), SL competitively coordinates with Na</w:t>
      </w:r>
      <w:r>
        <w:t xml:space="preserve"> </w:t>
      </w:r>
      <w:r>
        <w:t>+</w:t>
      </w:r>
      <w:r>
        <w:t xml:space="preserve"> </w:t>
      </w:r>
      <w:r>
        <w:t>to suppress DMC oxidation, while PFPN acts as a free co‐solvent for interphase stability. Critically, the synergistic interactions promote anion (PF</w:t>
      </w:r>
      <w:r>
        <w:rPr>
          <w:vertAlign w:val="subscript"/>
        </w:rPr>
        <w:t>6</w:t>
      </w:r>
      <w:r>
        <w:t>−</w:t>
      </w:r>
      <w:r>
        <w:t>) entry into the primary solvation sheath, inducing preferential decomposition of anion and solvents to form an inorganic, anion‐rich cathode–electrolyte interphase (CEI) with high mechanical modulus (19.967 GPa) and uniform thickness (∼7 nm). Consequently, SDP delivers favorable cycling stability (85.72% capacity retention after 300 cycles at 3 C, 2–4.1 V), high initial coulombic efficiency (92.03%), and superior rate capacity (57.83 mAh g</w:t>
      </w:r>
      <w:r>
        <w:t xml:space="preserve"> </w:t>
      </w:r>
      <w:r>
        <w:t>−1</w:t>
      </w:r>
      <w:r>
        <w:t xml:space="preserve"> </w:t>
      </w:r>
      <w:r>
        <w:t>at 20 C). Furthermore, SDP effectively mitigates particle cracking, transition metals dissolution, and gas evolution (H</w:t>
      </w:r>
      <w:r>
        <w:rPr>
          <w:vertAlign w:val="subscript"/>
        </w:rPr>
        <w:t>2</w:t>
      </w:r>
      <w:r>
        <w:t>and CO</w:t>
      </w:r>
      <w:r>
        <w:rPr>
          <w:vertAlign w:val="subscript"/>
        </w:rPr>
        <w:t>2</w:t>
      </w:r>
      <w:r>
        <w:t>), while demonstrating broad compatibility with various layered oxide and polyanionic cathode materials. This work provides a rational electrolyte design strategy to construct a stable anion‐derived CEI by manipulating the electrolyte structure of anion and solvents.</w:t>
      </w:r>
    </w:p>
    <w:p>
      <w:pPr>
        <w:spacing w:before="120" w:after="120"/>
      </w:pPr>
      <w:r>
        <w:rPr>
          <w:sz w:val="18"/>
        </w:rPr>
        <w:t>——————————————————————————————————————————————————————————————————————</w:t>
      </w:r>
    </w:p>
    <w:p>
      <w:pPr>
        <w:spacing w:before="160" w:after="40" w:line="240" w:lineRule="auto"/>
      </w:pPr>
      <w:r>
        <w:rPr>
          <w:b/>
        </w:rPr>
        <w:t xml:space="preserve">[16] </w:t>
      </w:r>
      <w:hyperlink r:id="rId135">
        <w:r>
          <w:rPr>
            <w:color w:val="1155CC"/>
            <w:u w:val="single"/>
          </w:rPr>
          <w:t>深入了解全固态锂电池中氧化物阴极活性材料/硫化物基固态电解质界面：耦合机械和（电）化学视角</w:t>
        </w:r>
      </w:hyperlink>
    </w:p>
    <w:p>
      <w:pPr>
        <w:spacing w:before="0" w:after="80"/>
      </w:pPr>
      <w:r>
        <w:rPr>
          <w:i/>
          <w:sz w:val="20"/>
        </w:rPr>
        <w:t>EN: Insights into the Oxide Cathode Active Material/Sulfide-Based Solid-State Electrolyte Interface in All-Solid-State Lithium Batteries: Coupling Mechanical and (Electro)chemical Perspectives</w:t>
      </w:r>
    </w:p>
    <w:p>
      <w:pPr>
        <w:spacing w:before="0" w:after="120"/>
      </w:pPr>
      <w:r>
        <w:rPr>
          <w:b/>
        </w:rPr>
        <w:t xml:space="preserve">Source: </w:t>
      </w:r>
      <w:r>
        <w:t>ACS Energy Letters: Latest Articles (ACS Publications)</w:t>
      </w:r>
      <w:r>
        <w:t xml:space="preserve">    </w:t>
      </w:r>
      <w:r>
        <w:rPr>
          <w:b/>
        </w:rPr>
        <w:t xml:space="preserve">Pub date: </w:t>
      </w:r>
      <w:r>
        <w:t>2026-08-17 00:00:00+00:00</w:t>
      </w:r>
      <w:r>
        <w:t xml:space="preserve">    </w:t>
      </w:r>
      <w:r>
        <w:rPr>
          <w:b/>
        </w:rPr>
        <w:t xml:space="preserve">DOI: </w:t>
      </w:r>
      <w:hyperlink r:id="rId136">
        <w:r>
          <w:rPr>
            <w:color w:val="1155CC"/>
            <w:u w:val="single"/>
          </w:rPr>
          <w:t>10.1021/acsenergylett.6c01559</w:t>
        </w:r>
      </w:hyperlink>
    </w:p>
    <w:p>
      <w:pPr>
        <w:spacing w:before="0" w:after="120"/>
      </w:pPr>
      <w:r>
        <w:rPr>
          <w:b/>
        </w:rPr>
        <w:t xml:space="preserve">Notes: </w:t>
      </w:r>
      <w:r>
        <w:t>abstract_source=crossref</w:t>
      </w:r>
    </w:p>
    <w:p>
      <w:pPr>
        <w:spacing w:before="0" w:after="80" w:lineRule="auto" w:line="276"/>
      </w:pPr>
      <w:r>
        <w:rPr>
          <w:b/>
        </w:rPr>
        <w:t xml:space="preserve">摘要（ZH）: </w:t>
      </w:r>
      <w:r>
        <w:t>摘要 全固态锂电池（ASSLB）具有安全可靠、能量密度高、循环稳定等特点，已进入重点开发和应用阶段。然而，阻碍其进一步商业化的主要挑战来自于阴极活性材料（CAM）/固态电解质（SSE）界面上复杂的机械-（电）化学耦合效应，这对界面接触完整性、离子传输效率以及整体电池性能和寿命至关重要。创新性地，这篇综述解耦并独立分析了两个核心退化途径：应力积累和结构演化引起的机械失效，以及空间电荷层（SCL）形成、元素扩散和界面反应驱动的（电）化学退化。相应的稳定策略受到严格评估，包括应变减轻设计，如单晶阴极、近零应变材料、可变形电解质和压力自适应组件，并通过涂层和缓冲层进行（电）化学钝化作为补充。最终，这项工作详细阐述了集成耦合机制，调查了先进的表征技术，并提出了未来的研究方向，为ASSLB的发展提供了理论和方法指导。</w:t>
      </w:r>
    </w:p>
    <w:p>
      <w:pPr>
        <w:spacing w:before="0" w:after="200" w:lineRule="auto" w:line="276"/>
      </w:pPr>
      <w:r>
        <w:rPr>
          <w:b/>
        </w:rPr>
        <w:t xml:space="preserve">Abstract (EN): </w:t>
      </w:r>
      <w:r>
        <w:t>All-solid-state lithium batteries (ASSLBs) feature reliable safety, high energy density, and stable cycling, stepping into the key development and application stage. However, a main challenge impeding their further commercialization arises from the complex mechano-(electro)chemical coupling effects at the cathode active material (CAM)/solid-state electrolyte (SSE) interface, which critically governs interfacial contact integrity, ion transport efficiency, and overall cell performance and lifespan. Innovatively, this review decouples and independently analyzes two core degradation pathways: mechanical failure induced by stress accumulation and structural evolution and (electro)chemical degradation driven by space charge layer (SCL) formation, elemental diffusion, and interfacial reactions. Corresponding stabilization strategies are critically evaluated, including strain-mitigating designs such as single-crystal cathodes, near-zero-strain materials, deformable electrolytes, and pressure-adaptive assembly, complemented by (electro)chemical passivation through coating and buffer layers. Ultimately, this work elaborates in detail on the integrated coupling mechanisms, surveys advanced characterization techniques, and proposes future research directions, offering theoretical and methodological guidance for ASSLB development.</w:t>
      </w:r>
    </w:p>
    <w:p>
      <w:pPr>
        <w:spacing w:before="120" w:after="120"/>
      </w:pPr>
      <w:r>
        <w:rPr>
          <w:sz w:val="18"/>
        </w:rPr>
        <w:t>——————————————————————————————————————————————————————————————————————</w:t>
      </w:r>
    </w:p>
    <w:p>
      <w:pPr>
        <w:spacing w:before="160" w:after="40" w:line="240" w:lineRule="auto"/>
      </w:pPr>
      <w:r>
        <w:rPr>
          <w:b/>
        </w:rPr>
        <w:t xml:space="preserve">[17] </w:t>
      </w:r>
      <w:hyperlink r:id="rId137">
        <w:r>
          <w:rPr>
            <w:color w:val="1155CC"/>
            <w:u w:val="single"/>
          </w:rPr>
          <w:t>水系锌离子电池高质量负载阴极的多尺度离子输运优化</w:t>
        </w:r>
      </w:hyperlink>
    </w:p>
    <w:p>
      <w:pPr>
        <w:spacing w:before="0" w:after="80"/>
      </w:pPr>
      <w:r>
        <w:rPr>
          <w:i/>
          <w:sz w:val="20"/>
        </w:rPr>
        <w:t>EN: Multiscale Ion Transport Optimization in High‐Mass‐Loading Cathodes for Aqueous Zinc‐Ion Batteries</w:t>
      </w:r>
    </w:p>
    <w:p>
      <w:pPr>
        <w:spacing w:before="0" w:after="120"/>
      </w:pPr>
      <w:r>
        <w:rPr>
          <w:b/>
        </w:rPr>
        <w:t xml:space="preserve">Source: </w:t>
      </w:r>
      <w:r>
        <w:t>Wiley: Advanced Materials: Table of Contents</w:t>
      </w:r>
      <w:r>
        <w:t xml:space="preserve">    </w:t>
      </w:r>
      <w:r>
        <w:rPr>
          <w:b/>
        </w:rPr>
        <w:t xml:space="preserve">Pub date: </w:t>
      </w:r>
      <w:r>
        <w:t>2026-08-17 08:49:36+00:00</w:t>
      </w:r>
      <w:r>
        <w:t xml:space="preserve">    </w:t>
      </w:r>
      <w:r>
        <w:rPr>
          <w:b/>
        </w:rPr>
        <w:t xml:space="preserve">DOI: </w:t>
      </w:r>
      <w:hyperlink r:id="rId138">
        <w:r>
          <w:rPr>
            <w:color w:val="1155CC"/>
            <w:u w:val="single"/>
          </w:rPr>
          <w:t>10.1002/adma.74658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质量负载阴极对于将水性锌离子电池（AZIB）从实验室演示转化为实际相关的能量存储设备至关重要，因为它们增加了电化学活性材料的比例，从而提高了设备级能量密度。然而，增加阴极负载和厚度同时加剧了电荷传输限制、电解质渗透不足和结构退化，导致严重极化、活性材料利用率差和性能快速衰减。在这篇综述中，我们提出了一个多尺度框架，用于理解和优化高质量负载 AZIB 阴极，涵盖微观尺度、介观尺度和宏观尺度。在微观尺度上，我们讨论了掺杂、空位和层间距调制如何调节电子结构、Zn</w:t>
      </w:r>
      <w:r>
        <w:t xml:space="preserve"> </w:t>
      </w:r>
      <w:r>
        <w:t>2+</w:t>
      </w:r>
      <w:r>
        <w:t xml:space="preserve"> </w:t>
      </w:r>
      <w:r>
        <w:t>活性材料的扩散和结构稳定性。在介观尺度上，我们研究了孔隙结构、阴极成分和制造策略，重点关注厚阴极中的孔隙率、弯曲度、电解质可及性和集成电荷传输。在宏观层面上，我们强调电极平衡和电解质管理对于将材料级进步转化为实际电池性能的重要性。我们进一步概述了新兴方向，包括操作表征、跨尺度建模、数据驱动的材料发现和可扩展制造。通过连接材料化学、电极结构、</w:t>
      </w:r>
    </w:p>
    <w:p>
      <w:pPr>
        <w:spacing w:before="0" w:after="200" w:lineRule="auto" w:line="276"/>
      </w:pPr>
      <w:r>
        <w:rPr>
          <w:b/>
        </w:rPr>
        <w:t xml:space="preserve">Abstract (EN): </w:t>
      </w:r>
      <w:r>
        <w:t>High‐mass‐loading cathodes are essential for translating aqueous zinc‐ion batteries (AZIBs) from laboratory demonstrations to practically relevant energy‐storage devices because they increase the fraction of electrochemically active materials and thereby improve device‐level energy density. However, increasing cathode loading and thickness simultaneously aggravates charge transport limitations, electrolyte infiltration insufficiency, and structural degradation, leading to severe polarization, poor active‐material utilization, and rapid performance decay. In this review, we present a multiscale framework for understanding and optimizing high‐mass‐loading AZIB cathodes, spanning the microscale, mesoscale, and macroscale. At the microscale, we discussed how doping, vacancy, and interlayer‐spacing modulation regulate electronic structure, Zn</w:t>
      </w:r>
      <w:r>
        <w:t xml:space="preserve"> </w:t>
      </w:r>
      <w:r>
        <w:t>2+</w:t>
      </w:r>
      <w:r>
        <w:t xml:space="preserve"> </w:t>
      </w:r>
      <w:r>
        <w:t>diffusion, and structural stability of active materials. At the mesoscale, we examine pore architecture, cathode components, and fabrication strategies, with emphasis on porosity, tortuosity, electrolyte accessibility, and integrated charge transport in thick cathodes. At the macroscale, we highlight the importance of electrode balancing and electrolyte management for translating material‐level advances into practical cell performance. We further outline emerging directions, including operando characterization, cross‐scale modeling, data‐driven materials discovery, and scalable manufacturing. By connecting material chemistry, electrode architecture, and device integration, this review provides a coherent roadmap for the rational design of high‐mass‐loading cathodes and the development of energy‐dense, commercially relevant AZIB systems.</w:t>
      </w:r>
    </w:p>
    <w:p>
      <w:pPr>
        <w:spacing w:before="120" w:after="120"/>
      </w:pPr>
      <w:r>
        <w:rPr>
          <w:sz w:val="18"/>
        </w:rPr>
        <w:t>——————————————————————————————————————————————————————————————————————</w:t>
      </w:r>
    </w:p>
    <w:p>
      <w:pPr>
        <w:spacing w:before="160" w:after="40" w:line="240" w:lineRule="auto"/>
      </w:pPr>
      <w:r>
        <w:rPr>
          <w:b/>
        </w:rPr>
        <w:t xml:space="preserve">[18] </w:t>
      </w:r>
      <w:hyperlink r:id="rId139">
        <w:r>
          <w:rPr>
            <w:color w:val="1155CC"/>
            <w:u w:val="single"/>
          </w:rPr>
          <w:t>溶液介导的可逆阴离子存储使高功率有机电池成为可能</w:t>
        </w:r>
      </w:hyperlink>
    </w:p>
    <w:p>
      <w:pPr>
        <w:spacing w:before="0" w:after="80"/>
      </w:pPr>
      <w:r>
        <w:rPr>
          <w:i/>
          <w:sz w:val="20"/>
        </w:rPr>
        <w:t>EN: Solution-mediated reversible anion storage enables high-power organic batteries</w:t>
      </w:r>
    </w:p>
    <w:p>
      <w:pPr>
        <w:spacing w:before="0" w:after="120"/>
      </w:pPr>
      <w:r>
        <w:rPr>
          <w:b/>
        </w:rPr>
        <w:t xml:space="preserve">Source: </w:t>
      </w:r>
      <w:r>
        <w:t>Joule</w:t>
      </w:r>
      <w:r>
        <w:t xml:space="preserve">    </w:t>
      </w:r>
      <w:r>
        <w:rPr>
          <w:b/>
        </w:rPr>
        <w:t xml:space="preserve">Pub date: </w:t>
      </w:r>
      <w:r>
        <w:t>2026-08-18 00:00:00+00:00</w:t>
      </w:r>
      <w:r>
        <w:t xml:space="preserve">    </w:t>
      </w:r>
      <w:r>
        <w:rPr>
          <w:b/>
        </w:rPr>
        <w:t xml:space="preserve">DOI: </w:t>
      </w:r>
      <w:hyperlink r:id="rId140">
        <w:r>
          <w:rPr>
            <w:color w:val="1155CC"/>
            <w:u w:val="single"/>
          </w:rPr>
          <w:t>10.1016/j.joule.2026.102633</w:t>
        </w:r>
      </w:hyperlink>
    </w:p>
    <w:p>
      <w:pPr>
        <w:spacing w:before="0" w:after="120"/>
      </w:pPr>
      <w:r>
        <w:rPr>
          <w:b/>
        </w:rPr>
        <w:t xml:space="preserve">Notes: </w:t>
      </w:r>
      <w:r>
        <w:t>abstract_source=rss_cell</w:t>
      </w:r>
    </w:p>
    <w:p>
      <w:pPr>
        <w:spacing w:before="0" w:after="80" w:lineRule="auto" w:line="276"/>
      </w:pPr>
      <w:r>
        <w:rPr>
          <w:b/>
        </w:rPr>
        <w:t xml:space="preserve">摘要（ZH）: </w:t>
      </w:r>
      <w:r>
        <w:t>实时观察表明，p 型有机电极通过溶液介导的氧化还原途径而不是传统的固态离子传输进行操作。反应通过短暂的溶剂化中间体进行，然后重结晶成带电相。这种机制解释了 p 型有机电池卓越的倍率性能和循环寿命。</w:t>
      </w:r>
    </w:p>
    <w:p>
      <w:pPr>
        <w:spacing w:before="0" w:after="200" w:lineRule="auto" w:line="276"/>
      </w:pPr>
      <w:r>
        <w:rPr>
          <w:b/>
        </w:rPr>
        <w:t xml:space="preserve">Abstract (EN): </w:t>
      </w:r>
      <w:r>
        <w:t>Real-time observations reveal that p-type organic electrodes operate through a solution-mediated redox pathway rather than conventional solid-state ion transport. The reaction proceeds through transient solvated intermediates, followed by recrystallization into the charged phase. This mechanism explains exceptional rate capability and cycle life in p-type organic batteries.</w:t>
      </w:r>
    </w:p>
    <w:p>
      <w:pPr>
        <w:spacing w:before="120" w:after="120"/>
      </w:pPr>
      <w:r>
        <w:rPr>
          <w:sz w:val="18"/>
        </w:rPr>
        <w:t>——————————————————————————————————————————————————————————————————————</w:t>
      </w:r>
    </w:p>
    <w:p>
      <w:pPr>
        <w:spacing w:before="160" w:after="40" w:line="240" w:lineRule="auto"/>
      </w:pPr>
      <w:r>
        <w:rPr>
          <w:b/>
        </w:rPr>
        <w:t xml:space="preserve">[19] </w:t>
      </w:r>
      <w:hyperlink r:id="rId141">
        <w:r>
          <w:rPr>
            <w:color w:val="1155CC"/>
            <w:u w:val="single"/>
          </w:rPr>
          <w:t>通过一体式高熵硫化物催化剂解锁全固态锂硫电池的高硫含量正极</w:t>
        </w:r>
      </w:hyperlink>
    </w:p>
    <w:p>
      <w:pPr>
        <w:spacing w:before="0" w:after="80"/>
      </w:pPr>
      <w:r>
        <w:rPr>
          <w:i/>
          <w:sz w:val="20"/>
        </w:rPr>
        <w:t>EN: Unlocking high-sulfur-content cathodes by an all-in-one high-entropy sulfide catalyst for all-solid-state Li-S batteries</w:t>
      </w:r>
    </w:p>
    <w:p>
      <w:pPr>
        <w:spacing w:before="0" w:after="120"/>
      </w:pPr>
      <w:r>
        <w:rPr>
          <w:b/>
        </w:rPr>
        <w:t xml:space="preserve">Source: </w:t>
      </w:r>
      <w:r>
        <w:t>National Science Review Advance Access</w:t>
      </w:r>
      <w:r>
        <w:t xml:space="preserve">    </w:t>
      </w:r>
      <w:r>
        <w:rPr>
          <w:b/>
        </w:rPr>
        <w:t xml:space="preserve">Pub date: </w:t>
      </w:r>
      <w:r>
        <w:t>2026-08-18 00:00:00+00:00</w:t>
      </w:r>
      <w:r>
        <w:t xml:space="preserve">    </w:t>
      </w:r>
      <w:r>
        <w:rPr>
          <w:b/>
        </w:rPr>
        <w:t xml:space="preserve">DOI: </w:t>
      </w:r>
      <w:hyperlink r:id="rId142">
        <w:r>
          <w:rPr>
            <w:color w:val="1155CC"/>
            <w:u w:val="single"/>
          </w:rPr>
          <w:t>10.1093/nsr/nwag501</w:t>
        </w:r>
      </w:hyperlink>
    </w:p>
    <w:p>
      <w:pPr>
        <w:spacing w:before="0" w:after="120"/>
      </w:pPr>
      <w:r>
        <w:rPr>
          <w:b/>
        </w:rPr>
        <w:t xml:space="preserve">Notes: </w:t>
      </w:r>
      <w:r>
        <w:t>abstract_source=rss_oup</w:t>
      </w:r>
    </w:p>
    <w:p>
      <w:pPr>
        <w:spacing w:before="0" w:after="80" w:lineRule="auto" w:line="276"/>
      </w:pPr>
      <w:r>
        <w:rPr>
          <w:b/>
        </w:rPr>
        <w:t xml:space="preserve">摘要（ZH）: </w:t>
      </w:r>
      <w:r>
        <w:t>过渡金属硫化物（TMS）催化是加速硫氧化还原动力学的一种有前景的策略，但其在全固态锂硫电池（ASSLSB）中的催化机制仍知之甚少。在这里，在转化型和插层型TMS催化剂中发现了两种不同的催化失效模式，分别是相分离驱动的催化剂自中毒和过渡金属迁移引起的电解质降解。在这些见解的指导下，我们开发了一种一体式高熵硫化物 (HES) 催化剂，该催化剂可通过固溶反应形成稳定的 Lix</w:t>
      </w:r>
    </w:p>
    <w:p>
      <w:pPr>
        <w:spacing w:before="0" w:after="200" w:lineRule="auto" w:line="276"/>
      </w:pPr>
      <w:r>
        <w:rPr>
          <w:b/>
        </w:rPr>
        <w:t xml:space="preserve">Abstract (EN): </w:t>
      </w:r>
      <w:r>
        <w:t>Transition-metal sulfide (TMS) catalysis is a promising strategy for accelerating sulfur redox kinetics, yet its catalytic mechanisms in all-solid-state lithium-sulfur batteries (ASSLSBs) remain poorly understood. Here, two distinct catalytic failure modes are identified in conversion-type and intercalation-type TMS catalysts, namely phase-separation-driven catalyst self-poisoning and transition-metal-migration-induced electrolyte degradation, respectively. Guided by these insights, we develop an all-in-one high-entropy sulfide (HES) catalyst that undergoes a solid-solution reaction to form a stable Lix</w:t>
      </w:r>
    </w:p>
    <w:p>
      <w:pPr>
        <w:spacing w:before="120" w:after="120"/>
      </w:pPr>
      <w:r>
        <w:rPr>
          <w:sz w:val="18"/>
        </w:rPr>
        <w:t>——————————————————————————————————————————————————————————————————————</w:t>
      </w:r>
    </w:p>
    <w:p>
      <w:pPr>
        <w:spacing w:before="160" w:after="40" w:line="240" w:lineRule="auto"/>
      </w:pPr>
      <w:r>
        <w:rPr>
          <w:b/>
        </w:rPr>
        <w:t xml:space="preserve">[20] </w:t>
      </w:r>
      <w:hyperlink r:id="rId143">
        <w:r>
          <w:rPr>
            <w:color w:val="1155CC"/>
            <w:u w:val="single"/>
          </w:rPr>
          <w:t>高镍阴极存储诱导降解的界面化学</w:t>
        </w:r>
      </w:hyperlink>
    </w:p>
    <w:p>
      <w:pPr>
        <w:spacing w:before="0" w:after="80"/>
      </w:pPr>
      <w:r>
        <w:rPr>
          <w:i/>
          <w:sz w:val="20"/>
        </w:rPr>
        <w:t>EN: Interfacial Chemistry of Storage-Induced Degradation in High-Nickel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44">
        <w:r>
          <w:rPr>
            <w:color w:val="1155CC"/>
            <w:u w:val="single"/>
          </w:rPr>
          <w:t>10.1021/jacs.6c06113</w:t>
        </w:r>
      </w:hyperlink>
    </w:p>
    <w:p>
      <w:pPr>
        <w:spacing w:before="0" w:after="120"/>
      </w:pPr>
      <w:r>
        <w:rPr>
          <w:b/>
        </w:rPr>
        <w:t xml:space="preserve">Notes: </w:t>
      </w:r>
      <w:r>
        <w:t>abstract_source=crossref</w:t>
      </w:r>
    </w:p>
    <w:p>
      <w:pPr>
        <w:spacing w:before="0" w:after="80" w:lineRule="auto" w:line="276"/>
      </w:pPr>
      <w:r>
        <w:rPr>
          <w:b/>
        </w:rPr>
        <w:t xml:space="preserve">摘要（ZH）: </w:t>
      </w:r>
      <w:r>
        <w:t>摘要电化学系统中的界面不稳定性仍然是一个基本挑战，特别是在高镍层状氧化物中，即使在接近平衡的条件下，活性表面也会驱动寄生化学。在这里，我们阐明了 LiNi0.8Mn0.1Co0.1O2 正极存储引起的降解的化学起源，表明电解质分解和界面 Ni 溶解是控制存储过程中容量损失的相关过程。基于这种机制洞察，我们通过将密度泛函理论与机器学习原子间势相结合，开发了一个用于工程阴极电解质界面（CEIs）的数据驱动框架。这种方法能够快速评估多种电解质添加剂的分子描述符。无监督聚类强调双草酸硼酸锂 (LiBOB) 和三氟甲亚磺酸锂是有效的 CEI 形成添加剂。实验验证证实，加入 0.05 M LiBOB 可以显着稳定界面，在 60 °C 储存 28 天后容量保留率从 82% 提高到 95.5%，并且在软包电池中表现一致。此外，使用弛豫时间分布分析评估界面稳定性，为评估 CEI 演化提供实用的描述符。这项工作建立了一种可推广的、数据驱动的策略，用于理解和控制亚稳态电化学系统中的界面反应性。</w:t>
      </w:r>
    </w:p>
    <w:p>
      <w:pPr>
        <w:spacing w:before="0" w:after="200" w:lineRule="auto" w:line="276"/>
      </w:pPr>
      <w:r>
        <w:rPr>
          <w:b/>
        </w:rPr>
        <w:t xml:space="preserve">Abstract (EN): </w:t>
      </w:r>
      <w:r>
        <w:t>Interfacial instability in electrochemical systems remains a fundamental challenge, particularly in high-nickel layered oxides where reactive surfaces drive parasitic chemistry even under near-equilibrium conditions. Here, we elucidate the chemical origins of storage-induced degradation in LiNi0.8Mn0.1Co0.1O2 cathodes, showing that electrolyte decomposition and interfacial Ni dissolution are correlated processes that govern capacity loss during storage. Building on this mechanistic insight, we develop a data-driven framework for engineering cathode–electrolyte interphases (CEIs) by integrating density functional theory with machine-learning interatomic potentials. This approach enables rapid evaluation of molecular descriptors for a diverse set of electrolyte additives. Unsupervised clustering highlights lithium bis(oxalato)borate (LiBOB) and lithium trifluoromethanesulfinate as effective CEI-forming additives. Experimental validation confirms that incorporating 0.05 M LiBOB significantly stabilizes the interface, improving capacity retention from 82% to 95.5% after 28 days of storage at 60 °C, with consistent behavior in a pouch cell. Furthermore, interfacial stability is assessed using distribution-of-relaxation-time analysis, providing a practical descriptor for evaluating CEI evolution. This work establishes a generalizable, data-driven strategy for understanding and controlling interfacial reactivity in metastable electrochemical systems.</w:t>
      </w:r>
    </w:p>
    <w:p>
      <w:pPr>
        <w:spacing w:before="120" w:after="120"/>
      </w:pPr>
      <w:r>
        <w:rPr>
          <w:sz w:val="18"/>
        </w:rPr>
        <w:t>——————————————————————————————————————————————————————————————————————</w:t>
      </w:r>
    </w:p>
    <w:p>
      <w:pPr>
        <w:spacing w:before="160" w:after="40" w:line="240" w:lineRule="auto"/>
      </w:pPr>
      <w:r>
        <w:rPr>
          <w:b/>
        </w:rPr>
        <w:t xml:space="preserve">[21] </w:t>
      </w:r>
      <w:hyperlink r:id="rId145">
        <w:r>
          <w:rPr>
            <w:color w:val="1155CC"/>
            <w:u w:val="single"/>
          </w:rPr>
          <w:t>层状氧化物阴极中滑动引起的堆垛层错</w:t>
        </w:r>
      </w:hyperlink>
    </w:p>
    <w:p>
      <w:pPr>
        <w:spacing w:before="0" w:after="80"/>
      </w:pPr>
      <w:r>
        <w:rPr>
          <w:i/>
          <w:sz w:val="20"/>
        </w:rPr>
        <w:t>EN: Gliding-Induced Stacking Faults in Layered Oxide Cathode</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46">
        <w:r>
          <w:rPr>
            <w:color w:val="1155CC"/>
            <w:u w:val="single"/>
          </w:rPr>
          <w:t>10.1021/jacs.6c10104</w:t>
        </w:r>
      </w:hyperlink>
    </w:p>
    <w:p>
      <w:pPr>
        <w:spacing w:before="0" w:after="120"/>
      </w:pPr>
      <w:r>
        <w:rPr>
          <w:b/>
        </w:rPr>
        <w:t xml:space="preserve">Notes: </w:t>
      </w:r>
      <w:r>
        <w:t>abstract_source=crossref</w:t>
      </w:r>
    </w:p>
    <w:p>
      <w:pPr>
        <w:spacing w:before="0" w:after="80" w:lineRule="auto" w:line="276"/>
      </w:pPr>
      <w:r>
        <w:rPr>
          <w:b/>
        </w:rPr>
        <w:t xml:space="preserve">摘要（ZH）: </w:t>
      </w:r>
      <w:r>
        <w:t>摘要 在层状氧化物阴极中，高电荷态的利用不可避免地会引发复杂的相变，并伴随着显着的平移对称性破缺。尽管原位 X 射线衍射长期以来一直被用来监测这些转变，但定量解决平面缺陷的随机性质仍然是一个艰巨的挑战。在这项工作中，我们建立了一个强大的分析框架，将堆垛层错与衍射图案关联起来，从而能够定量阐明一维堆垛无序。以典型的 P2 到 O2 转变为模型，我们证明了这种相变是由随机层间滑移控制的高度动态演化。通过理论和实验相结合的分析，我们揭示了P2到O2的转变是通过层间异步路线进行的，其特点是在中点有一个有序的OP6共生相，这是一种中间结构，在文献中由于忽略了晶胞周期性约束而经常被误认为是OP4。此外，通过构建和验证明确解释堆叠缺陷的结构模型，我们在层滑动、局部配位演化和随后的过渡金属迁移之间建立了定量联系。最终，所建立的描述符框架作为复杂结构演化中的标准化基线，使得相变行为的精确描述和定量比较成为可能。</w:t>
      </w:r>
    </w:p>
    <w:p>
      <w:pPr>
        <w:spacing w:before="0" w:after="200" w:lineRule="auto" w:line="276"/>
      </w:pPr>
      <w:r>
        <w:rPr>
          <w:b/>
        </w:rPr>
        <w:t xml:space="preserve">Abstract (EN): </w:t>
      </w:r>
      <w:r>
        <w:t>In layered oxide cathodes, the utilization of high states of charge inevitably triggers complex phase transitions, accompanied by significant translational symmetry breaking. Although in situ X-ray diffraction has long been employed to monitor these transitions, quantitatively resolving the stochastic nature of planar defects remains a formidable challenge. In this work, we establish a robust analytical framework that correlates stacking faults with diffraction patterns, enabling the quantitative elucidation of one-dimensional stacking disorder. Taking the prototypical P2-to-O2 transition as a model, we demonstrate that this phase transition is a highly dynamic evolution governed by stochastic interlayer gliding. Through combined theoretical and experimental analyses, we reveal that the P2-to-O2 transition proceeds via an interlayer-asynchronized route, featuring an ordered OP6 intergrowth phase at the midpoint, which is an intermediate structure frequently misidentified as OP4 in the literature due to neglected unit cell periodicity constraints. Furthermore, by constructing and validating structural models that explicitly account for stacking defects, we establish a quantitative link among layer gliding, local coordination evolution, and subsequent transition-metal migration. Ultimately, the established descriptor framework serves as a standardized baseline amidst intricate structural evolutions, enabling the precise description and quantitative comparison of phase transition behaviors.</w:t>
      </w:r>
    </w:p>
    <w:p>
      <w:pPr>
        <w:spacing w:before="120" w:after="120"/>
      </w:pPr>
      <w:r>
        <w:rPr>
          <w:sz w:val="18"/>
        </w:rPr>
        <w:t>——————————————————————————————————————————————————————————————————————</w:t>
      </w:r>
    </w:p>
    <w:p>
      <w:pPr>
        <w:spacing w:before="160" w:after="40" w:line="240" w:lineRule="auto"/>
      </w:pPr>
      <w:r>
        <w:rPr>
          <w:b/>
        </w:rPr>
        <w:t xml:space="preserve">[22] </w:t>
      </w:r>
      <w:hyperlink r:id="rId147">
        <w:r>
          <w:rPr>
            <w:color w:val="1155CC"/>
            <w:u w:val="single"/>
          </w:rPr>
          <w:t>揭示高压尖晶石 LiNi0.5Mn1.5O4 阴极中的结构-氧化还原相互作用</w:t>
        </w:r>
      </w:hyperlink>
    </w:p>
    <w:p>
      <w:pPr>
        <w:spacing w:before="0" w:after="80"/>
      </w:pPr>
      <w:r>
        <w:rPr>
          <w:i/>
          <w:sz w:val="20"/>
        </w:rPr>
        <w:t>EN: Revealing the Structural-Redox Interplay in the High-Voltage Spinel LiNi0.5Mn1.5O4 Cathode</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48">
        <w:r>
          <w:rPr>
            <w:color w:val="1155CC"/>
            <w:u w:val="single"/>
          </w:rPr>
          <w:t>10.1021/jacs.6c05598</w:t>
        </w:r>
      </w:hyperlink>
    </w:p>
    <w:p>
      <w:pPr>
        <w:spacing w:before="0" w:after="120"/>
      </w:pPr>
      <w:r>
        <w:rPr>
          <w:b/>
        </w:rPr>
        <w:t xml:space="preserve">Notes: </w:t>
      </w:r>
      <w:r>
        <w:t>abstract_source=crossref</w:t>
      </w:r>
    </w:p>
    <w:p>
      <w:pPr>
        <w:spacing w:before="0" w:after="80" w:lineRule="auto" w:line="276"/>
      </w:pPr>
      <w:r>
        <w:rPr>
          <w:b/>
        </w:rPr>
        <w:t xml:space="preserve">摘要（ZH）: </w:t>
      </w:r>
      <w:r>
        <w:t>摘要 过渡金属氧化物阴极随循环的演变受到氧化还原过程和（局部）结构畸变之间微妙相互作用的控制。在这里，我们使用第一性原理计算来监测尖晶石 LiNi0.5Mn1.5O4 (LNMO) 阴极在不同充电阶段的电子和结构演化。在 P4332 有序基态下，氧化还原活性 NiO6 八面体在空间上被氧化还原不活性 Mn4+ 阳离子隔离，为解开局部氧化还原和结构现象提供了一个干净的平台。通过结合磁矩、Bader 电荷和电荷密度差图的分析，我们发现氧化还原过程位于 Ni 上，但引发了显着的过渡金属-氧再杂化，延伸至 Ni-O 和 Mn-O 网络。氧电荷的变化可追溯到由不断发展的 Ni-O 键合驱动的极化，而不是阴离子氧化还原活性。同时发生的结构变化包括随着氧化态的增加，NiO6 八面体的逐步体积收缩，以及受局部锂/空位环境敏感调节的 Jahn-Teller 畸变。除了这些效应之外，我们还确定了其他变形模式，包括 NiO6 和 MnO6 多面体中的收缩变形，它们在过渡金属氧化方面表现出清晰且系统的趋势。总之，这些结果提供了 LNMO 中耦合氧化还原和晶格畸变过程的原子级图像，揭示了锂/空位构型和过渡金属-氧再杂化如何控制电化学行为。这里揭示的机制指向d</w:t>
      </w:r>
    </w:p>
    <w:p>
      <w:pPr>
        <w:spacing w:before="0" w:after="200" w:lineRule="auto" w:line="276"/>
      </w:pPr>
      <w:r>
        <w:rPr>
          <w:b/>
        </w:rPr>
        <w:t xml:space="preserve">Abstract (EN): </w:t>
      </w:r>
      <w:r>
        <w:t>The evolution of transition metal oxide cathodes with cycling is governed by a subtle interplay between redox processes and (local) structural distortions. Here, we use first-principles calculations to monitor the electronic and structural evolution of the spinel LiNi0.5Mn1.5O4 (LNMO) cathode at various stages of charge. In its P4332 ordered ground state, redox-active NiO6 octahedra are spatially isolated by redox-inactive Mn4+ cations, providing a clean platform to disentangle local redox and structural phenomena. By combining analyses of magnetic moments, Bader charges, and charge-density difference maps, we show that redox processes are localized on Ni, yet trigger significant transition metal–oxygen rehybridization extending to both Ni–O and Mn–O networks. Changes in oxygen charge are traced to polarization driven by evolving Ni–O bonding, rather than to anion redox activity. Concurrent structural changes include a stepwise volumetric contraction of the NiO6 octahedra with increasing oxidation state, and Jahn–Teller distortions that are sensitively modulated by the local Li/vacancy environment. Beyond these effects, we identify additional distortion modes, including pinching deformations in both NiO6 and MnO6 polyhedra, which exhibit clear and systematic trends with transition metal oxidation. Together, these results provide an atomic-level picture of coupled redox and lattice distortion processes in LNMO, revealing how Li/vacancy configurations and transition metal–oxygen rehybridization govern electrochemical behavior. The mechanisms uncovered here point to design principles that are likely to be equally critical in more complex oxide cathodes.</w:t>
      </w:r>
    </w:p>
    <w:p>
      <w:pPr>
        <w:spacing w:before="120" w:after="120"/>
      </w:pPr>
      <w:r>
        <w:rPr>
          <w:sz w:val="18"/>
        </w:rPr>
        <w:t>——————————————————————————————————————————————————————————————————————</w:t>
      </w:r>
    </w:p>
    <w:p>
      <w:pPr>
        <w:spacing w:before="160" w:after="40" w:line="240" w:lineRule="auto"/>
      </w:pPr>
      <w:r>
        <w:rPr>
          <w:b/>
        </w:rPr>
        <w:t xml:space="preserve">[23] </w:t>
      </w:r>
      <w:hyperlink r:id="rId149">
        <w:r>
          <w:rPr>
            <w:color w:val="1155CC"/>
            <w:u w:val="single"/>
          </w:rPr>
          <w:t>协同 V−Mg 共掺杂制备具有优异循环稳定性和倍率性能的高锰 LiMn0.9Fe0.1PO4 正极</w:t>
        </w:r>
      </w:hyperlink>
    </w:p>
    <w:p>
      <w:pPr>
        <w:spacing w:before="0" w:after="80"/>
      </w:pPr>
      <w:r>
        <w:rPr>
          <w:i/>
          <w:sz w:val="20"/>
        </w:rPr>
        <w:t>EN: Synergistic V−Mg Co-Doping for a High-Manganese LiMn0.9Fe0.1PO4 Cathode with Superior Cycling Stability and Rate Capability</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0">
        <w:r>
          <w:rPr>
            <w:color w:val="1155CC"/>
            <w:u w:val="single"/>
          </w:rPr>
          <w:t>10.1021/acsami.6c11496</w:t>
        </w:r>
      </w:hyperlink>
    </w:p>
    <w:p>
      <w:pPr>
        <w:spacing w:before="0" w:after="120"/>
      </w:pPr>
      <w:r>
        <w:rPr>
          <w:b/>
        </w:rPr>
        <w:t xml:space="preserve">Notes: </w:t>
      </w:r>
      <w:r>
        <w:t>abstract_source=crossref</w:t>
      </w:r>
    </w:p>
    <w:p>
      <w:pPr>
        <w:spacing w:before="0" w:after="80" w:lineRule="auto" w:line="276"/>
      </w:pPr>
      <w:r>
        <w:rPr>
          <w:b/>
        </w:rPr>
        <w:t xml:space="preserve">摘要（ZH）: </w:t>
      </w:r>
      <w:r>
        <w:t>摘要 高锰磷酸锰锂（LiMn0.9Fe0.1PO4，9Mn-LMFP）为高能量密度锂离子电池提供了高电压平台，但存在电子导电性差、锰溶解和结构退化等问题。在此，我们报告了一种通过一步球磨结合固态烧结的 V−Mg 共掺杂策略来应对这些挑战。 V3+ 的掺入将带隙从 3.39 eV 缩小到 1.34 eV，并促进颗粒表面形成均匀致密的碳涂层。 Mg2+ 可以稳定晶体骨架，这可以通过缩短 Mn−O 键和减少 Mn 溶解（从 6.128 减少到 3.139 ppm）来证明。此外，V−Mg 共掺杂扩大了固溶体区域（从 44.1% 到 48.1% 的电荷态），同时缩小了两相区域，表明相变势垒降低。因此，9Mn-LMFP-V-Mg∥Li半电池表现出最佳的电化学性能，0.1C下的放电容量为157.0 mAh g−1，10C下的放电容量为123.7 mAh g−1，1C下400次循环后的容量保持率为89.7%，明显优于未掺杂的对应物（容量保持率仅为58.2%）。当与 Li4Ti5O12 阳极配对时，9Mn-LMFP-V-Mg 在 2C 下可提供 118.6 mAh g−1，100 次循环后保留率为 82.5%。动力学分析表明，电荷转移电阻降低，Li+扩散率增强（大约高一个数量级），赝电容贡献增加，从而在高倍率下最大限度地减少极化和有效的容量释放。这项工作为开发高能量密度、l</w:t>
      </w:r>
    </w:p>
    <w:p>
      <w:pPr>
        <w:spacing w:before="0" w:after="200" w:lineRule="auto" w:line="276"/>
      </w:pPr>
      <w:r>
        <w:rPr>
          <w:b/>
        </w:rPr>
        <w:t xml:space="preserve">Abstract (EN): </w:t>
      </w:r>
      <w:r>
        <w:t>High-manganese lithium manganese iron phosphate (LiMn0.9Fe0.1PO4, 9Mn-LMFP) offers a high-voltage platform for high-energy-density Li-ion batteries but suffers from poor electronic conductivity, Mn dissolution, and structural degradation. Herein, we report a V−Mg co-doping strategy via one-step ball milling combined with solid-state sintering to address these challenges. V3+ incorporation narrows the band gap from 3.39 to 1.34 eV and promotes a uniform and dense carbon coating on the particle surface. Mg2+ stabilizes the crystal framework, as evidenced by shortened Mn−O bonds and reduced Mn dissolution (from 6.128 to 3.139 ppm). Furthermore, V−Mg co-doping expands the solid-solution region (from 44.1 to 48.1% state of charge) while shrinking the two-phase region, indicating a lowered phase-transformation barrier. Consequently, the 9Mn-LMFP-V-Mg∥Li half-cells exhibit optimal electrochemical performance with a discharge capacity of 157.0 mAh g−1 at 0.1C, 123.7 mAh g−1 at 10C, and 89.7% capacity retention after 400 cycles at 1C, significantly outperforming the undoped counterpart (with a capacity retention of only 58.2%). When paired with the Li4Ti5O12 anode, 9Mn-LMFP-V-Mg delivers 118.6 mAh g−1 at 2C with 82.5% retention after 100 cycles. Kinetic analyses reveal reduced charge transfer resistance, enhanced Li+ diffusivity (approximately one order of magnitude higher), and increased pseudocapacitive contribution, leading to minimized polarization and efficient capacity release under high rates. This work provides a viable strategy for developing high-energy-density, long-life olivine cathodes.</w:t>
      </w:r>
    </w:p>
    <w:p>
      <w:pPr>
        <w:spacing w:before="120" w:after="120"/>
      </w:pPr>
      <w:r>
        <w:rPr>
          <w:sz w:val="18"/>
        </w:rPr>
        <w:t>——————————————————————————————————————————————————————————————————————</w:t>
      </w:r>
    </w:p>
    <w:p>
      <w:pPr>
        <w:spacing w:before="160" w:after="40" w:line="240" w:lineRule="auto"/>
      </w:pPr>
      <w:r>
        <w:rPr>
          <w:b/>
        </w:rPr>
        <w:t xml:space="preserve">[24] </w:t>
      </w:r>
      <w:hyperlink r:id="rId151">
        <w:r>
          <w:rPr>
            <w:color w:val="1155CC"/>
            <w:u w:val="single"/>
          </w:rPr>
          <w:t>时间尺度解耦极化动力学指导锌碘电池抗极化阴极主体的设计</w:t>
        </w:r>
      </w:hyperlink>
    </w:p>
    <w:p>
      <w:pPr>
        <w:spacing w:before="0" w:after="80"/>
      </w:pPr>
      <w:r>
        <w:rPr>
          <w:i/>
          <w:sz w:val="20"/>
        </w:rPr>
        <w:t>EN: Timescale‐Decoupled Polarization Kinetics Guide the Design of Polarization‐Resistant Cathode Hosts for Zinc–Iodine Batteries</w:t>
      </w:r>
    </w:p>
    <w:p>
      <w:pPr>
        <w:spacing w:before="0" w:after="120"/>
      </w:pPr>
      <w:r>
        <w:rPr>
          <w:b/>
        </w:rPr>
        <w:t xml:space="preserve">Source: </w:t>
      </w:r>
      <w:r>
        <w:t>Wiley: Advanced Energy Materials: Table of Contents</w:t>
      </w:r>
      <w:r>
        <w:t xml:space="preserve">    </w:t>
      </w:r>
      <w:r>
        <w:rPr>
          <w:b/>
        </w:rPr>
        <w:t xml:space="preserve">Pub date: </w:t>
      </w:r>
      <w:r>
        <w:t>2026-08-19 06:28:05+00:00</w:t>
      </w:r>
      <w:r>
        <w:t xml:space="preserve">    </w:t>
      </w:r>
      <w:r>
        <w:rPr>
          <w:b/>
        </w:rPr>
        <w:t xml:space="preserve">DOI: </w:t>
      </w:r>
      <w:hyperlink r:id="rId152">
        <w:r>
          <w:rPr>
            <w:color w:val="1155CC"/>
            <w:u w:val="single"/>
          </w:rPr>
          <w:t>10.1002/aenm.71468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严重的电压极化在高碘负载量（&gt; 10 mg cm-2）下会导致能量/功率输出崩溃，从而限制了锌碘电池的部署</w:t>
      </w:r>
      <w:r>
        <w:t xml:space="preserve"> </w:t>
      </w:r>
      <w:r>
        <w:t>−2</w:t>
      </w:r>
      <w:r>
        <w:t xml:space="preserve"> </w:t>
      </w:r>
      <w:r>
        <w:t>）和电流密度（&gt; 3 A g</w:t>
      </w:r>
      <w:r>
        <w:t xml:space="preserve"> </w:t>
      </w:r>
      <w:r>
        <w:t>−1</w:t>
      </w:r>
      <w:r>
        <w:t xml:space="preserve"> </w:t>
      </w:r>
      <w:r>
        <w:t>）。然而，其根源仍未​​解决，因为欧姆、电荷转移和质量传输损耗在运行过程中同时发生。在这里，我们建立了一个时间尺度解耦的极化框架，该框架可以定量区分操作中的这些重叠电压损耗，并将它们与电极设计原理联系起来。分析表明，在实际高负载和高速率条件下，浓差极化占主导地位。在这一见解的指导下，我们设计了一种由锚定在多孔石墨烯上的 Fe 单原子 (Fe@PG) 组成的抗极化阴极主体。该架构集成了用于快速电子传输的导电石墨框架、原子分散的 Fe-N</w:t>
      </w:r>
      <w:r>
        <w:rPr>
          <w:vertAlign w:val="subscript"/>
        </w:rPr>
        <w:t>4</w:t>
      </w:r>
      <w:r>
        <w:t>加速 I 的站点</w:t>
      </w:r>
      <w:r>
        <w:t xml:space="preserve"> </w:t>
      </w:r>
      <w:r>
        <w:t>-</w:t>
      </w:r>
      <w:r>
        <w:t>/我</w:t>
      </w:r>
      <w:r>
        <w:rPr>
          <w:vertAlign w:val="subscript"/>
        </w:rPr>
        <w:t>3</w:t>
      </w:r>
      <w:r>
        <w:t>-</w:t>
      </w:r>
      <w:r>
        <w:t>氧化还原转化，以及具有强碘亲和力的分层孔，可实现有效的质量传输和物质限制，从而同时抑制欧姆、活化和浓差极化。碘负载量为 14.1 mg cm</w:t>
      </w:r>
      <w:r>
        <w:t xml:space="preserve"> </w:t>
      </w:r>
      <w:r>
        <w:t>−2</w:t>
      </w:r>
      <w:r>
        <w:t xml:space="preserve"> </w:t>
      </w:r>
      <w:r>
        <w:t>，我</w:t>
      </w:r>
      <w:r>
        <w:rPr>
          <w:vertAlign w:val="subscript"/>
        </w:rPr>
        <w:t>2</w:t>
      </w:r>
      <w:r>
        <w:t>/Fe@PG‖Zn 电池在 70.5 mA cm 电流下具有 0.43 V 的低极化损耗</w:t>
      </w:r>
    </w:p>
    <w:p>
      <w:pPr>
        <w:spacing w:before="0" w:after="200" w:lineRule="auto" w:line="276"/>
      </w:pPr>
      <w:r>
        <w:rPr>
          <w:b/>
        </w:rPr>
        <w:t xml:space="preserve">Abstract (EN): </w:t>
      </w:r>
      <w:r>
        <w:t>Severe voltage polarization limits the deployment of zinc–iodine batteries by collapsing energy/power output under high iodine loadings (&amp;gt; 10 mg cm</w:t>
      </w:r>
      <w:r>
        <w:t xml:space="preserve"> </w:t>
      </w:r>
      <w:r>
        <w:t>−2</w:t>
      </w:r>
      <w:r>
        <w:t xml:space="preserve"> </w:t>
      </w:r>
      <w:r>
        <w:t>) and current densities (&amp;gt; 3 A g</w:t>
      </w:r>
      <w:r>
        <w:t xml:space="preserve"> </w:t>
      </w:r>
      <w:r>
        <w:t>−1</w:t>
      </w:r>
      <w:r>
        <w:t xml:space="preserve"> </w:t>
      </w:r>
      <w:r>
        <w:t>). Yet its origins remain unresolved because ohmic, charge‐transfer, and mass‐transport losses evolve concurrently during operation. Here we establish a timescale‐decoupled polarization framework that quantitatively differentiates these overlapping voltage losses in operando and links them to electrode design principles. The analysis reveals that concentration‐polarization dominates under practical high‐loading and high‐rate conditions. Guided by this insight, we design a polarization‐resistant cathode host consisting of Fe single atoms anchored on porous graphene (Fe@PG). The architecture integrates a conductive graphitic framework for rapid electron transport, atomically dispersed Fe–N</w:t>
      </w:r>
      <w:r>
        <w:rPr>
          <w:vertAlign w:val="subscript"/>
        </w:rPr>
        <w:t>4</w:t>
      </w:r>
      <w:r>
        <w:t>sites for accelerated I</w:t>
      </w:r>
      <w:r>
        <w:t xml:space="preserve"> </w:t>
      </w:r>
      <w:r>
        <w:t>−</w:t>
      </w:r>
      <w:r>
        <w:t>/I</w:t>
      </w:r>
      <w:r>
        <w:rPr>
          <w:vertAlign w:val="subscript"/>
        </w:rPr>
        <w:t>3</w:t>
      </w:r>
      <w:r>
        <w:t>−</w:t>
      </w:r>
      <w:r>
        <w:t>redox conversion, and hierarchical pores with strong iodine affinity for efficient mass transport and species confinement, thereby concurrently suppressing ohmic, activation, and concentration polarization. At an iodine loading of 14.1 mg cm</w:t>
      </w:r>
      <w:r>
        <w:t xml:space="preserve"> </w:t>
      </w:r>
      <w:r>
        <w:t>−2</w:t>
      </w:r>
      <w:r>
        <w:t xml:space="preserve"> </w:t>
      </w:r>
      <w:r>
        <w:t>, the I</w:t>
      </w:r>
      <w:r>
        <w:rPr>
          <w:vertAlign w:val="subscript"/>
        </w:rPr>
        <w:t>2</w:t>
      </w:r>
      <w:r>
        <w:t>/Fe@PG‖Zn cell delivers a low polarization loss of 0.43 V at 70.5 mA cm</w:t>
      </w:r>
      <w:r>
        <w:t xml:space="preserve"> </w:t>
      </w:r>
      <w:r>
        <w:t>−2</w:t>
      </w:r>
      <w:r>
        <w:t xml:space="preserve"> </w:t>
      </w:r>
      <w:r>
        <w:t>(5 A g</w:t>
      </w:r>
      <w:r>
        <w:t xml:space="preserve"> </w:t>
      </w:r>
      <w:r>
        <w:t>−1</w:t>
      </w:r>
      <w:r>
        <w:t xml:space="preserve"> </w:t>
      </w:r>
      <w:r>
        <w:t>), 29.5% lower than the control, together with energy/power densities of 214.1 Wh kg</w:t>
      </w:r>
      <w:r>
        <w:t xml:space="preserve"> </w:t>
      </w:r>
      <w:r>
        <w:t>−1</w:t>
      </w:r>
      <w:r>
        <w:t xml:space="preserve"> </w:t>
      </w:r>
      <w:r>
        <w:t>/1761.4 W kg</w:t>
      </w:r>
      <w:r>
        <w:t xml:space="preserve"> </w:t>
      </w:r>
      <w:r>
        <w:t>−1</w:t>
      </w:r>
      <w:r>
        <w:t xml:space="preserve"> </w:t>
      </w:r>
      <w:r>
        <w:t>, and 82.0% capacity retention after 3000 cycles. This work provides a generalizable strategy for decoding and regulating polarization kinetics in conversion‐type Zn–halide batteries.</w:t>
      </w:r>
    </w:p>
    <w:p>
      <w:pPr>
        <w:spacing w:before="120" w:after="120"/>
      </w:pPr>
      <w:r>
        <w:rPr>
          <w:sz w:val="18"/>
        </w:rPr>
        <w:t>——————————————————————————————————————————————————————————————————————</w:t>
      </w:r>
    </w:p>
    <w:p>
      <w:pPr>
        <w:spacing w:before="160" w:after="40" w:line="240" w:lineRule="auto"/>
      </w:pPr>
      <w:r>
        <w:rPr>
          <w:b/>
        </w:rPr>
        <w:t xml:space="preserve">[25] </w:t>
      </w:r>
      <w:hyperlink r:id="rId153">
        <w:r>
          <w:rPr>
            <w:color w:val="1155CC"/>
            <w:u w:val="single"/>
          </w:rPr>
          <w:t>用于抑制相位梯度的高能全固态电池的富镍阴极</w:t>
        </w:r>
      </w:hyperlink>
    </w:p>
    <w:p>
      <w:pPr>
        <w:spacing w:before="0" w:after="80"/>
      </w:pPr>
      <w:r>
        <w:rPr>
          <w:i/>
          <w:sz w:val="20"/>
        </w:rPr>
        <w:t>EN: Ni‐Rich Cathodes for High‐Energy All‐Solid‐State Batteries Suppressing Phase‐Gradients</w:t>
      </w:r>
    </w:p>
    <w:p>
      <w:pPr>
        <w:spacing w:before="0" w:after="120"/>
      </w:pPr>
      <w:r>
        <w:rPr>
          <w:b/>
        </w:rPr>
        <w:t xml:space="preserve">Source: </w:t>
      </w:r>
      <w:r>
        <w:t>Wiley: Advanced Energy Materials: Table of Contents</w:t>
      </w:r>
      <w:r>
        <w:t xml:space="preserve">    </w:t>
      </w:r>
      <w:r>
        <w:rPr>
          <w:b/>
        </w:rPr>
        <w:t xml:space="preserve">Pub date: </w:t>
      </w:r>
      <w:r>
        <w:t>2026-08-19 07:20:04+00:00</w:t>
      </w:r>
      <w:r>
        <w:t xml:space="preserve">    </w:t>
      </w:r>
      <w:r>
        <w:rPr>
          <w:b/>
        </w:rPr>
        <w:t xml:space="preserve">DOI: </w:t>
      </w:r>
      <w:hyperlink r:id="rId154">
        <w:r>
          <w:rPr>
            <w:color w:val="1155CC"/>
            <w:u w:val="single"/>
          </w:rPr>
          <w:t>10.1002/aenm.71455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基于富镍层状正极活性材料（CAM）的全固态电池（ASSB）有望实现高能量密度和增强的安全性；然而，它们的电化学性能不如传统的锂离子电池。一个关键挑战是 CAM 颗粒内锂离子扩散效率低下，这限制了锂离子的利用率。在这里，我们研究了富镍的Li[Ni</w:t>
      </w:r>
      <w:r>
        <w:t xml:space="preserve"> </w:t>
      </w:r>
      <w:r>
        <w:t>0.921</w:t>
      </w:r>
      <w:r>
        <w:t xml:space="preserve"> </w:t>
      </w:r>
      <w:r>
        <w:t>钴</w:t>
      </w:r>
      <w:r>
        <w:t xml:space="preserve"> </w:t>
      </w:r>
      <w:r>
        <w:t>0.069</w:t>
      </w:r>
      <w:r>
        <w:t xml:space="preserve"> </w:t>
      </w:r>
      <w:r>
        <w:t>铝</w:t>
      </w:r>
      <w:r>
        <w:t xml:space="preserve"> </w:t>
      </w:r>
      <w:r>
        <w:t>0.01</w:t>
      </w:r>
      <w:r>
        <w:t xml:space="preserve"> </w:t>
      </w:r>
      <w:r>
        <w:t>]O</w:t>
      </w:r>
      <w:r>
        <w:rPr>
          <w:vertAlign w:val="subscript"/>
        </w:rPr>
        <w:t>2</w:t>
      </w:r>
      <w:r>
        <w:t>(NCA) CAM 微观结构，通过钛掺杂进行调整</w:t>
      </w:r>
      <w:r>
        <w:t xml:space="preserve"> </w:t>
      </w:r>
      <w:r>
        <w:t>4+</w:t>
      </w:r>
      <w:r>
        <w:t xml:space="preserve"> </w:t>
      </w:r>
      <w:r>
        <w:t>, 塔</w:t>
      </w:r>
      <w:r>
        <w:t xml:space="preserve"> </w:t>
      </w:r>
      <w:r>
        <w:t>5+</w:t>
      </w:r>
      <w:r>
        <w:t xml:space="preserve"> </w:t>
      </w:r>
      <w:r>
        <w:t>, 和 W</w:t>
      </w:r>
      <w:r>
        <w:t xml:space="preserve"> </w:t>
      </w:r>
      <w:r>
        <w:t>6+</w:t>
      </w:r>
      <w:r>
        <w:t xml:space="preserve"> </w:t>
      </w:r>
      <w:r>
        <w:t>，影响ASSB的电化学性能。研究表明，CAM 微观结构在控制锂离子扩散动力学、抑制微裂纹形成和减轻二次 CAM 颗粒内的相梯度发展方面发挥着至关重要的作用，从而强烈影响整体电化学性能。掺钨 NCA 具有最径向排列的柱状初级颗粒，可提供高效且可持续的锂离子扩散途径，从而实现卓越的容量、倍率性能和循环保留。此外，透射电子显微镜显示，W 掺杂抑制了晶体相梯度的形成，这表明二次 CAM 内表面到核心的电化学不均匀性</w:t>
      </w:r>
    </w:p>
    <w:p>
      <w:pPr>
        <w:spacing w:before="0" w:after="200" w:lineRule="auto" w:line="276"/>
      </w:pPr>
      <w:r>
        <w:rPr>
          <w:b/>
        </w:rPr>
        <w:t xml:space="preserve">Abstract (EN): </w:t>
      </w:r>
      <w:r>
        <w:t>All‐solid‐state batteries (ASSBs) based on Ni‐rich layered cathode active materials (CAMs) promise high energy density and enhanced safety; however, their electrochemical performance is inferior to that of conventional Li‐ion batteries. A key challenge is the inefficient Li‐ion diffusion within the CAM particles, which limits Li‐ion utilization. Here, we investigate how the Ni‐rich Li[Ni</w:t>
      </w:r>
      <w:r>
        <w:t xml:space="preserve"> </w:t>
      </w:r>
      <w:r>
        <w:t>0.921</w:t>
      </w:r>
      <w:r>
        <w:t xml:space="preserve"> </w:t>
      </w:r>
      <w:r>
        <w:t>Co</w:t>
      </w:r>
      <w:r>
        <w:t xml:space="preserve"> </w:t>
      </w:r>
      <w:r>
        <w:t>0.069</w:t>
      </w:r>
      <w:r>
        <w:t xml:space="preserve"> </w:t>
      </w:r>
      <w:r>
        <w:t>Al</w:t>
      </w:r>
      <w:r>
        <w:t xml:space="preserve"> </w:t>
      </w:r>
      <w:r>
        <w:t>0.01</w:t>
      </w:r>
      <w:r>
        <w:t xml:space="preserve"> </w:t>
      </w:r>
      <w:r>
        <w:t>]O</w:t>
      </w:r>
      <w:r>
        <w:rPr>
          <w:vertAlign w:val="subscript"/>
        </w:rPr>
        <w:t>2</w:t>
      </w:r>
      <w:r>
        <w:t>(NCA) CAM microstructure, tuned by doping with Ti</w:t>
      </w:r>
      <w:r>
        <w:t xml:space="preserve"> </w:t>
      </w:r>
      <w:r>
        <w:t>4+</w:t>
      </w:r>
      <w:r>
        <w:t xml:space="preserve"> </w:t>
      </w:r>
      <w:r>
        <w:t>, Ta</w:t>
      </w:r>
      <w:r>
        <w:t xml:space="preserve"> </w:t>
      </w:r>
      <w:r>
        <w:t>5+</w:t>
      </w:r>
      <w:r>
        <w:t xml:space="preserve"> </w:t>
      </w:r>
      <w:r>
        <w:t>, and W</w:t>
      </w:r>
      <w:r>
        <w:t xml:space="preserve"> </w:t>
      </w:r>
      <w:r>
        <w:t>6+</w:t>
      </w:r>
      <w:r>
        <w:t xml:space="preserve"> </w:t>
      </w:r>
      <w:r>
        <w:t>, influences the electrochemical performance of ASSBs. It is revealed that the CAM microstructure plays a crucial role in governing the Li‐ion diffusion dynamics, suppressing microcrack formation, and mitigating phase‐gradient development within the secondary CAM particles, thereby strongly influencing the overall electrochemical performance. W‐doped NCA, which features the most radially aligned columnar primary particles, provides efficient and sustainable Li‐ion diffusion pathways, leading to superior capacity, rate capability, and cycling retention. Furthermore, transmission electron microscopy revealed that W doping suppresses the formation of a crystallographic phase gradient, which is indicative of surface‐to‐core electrochemical heterogeneity within secondary CAM particles in ASSBs. These insights provide essential design principles for the optimization of Ni‐rich CAMs for ASSBs.</w:t>
      </w:r>
    </w:p>
    <w:p>
      <w:pPr>
        <w:spacing w:before="120" w:after="120"/>
      </w:pPr>
      <w:r>
        <w:rPr>
          <w:sz w:val="18"/>
        </w:rPr>
        <w:t>——————————————————————————————————————————————————————————————————————</w:t>
      </w:r>
    </w:p>
    <w:p>
      <w:pPr>
        <w:spacing w:before="160" w:after="40" w:line="240" w:lineRule="auto"/>
      </w:pPr>
      <w:r>
        <w:rPr>
          <w:b/>
        </w:rPr>
        <w:t xml:space="preserve">[26] </w:t>
      </w:r>
      <w:hyperlink r:id="rId155">
        <w:r>
          <w:rPr>
            <w:color w:val="1155CC"/>
            <w:u w:val="single"/>
          </w:rPr>
          <w:t>相干 1T 相表面架构解锁超快且耐用的高压 LiCoO2 阴极</w:t>
        </w:r>
      </w:hyperlink>
    </w:p>
    <w:p>
      <w:pPr>
        <w:spacing w:before="0" w:after="80"/>
      </w:pPr>
      <w:r>
        <w:rPr>
          <w:i/>
          <w:sz w:val="20"/>
        </w:rPr>
        <w:t>EN: Coherent 1T‐Phase Surface Architecture Unlocks Ultrafast and Durable High‐Voltage LiCoO2 Cathodes</w:t>
      </w:r>
    </w:p>
    <w:p>
      <w:pPr>
        <w:spacing w:before="0" w:after="120"/>
      </w:pPr>
      <w:r>
        <w:rPr>
          <w:b/>
        </w:rPr>
        <w:t xml:space="preserve">Source: </w:t>
      </w:r>
      <w:r>
        <w:t>Wiley: Angewandte Chemie International Edition: Table of Contents</w:t>
      </w:r>
      <w:r>
        <w:t xml:space="preserve">    </w:t>
      </w:r>
      <w:r>
        <w:rPr>
          <w:b/>
        </w:rPr>
        <w:t xml:space="preserve">Pub date: </w:t>
      </w:r>
      <w:r>
        <w:t>2026-08-19 08:35:04+00:00</w:t>
      </w:r>
      <w:r>
        <w:t xml:space="preserve">    </w:t>
      </w:r>
      <w:r>
        <w:rPr>
          <w:b/>
        </w:rPr>
        <w:t xml:space="preserve">DOI: </w:t>
      </w:r>
      <w:hyperlink r:id="rId156">
        <w:r>
          <w:rPr>
            <w:color w:val="1155CC"/>
            <w:u w:val="single"/>
          </w:rPr>
          <w:t>10.1002/anie.6545119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如今，学术界和工业界都在大力追求电池材料的快充能力，但从根本上决定快充锂的晶体学因素</w:t>
      </w:r>
      <w:r>
        <w:t xml:space="preserve"> </w:t>
      </w:r>
      <w:r>
        <w:t>+</w:t>
      </w:r>
      <w:r>
        <w:t xml:space="preserve"> </w:t>
      </w:r>
      <w:r>
        <w:t>运输仍不清楚。在这里，我们确定了集体Li的理论结构能力</w:t>
      </w:r>
      <w:r>
        <w:t xml:space="preserve"> </w:t>
      </w:r>
      <w:r>
        <w:t>+</w:t>
      </w:r>
      <w:r>
        <w:t xml:space="preserve"> </w:t>
      </w:r>
      <w:r>
        <w:t>传输，由晶体学上可访问的锂扩散位点的可用性定义，作为控制界面锂的决定性但以前被低估的结构起源</w:t>
      </w:r>
      <w:r>
        <w:t xml:space="preserve"> </w:t>
      </w:r>
      <w:r>
        <w:t>+</w:t>
      </w:r>
      <w:r>
        <w:t xml:space="preserve"> </w:t>
      </w:r>
      <w:r>
        <w:t>输运，并引入锂位点密度（ρ</w:t>
      </w:r>
      <w:r>
        <w:t xml:space="preserve"> </w:t>
      </w:r>
      <w:r>
        <w:t>锂位点</w:t>
      </w:r>
      <w:r>
        <w:t xml:space="preserve"> </w:t>
      </w:r>
      <w:r>
        <w:t>）作为定量描述符来指导加速 Li 的表面架构设计</w:t>
      </w:r>
      <w:r>
        <w:t xml:space="preserve"> </w:t>
      </w:r>
      <w:r>
        <w:t>+</w:t>
      </w:r>
      <w:r>
        <w:t xml:space="preserve"> </w:t>
      </w:r>
      <w:r>
        <w:t>迁移。遵循这一原理，我们构建了相干氟化1T-Li</w:t>
      </w:r>
      <w:r>
        <w:rPr>
          <w:vertAlign w:val="subscript"/>
        </w:rPr>
        <w:t>1</w:t>
      </w:r>
      <w:r>
        <w:t>+</w:t>
      </w:r>
      <w:r>
        <w:t xml:space="preserve"> </w:t>
      </w:r>
      <w:r>
        <w:t>x</w:t>
      </w:r>
      <w:r>
        <w:t xml:space="preserve"> </w:t>
      </w:r>
      <w:r>
        <w:t>氧化钴</w:t>
      </w:r>
      <w:r>
        <w:rPr>
          <w:vertAlign w:val="subscript"/>
        </w:rPr>
        <w:t>2</w:t>
      </w:r>
      <w:r>
        <w:t>-</w:t>
      </w:r>
      <w:r>
        <w:t xml:space="preserve"> </w:t>
      </w:r>
      <w:r>
        <w:t>y</w:t>
      </w:r>
      <w:r>
        <w:t xml:space="preserve"> </w:t>
      </w:r>
      <w:r>
        <w:t>F</w:t>
      </w:r>
      <w:r>
        <w:t xml:space="preserve"> </w:t>
      </w:r>
      <w:r>
        <w:t>y</w:t>
      </w:r>
      <w:r>
        <w:t xml:space="preserve"> </w:t>
      </w:r>
      <w:r>
        <w:t>LiCoO表面结构</w:t>
      </w:r>
      <w:r>
        <w:rPr>
          <w:vertAlign w:val="subscript"/>
        </w:rPr>
        <w:t>2</w:t>
      </w:r>
      <w:r>
        <w:t>，同时保留了与 O3 基质的晶体相容性，并提供了极高的 ρ</w:t>
      </w:r>
      <w:r>
        <w:t xml:space="preserve"> </w:t>
      </w:r>
      <w:r>
        <w:t>锂位点</w:t>
      </w:r>
      <w:r>
        <w:t xml:space="preserve"> </w:t>
      </w:r>
      <w:r>
        <w:t>(∼48位点·nm</w:t>
      </w:r>
      <w:r>
        <w:t xml:space="preserve"> </w:t>
      </w:r>
      <w:r>
        <w:t>−3</w:t>
      </w:r>
      <w:r>
        <w:t xml:space="preserve"> </w:t>
      </w:r>
      <w:r>
        <w:t>），实质性的</w:t>
      </w:r>
    </w:p>
    <w:p>
      <w:pPr>
        <w:spacing w:before="0" w:after="200" w:lineRule="auto" w:line="276"/>
      </w:pPr>
      <w:r>
        <w:rPr>
          <w:b/>
        </w:rPr>
        <w:t xml:space="preserve">Abstract (EN): </w:t>
      </w:r>
      <w:r>
        <w:t>Nowadays, fast‐charging capability in battery materials is intensively pursued in both academia and industry, yet the crystallographic factors that fundamentally determine rapid Li</w:t>
      </w:r>
      <w:r>
        <w:t xml:space="preserve"> </w:t>
      </w:r>
      <w:r>
        <w:t>+</w:t>
      </w:r>
      <w:r>
        <w:t xml:space="preserve"> </w:t>
      </w:r>
      <w:r>
        <w:t>transport remain unclear. Here, we identify the theoretical structural capacity for collective Li</w:t>
      </w:r>
      <w:r>
        <w:t xml:space="preserve"> </w:t>
      </w:r>
      <w:r>
        <w:t>+</w:t>
      </w:r>
      <w:r>
        <w:t xml:space="preserve"> </w:t>
      </w:r>
      <w:r>
        <w:t>transport, defined by the availability of crystallographically accessible Li diffusion sites, as a decisive but previously underappreciated structural origin governing interfacial Li</w:t>
      </w:r>
      <w:r>
        <w:t xml:space="preserve"> </w:t>
      </w:r>
      <w:r>
        <w:t>+</w:t>
      </w:r>
      <w:r>
        <w:t xml:space="preserve"> </w:t>
      </w:r>
      <w:r>
        <w:t>transport, and introduce Li‐site density (ρ</w:t>
      </w:r>
      <w:r>
        <w:t xml:space="preserve"> </w:t>
      </w:r>
      <w:r>
        <w:t>Li‐site</w:t>
      </w:r>
      <w:r>
        <w:t xml:space="preserve"> </w:t>
      </w:r>
      <w:r>
        <w:t>) as a quantitative descriptor to guide surface architecture design for accelerated Li</w:t>
      </w:r>
      <w:r>
        <w:t xml:space="preserve"> </w:t>
      </w:r>
      <w:r>
        <w:t>+</w:t>
      </w:r>
      <w:r>
        <w:t xml:space="preserve"> </w:t>
      </w:r>
      <w:r>
        <w:t>migration. Guided by this principle, we construct a coherent and fluorinated 1T‐Li</w:t>
      </w:r>
      <w:r>
        <w:rPr>
          <w:vertAlign w:val="subscript"/>
        </w:rPr>
        <w:t>1</w:t>
      </w:r>
      <w:r>
        <w:t>+</w:t>
      </w:r>
      <w:r>
        <w:t xml:space="preserve"> </w:t>
      </w:r>
      <w:r>
        <w:t>x</w:t>
      </w:r>
      <w:r>
        <w:t xml:space="preserve"> </w:t>
      </w:r>
      <w:r>
        <w:t>CoO</w:t>
      </w:r>
      <w:r>
        <w:rPr>
          <w:vertAlign w:val="subscript"/>
        </w:rPr>
        <w:t>2</w:t>
      </w:r>
      <w:r>
        <w:t>−</w:t>
      </w:r>
      <w:r>
        <w:t xml:space="preserve"> </w:t>
      </w:r>
      <w:r>
        <w:t>y</w:t>
      </w:r>
      <w:r>
        <w:t xml:space="preserve"> </w:t>
      </w:r>
      <w:r>
        <w:t>F</w:t>
      </w:r>
      <w:r>
        <w:t xml:space="preserve"> </w:t>
      </w:r>
      <w:r>
        <w:t>y</w:t>
      </w:r>
      <w:r>
        <w:t xml:space="preserve"> </w:t>
      </w:r>
      <w:r>
        <w:t>surface structure on LiCoO</w:t>
      </w:r>
      <w:r>
        <w:rPr>
          <w:vertAlign w:val="subscript"/>
        </w:rPr>
        <w:t>2</w:t>
      </w:r>
      <w:r>
        <w:t>, which simultaneously preserves crystallographic compatibility with the O3 matrix and provides an exceptionally high ρ</w:t>
      </w:r>
      <w:r>
        <w:t xml:space="preserve"> </w:t>
      </w:r>
      <w:r>
        <w:t>Li‐site</w:t>
      </w:r>
      <w:r>
        <w:t xml:space="preserve"> </w:t>
      </w:r>
      <w:r>
        <w:t>(∼48 sites·nm</w:t>
      </w:r>
      <w:r>
        <w:t xml:space="preserve"> </w:t>
      </w:r>
      <w:r>
        <w:t>−3</w:t>
      </w:r>
      <w:r>
        <w:t xml:space="preserve"> </w:t>
      </w:r>
      <w:r>
        <w:t>), substantially exceeding those of commonly employed frameworks (≤ 31 sites·nm</w:t>
      </w:r>
      <w:r>
        <w:t xml:space="preserve"> </w:t>
      </w:r>
      <w:r>
        <w:t>−3</w:t>
      </w:r>
      <w:r>
        <w:t xml:space="preserve"> </w:t>
      </w:r>
      <w:r>
        <w:t>). The modified cathode delivers unprecedented rate capability, achieving 183 and 175 mAh g</w:t>
      </w:r>
      <w:r>
        <w:t xml:space="preserve"> </w:t>
      </w:r>
      <w:r>
        <w:t>−1</w:t>
      </w:r>
      <w:r>
        <w:t xml:space="preserve"> </w:t>
      </w:r>
      <w:r>
        <w:t>at 10C and 20C, respectively. In‐situ synchrotron x‐ray and neutron diffraction results further reveal that the 1T phase effectively suppressed O3 to H1‐3 phase transitions and stabilized oxygen frameworks, enabling outstanding cycling stability with 87% capacity retention after 500 cycles. This work establishes Li site density‐guided surface engineering as a general structural principle for simultaneously improving interfacial reaction kinetics and structural durability in high‐voltage layered oxide cathodes.</w:t>
      </w:r>
    </w:p>
    <w:p>
      <w:pPr>
        <w:spacing w:before="120" w:after="120"/>
      </w:pPr>
      <w:r>
        <w:rPr>
          <w:sz w:val="18"/>
        </w:rPr>
        <w:t>——————————————————————————————————————————————————————————————————————</w:t>
      </w:r>
    </w:p>
    <w:p>
      <w:pPr>
        <w:spacing w:before="160" w:after="40" w:line="240" w:lineRule="auto"/>
      </w:pPr>
      <w:r>
        <w:rPr>
          <w:b/>
        </w:rPr>
        <w:t xml:space="preserve">[27] </w:t>
      </w:r>
      <w:hyperlink r:id="rId157">
        <w:r>
          <w:rPr>
            <w:color w:val="1155CC"/>
            <w:u w:val="single"/>
          </w:rPr>
          <w:t>植入的 Zn2+ 导电水凝胶界面可实现用于 Ah 级水性锌碘袋电池的高度紧凑的厚碘电极</w:t>
        </w:r>
      </w:hyperlink>
    </w:p>
    <w:p>
      <w:pPr>
        <w:spacing w:before="0" w:after="80"/>
      </w:pPr>
      <w:r>
        <w:rPr>
          <w:i/>
          <w:sz w:val="20"/>
        </w:rPr>
        <w:t>EN: Implanted Zn2+‐Conducting Hydrogel Interphase Enables Highly Compacted Thick Iodine Electrodes for Ah‐Level Aqueous Zinc–Iodine Pouch Batteries</w:t>
      </w:r>
    </w:p>
    <w:p>
      <w:pPr>
        <w:spacing w:before="0" w:after="120"/>
      </w:pPr>
      <w:r>
        <w:rPr>
          <w:b/>
        </w:rPr>
        <w:t xml:space="preserve">Source: </w:t>
      </w:r>
      <w:r>
        <w:t>Wiley: Angewandte Chemie International Edition: Table of Contents</w:t>
      </w:r>
      <w:r>
        <w:t xml:space="preserve">    </w:t>
      </w:r>
      <w:r>
        <w:rPr>
          <w:b/>
        </w:rPr>
        <w:t xml:space="preserve">Pub date: </w:t>
      </w:r>
      <w:r>
        <w:t>2026-08-19 08:42:59+00:00</w:t>
      </w:r>
      <w:r>
        <w:t xml:space="preserve">    </w:t>
      </w:r>
      <w:r>
        <w:rPr>
          <w:b/>
        </w:rPr>
        <w:t xml:space="preserve">DOI: </w:t>
      </w:r>
      <w:hyperlink r:id="rId158">
        <w:r>
          <w:rPr>
            <w:color w:val="1155CC"/>
            <w:u w:val="single"/>
          </w:rPr>
          <w:t>10.1002/anie.6865881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提高干法厚碘阴极的压实密度对于提高能量密度至关重要，但仍然受到反应动力学缓慢和多碘化物穿梭加剧的阻碍。在此，我们报告了植入的 Zn</w:t>
      </w:r>
      <w:r>
        <w:t xml:space="preserve"> </w:t>
      </w:r>
      <w:r>
        <w:t>2+</w:t>
      </w:r>
      <w:r>
        <w:t xml:space="preserve"> </w:t>
      </w:r>
      <w:r>
        <w:t>‐导电（PAMPS-Zn，聚（2-丙烯酰胺基-2-甲基丙磺酸锌））水凝胶界面，通过原位紫外线诱导聚合，使局部 Zn</w:t>
      </w:r>
      <w:r>
        <w:t xml:space="preserve"> </w:t>
      </w:r>
      <w:r>
        <w:t>2+</w:t>
      </w:r>
      <w:r>
        <w:t xml:space="preserve"> </w:t>
      </w:r>
      <w:r>
        <w:t>缓冲、增强锌</w:t>
      </w:r>
      <w:r>
        <w:t xml:space="preserve"> </w:t>
      </w:r>
      <w:r>
        <w:t>2+</w:t>
      </w:r>
      <w:r>
        <w:t xml:space="preserve"> </w:t>
      </w:r>
      <w:r>
        <w:t>传输和抑制高度压缩的干法碘阴极中的聚碘化物迁移。聚合物链中丰富的磺酸基团作为固定的阴离子位点来协调 Zn</w:t>
      </w:r>
      <w:r>
        <w:t xml:space="preserve"> </w:t>
      </w:r>
      <w:r>
        <w:t>2+</w:t>
      </w:r>
      <w:r>
        <w:t xml:space="preserve"> </w:t>
      </w:r>
      <w:r>
        <w:t>并提供本地 Zn</w:t>
      </w:r>
      <w:r>
        <w:t xml:space="preserve"> </w:t>
      </w:r>
      <w:r>
        <w:t>2+</w:t>
      </w:r>
      <w:r>
        <w:t xml:space="preserve"> </w:t>
      </w:r>
      <w:r>
        <w:t>储层，减轻界面锌</w:t>
      </w:r>
      <w:r>
        <w:t xml:space="preserve"> </w:t>
      </w:r>
      <w:r>
        <w:t>2+</w:t>
      </w:r>
      <w:r>
        <w:t xml:space="preserve"> </w:t>
      </w:r>
      <w:r>
        <w:t>耗尽。同时，互连的Zn</w:t>
      </w:r>
      <w:r>
        <w:t xml:space="preserve"> </w:t>
      </w:r>
      <w:r>
        <w:t>2+</w:t>
      </w:r>
      <w:r>
        <w:t xml:space="preserve"> </w:t>
      </w:r>
      <w:r>
        <w:t>‐传导水凝胶网络有利于锌</w:t>
      </w:r>
      <w:r>
        <w:t xml:space="preserve"> </w:t>
      </w:r>
      <w:r>
        <w:t>2+</w:t>
      </w:r>
      <w:r>
        <w:t xml:space="preserve"> </w:t>
      </w:r>
      <w:r>
        <w:t>通过厚电极进行传输，减少了对干法电极中传统电解质渗透介导的离子传输的依赖，这种依赖本质上受到 PTFE 粘合剂的疏水性和高离子弯曲度的限制。重要的是，带负电的水调节水凝胶界面还通过静电排斥抑制聚碘化物扩散，并减少水驱动的溶解。</w:t>
      </w:r>
    </w:p>
    <w:p>
      <w:pPr>
        <w:spacing w:before="0" w:after="200" w:lineRule="auto" w:line="276"/>
      </w:pPr>
      <w:r>
        <w:rPr>
          <w:b/>
        </w:rPr>
        <w:t xml:space="preserve">Abstract (EN): </w:t>
      </w:r>
      <w:r>
        <w:t>Increasing the compaction density of dry‐processed thick iodine cathodes is essential for enhancing energy density, yet remains hindered by sluggish reaction kinetics and aggravated polyiodide shuttling. Herein, we report an implanted Zn</w:t>
      </w:r>
      <w:r>
        <w:t xml:space="preserve"> </w:t>
      </w:r>
      <w:r>
        <w:t>2+</w:t>
      </w:r>
      <w:r>
        <w:t xml:space="preserve"> </w:t>
      </w:r>
      <w:r>
        <w:t>‐conducting (PAMPS‐Zn, poly(zinc 2‐acrylamido‐2‐methylpropane sulfonate)) hydrogel interphase via in situ ultraviolet‐induced polymerization, which enables local Zn</w:t>
      </w:r>
      <w:r>
        <w:t xml:space="preserve"> </w:t>
      </w:r>
      <w:r>
        <w:t>2+</w:t>
      </w:r>
      <w:r>
        <w:t xml:space="preserve"> </w:t>
      </w:r>
      <w:r>
        <w:t>buffering, enhanced Zn</w:t>
      </w:r>
      <w:r>
        <w:t xml:space="preserve"> </w:t>
      </w:r>
      <w:r>
        <w:t>2+</w:t>
      </w:r>
      <w:r>
        <w:t xml:space="preserve"> </w:t>
      </w:r>
      <w:r>
        <w:t>transport, and suppression of polyiodide migration in highly compacted dry‐processed iodine cathodes. Abundant sulfonate groups in polymeric chains serve as immobilized anionic sites that coordinate Zn</w:t>
      </w:r>
      <w:r>
        <w:t xml:space="preserve"> </w:t>
      </w:r>
      <w:r>
        <w:t>2+</w:t>
      </w:r>
      <w:r>
        <w:t xml:space="preserve"> </w:t>
      </w:r>
      <w:r>
        <w:t>and provide a local Zn</w:t>
      </w:r>
      <w:r>
        <w:t xml:space="preserve"> </w:t>
      </w:r>
      <w:r>
        <w:t>2+</w:t>
      </w:r>
      <w:r>
        <w:t xml:space="preserve"> </w:t>
      </w:r>
      <w:r>
        <w:t>reservoir, which mitigates interfacial Zn</w:t>
      </w:r>
      <w:r>
        <w:t xml:space="preserve"> </w:t>
      </w:r>
      <w:r>
        <w:t>2+</w:t>
      </w:r>
      <w:r>
        <w:t xml:space="preserve"> </w:t>
      </w:r>
      <w:r>
        <w:t>depletion. Meanwhile, the interconnected Zn</w:t>
      </w:r>
      <w:r>
        <w:t xml:space="preserve"> </w:t>
      </w:r>
      <w:r>
        <w:t>2+</w:t>
      </w:r>
      <w:r>
        <w:t xml:space="preserve"> </w:t>
      </w:r>
      <w:r>
        <w:t>‐conducting hydrogel network facilitates Zn</w:t>
      </w:r>
      <w:r>
        <w:t xml:space="preserve"> </w:t>
      </w:r>
      <w:r>
        <w:t>2+</w:t>
      </w:r>
      <w:r>
        <w:t xml:space="preserve"> </w:t>
      </w:r>
      <w:r>
        <w:t>transport through the thick electrode, reducing reliance on conventional electrolyte‐permeation‐mediated ion transport in dry‐processed electrodes, which is intrinsically limited by the hydrophobic nature of the PTFE binder and high ionic tortuosity. Importantly, the negatively charged, water‐regulated hydrogel interphase also suppresses polyiodide diffusion through electrostatic repulsion and reduced water‐driven dissolution. Consequently, under high compaction conditions (∼0.5 g cm</w:t>
      </w:r>
      <w:r>
        <w:t xml:space="preserve"> </w:t>
      </w:r>
      <w:r>
        <w:t>−3</w:t>
      </w:r>
      <w:r>
        <w:t xml:space="preserve"> </w:t>
      </w:r>
      <w:r>
        <w:t>), Zn–I</w:t>
      </w:r>
      <w:r>
        <w:rPr>
          <w:vertAlign w:val="subscript"/>
        </w:rPr>
        <w:t>2</w:t>
      </w:r>
      <w:r>
        <w:t>batteries incorporating PAMPS‐Zn interphase achieve a high areal capacity of 9.6 mAh cm</w:t>
      </w:r>
      <w:r>
        <w:t xml:space="preserve"> </w:t>
      </w:r>
      <w:r>
        <w:t>−2</w:t>
      </w:r>
      <w:r>
        <w:t xml:space="preserve"> </w:t>
      </w:r>
      <w:r>
        <w:t>at 0.5 C and an ultralong lifespan exceeding 4400 cycles at 5 C. Notably, Ah‐level Zn‐I</w:t>
      </w:r>
      <w:r>
        <w:rPr>
          <w:vertAlign w:val="subscript"/>
        </w:rPr>
        <w:t>2</w:t>
      </w:r>
      <w:r>
        <w:t>pouch cells (∼1.2 Ah) achieve stable operation for 850 cycles, providing compelling proof‐of‐concept validation of this strategy.</w:t>
      </w:r>
    </w:p>
    <w:p>
      <w:pPr>
        <w:spacing w:before="120" w:after="120"/>
      </w:pPr>
      <w:r>
        <w:rPr>
          <w:sz w:val="18"/>
        </w:rPr>
        <w:t>——————————————————————————————————————————————————————————————————————</w:t>
      </w:r>
    </w:p>
    <w:p>
      <w:pPr>
        <w:spacing w:before="160" w:after="40" w:line="240" w:lineRule="auto"/>
      </w:pPr>
      <w:r>
        <w:rPr>
          <w:b/>
        </w:rPr>
        <w:t xml:space="preserve">[28] </w:t>
      </w:r>
      <w:hyperlink r:id="rId159">
        <w:r>
          <w:rPr>
            <w:color w:val="1155CC"/>
            <w:u w:val="single"/>
          </w:rPr>
          <w:t>电化学激活的高度可逆硫酸盐转化使高电压和大容量锌基阴阳离子穿梭电池成为可能</w:t>
        </w:r>
      </w:hyperlink>
    </w:p>
    <w:p>
      <w:pPr>
        <w:spacing w:before="0" w:after="80"/>
      </w:pPr>
      <w:r>
        <w:rPr>
          <w:i/>
          <w:sz w:val="20"/>
        </w:rPr>
        <w:t>EN: Electrochemically Activated Highly Reversible Sulfate Conversion Enables High‐Voltage and Large‐Volumetric‐Capacity Zinc‐Based Anion–Cation Shuttle Battery</w:t>
      </w:r>
    </w:p>
    <w:p>
      <w:pPr>
        <w:spacing w:before="0" w:after="120"/>
      </w:pPr>
      <w:r>
        <w:rPr>
          <w:b/>
        </w:rPr>
        <w:t xml:space="preserve">Source: </w:t>
      </w:r>
      <w:r>
        <w:t>Wiley: Angewandte Chemie International Edition: Table of Contents</w:t>
      </w:r>
      <w:r>
        <w:t xml:space="preserve">    </w:t>
      </w:r>
      <w:r>
        <w:rPr>
          <w:b/>
        </w:rPr>
        <w:t xml:space="preserve">Pub date: </w:t>
      </w:r>
      <w:r>
        <w:t>2026-08-19 08:53:13+00:00</w:t>
      </w:r>
      <w:r>
        <w:t xml:space="preserve">    </w:t>
      </w:r>
      <w:r>
        <w:rPr>
          <w:b/>
        </w:rPr>
        <w:t xml:space="preserve">DOI: </w:t>
      </w:r>
      <w:hyperlink r:id="rId160">
        <w:r>
          <w:rPr>
            <w:color w:val="1155CC"/>
            <w:u w:val="single"/>
          </w:rPr>
          <w:t>10.1002/anie.3330483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由于优异的安全性能、高功率密度和成本效益，水系双离子电池（DIB）正在成为大规模固定储能最引人注目的选择之一。然而，它们的低输出电压导致能量密度不足。在这里，我们设计了一种高度可逆的 pH 中性 Ag↔Ag</w:t>
      </w:r>
      <w:r>
        <w:rPr>
          <w:vertAlign w:val="subscript"/>
        </w:rPr>
        <w:t>2</w:t>
      </w:r>
      <w:r>
        <w:t>SO</w:t>
      </w:r>
      <w:r>
        <w:rPr>
          <w:vertAlign w:val="subscript"/>
        </w:rPr>
        <w:t>4</w:t>
      </w:r>
      <w:r>
        <w:t>电化学并构建了一种新型的锌基转换型水性阴阳离子穿梭DIB。制备了具有功能石墨层的无枝晶锌阳极以提高循环寿命。受益于锌的同步效应</w:t>
      </w:r>
      <w:r>
        <w:t xml:space="preserve"> </w:t>
      </w:r>
      <w:r>
        <w:t>2+</w:t>
      </w:r>
      <w:r>
        <w:t xml:space="preserve"> </w:t>
      </w:r>
      <w:r>
        <w:t>/SO</w:t>
      </w:r>
      <w:r>
        <w:rPr>
          <w:vertAlign w:val="subscript"/>
        </w:rPr>
        <w:t>4</w:t>
      </w:r>
      <w:r>
        <w:t>2−</w:t>
      </w:r>
      <w:r>
        <w:t>双电荷携带和无枝晶阳极，DIB 提供 1.41 V 的高输出电压，体积能量密度为 3295.4 Wh L</w:t>
      </w:r>
      <w:r>
        <w:t xml:space="preserve"> </w:t>
      </w:r>
      <w:r>
        <w:t>−1</w:t>
      </w:r>
      <w:r>
        <w:t xml:space="preserve"> </w:t>
      </w:r>
      <w:r>
        <w:t>0.5安克时</w:t>
      </w:r>
      <w:r>
        <w:t xml:space="preserve"> </w:t>
      </w:r>
      <w:r>
        <w:t>−1</w:t>
      </w:r>
      <w:r>
        <w:t xml:space="preserve"> </w:t>
      </w:r>
      <w:r>
        <w:t>，在 1 A g 下 300 次循环后容量保持率为 95.9%</w:t>
      </w:r>
      <w:r>
        <w:t xml:space="preserve"> </w:t>
      </w:r>
      <w:r>
        <w:t>−1</w:t>
      </w:r>
      <w:r>
        <w:t xml:space="preserve"> </w:t>
      </w:r>
      <w:r>
        <w:t>，优于大多数报道的 DIB。作为概念验证，我们制造了一种具有卓越机械强度、柔韧性和令人印象深刻的耐温性的准固态水性 DIB。随着工作温度从 20°C 降至 -10°C，它仅表现出非常低的容量损失 (8.4%) 和可忽略不计的极化变化 (0.05 V)。这项工作克服了水基 DIB 中输出电压低的瓶颈，为 DIB 的设计提供了一条有前途的途径。</w:t>
      </w:r>
    </w:p>
    <w:p>
      <w:pPr>
        <w:spacing w:before="0" w:after="200" w:lineRule="auto" w:line="276"/>
      </w:pPr>
      <w:r>
        <w:rPr>
          <w:b/>
        </w:rPr>
        <w:t xml:space="preserve">Abstract (EN): </w:t>
      </w:r>
      <w:r>
        <w:t>Aqueous dual‐ion batteries (DIBs) are becoming one of the most compelling choices for large‐scale stationary energy storage owing to the excellent safety performance, high power density, and cost‐effectiveness. However, their low output voltage leads to insufficient energy density. Here, we design a highly reversible pH‐neutral Ag↔Ag</w:t>
      </w:r>
      <w:r>
        <w:rPr>
          <w:vertAlign w:val="subscript"/>
        </w:rPr>
        <w:t>2</w:t>
      </w:r>
      <w:r>
        <w:t>SO</w:t>
      </w:r>
      <w:r>
        <w:rPr>
          <w:vertAlign w:val="subscript"/>
        </w:rPr>
        <w:t>4</w:t>
      </w:r>
      <w:r>
        <w:t>electrochemistry and construct a novel Zn‐based conversion‐type aqueous anion–cation shuttle DIB. A dendrite‐free Zn anode with functional graphite layer is prepared to improve cycle life. Benefitting from the synchronous effect of Zn</w:t>
      </w:r>
      <w:r>
        <w:t xml:space="preserve"> </w:t>
      </w:r>
      <w:r>
        <w:t>2+</w:t>
      </w:r>
      <w:r>
        <w:t xml:space="preserve"> </w:t>
      </w:r>
      <w:r>
        <w:t>/SO</w:t>
      </w:r>
      <w:r>
        <w:rPr>
          <w:vertAlign w:val="subscript"/>
        </w:rPr>
        <w:t>4</w:t>
      </w:r>
      <w:r>
        <w:t>2−</w:t>
      </w:r>
      <w:r>
        <w:t>dual charge carries and dendrite‐free anode, the DIB delivers a high output voltage of 1.41 V, volumetric energy density of 3295.4 Wh L</w:t>
      </w:r>
      <w:r>
        <w:t xml:space="preserve"> </w:t>
      </w:r>
      <w:r>
        <w:t>−1</w:t>
      </w:r>
      <w:r>
        <w:t xml:space="preserve"> </w:t>
      </w:r>
      <w:r>
        <w:t>at 0.5 A g</w:t>
      </w:r>
      <w:r>
        <w:t xml:space="preserve"> </w:t>
      </w:r>
      <w:r>
        <w:t>−1</w:t>
      </w:r>
      <w:r>
        <w:t xml:space="preserve"> </w:t>
      </w:r>
      <w:r>
        <w:t>, and 95.9% capacity retention over 300 cycles at 1 A g</w:t>
      </w:r>
      <w:r>
        <w:t xml:space="preserve"> </w:t>
      </w:r>
      <w:r>
        <w:t>−1</w:t>
      </w:r>
      <w:r>
        <w:t xml:space="preserve"> </w:t>
      </w:r>
      <w:r>
        <w:t>, superior to most reported DIBs. As a proof of concept, we fabricate a quasi‐solid‐state aqueous DIB with remarkable mechanical strength, flexibility, and impressive temperature resistance. With working temperature decreasing from 20 to −10°C, it shows only a very low‐capacity loss (8.4%) and negligible polarization change (0.05 V). This work overcomes the bottleneck of low output voltage in aqueous DIBs and offers a promising pathway for the development of future aqueous batteries with high energy density.</w:t>
      </w:r>
    </w:p>
    <w:p>
      <w:pPr>
        <w:spacing w:before="120" w:after="120"/>
      </w:pPr>
      <w:r>
        <w:rPr>
          <w:sz w:val="18"/>
        </w:rPr>
        <w:t>——————————————————————————————————————————————————————————————————————</w:t>
      </w:r>
    </w:p>
    <w:p>
      <w:pPr>
        <w:spacing w:before="160" w:after="40" w:line="240" w:lineRule="auto"/>
      </w:pPr>
      <w:r>
        <w:rPr>
          <w:b/>
        </w:rPr>
        <w:t xml:space="preserve">[29] </w:t>
      </w:r>
      <w:hyperlink r:id="rId161">
        <w:r>
          <w:rPr>
            <w:color w:val="1155CC"/>
            <w:u w:val="single"/>
          </w:rPr>
          <w:t>用于全固态电池的多晶富锂锰基正极</w:t>
        </w:r>
      </w:hyperlink>
    </w:p>
    <w:p>
      <w:pPr>
        <w:spacing w:before="0" w:after="80"/>
      </w:pPr>
      <w:r>
        <w:rPr>
          <w:i/>
          <w:sz w:val="20"/>
        </w:rPr>
        <w:t>EN: Polycrystalline Li‐Rich Mn‐Based Cathodes for All Solid‐State Batteries</w:t>
      </w:r>
    </w:p>
    <w:p>
      <w:pPr>
        <w:spacing w:before="0" w:after="120"/>
      </w:pPr>
      <w:r>
        <w:rPr>
          <w:b/>
        </w:rPr>
        <w:t xml:space="preserve">Source: </w:t>
      </w:r>
      <w:r>
        <w:t>Wiley: Advanced Materials: Table of Contents</w:t>
      </w:r>
      <w:r>
        <w:t xml:space="preserve">    </w:t>
      </w:r>
      <w:r>
        <w:rPr>
          <w:b/>
        </w:rPr>
        <w:t xml:space="preserve">Pub date: </w:t>
      </w:r>
      <w:r>
        <w:t>2026-08-19 09:17:55+00:00</w:t>
      </w:r>
      <w:r>
        <w:t xml:space="preserve">    </w:t>
      </w:r>
      <w:r>
        <w:rPr>
          <w:b/>
        </w:rPr>
        <w:t xml:space="preserve">DOI: </w:t>
      </w:r>
      <w:hyperlink r:id="rId162">
        <w:r>
          <w:rPr>
            <w:color w:val="1155CC"/>
            <w:u w:val="single"/>
          </w:rPr>
          <w:t>10.1002/adma.74741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容量富锂锰基氧化物正极（LRMO）材料是全固态电池（ASSB）的有希望的候选材料。虽然单晶材料被广泛认为是增强ASSB循环稳定性的一种有前景的策略，但商业化的多晶富锂锰基阴极（PC-LRMO）的潜力在很大程度上仍未得到开发。在此，我们提出了一种简单但有效的策略，在 PC-LRMO 阴极表面和二次颗粒的晶界 (GB) 上预构建稳定的、富含有机物的阴极电解质界面 (CEI)。这种富含有机物的 CEI 有利于低界面阻抗和快速界面离子转移动力学。因此，这种增强的界面离子传输减轻了高温操作条件下的极化，从而提高了工作电池的放电比容量。此外，富含有机物的CEI有效地减少了直接接触，并促进高压阴极和固体电解质之间自适应界面的形成。这种自适应界面可以减轻充放电循环过程中的应力和应变，抑制有害的副反应和电压衰减，并稳定高压界面。因此，LRMO阴极的倍率性能和长期循环稳定性得到改善。这种基于溶液的简便制备策略为有效利用 ASSB 新兴阴极提供了一种经济可行的方法。</w:t>
      </w:r>
    </w:p>
    <w:p>
      <w:pPr>
        <w:spacing w:before="0" w:after="200" w:lineRule="auto" w:line="276"/>
      </w:pPr>
      <w:r>
        <w:rPr>
          <w:b/>
        </w:rPr>
        <w:t xml:space="preserve">Abstract (EN): </w:t>
      </w:r>
      <w:r>
        <w:t>High‐capacity Li‐rich Mn‐based oxide cathode (LRMO) materials are promising candidates for all‐solid‐state batteries (ASSBs). While single‐crystal materials have been widely regarded as a promising strategy to enhance cycling stability in ASSBs, the potential of commercialized polycrystalline Li‐rich Mn‐based cathodes (PC‐LRMO) remains largely unexplored. Herein, we propose a simple but effective strategy to pre‐construct a stabilized, organic‐rich cathode electrolyte interface (CEI) both on the surface of PC‐LRMO cathodes and at the grain boundaries (GBs) of the secondary particles. This organic‐rich CEI facilitates low interfacial impedance and fast interfacial ion transfer kinetics. Consequently, this enhanced interfacial ion transport alleviates polarization under high‐temperature operating conditions, thereby improving the discharge specific capacity of a working battery. Furthermore, the organic‐rich CEI effectively mitigates direct contact and facilitates the formation of a self‐adaptive interface between the high‐voltage cathodes and the solid electrolytes. This adaptive interface alleviates stress and strain during charge‐discharge cycling, suppresses detrimental side reactions and voltage decay, and stabilizes the high‐voltage interface. Therefore, an improved rate capability and long‐term cycling stability of the LRMO cathode is achieved. This facile solution‐based preparation strategy provides an economically viable approach for effective utilization of emerging cathodes for ASSBs.</w:t>
      </w:r>
    </w:p>
    <w:p>
      <w:pPr>
        <w:spacing w:before="120" w:after="120"/>
      </w:pPr>
      <w:r>
        <w:rPr>
          <w:sz w:val="18"/>
        </w:rPr>
        <w:t>——————————————————————————————————————————————————————————————————————</w:t>
      </w:r>
    </w:p>
    <w:p>
      <w:pPr>
        <w:spacing w:before="160" w:after="40" w:line="240" w:lineRule="auto"/>
      </w:pPr>
      <w:r>
        <w:rPr>
          <w:b/>
        </w:rPr>
        <w:t xml:space="preserve">[30] </w:t>
      </w:r>
      <w:hyperlink r:id="rId163">
        <w:r>
          <w:rPr>
            <w:color w:val="1155CC"/>
            <w:u w:val="single"/>
          </w:rPr>
          <w:t>由反应衍生的纳米晶非晶Li2S阴极和可变形钠集流体实现的稳定低压无阳极全固态Li-S电池</w:t>
        </w:r>
      </w:hyperlink>
    </w:p>
    <w:p>
      <w:pPr>
        <w:spacing w:before="0" w:after="80"/>
      </w:pPr>
      <w:r>
        <w:rPr>
          <w:i/>
          <w:sz w:val="20"/>
        </w:rPr>
        <w:t>EN: Stable and Low‐Pressure Anode‐Free All‐Solid‐State Li–S Batteries Enabled by Reaction‐Derived Nanocrystalline‐Amorphous Li2S Cathodes and Deformable Sodium Current Collectors</w:t>
      </w:r>
    </w:p>
    <w:p>
      <w:pPr>
        <w:spacing w:before="0" w:after="120"/>
      </w:pPr>
      <w:r>
        <w:rPr>
          <w:b/>
        </w:rPr>
        <w:t xml:space="preserve">Source: </w:t>
      </w:r>
      <w:r>
        <w:t>Wiley: Advanced Energy Materials: Table of Contents</w:t>
      </w:r>
      <w:r>
        <w:t xml:space="preserve">    </w:t>
      </w:r>
      <w:r>
        <w:rPr>
          <w:b/>
        </w:rPr>
        <w:t xml:space="preserve">Pub date: </w:t>
      </w:r>
      <w:r>
        <w:t>2026-08-19 10:43:30+00:00</w:t>
      </w:r>
      <w:r>
        <w:t xml:space="preserve">    </w:t>
      </w:r>
      <w:r>
        <w:rPr>
          <w:b/>
        </w:rPr>
        <w:t xml:space="preserve">DOI: </w:t>
      </w:r>
      <w:hyperlink r:id="rId164">
        <w:r>
          <w:rPr>
            <w:color w:val="1155CC"/>
            <w:u w:val="single"/>
          </w:rPr>
          <w:t>10.1002/aenm.71471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无阳极全固态锂硫电池（ASSLSB）有望用于高能量密度存储，但其发展受到锂电池迟缓的阻碍</w:t>
      </w:r>
      <w:r>
        <w:rPr>
          <w:vertAlign w:val="subscript"/>
        </w:rPr>
        <w:t>2</w:t>
      </w:r>
      <w:r>
        <w:t>S激活和不稳定的固-固界面，特别是在低烟囱压力下。在这里，我们报告了一种低压无阳极 ASSLSB，由固态原位反应衍生的纳米晶非晶锂实现</w:t>
      </w:r>
      <w:r>
        <w:rPr>
          <w:vertAlign w:val="subscript"/>
        </w:rPr>
        <w:t>2</w:t>
      </w:r>
      <w:r>
        <w:t>S 阴极和可变形 Na 集电器。在短期高能球磨过程中，PI</w:t>
      </w:r>
      <w:r>
        <w:rPr>
          <w:vertAlign w:val="subscript"/>
        </w:rPr>
        <w:t>3</w:t>
      </w:r>
      <w:r>
        <w:t>与Li发生反应</w:t>
      </w:r>
      <w:r>
        <w:rPr>
          <w:vertAlign w:val="subscript"/>
        </w:rPr>
        <w:t>2</w:t>
      </w:r>
      <w:r>
        <w:t>S 在纳米晶 Li 周围生成 LiI 和无定形硫代磷酸盐物质</w:t>
      </w:r>
      <w:r>
        <w:rPr>
          <w:vertAlign w:val="subscript"/>
        </w:rPr>
        <w:t>2</w:t>
      </w:r>
      <w:r>
        <w:t>S域，形成反应衍生的离子传导框架。同时，即使在有限的外部压力下，Na集流体仍与硫化物电解质保持紧密接触，而Li的体积变化得到缓解</w:t>
      </w:r>
      <w:r>
        <w:rPr>
          <w:vertAlign w:val="subscript"/>
        </w:rPr>
        <w:t>2</w:t>
      </w:r>
      <w:r>
        <w:t>S和非晶界面框架共同稳定循环过程中的固-固界面。因此，优化后的 Li</w:t>
      </w:r>
      <w:r>
        <w:rPr>
          <w:vertAlign w:val="subscript"/>
        </w:rPr>
        <w:t>2</w:t>
      </w:r>
      <w:r>
        <w:t>S-PI</w:t>
      </w:r>
      <w:r>
        <w:rPr>
          <w:vertAlign w:val="subscript"/>
        </w:rPr>
        <w:t>3</w:t>
      </w:r>
      <w:r>
        <w:t>8%全电池在0.5 C、4 MPa堆叠压力下循环200次后容量保持率约为100%。在相同的外部压力下，该电池在 0.2 C 下循环 400 次后仍表现出 89.71% 的容量保持率。值得注意的是，即使在外部压力为</w:t>
      </w:r>
    </w:p>
    <w:p>
      <w:pPr>
        <w:spacing w:before="0" w:after="200" w:lineRule="auto" w:line="276"/>
      </w:pPr>
      <w:r>
        <w:rPr>
          <w:b/>
        </w:rPr>
        <w:t xml:space="preserve">Abstract (EN): </w:t>
      </w:r>
      <w:r>
        <w:t>Anode‐free all‐solid‐state Li–S batteries (ASSLSBs) are promising for high‐energy‐density storage, but their development is hindered by sluggish Li</w:t>
      </w:r>
      <w:r>
        <w:rPr>
          <w:vertAlign w:val="subscript"/>
        </w:rPr>
        <w:t>2</w:t>
      </w:r>
      <w:r>
        <w:t>S activation and unstable solid–solid interfaces, especially under low stack pressure. Here we report a low‐pressure anode‐free ASSLSB enabled by a solid‐state in situ reaction‐derived nanocrystalline‐amorphous Li</w:t>
      </w:r>
      <w:r>
        <w:rPr>
          <w:vertAlign w:val="subscript"/>
        </w:rPr>
        <w:t>2</w:t>
      </w:r>
      <w:r>
        <w:t>S cathode and a deformable Na current collector. During short‐term high‐energy ball milling, PI</w:t>
      </w:r>
      <w:r>
        <w:rPr>
          <w:vertAlign w:val="subscript"/>
        </w:rPr>
        <w:t>3</w:t>
      </w:r>
      <w:r>
        <w:t>reacts with Li</w:t>
      </w:r>
      <w:r>
        <w:rPr>
          <w:vertAlign w:val="subscript"/>
        </w:rPr>
        <w:t>2</w:t>
      </w:r>
      <w:r>
        <w:t>S to generate LiI and amorphous thiophosphate species around nanocrystalline Li</w:t>
      </w:r>
      <w:r>
        <w:rPr>
          <w:vertAlign w:val="subscript"/>
        </w:rPr>
        <w:t>2</w:t>
      </w:r>
      <w:r>
        <w:t>S domains, forming a reaction‐derived ion‐conductive framework. Meanwhile, the Na current collector maintains intimate contact with the sulfide electrolyte even under limited external pressure, while the mitigated volume variation of Li</w:t>
      </w:r>
      <w:r>
        <w:rPr>
          <w:vertAlign w:val="subscript"/>
        </w:rPr>
        <w:t>2</w:t>
      </w:r>
      <w:r>
        <w:t>S and amorphous interfacial framework jointly stabilize the solid–solid interfaces during cycling. Consequently, the optimized Li</w:t>
      </w:r>
      <w:r>
        <w:rPr>
          <w:vertAlign w:val="subscript"/>
        </w:rPr>
        <w:t>2</w:t>
      </w:r>
      <w:r>
        <w:t>S‐PI</w:t>
      </w:r>
      <w:r>
        <w:rPr>
          <w:vertAlign w:val="subscript"/>
        </w:rPr>
        <w:t>3</w:t>
      </w:r>
      <w:r>
        <w:t>8% full cell exhibits a capacity retention of approximately 100% after 200 cycles at 0.5 C under a stacking pressure of 4 MPa. Under the same external pressure, the cell further exhibits a capacity retention of 89.71% after 400 cycles at 0.2 C. Remarkably, even under an external pressure as low as 1 MPa, the full cell maintains 70.54% capacity retention after 300 cycles, underscoring its robust cycling stability under low‐external‐pressure conditions.</w:t>
      </w:r>
    </w:p>
    <w:p>
      <w:pPr>
        <w:spacing w:before="120" w:after="120"/>
      </w:pPr>
      <w:r>
        <w:rPr>
          <w:sz w:val="18"/>
        </w:rPr>
        <w:t>——————————————————————————————————————————————————————————————————————</w:t>
      </w:r>
    </w:p>
    <w:p>
      <w:pPr>
        <w:spacing w:before="160" w:after="40" w:line="240" w:lineRule="auto"/>
      </w:pPr>
      <w:r>
        <w:rPr>
          <w:b/>
        </w:rPr>
        <w:t xml:space="preserve">[31] </w:t>
      </w:r>
      <w:hyperlink r:id="rId165">
        <w:r>
          <w:rPr>
            <w:color w:val="1155CC"/>
            <w:u w:val="single"/>
          </w:rPr>
          <w:t>单侧氰基官能化不对称醚基电解质可实现稳定的高压锂金属电池</w:t>
        </w:r>
      </w:hyperlink>
    </w:p>
    <w:p>
      <w:pPr>
        <w:spacing w:before="0" w:after="80"/>
      </w:pPr>
      <w:r>
        <w:rPr>
          <w:i/>
          <w:sz w:val="20"/>
        </w:rPr>
        <w:t>EN: Unilateral‐Cyano‐Functionalized Asymmetric Ether‐Based Electrolytes Enable Stable High‐Voltage Lithium Metal Batteries</w:t>
      </w:r>
    </w:p>
    <w:p>
      <w:pPr>
        <w:spacing w:before="0" w:after="120"/>
      </w:pPr>
      <w:r>
        <w:rPr>
          <w:b/>
        </w:rPr>
        <w:t xml:space="preserve">Source: </w:t>
      </w:r>
      <w:r>
        <w:t>Wiley: Advanced Materials: Table of Contents</w:t>
      </w:r>
      <w:r>
        <w:t xml:space="preserve">    </w:t>
      </w:r>
      <w:r>
        <w:rPr>
          <w:b/>
        </w:rPr>
        <w:t xml:space="preserve">Pub date: </w:t>
      </w:r>
      <w:r>
        <w:t>2026-08-19 11:28:17+00:00</w:t>
      </w:r>
      <w:r>
        <w:t xml:space="preserve">    </w:t>
      </w:r>
      <w:r>
        <w:rPr>
          <w:b/>
        </w:rPr>
        <w:t xml:space="preserve">DOI: </w:t>
      </w:r>
      <w:hyperlink r:id="rId166">
        <w:r>
          <w:rPr>
            <w:color w:val="1155CC"/>
            <w:u w:val="single"/>
          </w:rPr>
          <w:t>10.1002/adma.74706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高能量密度电池的需求增加加剧了对高电压富镍三元正极的关注。然而，它们的高电压特性难以与传统醚电解质的狭窄电化学稳定性窗口相匹配。在此，我们通过分子工程提出了一系列单侧氰基官能化的不对称甘醇二甲醚（甘醇二甲醚-CN）电解质，其具有更宽的氧化稳定性。吸电子氰基通过抑制醚-氧孤对电子损失来增强氧化稳定性，同时它们的溶剂化结构经过微调以促进阴离子衍生的界面化学。名为 TF 的优化电解质甘醇二甲醚-CN 在 Li||Cu 电池中实现了 5.2 V 的电化学稳定性窗口、98.9% 的库仑效率，以及在 Li||Li 电池中稳定循环超过 1400 小时。 Li||磷酸铁锂</w:t>
      </w:r>
      <w:r>
        <w:rPr>
          <w:vertAlign w:val="subscript"/>
        </w:rPr>
        <w:t>4</w:t>
      </w:r>
      <w:r>
        <w:t>采用 TF 电解液的全电池具有出色的循环稳定性，保持 133.3 mAh g</w:t>
      </w:r>
      <w:r>
        <w:t xml:space="preserve"> </w:t>
      </w:r>
      <w:r>
        <w:t>−1</w:t>
      </w:r>
      <w:r>
        <w:t xml:space="preserve"> </w:t>
      </w:r>
      <w:r>
        <w:t>高容量，1C 循环 4000 次后容量保持率为 90.8%。此外，TF 还支持 4.3 V 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阴极在 800 次循环后保留 64.2% 的容量，即使在 4.6 V 下也能保持稳定运行。这种针对结构和性能定制的精确分子工程策略为先进的开发提供了新的见解。</w:t>
      </w:r>
    </w:p>
    <w:p>
      <w:pPr>
        <w:spacing w:before="0" w:after="200" w:lineRule="auto" w:line="276"/>
      </w:pPr>
      <w:r>
        <w:rPr>
          <w:b/>
        </w:rPr>
        <w:t xml:space="preserve">Abstract (EN): </w:t>
      </w:r>
      <w:r>
        <w:t>Enhanced demand for high‐energy‐density batteries has intensified the focus on high‐voltage Ni‐rich ternary cathodes. However, their high‐voltage characteristics are challenging to match the narrow electrochemical stability window of traditional ether electrolytes. Herein, we propose a series of unilateral‐cyano‐functionalized asymmetric glyme (glyme‐CN) electrolytes with broadened oxidation stability by molecular engineering. The electron‐withdrawing cyano group enhances oxidation stability by suppressing ether‐oxygen lone pair loss, while their solvation structures are finely tuned to promote anion‐derived interfacial chemistry. The optimized electrolyte glyme‐CN named TF achieves a 5.2 V electrochemical stability window, 98.9% Coulombic efficiency in Li||Cu cells, and stable cycling in Li||Li cells over 1400 h. The Li||LiFePO</w:t>
      </w:r>
      <w:r>
        <w:rPr>
          <w:vertAlign w:val="subscript"/>
        </w:rPr>
        <w:t>4</w:t>
      </w:r>
      <w:r>
        <w:t>full battery with electrolyte TF delivers remarkable cycling stability, maintaining 133.3 mAh g</w:t>
      </w:r>
      <w:r>
        <w:t xml:space="preserve"> </w:t>
      </w:r>
      <w:r>
        <w:t>−1</w:t>
      </w:r>
      <w:r>
        <w:t xml:space="preserve"> </w:t>
      </w:r>
      <w:r>
        <w:t>high capacity with a 90.8% capacity retention rate after 4000 cycles at 1C. Furthermore, TF enables a 4.3 V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 to retain 64.2% capacity after 800 cycles and sustains stable operation even at 4.6 V. This precise molecular engineering strategy for structure and property customization provides new insights into the development of advanced battery materials.</w:t>
      </w:r>
    </w:p>
    <w:p>
      <w:pPr>
        <w:spacing w:before="120" w:after="120"/>
      </w:pPr>
      <w:r>
        <w:rPr>
          <w:sz w:val="18"/>
        </w:rPr>
        <w:t>——————————————————————————————————————————————————————————————————————</w:t>
      </w:r>
    </w:p>
    <w:p>
      <w:pPr>
        <w:spacing w:before="160" w:after="40" w:line="240" w:lineRule="auto"/>
      </w:pPr>
      <w:r>
        <w:rPr>
          <w:b/>
        </w:rPr>
        <w:t xml:space="preserve">[32] </w:t>
      </w:r>
      <w:hyperlink r:id="rId167">
        <w:r>
          <w:rPr>
            <w:color w:val="1155CC"/>
            <w:u w:val="single"/>
          </w:rPr>
          <w:t>突破能量密度极限：与非晶锂钒氧化物薄膜阴极集成的无阳极固态电池（Adv. Energy Mater. 31/2026）</w:t>
        </w:r>
      </w:hyperlink>
    </w:p>
    <w:p>
      <w:pPr>
        <w:spacing w:before="0" w:after="80"/>
      </w:pPr>
      <w:r>
        <w:rPr>
          <w:i/>
          <w:sz w:val="20"/>
        </w:rPr>
        <w:t>EN: Pushing Energy Density Limits: Anode‐Less Solid‐State Battery Integrated With Amorphous Lithium Vanadium Oxide Thin‐Film Cathode (Adv. Energy Mater. 31/2026)</w:t>
      </w:r>
    </w:p>
    <w:p>
      <w:pPr>
        <w:spacing w:before="0" w:after="120"/>
      </w:pPr>
      <w:r>
        <w:rPr>
          <w:b/>
        </w:rPr>
        <w:t xml:space="preserve">Source: </w:t>
      </w:r>
      <w:r>
        <w:t>Wiley: Advanced Energy Materials: Table of Contents</w:t>
      </w:r>
      <w:r>
        <w:t xml:space="preserve">    </w:t>
      </w:r>
      <w:r>
        <w:rPr>
          <w:b/>
        </w:rPr>
        <w:t xml:space="preserve">Pub date: </w:t>
      </w:r>
      <w:r>
        <w:t>2026-08-19 16:16:34+00:00</w:t>
      </w:r>
      <w:r>
        <w:t xml:space="preserve">    </w:t>
      </w:r>
      <w:r>
        <w:rPr>
          <w:b/>
        </w:rPr>
        <w:t xml:space="preserve">DOI: </w:t>
      </w:r>
      <w:hyperlink r:id="rId168">
        <w:r>
          <w:rPr>
            <w:color w:val="1155CC"/>
            <w:u w:val="single"/>
          </w:rPr>
          <w:t>10.1002/aenm.71327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169">
        <w:r>
          <w:rPr>
            <w:color w:val="1155CC"/>
            <w:u w:val="single"/>
          </w:rPr>
          <w:t>铁介导的可逆晶格氧氧化还原可实现稳定的 200 Wh kg−1 钠离子电池</w:t>
        </w:r>
      </w:hyperlink>
    </w:p>
    <w:p>
      <w:pPr>
        <w:spacing w:before="0" w:after="80"/>
      </w:pPr>
      <w:r>
        <w:rPr>
          <w:i/>
          <w:sz w:val="20"/>
        </w:rPr>
        <w:t>EN: Iron-mediated reversible lattice-oxygen redox enables stable 200 Wh kg−1 sodium-ion batteries</w:t>
      </w:r>
    </w:p>
    <w:p>
      <w:pPr>
        <w:spacing w:before="0" w:after="120"/>
      </w:pPr>
      <w:r>
        <w:rPr>
          <w:b/>
        </w:rPr>
        <w:t xml:space="preserve">Source: </w:t>
      </w:r>
      <w:r>
        <w:t>Nature Energy</w:t>
      </w:r>
      <w:r>
        <w:t xml:space="preserve">    </w:t>
      </w:r>
      <w:r>
        <w:rPr>
          <w:b/>
        </w:rPr>
        <w:t xml:space="preserve">Pub date: </w:t>
      </w:r>
      <w:r>
        <w:t>2026-08-20 00:00:00+00:00</w:t>
      </w:r>
      <w:r>
        <w:t xml:space="preserve">    </w:t>
      </w:r>
      <w:r>
        <w:rPr>
          <w:b/>
        </w:rPr>
        <w:t xml:space="preserve">DOI: </w:t>
      </w:r>
      <w:hyperlink r:id="rId170">
        <w:r>
          <w:rPr>
            <w:color w:val="1155CC"/>
            <w:u w:val="single"/>
          </w:rPr>
          <w:t>10.1038/s41560-026-02112-8</w:t>
        </w:r>
      </w:hyperlink>
    </w:p>
    <w:p>
      <w:pPr>
        <w:spacing w:before="0" w:after="120"/>
      </w:pPr>
      <w:r>
        <w:rPr>
          <w:b/>
        </w:rPr>
        <w:t xml:space="preserve">Notes: </w:t>
      </w:r>
      <w:r>
        <w:t>abstract_source=rss_nature</w:t>
      </w:r>
    </w:p>
    <w:p>
      <w:pPr>
        <w:spacing w:before="0" w:after="80" w:lineRule="auto" w:line="276"/>
      </w:pPr>
      <w:r>
        <w:rPr>
          <w:b/>
        </w:rPr>
        <w:t xml:space="preserve">摘要（ZH）: </w:t>
      </w:r>
      <w:r>
        <w:t>晶格氧氧化还原可以提高层状氧化物正极的能量密度，但可逆性差会导致结构退化和容量损失。在这里，作者使用铁作为本体氧化还原介体来提高氧氧化还原可逆性并稳定高能钠离子电池。</w:t>
      </w:r>
    </w:p>
    <w:p>
      <w:pPr>
        <w:spacing w:before="0" w:after="200" w:lineRule="auto" w:line="276"/>
      </w:pPr>
      <w:r>
        <w:rPr>
          <w:b/>
        </w:rPr>
        <w:t xml:space="preserve">Abstract (EN): </w:t>
      </w:r>
      <w:r>
        <w:t>Lattice-oxygen redox can raise the energy density of layered oxide cathodes, but poor reversibility causes structural degradation and capacity loss. Here the authors use iron as a bulk redox mediator to boost oxygen-redox reversibility and stabilize high-energy sodium-ion batteries.</w:t>
      </w:r>
    </w:p>
    <w:p>
      <w:pPr>
        <w:spacing w:before="120" w:after="120"/>
      </w:pPr>
      <w:r>
        <w:rPr>
          <w:sz w:val="18"/>
        </w:rPr>
        <w:t>——————————————————————————————————————————————————————————————————————</w:t>
      </w:r>
    </w:p>
    <w:p>
      <w:pPr>
        <w:spacing w:before="160" w:after="40" w:line="240" w:lineRule="auto"/>
      </w:pPr>
      <w:r>
        <w:rPr>
          <w:b/>
        </w:rPr>
        <w:t xml:space="preserve">[34] </w:t>
      </w:r>
      <w:hyperlink r:id="rId171">
        <w:r>
          <w:rPr>
            <w:color w:val="1155CC"/>
            <w:u w:val="single"/>
          </w:rPr>
          <w:t>用于无过渡金属和无卤素钠电池的无氟、低离子对电解质</w:t>
        </w:r>
      </w:hyperlink>
    </w:p>
    <w:p>
      <w:pPr>
        <w:spacing w:before="0" w:after="80"/>
      </w:pPr>
      <w:r>
        <w:rPr>
          <w:i/>
          <w:sz w:val="20"/>
        </w:rPr>
        <w:t>EN: A Fluorine‐Free, Low Ion Pair Electrolyte for Transition Metal‐Free and Halogen‐Free Sodium Batteries</w:t>
      </w:r>
    </w:p>
    <w:p>
      <w:pPr>
        <w:spacing w:before="0" w:after="120"/>
      </w:pPr>
      <w:r>
        <w:rPr>
          <w:b/>
        </w:rPr>
        <w:t xml:space="preserve">Source: </w:t>
      </w:r>
      <w:r>
        <w:t>Wiley: Advanced Energy Materials: Table of Contents</w:t>
      </w:r>
      <w:r>
        <w:t xml:space="preserve">    </w:t>
      </w:r>
      <w:r>
        <w:rPr>
          <w:b/>
        </w:rPr>
        <w:t xml:space="preserve">Pub date: </w:t>
      </w:r>
      <w:r>
        <w:t>2026-08-20 06:04:17+00:00</w:t>
      </w:r>
      <w:r>
        <w:t xml:space="preserve">    </w:t>
      </w:r>
      <w:r>
        <w:rPr>
          <w:b/>
        </w:rPr>
        <w:t xml:space="preserve">DOI: </w:t>
      </w:r>
      <w:hyperlink r:id="rId172">
        <w:r>
          <w:rPr>
            <w:color w:val="1155CC"/>
            <w:u w:val="single"/>
          </w:rPr>
          <w:t>10.1002/aenm.71422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化溶剂、盐和粘合剂广泛用于现代可充电电池。高耐久性和优异的高倍率能力通常归因于富氟界面或氟调节溶剂化结构。迄今为止，无氟电池的开发仍处于起步阶段，对界面和结构-性能-性能关系的了解仍知之甚少。在这里，我们研究了钠离子盐中的阴离子取代基对钠离子阳极电解质离子输运特性和界面组成的影响。无氟四苯硼酸钠-二甘醇二甲醚电解质可以使硬碳负极在1C下循环超过2000次，容量保持率超过98%。钠金属阳极在 0.5 mA/cm 电流下经过 1000 次循环后的剥离电镀效率高达 99.93%</w:t>
      </w:r>
      <w:r>
        <w:rPr>
          <w:vertAlign w:val="subscript"/>
        </w:rPr>
        <w:t>2</w:t>
      </w:r>
      <w:r>
        <w:t>和 0.5mAh/cm</w:t>
      </w:r>
      <w:r>
        <w:rPr>
          <w:vertAlign w:val="subscript"/>
        </w:rPr>
        <w:t>2</w:t>
      </w:r>
      <w:r>
        <w:t>。大苯基取代基的空间效应导致可忽略的离子配对和良好的离子电导率，支持钠离子电极的高倍率性能。我们证明，作为概念验证的无过渡金属（TM）和无氟电池，采用苝-3,4,9,10-四羧酸二酰亚胺（PTCDI）||硬碳全电池配置，可提供稳定的循环，500次循环后在1C下容量保持率为~85%，并且具有良好的快速充电能力，在不到4分钟的时间内达到80%的比能量。这些结果表明，无需富阴离子溶剂化即可设计无TM和无氟钠离子电池</w:t>
      </w:r>
    </w:p>
    <w:p>
      <w:pPr>
        <w:spacing w:before="0" w:after="200" w:lineRule="auto" w:line="276"/>
      </w:pPr>
      <w:r>
        <w:rPr>
          <w:b/>
        </w:rPr>
        <w:t xml:space="preserve">Abstract (EN): </w:t>
      </w:r>
      <w:r>
        <w:t>Fluorinated solvents, salts, and binders are widely used in modern rechargeable batteries. High durability and superior high‐rate ability are often attributed to fluorine‐rich interphases or fluorine‐tuned solvation structures. To date, fluorine‐free battery development is still nascent, with the interphases and structure‐property‐performance relationship thereby remaining poorly understood. Here, we investigate the impact of anion substituents in Na‐ion salts on electrolyte ion transport properties and interphase compositions on Na‐ion anodes. A fluorine‐free sodium tetraphenylborate‐diglyme electrolyte can cycle hard carbon anode over 2000 cycles at 1C with a capacity retention exceeding 98%. Sodium metal anode exhibits stripping‐plating efficiencies of 99.93% over 1000 cycles at 0.5 mA/cm</w:t>
      </w:r>
      <w:r>
        <w:rPr>
          <w:vertAlign w:val="subscript"/>
        </w:rPr>
        <w:t>2</w:t>
      </w:r>
      <w:r>
        <w:t>and 0.5 mAh/cm</w:t>
      </w:r>
      <w:r>
        <w:rPr>
          <w:vertAlign w:val="subscript"/>
        </w:rPr>
        <w:t>2</w:t>
      </w:r>
      <w:r>
        <w:t>. The steric effect of the bulky phenyl substituent leads to negligible ion pairing and good ionic conductivity, supporting high‐rate performance of Na‐ion electrodes. We demonstrate that a transition‐metal(TM)‐free and fluorine‐free battery as proof of concept, in a perylene‐3,4,9,10‐tetracarboxylic acid diimide (PTCDI)||hard carbon full cell configuration, delivers stable cycling with a ∼85% capacity retention at 1C after 500 cycles and good fast‐charging capability reaching 80% specific energy in less than 4 min. These results show that it is possible to design TM‐free and fluorine‐free sodium ion batteries without an anion‐rich solvation structure or fluorine‐based interphases.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173">
        <w:r>
          <w:rPr>
            <w:color w:val="1155CC"/>
            <w:u w:val="single"/>
          </w:rPr>
          <w:t>锂离子电池硅基阳极电解质介导的界面工程：从液态到准固态和全固态系统</w:t>
        </w:r>
      </w:hyperlink>
    </w:p>
    <w:p>
      <w:pPr>
        <w:spacing w:before="0" w:after="80"/>
      </w:pPr>
      <w:r>
        <w:rPr>
          <w:i/>
          <w:sz w:val="20"/>
        </w:rPr>
        <w:t>EN: Electrolyte-mediated interfacial engineering for silicon-based anodes in lithium-ion batteries: From liquid to quasi-solid and all-solid-state systems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174">
        <w:r>
          <w:rPr>
            <w:color w:val="1155CC"/>
            <w:u w:val="single"/>
          </w:rPr>
          <w:t>10.1016/j.apenergy.2026.128654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5">
        <w:r>
          <w:rPr>
            <w:color w:val="1155CC"/>
            <w:u w:val="single"/>
          </w:rPr>
          <w:t>锂离子电池硅碳及其衍生负极的失效机理及改性策略</w:t>
        </w:r>
      </w:hyperlink>
    </w:p>
    <w:p>
      <w:pPr>
        <w:spacing w:before="0" w:after="80"/>
      </w:pPr>
      <w:r>
        <w:rPr>
          <w:i/>
          <w:sz w:val="20"/>
        </w:rPr>
        <w:t>EN: Failure Mechanisms and Modification Strategies of Silicon-Carbon and Derivative Anodes for Lithium-Ion Batteries</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176">
        <w:r>
          <w:rPr>
            <w:color w:val="1155CC"/>
            <w:u w:val="single"/>
          </w:rPr>
          <w:t>10.1021/acsami.6c06367</w:t>
        </w:r>
      </w:hyperlink>
    </w:p>
    <w:p>
      <w:pPr>
        <w:spacing w:before="0" w:after="120"/>
      </w:pPr>
      <w:r>
        <w:rPr>
          <w:b/>
        </w:rPr>
        <w:t xml:space="preserve">Notes: </w:t>
      </w:r>
      <w:r>
        <w:t>abstract_source=crossref</w:t>
      </w:r>
    </w:p>
    <w:p>
      <w:pPr>
        <w:spacing w:before="0" w:after="80" w:lineRule="auto" w:line="276"/>
      </w:pPr>
      <w:r>
        <w:rPr>
          <w:b/>
        </w:rPr>
        <w:t xml:space="preserve">摘要（ZH）: </w:t>
      </w:r>
      <w:r>
        <w:t>摘要 高能量密度的锂离子电池（LIB）作为新兴的储能系统，依靠大容量电极来驱动能量转换。硅（Si）因其卓越的理论容量而被认为是石墨阳极的有前途的替代品，在满足高能量密度储能需求方面表现出巨大的潜力。然而，硅阳极受到锂化过程中体积大幅膨胀、不稳定的固体电解质界面（SEI）和较差的导电性的限制。为了应对这些挑战，研究人员综合了不同材料的优点，开发了硅/碳（Si@C）复合材料作为LIB阳极，它在结构韧性和电化学性能之间提供了独特的平衡。然而，Si@C材料在电化学循环过程中的结构稳定性、界面相容性和电化学动力学方面仍然存在不令人满意的问题。本文结合近年来的研究进展，对Si@C复合材料的主流制备方法进行了总结和比较分析。基于硅的储锂机理，系统阐明了Si@C负极的多维失效机制。针对结构退化、界面不稳定性、本征电导率差和工业应用限制等关键瓶颈，对当前的改性策略进行了全面的回顾和批判性的比较。并对Si@C负极的前沿发展趋势进行了展望，提供系统的理论支撑。</w:t>
      </w:r>
    </w:p>
    <w:p>
      <w:pPr>
        <w:spacing w:before="0" w:after="200" w:lineRule="auto" w:line="276"/>
      </w:pPr>
      <w:r>
        <w:rPr>
          <w:b/>
        </w:rPr>
        <w:t xml:space="preserve">Abstract (EN): </w:t>
      </w:r>
      <w:r>
        <w:t>Lithium-ion batteries (LIBs) with high energy density, as emerging energy-storage systems, rely on high-capacity electrode to drive the energy transition. Silicon (Si) has been considered as a promising alternative to graphite anodes due to its exceptional theoretical capacity, exhibiting enormous potential to meet the demand for high-energy-density energy storage. However, Si anodes are constrained by substantial volume expansion during lithiation, unstable solid electrolyte interphase (SEI), and poor electrical conductivity. To address these challenges, researchers have integrated the advantages of different materials to develop silicon/carbon (Si@C) composites as LIBs anodes, which offer a unique balance between structural toughness and electrochemical performance. Nevertheless, Si@C materials still face unsatisfactory structural stability, interfacial compatibility, and electrochemical kinetics during electrochemical cycling. Combined with recent research advances, this review summarizes and comparatively analyzes the mainstream preparation methods of Si@C composites. Based on the lithium storage mechanism of silicon, the multi-dimensional failure mechanisms of Si@C anodes are systematically clarified. Focusing on the key bottlenecks, including structural degradation, interfacial instability, inferior intrinsic conductivity, and industrial application limitations, current modification strategies are comprehensively reviewed and critically compared. Furthermore, the cutting-edge development trends of Si@C anodes are prospected, providing systematic theoretical support and technical guidance for future mechanism exploration, process optimization, and large-scale industrial applications.</w:t>
      </w:r>
    </w:p>
    <w:p>
      <w:pPr>
        <w:spacing w:before="120" w:after="120"/>
      </w:pPr>
      <w:r>
        <w:rPr>
          <w:sz w:val="18"/>
        </w:rPr>
        <w:t>——————————————————————————————————————————————————————————————————————</w:t>
      </w:r>
    </w:p>
    <w:p>
      <w:pPr>
        <w:spacing w:before="160" w:after="40" w:line="240" w:lineRule="auto"/>
      </w:pPr>
      <w:r>
        <w:rPr>
          <w:b/>
        </w:rPr>
        <w:t xml:space="preserve">[3] </w:t>
      </w:r>
      <w:hyperlink r:id="rId177">
        <w:r>
          <w:rPr>
            <w:color w:val="1155CC"/>
            <w:u w:val="single"/>
          </w:rPr>
          <w:t>利用阳极动态电化学阻抗谱实时检测锂离子电池快速充电过程中的锂镀层</w:t>
        </w:r>
      </w:hyperlink>
    </w:p>
    <w:p>
      <w:pPr>
        <w:spacing w:before="0" w:after="80"/>
      </w:pPr>
      <w:r>
        <w:rPr>
          <w:i/>
          <w:sz w:val="20"/>
        </w:rPr>
        <w:t>EN: In-operando detection of lithium plating during fast charging via anode dynamic electrochemical impedance spectroscopy in lithium-ion batteries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178">
        <w:r>
          <w:rPr>
            <w:color w:val="1155CC"/>
            <w:u w:val="single"/>
          </w:rPr>
          <w:t>10.1016/j.apenergy.2026.128652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8">
        <w:r>
          <w:rPr>
            <w:color w:val="1155CC"/>
            <w:u w:val="single"/>
          </w:rPr>
          <w:t>稳定水系锌离子电池的埃克斯特罗姆受限水的拓扑挫败</w:t>
        </w:r>
      </w:hyperlink>
    </w:p>
    <w:p>
      <w:pPr>
        <w:spacing w:before="0" w:after="80"/>
      </w:pPr>
      <w:r>
        <w:rPr>
          <w:i/>
          <w:sz w:val="20"/>
        </w:rPr>
        <w:t>EN: Topological Frustration of Ångström‐Confined Water for Stable Aqueous Zinc‐Ion Batteries</w:t>
      </w:r>
    </w:p>
    <w:p>
      <w:pPr>
        <w:spacing w:before="0" w:after="120"/>
      </w:pPr>
      <w:r>
        <w:rPr>
          <w:b/>
        </w:rPr>
        <w:t xml:space="preserve">Source: </w:t>
      </w:r>
      <w:r>
        <w:t>Wiley: Advanced Materials: Table of Contents</w:t>
      </w:r>
      <w:r>
        <w:t xml:space="preserve">    </w:t>
      </w:r>
      <w:r>
        <w:rPr>
          <w:b/>
        </w:rPr>
        <w:t xml:space="preserve">Pub date: </w:t>
      </w:r>
      <w:r>
        <w:t>2026-08-14 06:35:37+00:00</w:t>
      </w:r>
      <w:r>
        <w:t xml:space="preserve">    </w:t>
      </w:r>
      <w:r>
        <w:rPr>
          <w:b/>
        </w:rPr>
        <w:t xml:space="preserve">DOI: </w:t>
      </w:r>
      <w:hyperlink r:id="rId109">
        <w:r>
          <w:rPr>
            <w:color w:val="1155CC"/>
            <w:u w:val="single"/>
          </w:rPr>
          <w:t>10.1002/adma.74640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在调节水性锌离子电池（AZIB）的水凝胶电解质中的水活性方面做出了广泛的努力，但目前的策略不足以对水分子施加空间限制并防止大量水网络的自组装。在此，我们报告了一种准固体混合电解质（HM），通过将聚丙烯酰胺与刚性无机蒙脱土（MMT）框架相结合，对层间水分子施加强埃限制。这种空间限制限制了组装大块三维四面体氢键网络所需的体积。同时，MMT 表面上的极性 Si-O 键以化学方式将水分子锚定为单氢向下构型，从而导致对称性破缺和拓扑挫败。因此，格罗萨斯型质子输运和水自电离被抑制。这种分子水平的调节减轻了水引起的寄生反应和副产物积累，确保了可逆的锌/电解质界面。结果，组装的 Zn||NH</w:t>
      </w:r>
      <w:r>
        <w:rPr>
          <w:vertAlign w:val="subscript"/>
        </w:rPr>
        <w:t>4</w:t>
      </w:r>
      <w:r>
        <w:t>V</w:t>
      </w:r>
      <w:r>
        <w:rPr>
          <w:vertAlign w:val="subscript"/>
        </w:rPr>
        <w:t>4</w:t>
      </w:r>
      <w:r>
        <w:t>氧</w:t>
      </w:r>
      <w:r>
        <w:rPr>
          <w:vertAlign w:val="subscript"/>
        </w:rPr>
        <w:t>10</w:t>
      </w:r>
      <w:r>
        <w:t>全电池在 1 A g 下实现超过 800 个循环的稳定循环</w:t>
      </w:r>
      <w:r>
        <w:t xml:space="preserve"> </w:t>
      </w:r>
      <w:r>
        <w:t>−1</w:t>
      </w:r>
      <w:r>
        <w:t xml:space="preserve"> </w:t>
      </w:r>
      <w:r>
        <w:t>。通过将电解质设计转向 ångström 拓扑工程，这项工作为抑制高性能 AZIB 中水引起的寄生反应建立了一个有前途的范例。</w:t>
      </w:r>
    </w:p>
    <w:p>
      <w:pPr>
        <w:spacing w:before="0" w:after="200" w:lineRule="auto" w:line="276"/>
      </w:pPr>
      <w:r>
        <w:rPr>
          <w:b/>
        </w:rPr>
        <w:t xml:space="preserve">Abstract (EN): </w:t>
      </w:r>
      <w:r>
        <w:t>Despite extensive efforts to regulate water activity in hydrogel electrolytes for aqueous zinc‐ion batteries (AZIBs), current strategies are insufficient to impose spatial constraints on water molecules and prevent the self‐assembly of bulk water networks. Herein, we report a quasi‐solid hybrid electrolyte (HM) by integrating polyacrylamide with a rigid inorganic montmorillonite (MMT) framework that imposes strong ångström confinement on interlayer water molecules. Such spatial confinement restricts the volume required to assemble a bulk three‐dimensional tetrahedral hydrogen‐bond network. Concurrently, polar Si‐O bonds on the MMT surface chemically anchor water molecules in a one‐hydrogen‐down configuration, inducing symmetry breaking and topological frustration. Consequently, Grotthuss‐type proton transport and water autoionization are suppressed. This molecular‐level regulation mitigates water‐induced parasitic reactions and byproduct accumulation, ensuring a reversible Zn/electrolyte interface. As a result, the assembled Zn||NH</w:t>
      </w:r>
      <w:r>
        <w:rPr>
          <w:vertAlign w:val="subscript"/>
        </w:rPr>
        <w:t>4</w:t>
      </w:r>
      <w:r>
        <w:t>V</w:t>
      </w:r>
      <w:r>
        <w:rPr>
          <w:vertAlign w:val="subscript"/>
        </w:rPr>
        <w:t>4</w:t>
      </w:r>
      <w:r>
        <w:t>O</w:t>
      </w:r>
      <w:r>
        <w:rPr>
          <w:vertAlign w:val="subscript"/>
        </w:rPr>
        <w:t>10</w:t>
      </w:r>
      <w:r>
        <w:t>full cell achieves stable cycling for over 800 cycles at 1 A g</w:t>
      </w:r>
      <w:r>
        <w:t xml:space="preserve"> </w:t>
      </w:r>
      <w:r>
        <w:t>−1</w:t>
      </w:r>
      <w:r>
        <w:t xml:space="preserve"> </w:t>
      </w:r>
      <w:r>
        <w:t>. By shifting the electrolyte design toward ångström topological engineering, this work establishes a promising paradigm for suppressing water‐induced parasitic reactions in high‐performance AZIBs.</w:t>
      </w:r>
    </w:p>
    <w:p>
      <w:pPr>
        <w:spacing w:before="120" w:after="120"/>
      </w:pPr>
      <w:r>
        <w:rPr>
          <w:sz w:val="18"/>
        </w:rPr>
        <w:t>——————————————————————————————————————————————————————————————————————</w:t>
      </w:r>
    </w:p>
    <w:p>
      <w:pPr>
        <w:spacing w:before="160" w:after="40" w:line="240" w:lineRule="auto"/>
      </w:pPr>
      <w:r>
        <w:rPr>
          <w:b/>
        </w:rPr>
        <w:t xml:space="preserve">[5] </w:t>
      </w:r>
      <w:hyperlink r:id="rId110">
        <w:r>
          <w:rPr>
            <w:color w:val="1155CC"/>
            <w:u w:val="single"/>
          </w:rPr>
          <w:t>固态电池的界面失效和自修复</w:t>
        </w:r>
      </w:hyperlink>
    </w:p>
    <w:p>
      <w:pPr>
        <w:spacing w:before="0" w:after="80"/>
      </w:pPr>
      <w:r>
        <w:rPr>
          <w:i/>
          <w:sz w:val="20"/>
        </w:rPr>
        <w:t>EN: Interfacial Failure and Self‐Healing in Solid‐State Batteries</w:t>
      </w:r>
    </w:p>
    <w:p>
      <w:pPr>
        <w:spacing w:before="0" w:after="120"/>
      </w:pPr>
      <w:r>
        <w:rPr>
          <w:b/>
        </w:rPr>
        <w:t xml:space="preserve">Source: </w:t>
      </w:r>
      <w:r>
        <w:t>Wiley: Advanced Materials: Table of Contents</w:t>
      </w:r>
      <w:r>
        <w:t xml:space="preserve">    </w:t>
      </w:r>
      <w:r>
        <w:rPr>
          <w:b/>
        </w:rPr>
        <w:t xml:space="preserve">Pub date: </w:t>
      </w:r>
      <w:r>
        <w:t>2026-08-14 06:36:32+00:00</w:t>
      </w:r>
      <w:r>
        <w:t xml:space="preserve">    </w:t>
      </w:r>
      <w:r>
        <w:rPr>
          <w:b/>
        </w:rPr>
        <w:t xml:space="preserve">DOI: </w:t>
      </w:r>
      <w:hyperlink r:id="rId111">
        <w:r>
          <w:rPr>
            <w:color w:val="1155CC"/>
            <w:u w:val="single"/>
          </w:rPr>
          <w:t>10.1002/adma.74666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在同时提高能量密度和本质安全性方面前景广阔。然而，它们的实际应用受到循环过程中机械、化学和电化学耦合降解产生的界面不稳定性的严重阻碍，最终导致性能快速衰减。尽管界面涂层或电极结构优化等传统策略部分改善了电化学性能，但其固有的静态性质使其无法适应长期运行过程中界面损伤的连续动态演变。为了解决这些持续存在的挑战，动态界面自修复已成为开发高度耐用和稳定的固态电池的一个引人注目的策略。在这篇综述中，我们首先讨论界面处机械、化学和电化学故障的起源和演变，强调它们复杂的相互作用。随后分析了自修复策略（包括物理流动、化学修复、外部刺激和电场）的最新进展，以解决特定的界面失效行为。最后提供了对实现高自愈效率的新兴策略和关键挑战的看法。自愈机制的发展为实现坚固的低压固态电池提供了一条非常可行的途径。</w:t>
      </w:r>
    </w:p>
    <w:p>
      <w:pPr>
        <w:spacing w:before="0" w:after="200" w:lineRule="auto" w:line="276"/>
      </w:pPr>
      <w:r>
        <w:rPr>
          <w:b/>
        </w:rPr>
        <w:t xml:space="preserve">Abstract (EN): </w:t>
      </w:r>
      <w:r>
        <w:t>Solid‐state batteries hold great promise for simultaneously improving energy density and intrinsic safety. However, their practical application is severely impeded by interfacial instabilities arising from coupled mechanical, chemical, and electrochemical degradation during cycling, ultimately resulting in rapid performance decay. Although conventional strategies, such as interfacial coatings or electrode structural optimization, have partially improved electrochemical performance, their inherently static nature renders them ill‐equipped to adapt to the continuous and dynamic evolution of interfacial damage during long‐term operation. To address these persistent challenges, dynamic interfacial self‐healing has emerged as a compelling strategy for developing highly durable and stable solid‐state batteries. In this review, we first discuss the origins and evolution of mechanical, chemical, and electrochemical failures at the interface, highlighting their intricate interplay. Recent progress in self‐healing strategies, including physical flow, chemical restoration, external stimuli, and electric fields was subsequently analyzed to solve specific interfacial failure behavior. Perspectives on the emerging strategies and key challenges for achieving high self‐healing efficiency were provided in the end. The development of self‐healing mechanisms presents a highly viable route toward the realization of robust, low‐pressure solid‐state batteries.</w:t>
      </w:r>
    </w:p>
    <w:p>
      <w:pPr>
        <w:spacing w:before="120" w:after="120"/>
      </w:pPr>
      <w:r>
        <w:rPr>
          <w:sz w:val="18"/>
        </w:rPr>
        <w:t>——————————————————————————————————————————————————————————————————————</w:t>
      </w:r>
    </w:p>
    <w:p>
      <w:pPr>
        <w:spacing w:before="160" w:after="40" w:line="240" w:lineRule="auto"/>
      </w:pPr>
      <w:r>
        <w:rPr>
          <w:b/>
        </w:rPr>
        <w:t xml:space="preserve">[6] </w:t>
      </w:r>
      <w:hyperlink r:id="rId179">
        <w:r>
          <w:rPr>
            <w:color w:val="1155CC"/>
            <w:u w:val="single"/>
          </w:rPr>
          <w:t>利用不对称界面亲电性构建零外压高性能硫化物全固态软包电池</w:t>
        </w:r>
      </w:hyperlink>
    </w:p>
    <w:p>
      <w:pPr>
        <w:spacing w:before="0" w:after="80"/>
      </w:pPr>
      <w:r>
        <w:rPr>
          <w:i/>
          <w:sz w:val="20"/>
        </w:rPr>
        <w:t>EN: Constructing zero-external-pressure high-performance sulfide all-solid-state pouch cells via asymmetric interfacial electrophilicity</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180">
        <w:r>
          <w:rPr>
            <w:color w:val="1155CC"/>
            <w:u w:val="single"/>
          </w:rPr>
          <w:t>10.1126/sciadv.aef7800</w:t>
        </w:r>
      </w:hyperlink>
    </w:p>
    <w:p>
      <w:pPr>
        <w:spacing w:before="0" w:after="120"/>
      </w:pPr>
      <w:r>
        <w:rPr>
          <w:b/>
        </w:rPr>
        <w:t xml:space="preserve">Notes: </w:t>
      </w:r>
      <w:r>
        <w:t>abstract_source=crossref</w:t>
      </w:r>
    </w:p>
    <w:p>
      <w:pPr>
        <w:spacing w:before="0" w:after="80" w:lineRule="auto" w:line="276"/>
      </w:pPr>
      <w:r>
        <w:rPr>
          <w:b/>
        </w:rPr>
        <w:t xml:space="preserve">摘要（ZH）: </w:t>
      </w:r>
      <w:r>
        <w:t>基于硫化物固体电解质（SSE）的全固态锂金属电池（ASSLB）由于高离子电导率和机械变形能力而备受关注。然而，软包电池的实际应用因其严重依赖高外部压力来维持界面接触而受到阻碍。在这里，我们设计了一种由电子缓冲层和离子导体层组成的不对称界面亲电层，并实现了硫化物基ASSLB软包电池在完全零外部压力下的室温稳定循环。锂锡合金一侧经历快速亲电诱导重构，而碘化锂保持惰性，形成不对称界面亲电响应，从而在零外压下实现稳定、可逆的锂沉积/剥离。在 2 C 下进行 5000 次循环后，纽扣电池仍保留了 81.1% 的初始放电容量。组装好的软包电池（约 376 瓦时/千克）表现出创纪录的零外压循环稳定性，在 300 次循环中容量保持率为 85.7%，即使在 0°C 下也表现出稳定的循环能力。这项研究为加速硫化物基 ASSLB 的实际实现提供了有效的策略。</w:t>
      </w:r>
    </w:p>
    <w:p>
      <w:pPr>
        <w:spacing w:before="0" w:after="200" w:lineRule="auto" w:line="276"/>
      </w:pPr>
      <w:r>
        <w:rPr>
          <w:b/>
        </w:rPr>
        <w:t xml:space="preserve">Abstract (EN): </w:t>
      </w:r>
      <w:r>
        <w:t>Sulfide solid electrolyte (SSE)–based all-solid-state lithium metal batteries (ASSLBs) attract great attention owing to high ion conductivity and mechanical deformability. However, the practical application of pouch cells is hindered by their heavy reliance on high-external-pressure to maintain the interfacial contact. Here, we design an asymmetric interfacial electrophilic composed of electron buffer layers and ion conductor layers and realize the room-temperature stable cycling of sulfide-based ASSLB pouch cells under a complete zero external pressure. The lithium-tin alloy side undergoes fast electrophile-induced reconstruction while lithium iodide stays inert, forming an asymmetric interfacial electrophilic response, which enables the stable and reversible lithium deposition/stripping under a zero external pressure. The coin cell retains 81.1% of its initial discharge capacity after 5000 cycles at 2 C. The assembled pouch cell (∼376 watt-hours per kilogram) demonstrates a record zero-external-pressure cycling stability with a capacity retention of 85.7% over 300 cycles and exhibits a stable cyclability even at 0°C. This study offers an effective strategy to accelerate the practical realization of sulfide-based ASSLBs.</w:t>
      </w:r>
    </w:p>
    <w:p>
      <w:pPr>
        <w:spacing w:before="120" w:after="120"/>
      </w:pPr>
      <w:r>
        <w:rPr>
          <w:sz w:val="18"/>
        </w:rPr>
        <w:t>——————————————————————————————————————————————————————————————————————</w:t>
      </w:r>
    </w:p>
    <w:p>
      <w:pPr>
        <w:spacing w:before="160" w:after="40" w:line="240" w:lineRule="auto"/>
      </w:pPr>
      <w:r>
        <w:rPr>
          <w:b/>
        </w:rPr>
        <w:t xml:space="preserve">[7] </w:t>
      </w:r>
      <w:hyperlink r:id="rId181">
        <w:r>
          <w:rPr>
            <w:color w:val="1155CC"/>
            <w:u w:val="single"/>
          </w:rPr>
          <w:t>通过外源阳离子-阴离子协同化学对实用锌电池进行离子工程界面相编程</w:t>
        </w:r>
      </w:hyperlink>
    </w:p>
    <w:p>
      <w:pPr>
        <w:spacing w:before="0" w:after="80"/>
      </w:pPr>
      <w:r>
        <w:rPr>
          <w:i/>
          <w:sz w:val="20"/>
        </w:rPr>
        <w:t>EN: Programming Ion‐Engineered Interphase for Practical Zinc Batteries Through Exogenous Cation‐Anion Synergy Chemistry</w:t>
      </w:r>
    </w:p>
    <w:p>
      <w:pPr>
        <w:spacing w:before="0" w:after="120"/>
      </w:pPr>
      <w:r>
        <w:rPr>
          <w:b/>
        </w:rPr>
        <w:t xml:space="preserve">Source: </w:t>
      </w:r>
      <w:r>
        <w:t>Wiley: Angewandte Chemie International Edition: Table of Contents</w:t>
      </w:r>
      <w:r>
        <w:t xml:space="preserve">    </w:t>
      </w:r>
      <w:r>
        <w:rPr>
          <w:b/>
        </w:rPr>
        <w:t xml:space="preserve">Pub date: </w:t>
      </w:r>
      <w:r>
        <w:t>2026-08-14 16:49:21+00:00</w:t>
      </w:r>
      <w:r>
        <w:t xml:space="preserve">    </w:t>
      </w:r>
      <w:r>
        <w:rPr>
          <w:b/>
        </w:rPr>
        <w:t xml:space="preserve">DOI: </w:t>
      </w:r>
      <w:hyperlink r:id="rId182">
        <w:r>
          <w:rPr>
            <w:color w:val="1155CC"/>
            <w:u w:val="single"/>
          </w:rPr>
          <w:t>10.1002/anie.3578686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稳定的阳极-电解质界面对于电池循环至关重要。将成功的阴离子衍生界面范式从锂离子转化为水性锌离子电池（ZIB）受到狭窄的电化学窗口和混沌界面反应的阻碍。在这里，我们通过外源阳离子-阴离子协同作用来编程界面形成来克服这个问题。可水解阴离子驱动富含无机界面的快速形成，而弱水合大体积阳离子具有低离子势（</w:t>
      </w:r>
      <w:r>
        <w:t xml:space="preserve"> </w:t>
      </w:r>
      <w:r>
        <w:t>φ</w:t>
      </w:r>
      <w:r>
        <w:t xml:space="preserve"> </w:t>
      </w:r>
      <w:r>
        <w:t>）具有防腐蚀静电屏蔽和场驱动阴离子受体的双重功能，可动态调节界面环境，而不会产生寄生反应。作为概念证明，将四甲基氟脲六氟磷酸盐导入 ZnSO</w:t>
      </w:r>
      <w:r>
        <w:rPr>
          <w:vertAlign w:val="subscript"/>
        </w:rPr>
        <w:t>4</w:t>
      </w:r>
      <w:r>
        <w:t>电解质能够精确调节 H 的分布和转化</w:t>
      </w:r>
      <w:r>
        <w:rPr>
          <w:vertAlign w:val="subscript"/>
        </w:rPr>
        <w:t>2</w:t>
      </w:r>
      <w:r>
        <w:t>氧，SO</w:t>
      </w:r>
      <w:r>
        <w:rPr>
          <w:vertAlign w:val="subscript"/>
        </w:rPr>
        <w:t>4</w:t>
      </w:r>
      <w:r>
        <w:t>2−</w:t>
      </w:r>
      <w:r>
        <w:t>和锌</w:t>
      </w:r>
      <w:r>
        <w:t xml:space="preserve"> </w:t>
      </w:r>
      <w:r>
        <w:t>2+</w:t>
      </w:r>
      <w:r>
        <w:t xml:space="preserve"> </w:t>
      </w:r>
      <w:r>
        <w:t>在Zn界面上。由此产生的复合界面（ZnF</w:t>
      </w:r>
      <w:r>
        <w:rPr>
          <w:vertAlign w:val="subscript"/>
        </w:rPr>
        <w:t>2</w:t>
      </w:r>
      <w:r>
        <w:t>、ZnS、ZnO 和 C─N 物种）提高 Zn</w:t>
      </w:r>
      <w:r>
        <w:t xml:space="preserve"> </w:t>
      </w:r>
      <w:r>
        <w:t>2+</w:t>
      </w:r>
      <w:r>
        <w:t xml:space="preserve"> </w:t>
      </w:r>
      <w:r>
        <w:t>运输，并促进均匀的深层锌沉积。因此，Zn//Zn 电池在 1 mA cm 电流下可运行 3400 小时</w:t>
      </w:r>
      <w:r>
        <w:t xml:space="preserve"> </w:t>
      </w:r>
      <w:r>
        <w:t>−2</w:t>
      </w:r>
      <w:r>
        <w:t xml:space="preserve"> </w:t>
      </w:r>
      <w:r>
        <w:t>和 1 毫安时厘米</w:t>
      </w:r>
      <w:r>
        <w:t xml:space="preserve"> </w:t>
      </w:r>
      <w:r>
        <w:t>−2</w:t>
      </w:r>
      <w:r>
        <w:t xml:space="preserve"> </w:t>
      </w:r>
      <w:r>
        <w:t>，在 5 mA cm 下持续 1800 小时</w:t>
      </w:r>
      <w:r>
        <w:t xml:space="preserve"> </w:t>
      </w:r>
      <w:r>
        <w:t>−2</w:t>
      </w:r>
      <w:r>
        <w:t xml:space="preserve"> </w:t>
      </w:r>
      <w:r>
        <w:t>和 5 毫安时厘米</w:t>
      </w:r>
    </w:p>
    <w:p>
      <w:pPr>
        <w:spacing w:before="0" w:after="200" w:lineRule="auto" w:line="276"/>
      </w:pPr>
      <w:r>
        <w:rPr>
          <w:b/>
        </w:rPr>
        <w:t xml:space="preserve">Abstract (EN): </w:t>
      </w:r>
      <w:r>
        <w:t>A stable anode‐electrolyte interface is vital for battery cycling. Translating the successful anion‐derived interphase paradigm from Li‐ion to aqueous Zn‐ion batteries (ZIBs) is hindered by narrow electrochemical windows and chaotic interfacial reactions. Here we overcome this by programming interphase formation via exogenous cation–anion synergy. Hydrolysable anions drive the rapid formation of an inorganic‐rich interphase, while weakly hydrated bulky cations with low ionic potential (</w:t>
      </w:r>
      <w:r>
        <w:t xml:space="preserve"> </w:t>
      </w:r>
      <w:r>
        <w:t>φ</w:t>
      </w:r>
      <w:r>
        <w:t xml:space="preserve"> </w:t>
      </w:r>
      <w:r>
        <w:t>) dually function as noncorrosive electrostatic shields and field‐driven anion receptors to dynamically regulate the interfacial environment without parasitic reactions. As a proof of concept, importing tetramethylfluorourea hexafluorophosphate into ZnSO</w:t>
      </w:r>
      <w:r>
        <w:rPr>
          <w:vertAlign w:val="subscript"/>
        </w:rPr>
        <w:t>4</w:t>
      </w:r>
      <w:r>
        <w:t>electrolyte enables precise modulation of the distribution and conversion of H</w:t>
      </w:r>
      <w:r>
        <w:rPr>
          <w:vertAlign w:val="subscript"/>
        </w:rPr>
        <w:t>2</w:t>
      </w:r>
      <w:r>
        <w:t>O, SO</w:t>
      </w:r>
      <w:r>
        <w:rPr>
          <w:vertAlign w:val="subscript"/>
        </w:rPr>
        <w:t>4</w:t>
      </w:r>
      <w:r>
        <w:t>2−</w:t>
      </w:r>
      <w:r>
        <w:t>and Zn</w:t>
      </w:r>
      <w:r>
        <w:t xml:space="preserve"> </w:t>
      </w:r>
      <w:r>
        <w:t>2+</w:t>
      </w:r>
      <w:r>
        <w:t xml:space="preserve"> </w:t>
      </w:r>
      <w:r>
        <w:t>at the Zn interface. This resulting composite interface (ZnF</w:t>
      </w:r>
      <w:r>
        <w:rPr>
          <w:vertAlign w:val="subscript"/>
        </w:rPr>
        <w:t>2</w:t>
      </w:r>
      <w:r>
        <w:t>, ZnS, ZnO, and C─N species) improves Zn</w:t>
      </w:r>
      <w:r>
        <w:t xml:space="preserve"> </w:t>
      </w:r>
      <w:r>
        <w:t>2+</w:t>
      </w:r>
      <w:r>
        <w:t xml:space="preserve"> </w:t>
      </w:r>
      <w:r>
        <w:t>transport, and promotes uniform deep Zn deposition. As a result, Zn//Zn cells operate for 3400 h at 1 mA cm</w:t>
      </w:r>
      <w:r>
        <w:t xml:space="preserve"> </w:t>
      </w:r>
      <w:r>
        <w:t>−2</w:t>
      </w:r>
      <w:r>
        <w:t xml:space="preserve"> </w:t>
      </w:r>
      <w:r>
        <w:t>and 1 mAh cm</w:t>
      </w:r>
      <w:r>
        <w:t xml:space="preserve"> </w:t>
      </w:r>
      <w:r>
        <w:t>−2</w:t>
      </w:r>
      <w:r>
        <w:t xml:space="preserve"> </w:t>
      </w:r>
      <w:r>
        <w:t>, for 1800 h at 5 mA cm</w:t>
      </w:r>
      <w:r>
        <w:t xml:space="preserve"> </w:t>
      </w:r>
      <w:r>
        <w:t>−2</w:t>
      </w:r>
      <w:r>
        <w:t xml:space="preserve"> </w:t>
      </w:r>
      <w:r>
        <w:t>and 5 mAh cm</w:t>
      </w:r>
      <w:r>
        <w:t xml:space="preserve"> </w:t>
      </w:r>
      <w:r>
        <w:t>−2</w:t>
      </w:r>
      <w:r>
        <w:t xml:space="preserve"> </w:t>
      </w:r>
      <w:r>
        <w:t>, and for 410 h at a depth of discharge of 42.7%. Zn//KVO full cells and pouch cells also show improved cycling stability. These results establish exogenous cation‐anion pairing as a practical route for ZIB interphase engineering.</w:t>
      </w:r>
    </w:p>
    <w:p>
      <w:pPr>
        <w:spacing w:before="120" w:after="120"/>
      </w:pPr>
      <w:r>
        <w:rPr>
          <w:sz w:val="18"/>
        </w:rPr>
        <w:t>——————————————————————————————————————————————————————————————————————</w:t>
      </w:r>
    </w:p>
    <w:p>
      <w:pPr>
        <w:spacing w:before="160" w:after="40" w:line="240" w:lineRule="auto"/>
      </w:pPr>
      <w:r>
        <w:rPr>
          <w:b/>
        </w:rPr>
        <w:t xml:space="preserve">[8] </w:t>
      </w:r>
      <w:hyperlink r:id="rId183">
        <w:r>
          <w:rPr>
            <w:color w:val="1155CC"/>
            <w:u w:val="single"/>
          </w:rPr>
          <w:t>利用操作光谱椭圆光度法揭示锂金属阳极的不均匀钝化</w:t>
        </w:r>
      </w:hyperlink>
    </w:p>
    <w:p>
      <w:pPr>
        <w:spacing w:before="0" w:after="80"/>
      </w:pPr>
      <w:r>
        <w:rPr>
          <w:i/>
          <w:sz w:val="20"/>
        </w:rPr>
        <w:t>EN: Reveal Non‐Uniform Passivation on Lithium Metal Anode With Operando Spectroscopic Ellipsometry</w:t>
      </w:r>
    </w:p>
    <w:p>
      <w:pPr>
        <w:spacing w:before="0" w:after="120"/>
      </w:pPr>
      <w:r>
        <w:rPr>
          <w:b/>
        </w:rPr>
        <w:t xml:space="preserve">Source: </w:t>
      </w:r>
      <w:r>
        <w:t>Wiley: Advanced Energy Materials: Table of Contents</w:t>
      </w:r>
      <w:r>
        <w:t xml:space="preserve">    </w:t>
      </w:r>
      <w:r>
        <w:rPr>
          <w:b/>
        </w:rPr>
        <w:t xml:space="preserve">Pub date: </w:t>
      </w:r>
      <w:r>
        <w:t>2026-08-15 14:33:37+00:00</w:t>
      </w:r>
      <w:r>
        <w:t xml:space="preserve">    </w:t>
      </w:r>
      <w:r>
        <w:rPr>
          <w:b/>
        </w:rPr>
        <w:t xml:space="preserve">DOI: </w:t>
      </w:r>
      <w:hyperlink r:id="rId184">
        <w:r>
          <w:rPr>
            <w:color w:val="1155CC"/>
            <w:u w:val="single"/>
          </w:rPr>
          <w:t>10.1002/aenm.71434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Li）金属阳极的钝化对于锂金属电池（LMB）的安全性和长期循环性能至关重要，但天然钝化的机制和演变仍知之甚少。在这项工作中，我们使用具有实时空间分辨厚度映射功能的操作光谱椭圆光度术（SE）来研究新制备的具有/不具有纹理控制的锂金属阳极。在氩气手套箱内监测自然钝化反应，并精确控制 O2</w:t>
      </w:r>
      <w:r>
        <w:rPr>
          <w:vertAlign w:val="subscript"/>
        </w:rPr>
        <w:t>2</w:t>
      </w:r>
      <w:r>
        <w:t>,一氧化碳</w:t>
      </w:r>
      <w:r>
        <w:t xml:space="preserve"> </w:t>
      </w:r>
      <w:r>
        <w:t>2、</w:t>
      </w:r>
      <w:r>
        <w:t xml:space="preserve"> </w:t>
      </w:r>
      <w:r>
        <w:t>和H</w:t>
      </w:r>
      <w:r>
        <w:rPr>
          <w:vertAlign w:val="subscript"/>
        </w:rPr>
        <w:t>2</w:t>
      </w:r>
      <w:r>
        <w:t>O气体环境。我们发现锂金属的成核和各向异性反应性是原生钝化层分布不均匀的根本原因。研究了平衡厚度的织构效应（即具有 (200) 和 (110) 面外取向的 Li）和温度效应。原生层的生长采用 Fehlner-Mott 模型进行拟合。我们通过分析三种不同电解质中弛豫时间 (EIS-DRT) 和临界电流密度 (CCD) 的电化学阻抗谱分布，将天然钝化层的厚度与随后的 SEI 演化相关联。通过阐明原生钝化层的基本生长机制和作用，这项工作揭示了锂金属阳极上不均匀反应性的起源，为工程稳定、无枝晶的锂金属界面提供了新的框架。</w:t>
      </w:r>
    </w:p>
    <w:p>
      <w:pPr>
        <w:spacing w:before="0" w:after="200" w:lineRule="auto" w:line="276"/>
      </w:pPr>
      <w:r>
        <w:rPr>
          <w:b/>
        </w:rPr>
        <w:t xml:space="preserve">Abstract (EN): </w:t>
      </w:r>
      <w:r>
        <w:t>The passivity of lithium (Li) metal anode is crucial for the safety and long‐term cycling performance of Li metal batteries (LMBs), yet the mechanism and evolution of native passivation remain poorly understood. In this work, we use operando spectroscopic ellipsometry (SE) with a real‐time, spatially resolved thickness‐mapping function to study freshly prepared Li metal anodes with/without texture control. The native passivation reaction is monitored inside an Argon glovebox with precise control of O</w:t>
      </w:r>
      <w:r>
        <w:rPr>
          <w:vertAlign w:val="subscript"/>
        </w:rPr>
        <w:t>2</w:t>
      </w:r>
      <w:r>
        <w:t>, CO</w:t>
      </w:r>
      <w:r>
        <w:t xml:space="preserve"> </w:t>
      </w:r>
      <w:r>
        <w:t>2,</w:t>
      </w:r>
      <w:r>
        <w:t xml:space="preserve"> </w:t>
      </w:r>
      <w:r>
        <w:t>and H</w:t>
      </w:r>
      <w:r>
        <w:rPr>
          <w:vertAlign w:val="subscript"/>
        </w:rPr>
        <w:t>2</w:t>
      </w:r>
      <w:r>
        <w:t>O gas environment. We discovered that the nucleation and anisotropic reactivity of Li metal are the root causes for the non‐uniform distribution of the native passivation layer. The equilibrium thickness has been studied for texture effects (i.e., Li with (200) and (110) out‐of‐plane orientations) and temperature effects. The growth of the native layer is fitted by Fehlner–Mott model. We correlate the thickness of the native passivation layer with subsequent SEI evolution by analyzing electrochemical impedance spectroscopy distribution of relaxation times (EIS‐DRT) and critical current densities (CCD) in three different electrolytes. By elucidating the fundamental growth mechanisms and roles of the native passivation layer, this work reveals the origin of non‐uniform reactivities on Li metal anodes, providing a new framework for engineering stable, dendrite‐free lithium metal interfaces.</w:t>
      </w:r>
    </w:p>
    <w:p>
      <w:pPr>
        <w:spacing w:before="120" w:after="120"/>
      </w:pPr>
      <w:r>
        <w:rPr>
          <w:sz w:val="18"/>
        </w:rPr>
        <w:t>——————————————————————————————————————————————————————————————————————</w:t>
      </w:r>
    </w:p>
    <w:p>
      <w:pPr>
        <w:spacing w:before="160" w:after="40" w:line="240" w:lineRule="auto"/>
      </w:pPr>
      <w:r>
        <w:rPr>
          <w:b/>
        </w:rPr>
        <w:t xml:space="preserve">[9] </w:t>
      </w:r>
      <w:hyperlink r:id="rId185">
        <w:r>
          <w:rPr>
            <w:color w:val="1155CC"/>
            <w:u w:val="single"/>
          </w:rPr>
          <w:t>用于减轻极低温快速充电下石墨晶格应变的硬碳网络</w:t>
        </w:r>
      </w:hyperlink>
    </w:p>
    <w:p>
      <w:pPr>
        <w:spacing w:before="0" w:after="80"/>
      </w:pPr>
      <w:r>
        <w:rPr>
          <w:i/>
          <w:sz w:val="20"/>
        </w:rPr>
        <w:t>EN: Hard Carbon Networks for Mitigating Graphite Lattice Strain Under Extreme‑Low‑Temperature Fast Charging</w:t>
      </w:r>
    </w:p>
    <w:p>
      <w:pPr>
        <w:spacing w:before="0" w:after="120"/>
      </w:pPr>
      <w:r>
        <w:rPr>
          <w:b/>
        </w:rPr>
        <w:t xml:space="preserve">Source: </w:t>
      </w:r>
      <w:r>
        <w:t>Wiley: Advanced Energy Materials: Table of Contents</w:t>
      </w:r>
      <w:r>
        <w:t xml:space="preserve">    </w:t>
      </w:r>
      <w:r>
        <w:rPr>
          <w:b/>
        </w:rPr>
        <w:t xml:space="preserve">Pub date: </w:t>
      </w:r>
      <w:r>
        <w:t>2026-08-15 14:35:48+00:00</w:t>
      </w:r>
      <w:r>
        <w:t xml:space="preserve">    </w:t>
      </w:r>
      <w:r>
        <w:rPr>
          <w:b/>
        </w:rPr>
        <w:t xml:space="preserve">DOI: </w:t>
      </w:r>
      <w:hyperlink r:id="rId186">
        <w:r>
          <w:rPr>
            <w:color w:val="1155CC"/>
            <w:u w:val="single"/>
          </w:rPr>
          <w:t>10.1002/aenm.71446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锂离子电池的低温快速充电主要受到缓慢的反应动力学和石墨阳极的机械降解的限制。在此，提出了一种基于嵌入石墨基体中的 15 wt.% 硬碳 (HC) 渗透网络的动力学-结构协调策略。该 HC 网络充当离子通量再分配器，有效抑制高应变相变到第 1 阶段（LiC</w:t>
      </w:r>
      <w:r>
        <w:rPr>
          <w:vertAlign w:val="subscript"/>
        </w:rPr>
        <w:t>6</w:t>
      </w:r>
      <w:r>
        <w:t>）并减少晶格应变，从而保护石墨免受机械粉碎。此外，配位锂化促进了坚固、富含LiF的无机固体电解质界面（SEI）的形成，从而促进快速去溶剂化并防止界面分层。结果，NCM523‖石墨/HC软包电池在4C倍率下在-20°C下进行了2250次循环，容量保持率为88%，并在8C和-40°C下保持稳定运行。因此，这种网络掺杂方法为电动汽车应用的全气候高功率电池提供了可扩展的设计原理。</w:t>
      </w:r>
    </w:p>
    <w:p>
      <w:pPr>
        <w:spacing w:before="0" w:after="200" w:lineRule="auto" w:line="276"/>
      </w:pPr>
      <w:r>
        <w:rPr>
          <w:b/>
        </w:rPr>
        <w:t xml:space="preserve">Abstract (EN): </w:t>
      </w:r>
      <w:r>
        <w:t>Low‐temperature fast charging of lithium‐ion batteries is primarily constrained by sluggish reaction kinetics and mechanical degradation of graphite anodes. Here, a kinetic–structural coordination strategy based on a 15 wt.% hard carbon (HC) percolating network embedded within the graphite matrix is proposed. This HC network functions as an ionic flux redistributor, effectively suppressing the high‐strain phase transition to stage 1 (LiC</w:t>
      </w:r>
      <w:r>
        <w:rPr>
          <w:vertAlign w:val="subscript"/>
        </w:rPr>
        <w:t>6</w:t>
      </w:r>
      <w:r>
        <w:t>) and reducing lattice strain, thereby protecting the graphite from mechanical pulverization. Moreover, the coordinated lithiation promotes the formation of a robust, LiF‐rich inorganic solid electrolyte interphase (SEI), which facilitates fast desolvation and prevents interfacial delamination. As a result, NCM523‖Graphite/HC pouch cells deliver 2250 cycles at −20°C under a 4C rate with 88% capacity retention, and maintain stable operation at 8C and −40°C. This network doping approach thus provides a scalable design principle for all‐climate, high‐power batteries intended for electric vehicle applications.</w:t>
      </w:r>
    </w:p>
    <w:p>
      <w:pPr>
        <w:spacing w:before="120" w:after="120"/>
      </w:pPr>
      <w:r>
        <w:rPr>
          <w:sz w:val="18"/>
        </w:rPr>
        <w:t>——————————————————————————————————————————————————————————————————————</w:t>
      </w:r>
    </w:p>
    <w:p>
      <w:pPr>
        <w:spacing w:before="160" w:after="40" w:line="240" w:lineRule="auto"/>
      </w:pPr>
      <w:r>
        <w:rPr>
          <w:b/>
        </w:rPr>
        <w:t xml:space="preserve">[10] </w:t>
      </w:r>
      <w:hyperlink r:id="rId187">
        <w:r>
          <w:rPr>
            <w:color w:val="1155CC"/>
            <w:u w:val="single"/>
          </w:rPr>
          <w:t>用于通过石墨阳极耦合电子/离子传输的表面氟化导电碳</w:t>
        </w:r>
      </w:hyperlink>
    </w:p>
    <w:p>
      <w:pPr>
        <w:spacing w:before="0" w:after="80"/>
      </w:pPr>
      <w:r>
        <w:rPr>
          <w:i/>
          <w:sz w:val="20"/>
        </w:rPr>
        <w:t>EN: Surface‐Fluorinated Conductive Carbon for Coupled Electron/Ion Transport Through the Graphite Anode</w:t>
      </w:r>
    </w:p>
    <w:p>
      <w:pPr>
        <w:spacing w:before="0" w:after="120"/>
      </w:pPr>
      <w:r>
        <w:rPr>
          <w:b/>
        </w:rPr>
        <w:t xml:space="preserve">Source: </w:t>
      </w:r>
      <w:r>
        <w:t>Wiley: Advanced Energy Materials: Table of Contents</w:t>
      </w:r>
      <w:r>
        <w:t xml:space="preserve">    </w:t>
      </w:r>
      <w:r>
        <w:rPr>
          <w:b/>
        </w:rPr>
        <w:t xml:space="preserve">Pub date: </w:t>
      </w:r>
      <w:r>
        <w:t>2026-08-15 14:40:24+00:00</w:t>
      </w:r>
      <w:r>
        <w:t xml:space="preserve">    </w:t>
      </w:r>
      <w:r>
        <w:rPr>
          <w:b/>
        </w:rPr>
        <w:t xml:space="preserve">DOI: </w:t>
      </w:r>
      <w:hyperlink r:id="rId188">
        <w:r>
          <w:rPr>
            <w:color w:val="1155CC"/>
            <w:u w:val="single"/>
          </w:rPr>
          <w:t>10.1002/aenm.71436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石墨（Gr）是商用锂离子电池（LIB）的主要阳极材料。然而，其快速充电能力往往受到缓慢的锂电池的限制。</w:t>
      </w:r>
      <w:r>
        <w:t xml:space="preserve"> </w:t>
      </w:r>
      <w:r>
        <w:t>+</w:t>
      </w:r>
      <w:r>
        <w:t xml:space="preserve"> </w:t>
      </w:r>
      <w:r>
        <w:t>高电流密度下的传输和大界面极化。传统的导电碳主要充当电子渗流网络，对锂没有贡献</w:t>
      </w:r>
      <w:r>
        <w:t xml:space="preserve"> </w:t>
      </w:r>
      <w:r>
        <w:t>+</w:t>
      </w:r>
      <w:r>
        <w:t xml:space="preserve"> </w:t>
      </w:r>
      <w:r>
        <w:t>运输监管。在这里，我们报告了一种气相氟化策略，将商业纳米级导电碳转化为表面氟化导电碳（F-SP），以实现电子/锂的耦合</w:t>
      </w:r>
      <w:r>
        <w:t xml:space="preserve"> </w:t>
      </w:r>
      <w:r>
        <w:t>+</w:t>
      </w:r>
      <w:r>
        <w:t xml:space="preserve"> </w:t>
      </w:r>
      <w:r>
        <w:t>Gr 阳极中的传输和局部富 LiF 相间调节。引入的半离子和极性 C-F 物质增强了电解质的润湿性和 Li</w:t>
      </w:r>
      <w:r>
        <w:t xml:space="preserve"> </w:t>
      </w:r>
      <w:r>
        <w:t>+</w:t>
      </w:r>
      <w:r>
        <w:t xml:space="preserve"> </w:t>
      </w:r>
      <w:r>
        <w:t>亲和力，同时保持导电碳框架。 F-SP的部分电化学脱氟进一步促进了循环过程中表面上纳米级富LiF界面的原位形成，调节局部界面化学并改善电荷转移动力学。受益于这种协同传输和相间调节，基于 F-SP 的 Gr 阳极表现出更高的倍率性能和循环稳定性，同时减少了极化并加速了 Li</w:t>
      </w:r>
      <w:r>
        <w:t xml:space="preserve"> </w:t>
      </w:r>
      <w:r>
        <w:t>+</w:t>
      </w:r>
      <w:r>
        <w:t xml:space="preserve"> </w:t>
      </w:r>
      <w:r>
        <w:t>运输动力学。 NCM523||Gr/F-SP 全电池可逆容量为 95.2 mAh g</w:t>
      </w:r>
      <w:r>
        <w:t xml:space="preserve"> </w:t>
      </w:r>
      <w:r>
        <w:t>−1</w:t>
      </w:r>
      <w:r>
        <w:t xml:space="preserve"> </w:t>
      </w:r>
      <w:r>
        <w:t>10℃时</w:t>
      </w:r>
    </w:p>
    <w:p>
      <w:pPr>
        <w:spacing w:before="0" w:after="200" w:lineRule="auto" w:line="276"/>
      </w:pPr>
      <w:r>
        <w:rPr>
          <w:b/>
        </w:rPr>
        <w:t xml:space="preserve">Abstract (EN): </w:t>
      </w:r>
      <w:r>
        <w:t>Graphite (Gr) is the dominant anode material for commercial lithium‐ion batteries (LIBs). However, its fast‐charging capability is often constrained by sluggish Li</w:t>
      </w:r>
      <w:r>
        <w:t xml:space="preserve"> </w:t>
      </w:r>
      <w:r>
        <w:t>+</w:t>
      </w:r>
      <w:r>
        <w:t xml:space="preserve"> </w:t>
      </w:r>
      <w:r>
        <w:t>transport and large interfacial polarization under high current densities. Conventional conductive carbons mainly serve as electronic percolation networks and do not contribute to Li</w:t>
      </w:r>
      <w:r>
        <w:t xml:space="preserve"> </w:t>
      </w:r>
      <w:r>
        <w:t>+</w:t>
      </w:r>
      <w:r>
        <w:t xml:space="preserve"> </w:t>
      </w:r>
      <w:r>
        <w:t>transport regulation. Here, we report a gas‐phase fluorination strategy that converts commercial nanosized conductive carbon into a surface‐fluorinated conductive carbon (F‐SP) to enable coupled electron/Li</w:t>
      </w:r>
      <w:r>
        <w:t xml:space="preserve"> </w:t>
      </w:r>
      <w:r>
        <w:t>+</w:t>
      </w:r>
      <w:r>
        <w:t xml:space="preserve"> </w:t>
      </w:r>
      <w:r>
        <w:t>transport and localized LiF‐rich interphase regulation in Gr anodes. The introduced semi‐ionic and polar C‐F species enhance electrolyte wettability and Li</w:t>
      </w:r>
      <w:r>
        <w:t xml:space="preserve"> </w:t>
      </w:r>
      <w:r>
        <w:t>+</w:t>
      </w:r>
      <w:r>
        <w:t xml:space="preserve"> </w:t>
      </w:r>
      <w:r>
        <w:t>affinity while maintaining the conductive carbon framework. Partial electrochemical defluorination of F‐SP further promotes the in situ formation of a nanoscale LiF‐rich interphase on the surface during cycling, regulating local interfacial chemistry and improving charge‐transfer kinetics. Benefiting from this synergistic transport and interphase regulation, the F‐SP‐based Gr anode exhibits improved rate capability and cycling stability with reduced polarization and accelerated Li</w:t>
      </w:r>
      <w:r>
        <w:t xml:space="preserve"> </w:t>
      </w:r>
      <w:r>
        <w:t>+</w:t>
      </w:r>
      <w:r>
        <w:t xml:space="preserve"> </w:t>
      </w:r>
      <w:r>
        <w:t>transport kinetics. The NCM523||Gr/F‐SP full‐cell delivers a reversible capacity of 95.2 mAh g</w:t>
      </w:r>
      <w:r>
        <w:t xml:space="preserve"> </w:t>
      </w:r>
      <w:r>
        <w:t>−1</w:t>
      </w:r>
      <w:r>
        <w:t xml:space="preserve"> </w:t>
      </w:r>
      <w:r>
        <w:t>at 10C and retains 81.99% of its capacity after 500 cycles at 1C. This work demonstrates that rational surface fluorination can upgrade conventional conductive carbon into multifunctional kinetic regulators for fast‐charging Gr anodes.</w:t>
      </w:r>
    </w:p>
    <w:p>
      <w:pPr>
        <w:spacing w:before="120" w:after="120"/>
      </w:pPr>
      <w:r>
        <w:rPr>
          <w:sz w:val="18"/>
        </w:rPr>
        <w:t>——————————————————————————————————————————————————————————————————————</w:t>
      </w:r>
    </w:p>
    <w:p>
      <w:pPr>
        <w:spacing w:before="160" w:after="40" w:line="240" w:lineRule="auto"/>
      </w:pPr>
      <w:r>
        <w:rPr>
          <w:b/>
        </w:rPr>
        <w:t xml:space="preserve">[11] </w:t>
      </w:r>
      <w:hyperlink r:id="rId189">
        <w:r>
          <w:rPr>
            <w:color w:val="1155CC"/>
            <w:u w:val="single"/>
          </w:rPr>
          <w:t>化学机械自适应 MXene-Si-Ag 双种子中间层实现低压硫化物全固态电池</w:t>
        </w:r>
      </w:hyperlink>
    </w:p>
    <w:p>
      <w:pPr>
        <w:spacing w:before="0" w:after="80"/>
      </w:pPr>
      <w:r>
        <w:rPr>
          <w:i/>
          <w:sz w:val="20"/>
        </w:rPr>
        <w:t>EN: Chemomechanically Adaptive MXene–Si–Ag Dual‐Seed Interlayer Enabling Low‐Pressure Sulfide all‐Solid‐State Batteries</w:t>
      </w:r>
    </w:p>
    <w:p>
      <w:pPr>
        <w:spacing w:before="0" w:after="120"/>
      </w:pPr>
      <w:r>
        <w:rPr>
          <w:b/>
        </w:rPr>
        <w:t xml:space="preserve">Source: </w:t>
      </w:r>
      <w:r>
        <w:t>Wiley: Advanced Energy Materials: Table of Contents</w:t>
      </w:r>
      <w:r>
        <w:t xml:space="preserve">    </w:t>
      </w:r>
      <w:r>
        <w:rPr>
          <w:b/>
        </w:rPr>
        <w:t xml:space="preserve">Pub date: </w:t>
      </w:r>
      <w:r>
        <w:t>2026-08-15 14:45:28+00:00</w:t>
      </w:r>
      <w:r>
        <w:t xml:space="preserve">    </w:t>
      </w:r>
      <w:r>
        <w:rPr>
          <w:b/>
        </w:rPr>
        <w:t xml:space="preserve">DOI: </w:t>
      </w:r>
      <w:hyperlink r:id="rId190">
        <w:r>
          <w:rPr>
            <w:color w:val="1155CC"/>
            <w:u w:val="single"/>
          </w:rPr>
          <w:t>10.1002/aenm.71461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硫化物基全固态电池（ASSB）具有高安全性和能量密度；然而，由于固固界面的化学机械不稳定性，在低堆压下维持稳定运行仍然具有挑战性。在这里，我们报告了一种化学机械自适应 MXene-Si-Ag 混合夹层，可稳定硫化物 ASSB 中的锂金属阳极界面。机械顺应性 MXene 框架与硫化物固体电解质保持紧密接触并适应界面应力演变，而固定的硅和移动的银则充当互补的亲锂种子。由于硅在锂中的溶解度可以忽略不计，因此它提供了持久的界面锚定和连续的离子通道，而银则沿着锂通量动态地重新分布，以调节成核和界面反应动力学。这种固定-移动双种子协同作用使锂传输均匀化，而不需要种子严格的空间重叠。当与高负载 NCM811 正极配合使用时，中间层的面积容量可达 4.56 mAh cm</w:t>
      </w:r>
      <w:r>
        <w:t xml:space="preserve"> </w:t>
      </w:r>
      <w:r>
        <w:t>−2</w:t>
      </w:r>
      <w:r>
        <w:t xml:space="preserve"> </w:t>
      </w:r>
      <w:r>
        <w:t>在 40 MPa、1C 条件下循环 500 次后容量保持率为 84.5%。值得注意的是，即使在超低堆压 (0.21 MPa) 下也能保持稳定的循环，初始库仑效率为 82.7%，200 次循环后容量保持率为 72.4%。这项工作表明，将机械适应性与动态亲锂调节相结合，为耐压、高能硫化物 ASSB 提供了一条实用途径。</w:t>
      </w:r>
    </w:p>
    <w:p>
      <w:pPr>
        <w:spacing w:before="0" w:after="200" w:lineRule="auto" w:line="276"/>
      </w:pPr>
      <w:r>
        <w:rPr>
          <w:b/>
        </w:rPr>
        <w:t xml:space="preserve">Abstract (EN): </w:t>
      </w:r>
      <w:r>
        <w:t>Sulfide‐based all‐solid‐state batteries (ASSBs) promise high safety and energy density; however, sustaining stable operation under low stack pressure remains challenging due to chemo‐mechanical instability at solid‐solid interfaces. Here, we report a chemomechanically adaptive MXene–Si–Ag hybrid interlayer that stabilizes Li metal‐based anode interfaces in sulfide ASSBs. A mechanically compliant MXene framework maintains intimate contact with the sulfide solid electrolyte and accommodates interfacial stress evolution, while immobile Si and mobile Ag function as complementary lithiophilic seeds. Si provides persistent interfacial anchoring and continuous ionic pathways owing to its negligible solubility in Li, whereas Ag dynamically redistributes along Li flux to regulate nucleation and interfacial reaction kinetics. This immobile‐mobile dual‐seed synergy homogenizes Li transport without requiring strict spatial overlap of the seeds. When paired with high‐loading NCM811 cathodes, the interlayer enables an areal capacity of 4.56 mAh cm</w:t>
      </w:r>
      <w:r>
        <w:t xml:space="preserve"> </w:t>
      </w:r>
      <w:r>
        <w:t>−2</w:t>
      </w:r>
      <w:r>
        <w:t xml:space="preserve"> </w:t>
      </w:r>
      <w:r>
        <w:t>with 84.5% capacity retention over 500 cycles at 1C under 40 MPa. Notably, stable cycling is preserved even under ultralow stack pressure (0.21 MPa), delivering an initial Coulombic efficiency of 82.7% and 72.4% capacity retention after 200 cycles. This work demonstrates that coupling mechanical adaptability with dynamic lithiophilic regulation provides a practical pathway toward pressure‐tolerant, high‐energy sulfide ASSBs.</w:t>
      </w:r>
    </w:p>
    <w:p>
      <w:pPr>
        <w:spacing w:before="120" w:after="120"/>
      </w:pPr>
      <w:r>
        <w:rPr>
          <w:sz w:val="18"/>
        </w:rPr>
        <w:t>——————————————————————————————————————————————————————————————————————</w:t>
      </w:r>
    </w:p>
    <w:p>
      <w:pPr>
        <w:spacing w:before="160" w:after="40" w:line="240" w:lineRule="auto"/>
      </w:pPr>
      <w:r>
        <w:rPr>
          <w:b/>
        </w:rPr>
        <w:t xml:space="preserve">[12] </w:t>
      </w:r>
      <w:hyperlink r:id="rId191">
        <w:r>
          <w:rPr>
            <w:color w:val="1155CC"/>
            <w:u w:val="single"/>
          </w:rPr>
          <w:t>通过蛋白质介导的尖端吸附效应抑制钠枝晶</w:t>
        </w:r>
      </w:hyperlink>
    </w:p>
    <w:p>
      <w:pPr>
        <w:spacing w:before="0" w:after="80"/>
      </w:pPr>
      <w:r>
        <w:rPr>
          <w:i/>
          <w:sz w:val="20"/>
        </w:rPr>
        <w:t>EN: Suppressing Sodium Dendrites Through Protein‐Mediated Tip Adsorption Effect</w:t>
      </w:r>
    </w:p>
    <w:p>
      <w:pPr>
        <w:spacing w:before="0" w:after="120"/>
      </w:pPr>
      <w:r>
        <w:rPr>
          <w:b/>
        </w:rPr>
        <w:t xml:space="preserve">Source: </w:t>
      </w:r>
      <w:r>
        <w:t>Wiley: Advanced Materials: Table of Contents</w:t>
      </w:r>
      <w:r>
        <w:t xml:space="preserve">    </w:t>
      </w:r>
      <w:r>
        <w:rPr>
          <w:b/>
        </w:rPr>
        <w:t xml:space="preserve">Pub date: </w:t>
      </w:r>
      <w:r>
        <w:t>2026-08-17 08:42:16+00:00</w:t>
      </w:r>
      <w:r>
        <w:t xml:space="preserve">    </w:t>
      </w:r>
      <w:r>
        <w:rPr>
          <w:b/>
        </w:rPr>
        <w:t xml:space="preserve">DOI: </w:t>
      </w:r>
      <w:hyperlink r:id="rId192">
        <w:r>
          <w:rPr>
            <w:color w:val="1155CC"/>
            <w:u w:val="single"/>
          </w:rPr>
          <w:t>10.1002/adma.74672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枝晶生长和界面副反应严重限制了钠电池的循环寿命。虽然电解质添加剂代表了最简单的缓解策略，但传统添加剂依赖于单一化学驱动机制，并带来环境问题。在这里，我们提出了一种基于蛋白质尖端吸附效应的生物适应性方法，在“氨基酸-肽-蛋白质”尺度上证明了这种机制调节钠芽尖端周围的电场分布，以诱导均匀的钠沉积和剥离。同时，它促进了坚固的固体电解质界面的形成，将钠金属阳极重新排列成更光滑的表面。通过这种尖端吸附效应设计的电解质可在 1、5 和 10 mA cm 的钠对称电池中提供增强的循环和剥离性能</w:t>
      </w:r>
      <w:r>
        <w:t xml:space="preserve"> </w:t>
      </w:r>
      <w:r>
        <w:t>−2</w:t>
      </w:r>
      <w:r>
        <w:t xml:space="preserve"> </w:t>
      </w:r>
      <w:r>
        <w:t>，最大耐受电流密度超过 25 mA cm</w:t>
      </w:r>
      <w:r>
        <w:t xml:space="preserve"> </w:t>
      </w:r>
      <w:r>
        <w:t>-</w:t>
      </w:r>
      <w:r>
        <w:rPr>
          <w:vertAlign w:val="subscript"/>
        </w:rPr>
        <w:t>2</w:t>
      </w:r>
      <w:r>
        <w:t>。值得注意的是，NVP||Na 电池在 10 C 下可实现 20,000 次循环，在 50 C 超高速率下可实现 16,000 次循环。该电解质还表现出广泛的阳极兼容性：NVP||Al@C 电池的 NVP 负载量高达 10.32 mg cm</w:t>
      </w:r>
      <w:r>
        <w:t xml:space="preserve"> </w:t>
      </w:r>
      <w:r>
        <w:t>-</w:t>
      </w:r>
      <w:r>
        <w:rPr>
          <w:vertAlign w:val="subscript"/>
        </w:rPr>
        <w:t>2</w:t>
      </w:r>
      <w:r>
        <w:t>在 5 C 下维持 1,000 次循环。在可持续发展原则的指导下，这项工作可能会激发对用于电池改性的天然、环保材料的探索。</w:t>
      </w:r>
    </w:p>
    <w:p>
      <w:pPr>
        <w:spacing w:before="0" w:after="200" w:lineRule="auto" w:line="276"/>
      </w:pPr>
      <w:r>
        <w:rPr>
          <w:b/>
        </w:rPr>
        <w:t xml:space="preserve">Abstract (EN): </w:t>
      </w:r>
      <w:r>
        <w:t>Dendrite growth and interfacial side reactions severely limit the cycle life of sodium batteries. While electrolyte additives represent the simplest mitigation strategy, conventional additives rely on single chemical driving mechanisms, and pose environmental concerns. Here, we propose a bio‐adaptive approach based on the protein tip adsorption effect, demonstrating at the “amino acid–peptide–protein” scale that this mechanism regulates electric field distribution around sodium bud tips to induce uniform sodium deposition and stripping. Concurrently, it promotes formation of a robust solid electrolyte interphase, rearranging the sodium metal anode into a smoother surface. Electrolytes engineered via this tip adsorption effect deliver enhanced cycling and stripping performance in sodium symmetric cells across 1, 5, and 10 mA cm</w:t>
      </w:r>
      <w:r>
        <w:t xml:space="preserve"> </w:t>
      </w:r>
      <w:r>
        <w:t>−2</w:t>
      </w:r>
      <w:r>
        <w:t xml:space="preserve"> </w:t>
      </w:r>
      <w:r>
        <w:t>, with a maximum tolerable current density exceeding 25 mA cm</w:t>
      </w:r>
      <w:r>
        <w:t xml:space="preserve"> </w:t>
      </w:r>
      <w:r>
        <w:t>−</w:t>
      </w:r>
      <w:r>
        <w:rPr>
          <w:vertAlign w:val="subscript"/>
        </w:rPr>
        <w:t>2</w:t>
      </w:r>
      <w:r>
        <w:t>. Remarkably, NVP||Na cells achieve 20,000 cycles at 10 C and 16,000 cycles at an ultrahigh 50 C rate. The electrolyte also shows broad anode compatibility: NVP||Al@C cells with a high NVP loading of 10.32 mg cm</w:t>
      </w:r>
      <w:r>
        <w:t xml:space="preserve"> </w:t>
      </w:r>
      <w:r>
        <w:t>−</w:t>
      </w:r>
      <w:r>
        <w:rPr>
          <w:vertAlign w:val="subscript"/>
        </w:rPr>
        <w:t>2</w:t>
      </w:r>
      <w:r>
        <w:t>sustain 1,000 cycles at 5 C. Guided by sustainable development principles, this work may inspire exploration of natural, eco‐friendly materials for battery modification.</w:t>
      </w:r>
    </w:p>
    <w:p>
      <w:pPr>
        <w:spacing w:before="120" w:after="120"/>
      </w:pPr>
      <w:r>
        <w:rPr>
          <w:sz w:val="18"/>
        </w:rPr>
        <w:t>——————————————————————————————————————————————————————————————————————</w:t>
      </w:r>
    </w:p>
    <w:p>
      <w:pPr>
        <w:spacing w:before="160" w:after="40" w:line="240" w:lineRule="auto"/>
      </w:pPr>
      <w:r>
        <w:rPr>
          <w:b/>
        </w:rPr>
        <w:t xml:space="preserve">[13] </w:t>
      </w:r>
      <w:hyperlink r:id="rId193">
        <w:r>
          <w:rPr>
            <w:color w:val="1155CC"/>
            <w:u w:val="single"/>
          </w:rPr>
          <w:t>硅与碳的邂逅：锂离子电池硅碳负极的荆棘与重生</w:t>
        </w:r>
      </w:hyperlink>
    </w:p>
    <w:p>
      <w:pPr>
        <w:spacing w:before="0" w:after="80"/>
      </w:pPr>
      <w:r>
        <w:rPr>
          <w:i/>
          <w:sz w:val="20"/>
        </w:rPr>
        <w:t>EN: Encounter of silicon and carbon: thorns and rebirth of silicon-carbon anodes in lithium-ion batteries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194">
        <w:r>
          <w:rPr>
            <w:color w:val="1155CC"/>
            <w:u w:val="single"/>
          </w:rPr>
          <w:t>10.1016/j.apenergy.2026.128690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95">
        <w:r>
          <w:rPr>
            <w:color w:val="1155CC"/>
            <w:u w:val="single"/>
          </w:rPr>
          <w:t>富含晶界的 SEI 与缺乏 H2O 的 EDL 协同作用，可实现稳定锌阳极的多维界面调节</w:t>
        </w:r>
      </w:hyperlink>
    </w:p>
    <w:p>
      <w:pPr>
        <w:spacing w:before="0" w:after="80"/>
      </w:pPr>
      <w:r>
        <w:rPr>
          <w:i/>
          <w:sz w:val="20"/>
        </w:rPr>
        <w:t>EN: Grain‐Boundary‐Rich SEI Synergizing with an H2O‐Poor EDL Enables Multidimensional Interfacial Regulation for Stable Zn Anodes</w:t>
      </w:r>
    </w:p>
    <w:p>
      <w:pPr>
        <w:spacing w:before="0" w:after="120"/>
      </w:pPr>
      <w:r>
        <w:rPr>
          <w:b/>
        </w:rPr>
        <w:t xml:space="preserve">Source: </w:t>
      </w:r>
      <w:r>
        <w:t>Wiley: Advanced Energy Materials: Table of Contents</w:t>
      </w:r>
      <w:r>
        <w:t xml:space="preserve">    </w:t>
      </w:r>
      <w:r>
        <w:rPr>
          <w:b/>
        </w:rPr>
        <w:t xml:space="preserve">Pub date: </w:t>
      </w:r>
      <w:r>
        <w:t>2026-08-18 11:51:34+00:00</w:t>
      </w:r>
      <w:r>
        <w:t xml:space="preserve">    </w:t>
      </w:r>
      <w:r>
        <w:rPr>
          <w:b/>
        </w:rPr>
        <w:t xml:space="preserve">DOI: </w:t>
      </w:r>
      <w:hyperlink r:id="rId196">
        <w:r>
          <w:rPr>
            <w:color w:val="1155CC"/>
            <w:u w:val="single"/>
          </w:rPr>
          <w:t>10.1002/aenm.71481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水性锌离子电池（AZIB）的可逆性和可持续性受到H引起的界面问题的严重影响。</w:t>
      </w:r>
      <w:r>
        <w:rPr>
          <w:vertAlign w:val="subscript"/>
        </w:rPr>
        <w:t>2</w:t>
      </w:r>
      <w:r>
        <w:t>富氧双电层（EDL）和不稳定的固体电解质界面（SEI）。在此，引入微量生物分子添加剂透明质酸锌（HA-Zn）来协同构建富含晶界的SEI和H</w:t>
      </w:r>
      <w:r>
        <w:rPr>
          <w:vertAlign w:val="subscript"/>
        </w:rPr>
        <w:t>2</w:t>
      </w:r>
      <w:r>
        <w:t>用于稳定锌阳极的 O-不良 EDL。机理研究表明，HA-Zn 优先吸附在 Zn 阳极上并重建 H</w:t>
      </w:r>
      <w:r>
        <w:rPr>
          <w:vertAlign w:val="subscript"/>
        </w:rPr>
        <w:t>2</w:t>
      </w:r>
      <w:r>
        <w:t>O-poor EDL，有效抑制与水相关的副反应。同时，中心四氧配体螯合 Zn</w:t>
      </w:r>
      <w:r>
        <w:t xml:space="preserve"> </w:t>
      </w:r>
      <w:r>
        <w:t>2+</w:t>
      </w:r>
      <w:r>
        <w:t xml:space="preserve"> </w:t>
      </w:r>
      <w:r>
        <w:t>界面上的离子使离子分布均匀。这种重新配置的界面进一步促进了HA-Zn和SO的原位分解</w:t>
      </w:r>
      <w:r>
        <w:rPr>
          <w:vertAlign w:val="subscript"/>
        </w:rPr>
        <w:t>4</w:t>
      </w:r>
      <w:r>
        <w:t>2−</w:t>
      </w:r>
      <w:r>
        <w:t>，生成含有丰富 Zn 的有机-无机杂化 SEI</w:t>
      </w:r>
      <w:r>
        <w:t xml:space="preserve"> </w:t>
      </w:r>
      <w:r>
        <w:t>2+</w:t>
      </w:r>
      <w:r>
        <w:t xml:space="preserve"> </w:t>
      </w:r>
      <w:r>
        <w:t>‐导电晶界，这不仅加速了Zn</w:t>
      </w:r>
      <w:r>
        <w:t xml:space="preserve"> </w:t>
      </w:r>
      <w:r>
        <w:t>2+</w:t>
      </w:r>
      <w:r>
        <w:t xml:space="preserve"> </w:t>
      </w:r>
      <w:r>
        <w:t>传输还引导定向 Zn(101) 沉积。得益于由 HA-Zn 吸附和富含晶界的 SEI 设计的界面，Zn||Zn 对称电池在 1 和 4 mAh·cm 下实现了超过 4700 小时和 1700 小时的长寿命</w:t>
      </w:r>
      <w:r>
        <w:t xml:space="preserve"> </w:t>
      </w:r>
      <w:r>
        <w:t>−2</w:t>
      </w:r>
      <w:r>
        <w:t xml:space="preserve"> </w:t>
      </w:r>
      <w:r>
        <w:t>，分别。更重要的是，Zn||</w:t>
      </w:r>
    </w:p>
    <w:p>
      <w:pPr>
        <w:spacing w:before="0" w:after="200" w:lineRule="auto" w:line="276"/>
      </w:pPr>
      <w:r>
        <w:rPr>
          <w:b/>
        </w:rPr>
        <w:t xml:space="preserve">Abstract (EN): </w:t>
      </w:r>
      <w:r>
        <w:t>The reversibility and sustainability of aqueous zinc‐ion batteries (AZIBs) are drastically compromised by interfacial issues arising from the H</w:t>
      </w:r>
      <w:r>
        <w:rPr>
          <w:vertAlign w:val="subscript"/>
        </w:rPr>
        <w:t>2</w:t>
      </w:r>
      <w:r>
        <w:t>O‐rich electric double layer (EDL) and unstable solid‐electrolyte interphase (SEI). Herein, trace biomolecule additive, zinc hyaluronate (HA‐Zn), is introduced to synergistically construct a grain‐boundary‐rich SEI and an H</w:t>
      </w:r>
      <w:r>
        <w:rPr>
          <w:vertAlign w:val="subscript"/>
        </w:rPr>
        <w:t>2</w:t>
      </w:r>
      <w:r>
        <w:t>O‐poor EDL for stable zinc anodes. Mechanistic studies reveal that HA‐Zn preferentially adsorbs onto the Zn anode and reconstructs an H</w:t>
      </w:r>
      <w:r>
        <w:rPr>
          <w:vertAlign w:val="subscript"/>
        </w:rPr>
        <w:t>2</w:t>
      </w:r>
      <w:r>
        <w:t>O‐poor EDL, effectively suppressing the water‐related side reactions. Simultaneously, the centred tetra‐oxygen ligands chelate Zn</w:t>
      </w:r>
      <w:r>
        <w:t xml:space="preserve"> </w:t>
      </w:r>
      <w:r>
        <w:t>2+</w:t>
      </w:r>
      <w:r>
        <w:t xml:space="preserve"> </w:t>
      </w:r>
      <w:r>
        <w:t>ions at the interface to homogenize ions distribution. This reconfigured interface further promotes the in situ decomposition of HA‐Zn and SO</w:t>
      </w:r>
      <w:r>
        <w:rPr>
          <w:vertAlign w:val="subscript"/>
        </w:rPr>
        <w:t>4</w:t>
      </w:r>
      <w:r>
        <w:t>2−</w:t>
      </w:r>
      <w:r>
        <w:t>, generating an organic‐inorganic hybrid SEI with abundant Zn</w:t>
      </w:r>
      <w:r>
        <w:t xml:space="preserve"> </w:t>
      </w:r>
      <w:r>
        <w:t>2+</w:t>
      </w:r>
      <w:r>
        <w:t xml:space="preserve"> </w:t>
      </w:r>
      <w:r>
        <w:t>‐conductive grain boundaries, which not only accelerates Zn</w:t>
      </w:r>
      <w:r>
        <w:t xml:space="preserve"> </w:t>
      </w:r>
      <w:r>
        <w:t>2+</w:t>
      </w:r>
      <w:r>
        <w:t xml:space="preserve"> </w:t>
      </w:r>
      <w:r>
        <w:t>transport but also guides oriented Zn(101) deposition. Benefiting from the designed interface comprising HA‐Zn adsorption and grain‐boundary‐rich SEI, the Zn||Zn symmetric cells achieve long lifespans exceeding 4700 h and 1700 h at 1 and 4 mAh·cm</w:t>
      </w:r>
      <w:r>
        <w:t xml:space="preserve"> </w:t>
      </w:r>
      <w:r>
        <w:t>−2</w:t>
      </w:r>
      <w:r>
        <w:t xml:space="preserve"> </w:t>
      </w:r>
      <w:r>
        <w:t>, respectively. More significantly, the Zn||I</w:t>
      </w:r>
      <w:r>
        <w:rPr>
          <w:vertAlign w:val="subscript"/>
        </w:rPr>
        <w:t>2</w:t>
      </w:r>
      <w:r>
        <w:t>full cells retain 88.67% capacity retention rate after more than 15000 cycles at 2 A·g</w:t>
      </w:r>
      <w:r>
        <w:t xml:space="preserve"> </w:t>
      </w:r>
      <w:r>
        <w:t>−1</w:t>
      </w:r>
      <w:r>
        <w:t xml:space="preserve"> </w:t>
      </w:r>
      <w:r>
        <w:t>, and the Zn||I</w:t>
      </w:r>
      <w:r>
        <w:rPr>
          <w:vertAlign w:val="subscript"/>
        </w:rPr>
        <w:t>2</w:t>
      </w:r>
      <w:r>
        <w:t>pouch batteries (0.3 Ah) maintain 86.34% capacity over 3300 cycles at 0.5 A·g</w:t>
      </w:r>
      <w:r>
        <w:t xml:space="preserve"> </w:t>
      </w:r>
      <w:r>
        <w:t>−1</w:t>
      </w:r>
      <w:r>
        <w:t xml:space="preserve"> </w:t>
      </w:r>
      <w:r>
        <w:t>.</w:t>
      </w:r>
    </w:p>
    <w:p>
      <w:pPr>
        <w:spacing w:before="120" w:after="120"/>
      </w:pPr>
      <w:r>
        <w:rPr>
          <w:sz w:val="18"/>
        </w:rPr>
        <w:t>——————————————————————————————————————————————————————————————————————</w:t>
      </w:r>
    </w:p>
    <w:p>
      <w:pPr>
        <w:spacing w:before="160" w:after="40" w:line="240" w:lineRule="auto"/>
      </w:pPr>
      <w:r>
        <w:rPr>
          <w:b/>
        </w:rPr>
        <w:t xml:space="preserve">[15] </w:t>
      </w:r>
      <w:hyperlink r:id="rId197">
        <w:r>
          <w:rPr>
            <w:color w:val="1155CC"/>
            <w:u w:val="single"/>
          </w:rPr>
          <w:t>锂损失机制驱动金属电极中依赖速率的实用容量</w:t>
        </w:r>
      </w:hyperlink>
    </w:p>
    <w:p>
      <w:pPr>
        <w:spacing w:before="0" w:after="80"/>
      </w:pPr>
      <w:r>
        <w:rPr>
          <w:i/>
          <w:sz w:val="20"/>
        </w:rPr>
        <w:t>EN: Lithium-Loss Mechanisms Driving Rate-Dependent Practicable Capacity in Metal Electrodes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98">
        <w:r>
          <w:rPr>
            <w:color w:val="1155CC"/>
            <w:u w:val="single"/>
          </w:rPr>
          <w:t>10.1021/acsami.6c08655</w:t>
        </w:r>
      </w:hyperlink>
    </w:p>
    <w:p>
      <w:pPr>
        <w:spacing w:before="0" w:after="120"/>
      </w:pPr>
      <w:r>
        <w:rPr>
          <w:b/>
        </w:rPr>
        <w:t xml:space="preserve">Notes: </w:t>
      </w:r>
      <w:r>
        <w:t>abstract_source=crossref</w:t>
      </w:r>
    </w:p>
    <w:p>
      <w:pPr>
        <w:spacing w:before="0" w:after="80" w:lineRule="auto" w:line="276"/>
      </w:pPr>
      <w:r>
        <w:rPr>
          <w:b/>
        </w:rPr>
        <w:t xml:space="preserve">摘要（ZH）: </w:t>
      </w:r>
      <w:r>
        <w:t>摘要 实用的锂存储容量对充放电速率的依赖对于在需要高电流密度和短充电时间的能源密集型应用中部署锂离子电池至关重要。在大多数电极材料失效的高电流操作下，Ag 脱颖而出，成为金属电极既充当阳极又充当集电器的系统的基准，从而以更高的速率提高其实用容量。这种性能源于γ-黄铜型合金相的快速形成，使得插层固溶体锂存储具有快速动力学、高容量，并且即使在高倍率下也能抑制锂损失。通过将电化学与离子束分析相结合，可以直接解决这种行为，离子束分析可以提供定量的锂浓度分布和电流密度范围内的深度分辨库仑效率。结果表明，Ag 通过最大限度地减少不可逆捕获和表面驱动的损失途径来保持高效的锂利用。相比之下，由于扩散限制的锂化和结构缺陷中的锂捕获，镁和铝表现出明显的速率依赖性不可逆性，而铜则表现出最严重的降解，主要是多孔、高反应性的锂镀层。这些发现将银确立为高倍率金属电极的模型系统，并证明控制锂化行为是在苛刻条件下实现无阳极电池稳定运行的关键。</w:t>
      </w:r>
    </w:p>
    <w:p>
      <w:pPr>
        <w:spacing w:before="0" w:after="200" w:lineRule="auto" w:line="276"/>
      </w:pPr>
      <w:r>
        <w:rPr>
          <w:b/>
        </w:rPr>
        <w:t xml:space="preserve">Abstract (EN): </w:t>
      </w:r>
      <w:r>
        <w:t>The dependence of practicable lithium-storage capacity on the charge–discharge rate is crucial for deploying lithium-ion batteries in energy-intensive applications that demand high current densities and short recharge times. Under high-current operation, where most electrode materials fail, Ag stands out as a benchmark for systems where metal electrodes function both as an anode and current collector, increasing its practicable capacity at elevated rates. This performance arises from the rapid formation of γ-brass-type alloy phases, which enable intercalation-solid-solution-like lithium storage with fast kinetics, high capacity, and suppressed lithium loss even at high rates. This behavior is directly resolved by combining electrochemistry with ion beam analysis, which provides quantitative lithium concentration profiles and depth-resolved coulombic efficiency across current densities. The results reveal that Ag maintains efficient lithium utilization by minimizing irreversible trapping and surface-driven loss pathways. In contrast, Mg and Al exhibit pronounced rate-dependent irreversibility due to diffusion-limited lithiation and Li trapping in structural defects, while Cu shows the most severe degradation, dominated by porous, highly reactive Li plating. These findings establish Ag as a model system for high-rate metal electrodes and demonstrate that controlling lithiation behavior is key to enabling stable anode-free battery operation under demanding conditions.</w:t>
      </w:r>
    </w:p>
    <w:p>
      <w:pPr>
        <w:spacing w:before="120" w:after="120"/>
      </w:pPr>
      <w:r>
        <w:rPr>
          <w:sz w:val="18"/>
        </w:rPr>
        <w:t>——————————————————————————————————————————————————————————————————————</w:t>
      </w:r>
    </w:p>
    <w:p>
      <w:pPr>
        <w:spacing w:before="160" w:after="40" w:line="240" w:lineRule="auto"/>
      </w:pPr>
      <w:r>
        <w:rPr>
          <w:b/>
        </w:rPr>
        <w:t xml:space="preserve">[16] </w:t>
      </w:r>
      <w:hyperlink r:id="rId199">
        <w:r>
          <w:rPr>
            <w:color w:val="1155CC"/>
            <w:u w:val="single"/>
          </w:rPr>
          <w:t>了解钠离子电池中电解质与硬碳界面的协同作用：从机理洞察到设计策略</w:t>
        </w:r>
      </w:hyperlink>
    </w:p>
    <w:p>
      <w:pPr>
        <w:spacing w:before="0" w:after="80"/>
      </w:pPr>
      <w:r>
        <w:rPr>
          <w:i/>
          <w:sz w:val="20"/>
        </w:rPr>
        <w:t>EN: Understanding the Electrolyte‐Hard Carbon Interphase Synergy in Sodium‐Ion Batteries: From Mechanistic Insights to Design Strategies</w:t>
      </w:r>
    </w:p>
    <w:p>
      <w:pPr>
        <w:spacing w:before="0" w:after="120"/>
      </w:pPr>
      <w:r>
        <w:rPr>
          <w:b/>
        </w:rPr>
        <w:t xml:space="preserve">Source: </w:t>
      </w:r>
      <w:r>
        <w:t>Wiley: Advanced Energy Materials: Table of Contents</w:t>
      </w:r>
      <w:r>
        <w:t xml:space="preserve">    </w:t>
      </w:r>
      <w:r>
        <w:rPr>
          <w:b/>
        </w:rPr>
        <w:t xml:space="preserve">Pub date: </w:t>
      </w:r>
      <w:r>
        <w:t>2026-08-19 06:27:14+00:00</w:t>
      </w:r>
      <w:r>
        <w:t xml:space="preserve">    </w:t>
      </w:r>
      <w:r>
        <w:rPr>
          <w:b/>
        </w:rPr>
        <w:t xml:space="preserve">DOI: </w:t>
      </w:r>
      <w:hyperlink r:id="rId200">
        <w:r>
          <w:rPr>
            <w:color w:val="1155CC"/>
            <w:u w:val="single"/>
          </w:rPr>
          <w:t>10.1002/aenm.71425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硬碳是钠离子电池最实用的阳极，但其部署受到不稳定、不均匀的固体电解质界面（SEI）的阻碍，这种界面会导致不可逆的钠损失、高界面电阻和容量衰减。本综述讨论了 SEI 的形成作为电解质化学与局部碳界面之间的动态耦合，并讨论了溶剂化结构、阴离子化学、浓度和添加剂与硬碳表面基团、掺杂剂、孔隙和缺陷的相互作用，以控制 SEI 特性。基于这种理解，我们提出了电解质-硬碳界面协同的透视框架，其中包括四个耦合设计方向：（i）溶剂化-孔隙耦合以平衡去溶剂化、孔隙可及性和受限钠存储； (ii) 表面和添加剂引导的电解质分解以调节 SEI 成分； (iii) 孔缺陷电解质调节以实现选择性Na</w:t>
      </w:r>
      <w:r>
        <w:t xml:space="preserve"> </w:t>
      </w:r>
      <w:r>
        <w:t>+</w:t>
      </w:r>
      <w:r>
        <w:t xml:space="preserve"> </w:t>
      </w:r>
      <w:r>
        <w:t>运输同时抑制孔内 SEI 生长； （iv）通过无机-有机杂化结构构建化学和机械上坚固的界面。一个关键的差距仍然缺失</w:t>
      </w:r>
      <w:r>
        <w:t xml:space="preserve"> </w:t>
      </w:r>
      <w:r>
        <w:t>操作</w:t>
      </w:r>
      <w:r>
        <w:t xml:space="preserve"> </w:t>
      </w:r>
      <w:r>
        <w:t>界面电场与 SEI 演化之间的联系，阻碍了自限钝化的合理设计。我们概述了高性能钠离子电池化学稳健、超薄和离子导电界面的未来方向。</w:t>
      </w:r>
    </w:p>
    <w:p>
      <w:pPr>
        <w:spacing w:before="0" w:after="200" w:lineRule="auto" w:line="276"/>
      </w:pPr>
      <w:r>
        <w:rPr>
          <w:b/>
        </w:rPr>
        <w:t xml:space="preserve">Abstract (EN): </w:t>
      </w:r>
      <w:r>
        <w:t>Hard carbon is the most practical anode for sodium‐ion batteries, yet its deployment is hindered by an unstable, non‐uniform solid electrolyte interphase (SEI) that causes irreversible Na loss, high interfacial resistance, and capacity fading. This review discusses SEI formation as a dynamic coupling between electrolyte chemistry and the local carbon interface, and discuss the interactions of solvation structure, anion chemistry, concentration, and additives with hard carbon surface groups, dopants, pores, and defects to govern SEI properties. Based on this understanding, we propose a perspective framework for electrolyte‐hard carbon interphase synergy, which includes four coupled design directions: (i) solvation‐pore coupling to balance desolvation, pore accessibility, and confined sodium storage; (ii) surface‐ and additive‐guided electrolyte decomposition to regulate SEI composition; (iii) pore‐defect‐electrolyte regulation to enable selective Na</w:t>
      </w:r>
      <w:r>
        <w:t xml:space="preserve"> </w:t>
      </w:r>
      <w:r>
        <w:t>+</w:t>
      </w:r>
      <w:r>
        <w:t xml:space="preserve"> </w:t>
      </w:r>
      <w:r>
        <w:t>transport while suppressing intrapore SEI growth; (iv) constructing chemically and mechanically robust interphases through inorganic‐organic hybrid architectures. A key gap remains the missing in</w:t>
      </w:r>
      <w:r>
        <w:t xml:space="preserve"> </w:t>
      </w:r>
      <w:r>
        <w:t>operando</w:t>
      </w:r>
      <w:r>
        <w:t xml:space="preserve"> </w:t>
      </w:r>
      <w:r>
        <w:t>link between interfacial electric fields and SEI evolution, hindering rational design of self‐limiting passivation. We outline future directions toward chemically robust, ultrathin, and ionically conductive interphases for high‐performance sodium‐ion batteries.</w:t>
      </w:r>
    </w:p>
    <w:p>
      <w:pPr>
        <w:spacing w:before="120" w:after="120"/>
      </w:pPr>
      <w:r>
        <w:rPr>
          <w:sz w:val="18"/>
        </w:rPr>
        <w:t>——————————————————————————————————————————————————————————————————————</w:t>
      </w:r>
    </w:p>
    <w:p>
      <w:pPr>
        <w:spacing w:before="160" w:after="40" w:line="240" w:lineRule="auto"/>
      </w:pPr>
      <w:r>
        <w:rPr>
          <w:b/>
        </w:rPr>
        <w:t xml:space="preserve">[17] </w:t>
      </w:r>
      <w:hyperlink r:id="rId201">
        <w:r>
          <w:rPr>
            <w:color w:val="1155CC"/>
            <w:u w:val="single"/>
          </w:rPr>
          <w:t>解锁休眠的Li+途径可驱动Li4Ti5O12氧化物尖晶石中的快速离子传输</w:t>
        </w:r>
      </w:hyperlink>
    </w:p>
    <w:p>
      <w:pPr>
        <w:spacing w:before="0" w:after="80"/>
      </w:pPr>
      <w:r>
        <w:rPr>
          <w:i/>
          <w:sz w:val="20"/>
        </w:rPr>
        <w:t>EN: Unlocking dormant Li+ pathways drives fast ion transport in Li4Ti5O12 oxide spinels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202">
        <w:r>
          <w:rPr>
            <w:color w:val="1155CC"/>
            <w:u w:val="single"/>
          </w:rPr>
          <w:t>10.1126/sciadv.aef5575</w:t>
        </w:r>
      </w:hyperlink>
    </w:p>
    <w:p>
      <w:pPr>
        <w:spacing w:before="0" w:after="120"/>
      </w:pPr>
      <w:r>
        <w:rPr>
          <w:b/>
        </w:rPr>
        <w:t xml:space="preserve">Notes: </w:t>
      </w:r>
      <w:r>
        <w:t>abstract_source=crossref</w:t>
      </w:r>
    </w:p>
    <w:p>
      <w:pPr>
        <w:spacing w:before="0" w:after="80" w:lineRule="auto" w:line="276"/>
      </w:pPr>
      <w:r>
        <w:rPr>
          <w:b/>
        </w:rPr>
        <w:t xml:space="preserve">摘要（ZH）: </w:t>
      </w:r>
      <w:r>
        <w:t>富锂钛酸锂（Li</w:t>
      </w:r>
      <w:r>
        <w:t xml:space="preserve"> </w:t>
      </w:r>
      <w:r>
        <w:t>4+</w:t>
      </w:r>
      <w:r>
        <w:t xml:space="preserve"> </w:t>
      </w:r>
      <w:r>
        <w:t>x</w:t>
      </w:r>
      <w:r>
        <w:t xml:space="preserve"> </w:t>
      </w:r>
      <w:r>
        <w:t>钛</w:t>
      </w:r>
      <w:r>
        <w:rPr>
          <w:vertAlign w:val="subscript"/>
        </w:rPr>
        <w:t>5</w:t>
      </w:r>
      <w:r>
        <w:t>氧</w:t>
      </w:r>
      <w:r>
        <w:rPr>
          <w:vertAlign w:val="subscript"/>
        </w:rPr>
        <w:t>12</w:t>
      </w:r>
      <w:r>
        <w:t>,</w:t>
      </w:r>
      <w:r>
        <w:t xml:space="preserve"> </w:t>
      </w:r>
      <w:r>
        <w:t>x</w:t>
      </w:r>
      <w:r>
        <w:t xml:space="preserve"> </w:t>
      </w:r>
      <w:r>
        <w:t>&gt; 0) 因卓越的离子电导率而闻名，但我们证明化学计量的 Li</w:t>
      </w:r>
      <w:r>
        <w:rPr>
          <w:vertAlign w:val="subscript"/>
        </w:rPr>
        <w:t>4</w:t>
      </w:r>
      <w:r>
        <w:t>钛</w:t>
      </w:r>
      <w:r>
        <w:rPr>
          <w:vertAlign w:val="subscript"/>
        </w:rPr>
        <w:t>5</w:t>
      </w:r>
      <w:r>
        <w:t>氧</w:t>
      </w:r>
      <w:r>
        <w:rPr>
          <w:vertAlign w:val="subscript"/>
        </w:rPr>
        <w:t>12</w:t>
      </w:r>
      <w:r>
        <w:t>（LTO，</w:t>
      </w:r>
      <w:r>
        <w:t xml:space="preserve"> </w:t>
      </w:r>
      <w:r>
        <w:t>x</w:t>
      </w:r>
      <w:r>
        <w:t xml:space="preserve"> </w:t>
      </w:r>
      <w:r>
        <w:t>= 0），通常以缓慢的离子动力学为特征，可以在不改变其锂含量的情况下转化为快离子导体。真空处理引入的局部缺陷，尤其是氧空位，激活了以前无法达到的 8</w:t>
      </w:r>
      <w:r>
        <w:t xml:space="preserve"> </w:t>
      </w:r>
      <w:r>
        <w:t>一个</w:t>
      </w:r>
      <w:r>
        <w:t xml:space="preserve"> </w:t>
      </w:r>
      <w:r>
        <w:t>-16</w:t>
      </w:r>
      <w:r>
        <w:t xml:space="preserve"> </w:t>
      </w:r>
      <w:r>
        <w:t>c</w:t>
      </w:r>
      <w:r>
        <w:t xml:space="preserve"> </w:t>
      </w:r>
      <w:r>
        <w:t>-8</w:t>
      </w:r>
      <w:r>
        <w:t xml:space="preserve"> </w:t>
      </w:r>
      <w:r>
        <w:t>一个</w:t>
      </w:r>
      <w:r>
        <w:t xml:space="preserve"> </w:t>
      </w:r>
      <w:r>
        <w:t>化学计量 LTO 中的扩散途径，显着增强 Li</w:t>
      </w:r>
      <w:r>
        <w:t xml:space="preserve"> </w:t>
      </w:r>
      <w:r>
        <w:t>+</w:t>
      </w:r>
      <w:r>
        <w:t xml:space="preserve"> </w:t>
      </w:r>
      <w:r>
        <w:t>整个体块的流动性。通过阻抗谱、固态核磁共振 (NMR) 和电子顺磁共振 (EPR) 的协同组合，我们解决了导致这种转变的扩散过程。锂核磁共振明确地表明，以前局域化的锂</w:t>
      </w:r>
      <w:r>
        <w:t xml:space="preserve"> </w:t>
      </w:r>
      <w:r>
        <w:t>+</w:t>
      </w:r>
      <w:r>
        <w:t xml:space="preserve"> </w:t>
      </w:r>
      <w:r>
        <w:t>真空处理后，跳跃过程变成长距离传输，证明扩展扩散路径的激活。原子尺度的见解揭示了缺陷驱动的结构和动态启动，使快速反应成为可能</w:t>
      </w:r>
    </w:p>
    <w:p>
      <w:pPr>
        <w:spacing w:before="0" w:after="200" w:lineRule="auto" w:line="276"/>
      </w:pPr>
      <w:r>
        <w:rPr>
          <w:b/>
        </w:rPr>
        <w:t xml:space="preserve">Abstract (EN): </w:t>
      </w:r>
      <w:r>
        <w:t>Li-rich lithium titanate (Li</w:t>
      </w:r>
      <w:r>
        <w:t xml:space="preserve"> </w:t>
      </w:r>
      <w:r>
        <w:t>4+</w:t>
      </w:r>
      <w:r>
        <w:t xml:space="preserve"> </w:t>
      </w:r>
      <w:r>
        <w:t>x</w:t>
      </w:r>
      <w:r>
        <w:t xml:space="preserve"> </w:t>
      </w:r>
      <w:r>
        <w:t>Ti</w:t>
      </w:r>
      <w:r>
        <w:rPr>
          <w:vertAlign w:val="subscript"/>
        </w:rPr>
        <w:t>5</w:t>
      </w:r>
      <w:r>
        <w:t>O</w:t>
      </w:r>
      <w:r>
        <w:rPr>
          <w:vertAlign w:val="subscript"/>
        </w:rPr>
        <w:t>12</w:t>
      </w:r>
      <w:r>
        <w:t>,</w:t>
      </w:r>
      <w:r>
        <w:t xml:space="preserve"> </w:t>
      </w:r>
      <w:r>
        <w:t>x</w:t>
      </w:r>
      <w:r>
        <w:t xml:space="preserve"> </w:t>
      </w:r>
      <w:r>
        <w:t>&amp;gt; 0) is known for superior ionic conductivity, yet we show that stoichiometric Li</w:t>
      </w:r>
      <w:r>
        <w:rPr>
          <w:vertAlign w:val="subscript"/>
        </w:rPr>
        <w:t>4</w:t>
      </w:r>
      <w:r>
        <w:t>Ti</w:t>
      </w:r>
      <w:r>
        <w:rPr>
          <w:vertAlign w:val="subscript"/>
        </w:rPr>
        <w:t>5</w:t>
      </w:r>
      <w:r>
        <w:t>O</w:t>
      </w:r>
      <w:r>
        <w:rPr>
          <w:vertAlign w:val="subscript"/>
        </w:rPr>
        <w:t>12</w:t>
      </w:r>
      <w:r>
        <w:t>(LTO,</w:t>
      </w:r>
      <w:r>
        <w:t xml:space="preserve"> </w:t>
      </w:r>
      <w:r>
        <w:t>x</w:t>
      </w:r>
      <w:r>
        <w:t xml:space="preserve"> </w:t>
      </w:r>
      <w:r>
        <w:t>= 0), typically characterized by sluggish ion dynamics, can be transformed into a fast ion conductor without changing its Li content. Local defects, most notably oxygen vacancies, introduced by vacuum treatment activate a previously inaccessible 8</w:t>
      </w:r>
      <w:r>
        <w:t xml:space="preserve"> </w:t>
      </w:r>
      <w:r>
        <w:t>a</w:t>
      </w:r>
      <w:r>
        <w:t xml:space="preserve"> </w:t>
      </w:r>
      <w:r>
        <w:t>-16</w:t>
      </w:r>
      <w:r>
        <w:t xml:space="preserve"> </w:t>
      </w:r>
      <w:r>
        <w:t>c</w:t>
      </w:r>
      <w:r>
        <w:t xml:space="preserve"> </w:t>
      </w:r>
      <w:r>
        <w:t>-8</w:t>
      </w:r>
      <w:r>
        <w:t xml:space="preserve"> </w:t>
      </w:r>
      <w:r>
        <w:t>a</w:t>
      </w:r>
      <w:r>
        <w:t xml:space="preserve"> </w:t>
      </w:r>
      <w:r>
        <w:t>diffusion pathway in stoichiometric LTO, markedly enhancing Li</w:t>
      </w:r>
      <w:r>
        <w:t xml:space="preserve"> </w:t>
      </w:r>
      <w:r>
        <w:t>+</w:t>
      </w:r>
      <w:r>
        <w:t xml:space="preserve"> </w:t>
      </w:r>
      <w:r>
        <w:t>mobility throughout the bulk. Using a synergistic combination of impedance spectroscopy, solid-state nuclear magnetic resonance (NMR), and electron paramagnetic resonance (EPR), we resolve the diffusion processes responsible for this transformation. Lithium NMR unambiguously shows that a formerly localized Li</w:t>
      </w:r>
      <w:r>
        <w:t xml:space="preserve"> </w:t>
      </w:r>
      <w:r>
        <w:t>+</w:t>
      </w:r>
      <w:r>
        <w:t xml:space="preserve"> </w:t>
      </w:r>
      <w:r>
        <w:t>hopping process becomes long-range transport after vacuum treatment, evidencing the activation of extended diffusion pathways. Atomic-scale insights reveal defect-driven structural and dynamical priming that enables rapid Li</w:t>
      </w:r>
      <w:r>
        <w:t xml:space="preserve"> </w:t>
      </w:r>
      <w:r>
        <w:t>+</w:t>
      </w:r>
      <w:r>
        <w:t xml:space="preserve"> </w:t>
      </w:r>
      <w:r>
        <w:t>insertion, establishing zero-strain LTO as a leading anode for solid-state lithium batteries. Defect-mediated transport emerges as the key mechanism underlying these dynamics, resolving the long-standing conductivity puzzle of stoichiometric spinel LTO (</w:t>
      </w:r>
      <w:r>
        <w:t xml:space="preserve"> </w:t>
      </w:r>
      <w:r>
        <w:t>x</w:t>
      </w:r>
      <w:r>
        <w:t xml:space="preserve"> </w:t>
      </w:r>
      <w:r>
        <w:t>= 0) and indicating transferable pathways in related spinel-type ion conductors with similar Li</w:t>
      </w:r>
      <w:r>
        <w:t xml:space="preserve"> </w:t>
      </w:r>
      <w:r>
        <w:t>+</w:t>
      </w:r>
      <w:r>
        <w:t xml:space="preserve"> </w:t>
      </w:r>
      <w:r>
        <w:t>distributions.</w:t>
      </w:r>
    </w:p>
    <w:p>
      <w:pPr>
        <w:spacing w:before="120" w:after="120"/>
      </w:pPr>
      <w:r>
        <w:rPr>
          <w:sz w:val="18"/>
        </w:rPr>
        <w:t>——————————————————————————————————————————————————————————————————————</w:t>
      </w:r>
    </w:p>
    <w:p>
      <w:pPr>
        <w:spacing w:before="160" w:after="40" w:line="240" w:lineRule="auto"/>
      </w:pPr>
      <w:r>
        <w:rPr>
          <w:b/>
        </w:rPr>
        <w:t xml:space="preserve">[18] </w:t>
      </w:r>
      <w:hyperlink r:id="rId159">
        <w:r>
          <w:rPr>
            <w:color w:val="1155CC"/>
            <w:u w:val="single"/>
          </w:rPr>
          <w:t>电化学激活的高度可逆硫酸盐转化使高电压和大容量锌基阴阳离子穿梭电池成为可能</w:t>
        </w:r>
      </w:hyperlink>
    </w:p>
    <w:p>
      <w:pPr>
        <w:spacing w:before="0" w:after="80"/>
      </w:pPr>
      <w:r>
        <w:rPr>
          <w:i/>
          <w:sz w:val="20"/>
        </w:rPr>
        <w:t>EN: Electrochemically Activated Highly Reversible Sulfate Conversion Enables High‐Voltage and Large‐Volumetric‐Capacity Zinc‐Based Anion–Cation Shuttle Battery</w:t>
      </w:r>
    </w:p>
    <w:p>
      <w:pPr>
        <w:spacing w:before="0" w:after="120"/>
      </w:pPr>
      <w:r>
        <w:rPr>
          <w:b/>
        </w:rPr>
        <w:t xml:space="preserve">Source: </w:t>
      </w:r>
      <w:r>
        <w:t>Wiley: Angewandte Chemie International Edition: Table of Contents</w:t>
      </w:r>
      <w:r>
        <w:t xml:space="preserve">    </w:t>
      </w:r>
      <w:r>
        <w:rPr>
          <w:b/>
        </w:rPr>
        <w:t xml:space="preserve">Pub date: </w:t>
      </w:r>
      <w:r>
        <w:t>2026-08-19 08:53:13+00:00</w:t>
      </w:r>
      <w:r>
        <w:t xml:space="preserve">    </w:t>
      </w:r>
      <w:r>
        <w:rPr>
          <w:b/>
        </w:rPr>
        <w:t xml:space="preserve">DOI: </w:t>
      </w:r>
      <w:hyperlink r:id="rId160">
        <w:r>
          <w:rPr>
            <w:color w:val="1155CC"/>
            <w:u w:val="single"/>
          </w:rPr>
          <w:t>10.1002/anie.3330483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由于优异的安全性能、高功率密度和成本效益，水系双离子电池（DIB）正在成为大规模固定储能最引人注目的选择之一。然而，它们的低输出电压导致能量密度不足。在这里，我们设计了一种高度可逆的 pH 中性 Ag↔Ag</w:t>
      </w:r>
      <w:r>
        <w:rPr>
          <w:vertAlign w:val="subscript"/>
        </w:rPr>
        <w:t>2</w:t>
      </w:r>
      <w:r>
        <w:t>SO</w:t>
      </w:r>
      <w:r>
        <w:rPr>
          <w:vertAlign w:val="subscript"/>
        </w:rPr>
        <w:t>4</w:t>
      </w:r>
      <w:r>
        <w:t>电化学并构建了一种新型的锌基转换型水性阴阳离子穿梭DIB。制备了具有功能石墨层的无枝晶锌阳极以提高循环寿命。受益于锌的同步效应</w:t>
      </w:r>
      <w:r>
        <w:t xml:space="preserve"> </w:t>
      </w:r>
      <w:r>
        <w:t>2+</w:t>
      </w:r>
      <w:r>
        <w:t xml:space="preserve"> </w:t>
      </w:r>
      <w:r>
        <w:t>/SO</w:t>
      </w:r>
      <w:r>
        <w:rPr>
          <w:vertAlign w:val="subscript"/>
        </w:rPr>
        <w:t>4</w:t>
      </w:r>
      <w:r>
        <w:t>2−</w:t>
      </w:r>
      <w:r>
        <w:t>双电荷携带和无枝晶阳极，DIB 提供 1.41 V 的高输出电压，体积能量密度为 3295.4 Wh L</w:t>
      </w:r>
      <w:r>
        <w:t xml:space="preserve"> </w:t>
      </w:r>
      <w:r>
        <w:t>−1</w:t>
      </w:r>
      <w:r>
        <w:t xml:space="preserve"> </w:t>
      </w:r>
      <w:r>
        <w:t>0.5安克时</w:t>
      </w:r>
      <w:r>
        <w:t xml:space="preserve"> </w:t>
      </w:r>
      <w:r>
        <w:t>−1</w:t>
      </w:r>
      <w:r>
        <w:t xml:space="preserve"> </w:t>
      </w:r>
      <w:r>
        <w:t>，在 1 A g 下 300 次循环后容量保持率为 95.9%</w:t>
      </w:r>
      <w:r>
        <w:t xml:space="preserve"> </w:t>
      </w:r>
      <w:r>
        <w:t>−1</w:t>
      </w:r>
      <w:r>
        <w:t xml:space="preserve"> </w:t>
      </w:r>
      <w:r>
        <w:t>，优于大多数报道的 DIB。作为概念验证，我们制造了一种具有卓越机械强度、柔韧性和令人印象深刻的耐温性的准固态水性 DIB。随着工作温度从 20°C 降至 -10°C，它仅表现出非常低的容量损失 (8.4%) 和可忽略不计的极化变化 (0.05 V)。这项工作克服了水基 DIB 中输出电压低的瓶颈，为 DIB 的设计提供了一条有前途的途径。</w:t>
      </w:r>
    </w:p>
    <w:p>
      <w:pPr>
        <w:spacing w:before="0" w:after="200" w:lineRule="auto" w:line="276"/>
      </w:pPr>
      <w:r>
        <w:rPr>
          <w:b/>
        </w:rPr>
        <w:t xml:space="preserve">Abstract (EN): </w:t>
      </w:r>
      <w:r>
        <w:t>Aqueous dual‐ion batteries (DIBs) are becoming one of the most compelling choices for large‐scale stationary energy storage owing to the excellent safety performance, high power density, and cost‐effectiveness. However, their low output voltage leads to insufficient energy density. Here, we design a highly reversible pH‐neutral Ag↔Ag</w:t>
      </w:r>
      <w:r>
        <w:rPr>
          <w:vertAlign w:val="subscript"/>
        </w:rPr>
        <w:t>2</w:t>
      </w:r>
      <w:r>
        <w:t>SO</w:t>
      </w:r>
      <w:r>
        <w:rPr>
          <w:vertAlign w:val="subscript"/>
        </w:rPr>
        <w:t>4</w:t>
      </w:r>
      <w:r>
        <w:t>electrochemistry and construct a novel Zn‐based conversion‐type aqueous anion–cation shuttle DIB. A dendrite‐free Zn anode with functional graphite layer is prepared to improve cycle life. Benefitting from the synchronous effect of Zn</w:t>
      </w:r>
      <w:r>
        <w:t xml:space="preserve"> </w:t>
      </w:r>
      <w:r>
        <w:t>2+</w:t>
      </w:r>
      <w:r>
        <w:t xml:space="preserve"> </w:t>
      </w:r>
      <w:r>
        <w:t>/SO</w:t>
      </w:r>
      <w:r>
        <w:rPr>
          <w:vertAlign w:val="subscript"/>
        </w:rPr>
        <w:t>4</w:t>
      </w:r>
      <w:r>
        <w:t>2−</w:t>
      </w:r>
      <w:r>
        <w:t>dual charge carries and dendrite‐free anode, the DIB delivers a high output voltage of 1.41 V, volumetric energy density of 3295.4 Wh L</w:t>
      </w:r>
      <w:r>
        <w:t xml:space="preserve"> </w:t>
      </w:r>
      <w:r>
        <w:t>−1</w:t>
      </w:r>
      <w:r>
        <w:t xml:space="preserve"> </w:t>
      </w:r>
      <w:r>
        <w:t>at 0.5 A g</w:t>
      </w:r>
      <w:r>
        <w:t xml:space="preserve"> </w:t>
      </w:r>
      <w:r>
        <w:t>−1</w:t>
      </w:r>
      <w:r>
        <w:t xml:space="preserve"> </w:t>
      </w:r>
      <w:r>
        <w:t>, and 95.9% capacity retention over 300 cycles at 1 A g</w:t>
      </w:r>
      <w:r>
        <w:t xml:space="preserve"> </w:t>
      </w:r>
      <w:r>
        <w:t>−1</w:t>
      </w:r>
      <w:r>
        <w:t xml:space="preserve"> </w:t>
      </w:r>
      <w:r>
        <w:t>, superior to most reported DIBs. As a proof of concept, we fabricate a quasi‐solid‐state aqueous DIB with remarkable mechanical strength, flexibility, and impressive temperature resistance. With working temperature decreasing from 20 to −10°C, it shows only a very low‐capacity loss (8.4%) and negligible polarization change (0.05 V). This work overcomes the bottleneck of low output voltage in aqueous DIBs and offers a promising pathway for the development of future aqueous batteries with high energy density.</w:t>
      </w:r>
    </w:p>
    <w:p>
      <w:pPr>
        <w:spacing w:before="120" w:after="120"/>
      </w:pPr>
      <w:r>
        <w:rPr>
          <w:sz w:val="18"/>
        </w:rPr>
        <w:t>——————————————————————————————————————————————————————————————————————</w:t>
      </w:r>
    </w:p>
    <w:p>
      <w:pPr>
        <w:spacing w:before="160" w:after="40" w:line="240" w:lineRule="auto"/>
      </w:pPr>
      <w:r>
        <w:rPr>
          <w:b/>
        </w:rPr>
        <w:t xml:space="preserve">[19] </w:t>
      </w:r>
      <w:hyperlink r:id="rId203">
        <w:r>
          <w:rPr>
            <w:color w:val="1155CC"/>
            <w:u w:val="single"/>
          </w:rPr>
          <w:t>混合碳网络中的相工程 1T/2H-WS2 异质结构用于高速率和持久的钠离子存储</w:t>
        </w:r>
      </w:hyperlink>
    </w:p>
    <w:p>
      <w:pPr>
        <w:spacing w:before="0" w:after="80"/>
      </w:pPr>
      <w:r>
        <w:rPr>
          <w:i/>
          <w:sz w:val="20"/>
        </w:rPr>
        <w:t>EN: Phase‐Engineered 1T/2H‐WS2 Heterostructures in Hybrid Carbon Networks for High‐Rate and Durable Sodium‐Ion Storage</w:t>
      </w:r>
    </w:p>
    <w:p>
      <w:pPr>
        <w:spacing w:before="0" w:after="120"/>
      </w:pPr>
      <w:r>
        <w:rPr>
          <w:b/>
        </w:rPr>
        <w:t xml:space="preserve">Source: </w:t>
      </w:r>
      <w:r>
        <w:t>Wiley: Advanced Energy Materials: Table of Contents</w:t>
      </w:r>
      <w:r>
        <w:t xml:space="preserve">    </w:t>
      </w:r>
      <w:r>
        <w:rPr>
          <w:b/>
        </w:rPr>
        <w:t xml:space="preserve">Pub date: </w:t>
      </w:r>
      <w:r>
        <w:t>2026-08-19 13:09:30+00:00</w:t>
      </w:r>
      <w:r>
        <w:t xml:space="preserve">    </w:t>
      </w:r>
      <w:r>
        <w:rPr>
          <w:b/>
        </w:rPr>
        <w:t xml:space="preserve">DOI: </w:t>
      </w:r>
      <w:hyperlink r:id="rId204">
        <w:r>
          <w:rPr>
            <w:color w:val="1155CC"/>
            <w:u w:val="single"/>
          </w:rPr>
          <w:t>10.1002/aenm.71453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金属1T过渡金属二硫属化物由于其比半导体2H对应物具有更高的电导率和更快的离子传输速度而有望用于钠离子存储，但稳定1T相仍然具有挑战性。在这里，我们报告了阶段工程 WS</w:t>
      </w:r>
      <w:r>
        <w:rPr>
          <w:vertAlign w:val="subscript"/>
        </w:rPr>
        <w:t>2</w:t>
      </w:r>
      <w:r>
        <w:t>通过锂辅助剥离和冷冻干燥制备混合碳纳米复合材料，提供高性能钠离子电池（SIB）阳极。还原氧化石墨烯和多壁碳纳米管（rGO 和 MWCNT）的集成诱导 WS 中的部分相转换（2H→1T）</w:t>
      </w:r>
      <w:r>
        <w:rPr>
          <w:vertAlign w:val="subscript"/>
        </w:rPr>
        <w:t>2</w:t>
      </w:r>
      <w:r>
        <w:t>并在导电碳网络内产生稳定的 1T/2H 混合相结构。结构和光谱分析支持 1T 和 2H 域的共存，并揭示了与碳支架的强界面耦合，从而增强导电性，抑制纳米片重新堆叠并提高结构稳定性。因此，1T/2H-WS</w:t>
      </w:r>
      <w:r>
        <w:rPr>
          <w:vertAlign w:val="subscript"/>
        </w:rPr>
        <w:t>2</w:t>
      </w:r>
      <w:r>
        <w:t>@rGO/MWCNTs 复合材料在 25 mA/g 下可提供约 500 mAh/g 的可逆容量、高达 5 A/g 的出色倍率能力、超过 1000 次循环的长期循环稳定性，容量衰减可忽略不计、约 99.2% 的容量保持率，以及与 NaFePO 配合使用时的强大全电池性能</w:t>
      </w:r>
      <w:r>
        <w:rPr>
          <w:vertAlign w:val="subscript"/>
        </w:rPr>
        <w:t>4</w:t>
      </w:r>
      <w:r>
        <w:t>。第一性原理计算进一步揭示了 1T-WS 更强的 Na 吸附和更宽的热力学稳定钠化窗口</w:t>
      </w:r>
    </w:p>
    <w:p>
      <w:pPr>
        <w:spacing w:before="0" w:after="200" w:lineRule="auto" w:line="276"/>
      </w:pPr>
      <w:r>
        <w:rPr>
          <w:b/>
        </w:rPr>
        <w:t xml:space="preserve">Abstract (EN): </w:t>
      </w:r>
      <w:r>
        <w:t>Metallic 1T transition‐metal dichalcogenides are promising for sodium‐ion storage because of their higher electrical conductivity and faster ion transport than semiconducting 2H counterparts, yet stabilizing the 1T phase remains challenging. Here, we report phase‐engineered WS</w:t>
      </w:r>
      <w:r>
        <w:rPr>
          <w:vertAlign w:val="subscript"/>
        </w:rPr>
        <w:t>2</w:t>
      </w:r>
      <w:r>
        <w:t>/hybrid‐carbon nanocomposites prepared by lithium‐assisted exfoliation and freeze‐drying, delivering a high‐performance sodium‐ion battery (SIB) anode. Integration of reduced graphene oxide and multiwalled carbon nanotubes (rGO and MWCNTs) induces partial phase conversion (2H→1T) in WS</w:t>
      </w:r>
      <w:r>
        <w:rPr>
          <w:vertAlign w:val="subscript"/>
        </w:rPr>
        <w:t>2</w:t>
      </w:r>
      <w:r>
        <w:t>and yields a stabilized 1T/2H mixed‐phase architecture within a conductive carbon network. Structural and spectroscopic analyses support the coexistence of 1T and 2H domains and reveal strong interfacial coupling with the carbon scaffold, thereby enhancing electrical conductivity, suppressing nanosheet restacking, and improving structural stability. As a result, the 1T/2H‐WS</w:t>
      </w:r>
      <w:r>
        <w:rPr>
          <w:vertAlign w:val="subscript"/>
        </w:rPr>
        <w:t>2</w:t>
      </w:r>
      <w:r>
        <w:t>@rGO/MWCNTs composite delivers a reversible capacity of ∼500 mAh/g at 25 mA/g, excellent rate capability up to 5 A/g, and long‐term cycling stability over 1000 cycles with negligible capacity decay, ∼99.2% capacity retention, together with strong full‐cell performance when paired with NaFePO</w:t>
      </w:r>
      <w:r>
        <w:rPr>
          <w:vertAlign w:val="subscript"/>
        </w:rPr>
        <w:t>4</w:t>
      </w:r>
      <w:r>
        <w:t>. First‐principles calculations further reveal stronger Na adsorption and a wider thermodynamically stable sodiation window for 1T‐WS</w:t>
      </w:r>
      <w:r>
        <w:rPr>
          <w:vertAlign w:val="subscript"/>
        </w:rPr>
        <w:t>2</w:t>
      </w:r>
      <w:r>
        <w:t>than for 2H‐WS</w:t>
      </w:r>
      <w:r>
        <w:rPr>
          <w:vertAlign w:val="subscript"/>
        </w:rPr>
        <w:t>2</w:t>
      </w:r>
      <w:r>
        <w:t>. These results highlight the combination of phase‐engineering and conductive carbon‐scaffolding as an effective strategy for developing fast and durable WS</w:t>
      </w:r>
      <w:r>
        <w:rPr>
          <w:vertAlign w:val="subscript"/>
        </w:rPr>
        <w:t>2</w:t>
      </w:r>
      <w:r>
        <w:t>‐based anodes for SIBs.</w:t>
      </w:r>
    </w:p>
    <w:p>
      <w:pPr>
        <w:spacing w:before="120" w:after="120"/>
      </w:pPr>
      <w:r>
        <w:rPr>
          <w:sz w:val="18"/>
        </w:rPr>
        <w:t>——————————————————————————————————————————————————————————————————————</w:t>
      </w:r>
    </w:p>
    <w:p>
      <w:pPr>
        <w:spacing w:before="160" w:after="40" w:line="240" w:lineRule="auto"/>
      </w:pPr>
      <w:r>
        <w:rPr>
          <w:b/>
        </w:rPr>
        <w:t xml:space="preserve">[20] </w:t>
      </w:r>
      <w:hyperlink r:id="rId205">
        <w:r>
          <w:rPr>
            <w:color w:val="1155CC"/>
            <w:u w:val="single"/>
          </w:rPr>
          <w:t>瞬态界面电子转移：石墨锂化的隐藏动力学驱动因素</w:t>
        </w:r>
      </w:hyperlink>
    </w:p>
    <w:p>
      <w:pPr>
        <w:spacing w:before="0" w:after="80"/>
      </w:pPr>
      <w:r>
        <w:rPr>
          <w:i/>
          <w:sz w:val="20"/>
        </w:rPr>
        <w:t>EN: Transient Interfacial Electron Transfer: The Hidden Kinetic Driver of Graphite Lithiation</w:t>
      </w:r>
    </w:p>
    <w:p>
      <w:pPr>
        <w:spacing w:before="0" w:after="120"/>
      </w:pPr>
      <w:r>
        <w:rPr>
          <w:b/>
        </w:rPr>
        <w:t xml:space="preserve">Source: </w:t>
      </w:r>
      <w:r>
        <w:t>Wiley: Angewandte Chemie International Edition: Table of Contents</w:t>
      </w:r>
      <w:r>
        <w:t xml:space="preserve">    </w:t>
      </w:r>
      <w:r>
        <w:rPr>
          <w:b/>
        </w:rPr>
        <w:t xml:space="preserve">Pub date: </w:t>
      </w:r>
      <w:r>
        <w:t>2026-08-19 14:02:31+00:00</w:t>
      </w:r>
      <w:r>
        <w:t xml:space="preserve">    </w:t>
      </w:r>
      <w:r>
        <w:rPr>
          <w:b/>
        </w:rPr>
        <w:t xml:space="preserve">DOI: </w:t>
      </w:r>
      <w:hyperlink r:id="rId206">
        <w:r>
          <w:rPr>
            <w:color w:val="1155CC"/>
            <w:u w:val="single"/>
          </w:rPr>
          <w:t>10.1002/anie.5840654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石墨（Gr）锂化从根本上来说是一个电子驱动的过程，其中飞秒尺度（10</w:t>
      </w:r>
      <w:r>
        <w:t xml:space="preserve"> </w:t>
      </w:r>
      <w:r>
        <w:t>−15</w:t>
      </w:r>
      <w:r>
        <w:t xml:space="preserve"> </w:t>
      </w:r>
      <w:r>
        <w:t>s) 界面电子转移（IET）和皮秒到纳秒（10</w:t>
      </w:r>
      <w:r>
        <w:t xml:space="preserve"> </w:t>
      </w:r>
      <w:r>
        <w:t>−12</w:t>
      </w:r>
      <w:r>
        <w:t xml:space="preserve"> </w:t>
      </w:r>
      <w:r>
        <w:t>〜10</w:t>
      </w:r>
      <w:r>
        <w:t xml:space="preserve"> </w:t>
      </w:r>
      <w:r>
        <w:t>−9</w:t>
      </w:r>
      <w:r>
        <w:t xml:space="preserve"> </w:t>
      </w:r>
      <w:r>
        <w:t>s) 离子迁移决定了非协同动力学响应。由于电子对电势做出瞬时响应，而溶剂化锂 (Li) 保持暂时静止，因此这种瞬态 IET 通过预极化界面充当关键的上游“动力学调节器”，从而降低了后续决定速率的 Li 的激活势垒。</w:t>
      </w:r>
      <w:r>
        <w:t xml:space="preserve"> </w:t>
      </w:r>
      <w:r>
        <w:t>+</w:t>
      </w:r>
      <w:r>
        <w:t xml:space="preserve"> </w:t>
      </w:r>
      <w:r>
        <w:t>去溶剂化步骤。然而，这个基本的前兆经常被忽视。与中性溶剂相比，阴离子具有更高的电荷密度和前沿轨道能级，具有优异的电子转移倾向。在这项工作中，我们揭示了调节阴离子参与溶剂化鞘层可以有目的地将 Gr 表面调整为富电子状态，从而有效地削弱 Li</w:t>
      </w:r>
      <w:r>
        <w:t xml:space="preserve"> </w:t>
      </w:r>
      <w:r>
        <w:t>+</w:t>
      </w:r>
      <w:r>
        <w:t xml:space="preserve"> </w:t>
      </w:r>
      <w:r>
        <w:t>–溶剂相互作用并降低锂脱配位的活化势垒。为了量化这种效应，我们提出了“表观电子转移倾向”（AETP）描述符来连接微观溶剂化形态与宏观动力学。这一发现还阐明了为什么富含阴离子的锂溶剂化物或具有高电子密度离域的阴离子（例如</w:t>
      </w:r>
    </w:p>
    <w:p>
      <w:pPr>
        <w:spacing w:before="0" w:after="200" w:lineRule="auto" w:line="276"/>
      </w:pPr>
      <w:r>
        <w:rPr>
          <w:b/>
        </w:rPr>
        <w:t xml:space="preserve">Abstract (EN): </w:t>
      </w:r>
      <w:r>
        <w:t>Graphite (Gr) lithiation is fundamentally an electron‐driven process, where the temporal disparity between femtosecond‐scale (10</w:t>
      </w:r>
      <w:r>
        <w:t xml:space="preserve"> </w:t>
      </w:r>
      <w:r>
        <w:t>−15</w:t>
      </w:r>
      <w:r>
        <w:t xml:space="preserve"> </w:t>
      </w:r>
      <w:r>
        <w:t>s) interfacial electron transfer (IET) and picosecond‐to‐nanosecond (10</w:t>
      </w:r>
      <w:r>
        <w:t xml:space="preserve"> </w:t>
      </w:r>
      <w:r>
        <w:t>−12</w:t>
      </w:r>
      <w:r>
        <w:t xml:space="preserve"> </w:t>
      </w:r>
      <w:r>
        <w:t>∼ 10</w:t>
      </w:r>
      <w:r>
        <w:t xml:space="preserve"> </w:t>
      </w:r>
      <w:r>
        <w:t>−9</w:t>
      </w:r>
      <w:r>
        <w:t xml:space="preserve"> </w:t>
      </w:r>
      <w:r>
        <w:t>s) ion migration dictates a non‐concerted kinetic response. Since electrons respond instantaneously to potential while solvated lithium (Li) remains momentarily stationary, this transient IET acts as a critical upstream “kinetic regulator” by pre‐polarizing the interface, which in turn lowers the activation barrier for the subsequent rate‐determining Li</w:t>
      </w:r>
      <w:r>
        <w:t xml:space="preserve"> </w:t>
      </w:r>
      <w:r>
        <w:t>+</w:t>
      </w:r>
      <w:r>
        <w:t xml:space="preserve"> </w:t>
      </w:r>
      <w:r>
        <w:t>desolvation step. However, this foundational precursor is frequently overlooked. Compared with neutral solvents, anions possess higher charge density and frontier orbital levels, offering a superior propensity for electron transfer. In this work, we reveal that modulating anion participation in the solvation sheath can purposely tailor the Gr surface toward an electron‐rich state, which effectively weakens Li</w:t>
      </w:r>
      <w:r>
        <w:t xml:space="preserve"> </w:t>
      </w:r>
      <w:r>
        <w:t>+</w:t>
      </w:r>
      <w:r>
        <w:t xml:space="preserve"> </w:t>
      </w:r>
      <w:r>
        <w:t>–solvent interactions and lowers the activation barrier of Li de‐coordination. To quantify this effect, we propose the “apparent electron transfer propensity” (AETP) descriptor to bridge microscopic solvation speciation with macroscopic kinetics. This finding also elucidates why anion‑rich Li solvates or anions with high electron density delocalization (such as FSI</w:t>
      </w:r>
      <w:r>
        <w:t xml:space="preserve"> </w:t>
      </w:r>
      <w:r>
        <w:t>−</w:t>
      </w:r>
      <w:r>
        <w:t>) can deliver superior battery rate capability. This work establishes IET as a discrete physical criterion for deciphering kinetic bottlenecks and designing high‐power battery interfaces.</w:t>
      </w:r>
    </w:p>
    <w:p>
      <w:pPr>
        <w:spacing w:before="120" w:after="120"/>
      </w:pPr>
      <w:r>
        <w:rPr>
          <w:sz w:val="18"/>
        </w:rPr>
        <w:t>——————————————————————————————————————————————————————————————————————</w:t>
      </w:r>
    </w:p>
    <w:p>
      <w:pPr>
        <w:spacing w:before="160" w:after="40" w:line="240" w:lineRule="auto"/>
      </w:pPr>
      <w:r>
        <w:rPr>
          <w:b/>
        </w:rPr>
        <w:t xml:space="preserve">[21] </w:t>
      </w:r>
      <w:hyperlink r:id="rId171">
        <w:r>
          <w:rPr>
            <w:color w:val="1155CC"/>
            <w:u w:val="single"/>
          </w:rPr>
          <w:t>用于无过渡金属和无卤素钠电池的无氟、低离子对电解质</w:t>
        </w:r>
      </w:hyperlink>
    </w:p>
    <w:p>
      <w:pPr>
        <w:spacing w:before="0" w:after="80"/>
      </w:pPr>
      <w:r>
        <w:rPr>
          <w:i/>
          <w:sz w:val="20"/>
        </w:rPr>
        <w:t>EN: A Fluorine‐Free, Low Ion Pair Electrolyte for Transition Metal‐Free and Halogen‐Free Sodium Batteries</w:t>
      </w:r>
    </w:p>
    <w:p>
      <w:pPr>
        <w:spacing w:before="0" w:after="120"/>
      </w:pPr>
      <w:r>
        <w:rPr>
          <w:b/>
        </w:rPr>
        <w:t xml:space="preserve">Source: </w:t>
      </w:r>
      <w:r>
        <w:t>Wiley: Advanced Energy Materials: Table of Contents</w:t>
      </w:r>
      <w:r>
        <w:t xml:space="preserve">    </w:t>
      </w:r>
      <w:r>
        <w:rPr>
          <w:b/>
        </w:rPr>
        <w:t xml:space="preserve">Pub date: </w:t>
      </w:r>
      <w:r>
        <w:t>2026-08-20 06:04:17+00:00</w:t>
      </w:r>
      <w:r>
        <w:t xml:space="preserve">    </w:t>
      </w:r>
      <w:r>
        <w:rPr>
          <w:b/>
        </w:rPr>
        <w:t xml:space="preserve">DOI: </w:t>
      </w:r>
      <w:hyperlink r:id="rId172">
        <w:r>
          <w:rPr>
            <w:color w:val="1155CC"/>
            <w:u w:val="single"/>
          </w:rPr>
          <w:t>10.1002/aenm.71422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化溶剂、盐和粘合剂广泛用于现代可充电电池。高耐久性和优异的高倍率能力通常归因于富氟界面或氟调节溶剂化结构。迄今为止，无氟电池的开发仍处于起步阶段，对界面和结构-性能-性能关系的了解仍知之甚少。在这里，我们研究了钠离子盐中的阴离子取代基对钠离子阳极电解质离子输运特性和界面组成的影响。无氟四苯硼酸钠-二甘醇二甲醚电解质可以使硬碳负极在1C下循环超过2000次，容量保持率超过98%。钠金属阳极在 0.5 mA/cm 电流下经过 1000 次循环后的剥离电镀效率高达 99.93%</w:t>
      </w:r>
      <w:r>
        <w:rPr>
          <w:vertAlign w:val="subscript"/>
        </w:rPr>
        <w:t>2</w:t>
      </w:r>
      <w:r>
        <w:t>和 0.5mAh/cm</w:t>
      </w:r>
      <w:r>
        <w:rPr>
          <w:vertAlign w:val="subscript"/>
        </w:rPr>
        <w:t>2</w:t>
      </w:r>
      <w:r>
        <w:t>。大苯基取代基的空间效应导致可忽略的离子配对和良好的离子电导率，支持钠离子电极的高倍率性能。我们证明，作为概念验证的无过渡金属（TM）和无氟电池，采用苝-3,4,9,10-四羧酸二酰亚胺（PTCDI）||硬碳全电池配置，可提供稳定的循环，500次循环后在1C下容量保持率为~85%，并且具有良好的快速充电能力，在不到4分钟的时间内达到80%的比能量。这些结果表明，无需富阴离子溶剂化即可设计无TM和无氟钠离子电池</w:t>
      </w:r>
    </w:p>
    <w:p>
      <w:pPr>
        <w:spacing w:before="0" w:after="200" w:lineRule="auto" w:line="276"/>
      </w:pPr>
      <w:r>
        <w:rPr>
          <w:b/>
        </w:rPr>
        <w:t xml:space="preserve">Abstract (EN): </w:t>
      </w:r>
      <w:r>
        <w:t>Fluorinated solvents, salts, and binders are widely used in modern rechargeable batteries. High durability and superior high‐rate ability are often attributed to fluorine‐rich interphases or fluorine‐tuned solvation structures. To date, fluorine‐free battery development is still nascent, with the interphases and structure‐property‐performance relationship thereby remaining poorly understood. Here, we investigate the impact of anion substituents in Na‐ion salts on electrolyte ion transport properties and interphase compositions on Na‐ion anodes. A fluorine‐free sodium tetraphenylborate‐diglyme electrolyte can cycle hard carbon anode over 2000 cycles at 1C with a capacity retention exceeding 98%. Sodium metal anode exhibits stripping‐plating efficiencies of 99.93% over 1000 cycles at 0.5 mA/cm</w:t>
      </w:r>
      <w:r>
        <w:rPr>
          <w:vertAlign w:val="subscript"/>
        </w:rPr>
        <w:t>2</w:t>
      </w:r>
      <w:r>
        <w:t>and 0.5 mAh/cm</w:t>
      </w:r>
      <w:r>
        <w:rPr>
          <w:vertAlign w:val="subscript"/>
        </w:rPr>
        <w:t>2</w:t>
      </w:r>
      <w:r>
        <w:t>. The steric effect of the bulky phenyl substituent leads to negligible ion pairing and good ionic conductivity, supporting high‐rate performance of Na‐ion electrodes. We demonstrate that a transition‐metal(TM)‐free and fluorine‐free battery as proof of concept, in a perylene‐3,4,9,10‐tetracarboxylic acid diimide (PTCDI)||hard carbon full cell configuration, delivers stable cycling with a ∼85% capacity retention at 1C after 500 cycles and good fast‐charging capability reaching 80% specific energy in less than 4 min. These results show that it is possible to design TM‐free and fluorine‐free sodium ion batteries without an anion‐rich solvation structure or fluorine‐based interphases.</w:t>
      </w:r>
    </w:p>
    <w:p>
      <w:pPr>
        <w:spacing w:before="120" w:after="120"/>
      </w:pPr>
      <w:r>
        <w:rPr>
          <w:sz w:val="18"/>
        </w:rPr>
        <w:t>——————————————————————————————————————————————————————————————————————</w:t>
      </w:r>
    </w:p>
    <w:p>
      <w:pPr>
        <w:spacing w:before="160" w:after="40" w:line="240" w:lineRule="auto"/>
      </w:pPr>
      <w:r>
        <w:rPr>
          <w:b/>
        </w:rPr>
        <w:t xml:space="preserve">[22] </w:t>
      </w:r>
      <w:hyperlink r:id="rId207">
        <w:r>
          <w:rPr>
            <w:color w:val="1155CC"/>
            <w:u w:val="single"/>
          </w:rPr>
          <w:t>氟化物驱动的界面工程：构建高性能无枝晶锂金属电池的功能层</w:t>
        </w:r>
      </w:hyperlink>
    </w:p>
    <w:p>
      <w:pPr>
        <w:spacing w:before="0" w:after="80"/>
      </w:pPr>
      <w:r>
        <w:rPr>
          <w:i/>
          <w:sz w:val="20"/>
        </w:rPr>
        <w:t>EN: Fluoride‐Driven Interfacial Engineering: Architecting Functional Layers for High‐Performance Dendrite‐Free Li Metal Batteries</w:t>
      </w:r>
    </w:p>
    <w:p>
      <w:pPr>
        <w:spacing w:before="0" w:after="120"/>
      </w:pPr>
      <w:r>
        <w:rPr>
          <w:b/>
        </w:rPr>
        <w:t xml:space="preserve">Source: </w:t>
      </w:r>
      <w:r>
        <w:t>Wiley: Advanced Energy Materials: Table of Contents</w:t>
      </w:r>
      <w:r>
        <w:t xml:space="preserve">    </w:t>
      </w:r>
      <w:r>
        <w:rPr>
          <w:b/>
        </w:rPr>
        <w:t xml:space="preserve">Pub date: </w:t>
      </w:r>
      <w:r>
        <w:t>2026-08-20 06:05:46+00:00</w:t>
      </w:r>
      <w:r>
        <w:t xml:space="preserve">    </w:t>
      </w:r>
      <w:r>
        <w:rPr>
          <w:b/>
        </w:rPr>
        <w:t xml:space="preserve">DOI: </w:t>
      </w:r>
      <w:hyperlink r:id="rId208">
        <w:r>
          <w:rPr>
            <w:color w:val="1155CC"/>
            <w:u w:val="single"/>
          </w:rPr>
          <w:t>10.1002/aenm.71463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容量锂金属负极对于高能量密度电池至关重要。然而，它们的实际应用受到臭名昭著的枝晶生长、严重的体积变化和不稳定的固体电解质界面（SEI）的阻碍，导致循环稳定性差和严重的安全隐患。人们投入了大量精力来探索界面功能层，以实现无枝晶和可逆的电镀/剥离。金属氟化物（M</w:t>
      </w:r>
      <w:r>
        <w:t xml:space="preserve"> </w:t>
      </w:r>
      <w:r>
        <w:t>x</w:t>
      </w:r>
      <w:r>
        <w:t xml:space="preserve"> </w:t>
      </w:r>
      <w:r>
        <w:t>Fᵧ）由于其高离子电导率、机械鲁棒性以及与锂的良好反应性而被积极开发。重要的是，转化和合金化反应会产生含有导电LiF和合金物质的有利界面，从而有效调节Li</w:t>
      </w:r>
      <w:r>
        <w:t xml:space="preserve"> </w:t>
      </w:r>
      <w:r>
        <w:t>+</w:t>
      </w:r>
      <w:r>
        <w:t xml:space="preserve"> </w:t>
      </w:r>
      <w:r>
        <w:t>通量并促进快速离子迁移和均匀沉积，从而提高锂金属电池（LMB）的循环寿命和能量密度。这篇综述系统地总结了M的应用</w:t>
      </w:r>
      <w:r>
        <w:t xml:space="preserve"> </w:t>
      </w:r>
      <w:r>
        <w:t>x</w:t>
      </w:r>
      <w:r>
        <w:t xml:space="preserve"> </w:t>
      </w:r>
      <w:r>
        <w:t>LMB 中的 Fᵧ，包括人工中间相层、亲锂 3D 主体、隔膜改性层和电解质添加剂。特别强调澄清 M 的作用</w:t>
      </w:r>
      <w:r>
        <w:t xml:space="preserve"> </w:t>
      </w:r>
      <w:r>
        <w:t>x</w:t>
      </w:r>
      <w:r>
        <w:t xml:space="preserve"> </w:t>
      </w:r>
      <w:r>
        <w:t>Fᵧ 用于构建强大的 SEI 并提供主体框架，以加速动力学并引导均匀成核以实现无枝晶沉积。同时，从实际应用的角度讨论了 LMB 的性能，特别是在 PO 中。</w:t>
      </w:r>
    </w:p>
    <w:p>
      <w:pPr>
        <w:spacing w:before="0" w:after="200" w:lineRule="auto" w:line="276"/>
      </w:pPr>
      <w:r>
        <w:rPr>
          <w:b/>
        </w:rPr>
        <w:t xml:space="preserve">Abstract (EN): </w:t>
      </w:r>
      <w:r>
        <w:t>High‐capacity lithium metal anodes are essential for high‐energy‐density batteries. However, their practical deployment is hindered by notorious dendritic growth, severe volume variation and an unstable solid electrolyte interphase (SEI), giving rise to poor cyclic stability and serious safety hazards. Much effort has been devoted to exploring interfacial functional layers to enable dendrite‐free and reversible plating/stripping. Metal fluorides (M</w:t>
      </w:r>
      <w:r>
        <w:t xml:space="preserve"> </w:t>
      </w:r>
      <w:r>
        <w:t>x</w:t>
      </w:r>
      <w:r>
        <w:t xml:space="preserve"> </w:t>
      </w:r>
      <w:r>
        <w:t>Fᵧ) are being actively exploited due to their high ionic conductivity, mechanical robustness and favorable reactivity with Li. Importantly, conversion and alloying reactions generate favorable interphases containing conductive LiF and alloying species, which effectively regulate Li</w:t>
      </w:r>
      <w:r>
        <w:t xml:space="preserve"> </w:t>
      </w:r>
      <w:r>
        <w:t>+</w:t>
      </w:r>
      <w:r>
        <w:t xml:space="preserve"> </w:t>
      </w:r>
      <w:r>
        <w:t>flux and facilitate fast ion migration and uniform deposition, thereby enhancing both cycle life and energy density of Li metal batteries (LMBs). This review systematically summarizes the applications of M</w:t>
      </w:r>
      <w:r>
        <w:t xml:space="preserve"> </w:t>
      </w:r>
      <w:r>
        <w:t>x</w:t>
      </w:r>
      <w:r>
        <w:t xml:space="preserve"> </w:t>
      </w:r>
      <w:r>
        <w:t>Fᵧ in LMBs, including artificial interphase layers, lithiophilic 3D hosts, separator modification layers and electrolyte additives. Particular emphasis is placed on clarifying the role of M</w:t>
      </w:r>
      <w:r>
        <w:t xml:space="preserve"> </w:t>
      </w:r>
      <w:r>
        <w:t>x</w:t>
      </w:r>
      <w:r>
        <w:t xml:space="preserve"> </w:t>
      </w:r>
      <w:r>
        <w:t>Fᵧ for building a robust SEI and providing host framework that accelerates kinetics and guides homogeneous nucleation for dendrite‐free deposition. Meanwhile, the performance of LMBs from a practical application viewpoint is discussed, especially in pouch cells. Finally, future directions and prospects for M</w:t>
      </w:r>
      <w:r>
        <w:t xml:space="preserve"> </w:t>
      </w:r>
      <w:r>
        <w:t>x</w:t>
      </w:r>
      <w:r>
        <w:t xml:space="preserve"> </w:t>
      </w:r>
      <w:r>
        <w:t>Fᵧ are presented to stimulate their commercialization and extension to other metal batteries.</w:t>
      </w:r>
    </w:p>
    <w:p>
      <w:pPr>
        <w:spacing w:before="120" w:after="120"/>
      </w:pPr>
      <w:r>
        <w:rPr>
          <w:sz w:val="18"/>
        </w:rPr>
        <w:t>——————————————————————————————————————————————————————————————————————</w:t>
      </w:r>
    </w:p>
    <w:p>
      <w:pPr>
        <w:spacing w:before="160" w:after="40" w:line="240" w:lineRule="auto"/>
      </w:pPr>
      <w:r>
        <w:rPr>
          <w:b/>
        </w:rPr>
        <w:t xml:space="preserve">[23] </w:t>
      </w:r>
      <w:hyperlink r:id="rId209">
        <w:r>
          <w:rPr>
            <w:color w:val="1155CC"/>
            <w:u w:val="single"/>
          </w:rPr>
          <w:t>多盐高熵电解质中的多选择性主导配位以获得高性能硅阳极</w:t>
        </w:r>
      </w:hyperlink>
    </w:p>
    <w:p>
      <w:pPr>
        <w:spacing w:before="0" w:after="80"/>
      </w:pPr>
      <w:r>
        <w:rPr>
          <w:i/>
          <w:sz w:val="20"/>
        </w:rPr>
        <w:t>EN: Multi‐Selective Dominant Coordination in Multi‐Salt High‐Entropy Electrolytes Toward High‐Performance Silicon Anodes</w:t>
      </w:r>
    </w:p>
    <w:p>
      <w:pPr>
        <w:spacing w:before="0" w:after="120"/>
      </w:pPr>
      <w:r>
        <w:rPr>
          <w:b/>
        </w:rPr>
        <w:t xml:space="preserve">Source: </w:t>
      </w:r>
      <w:r>
        <w:t>Wiley: Advanced Energy Materials: Table of Contents</w:t>
      </w:r>
      <w:r>
        <w:t xml:space="preserve">    </w:t>
      </w:r>
      <w:r>
        <w:rPr>
          <w:b/>
        </w:rPr>
        <w:t xml:space="preserve">Pub date: </w:t>
      </w:r>
      <w:r>
        <w:t>2026-08-20 06:06:57+00:00</w:t>
      </w:r>
      <w:r>
        <w:t xml:space="preserve">    </w:t>
      </w:r>
      <w:r>
        <w:rPr>
          <w:b/>
        </w:rPr>
        <w:t xml:space="preserve">DOI: </w:t>
      </w:r>
      <w:hyperlink r:id="rId210">
        <w:r>
          <w:rPr>
            <w:color w:val="1155CC"/>
            <w:u w:val="single"/>
          </w:rPr>
          <w:t>10.1002/aenm.71486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电解质（HEE）正在彻底改变锂离子电池电解质的设计。然而，该领域仍然存在巨大差距和众多不确定性。为了解决这些问题，我们最初提出了多选择性主导配位机制，该机制揭示了多盐高熵电解质（HEE）中富含阴离子的溶剂化环境的起源</w:t>
      </w:r>
      <w:r>
        <w:t xml:space="preserve"> </w:t>
      </w:r>
      <w:r>
        <w:t>盐类</w:t>
      </w:r>
      <w:r>
        <w:t xml:space="preserve"> </w:t>
      </w:r>
      <w:r>
        <w:t>）。使用市售锂盐，我们设计了单盐（SS）、三盐（TS）、母盐/辅助盐（PAS）和混合五盐（MixS）电解质，系统地研究了熵对合金型阳极电化学性能的调节作用。分子动力学 (MD) 模拟和光谱表征证实，阴离子配位选择性的增加使 Li</w:t>
      </w:r>
      <w:r>
        <w:t xml:space="preserve"> </w:t>
      </w:r>
      <w:r>
        <w:t>+</w:t>
      </w:r>
      <w:r>
        <w:t xml:space="preserve"> </w:t>
      </w:r>
      <w:r>
        <w:t>进入高度离域且动态可重构的溶剂化环境，驱动系统自发地向稳定、富含阴离子的状态演化。循环后分析表明 HEE</w:t>
      </w:r>
      <w:r>
        <w:t xml:space="preserve"> </w:t>
      </w:r>
      <w:r>
        <w:t>盐类</w:t>
      </w:r>
      <w:r>
        <w:t xml:space="preserve"> </w:t>
      </w:r>
      <w:r>
        <w:t>诱导形成薄的、均匀的、坚固的固体电解质界面（SEI），无机含量高达49.2%。因此，熵驱动的溶剂化重构协同加速了离子本体传输和界面反应动力学。因此，与其他电解质相比，MixS 具有显着改善的电化学性能。值得注意的是，250 m</w:t>
      </w:r>
    </w:p>
    <w:p>
      <w:pPr>
        <w:spacing w:before="0" w:after="200" w:lineRule="auto" w:line="276"/>
      </w:pPr>
      <w:r>
        <w:rPr>
          <w:b/>
        </w:rPr>
        <w:t xml:space="preserve">Abstract (EN): </w:t>
      </w:r>
      <w:r>
        <w:t>High‐entropy electrolytes (HEEs) are revolutionizing the design of electrolytes for lithium‐ion batteries. However, significant gaps and numerous uncertainties still persist in this field. To address these issues, we originally proposed the multi‐selective dominant coordination mechanism, which reveals the origin of the anion‐rich solvation environment in multi‐salt high‐entropy electrolytes (HEE</w:t>
      </w:r>
      <w:r>
        <w:t xml:space="preserve"> </w:t>
      </w:r>
      <w:r>
        <w:t>salts</w:t>
      </w:r>
      <w:r>
        <w:t xml:space="preserve"> </w:t>
      </w:r>
      <w:r>
        <w:t>). Using commercially available lithium salts, we designed single‐salt (SS), triple‐salt (TS), parent/auxiliary salt (PAS), and mixed pentasalt (MixS) electrolytes to systematically investigate the regulating role of entropy on the electrochemical performance of alloying‐type anodes. Molecular dynamics (MD) simulations and spectroscopic characterization confirm that increased coordination selectivity of anions enables Li</w:t>
      </w:r>
      <w:r>
        <w:t xml:space="preserve"> </w:t>
      </w:r>
      <w:r>
        <w:t>+</w:t>
      </w:r>
      <w:r>
        <w:t xml:space="preserve"> </w:t>
      </w:r>
      <w:r>
        <w:t>to enter a highly delocalized and dynamically reconfigurable solvation environment, driving the system to spontaneously evolve toward a stable, anion‐rich state. Post‐cycle analysis reveals that HEE</w:t>
      </w:r>
      <w:r>
        <w:t xml:space="preserve"> </w:t>
      </w:r>
      <w:r>
        <w:t>salts</w:t>
      </w:r>
      <w:r>
        <w:t xml:space="preserve"> </w:t>
      </w:r>
      <w:r>
        <w:t>induce the formation of a thin, uniform, and robust solid electrolyte interphase (SEI), with an inorganic content up to 49.2%. As a result, the entropy‐driven solvation reconfiguration synergistically accelerates ion bulk transport and interfacial reaction kinetics. Accordingly, MixS endows significantly improved electrochemical performance compared to other electrolytes. Remarkably, a 250 mAh pouch cell exhibits a capacity retention rate of 97.18% after 200 cycles, demonstrating the excellent industrial practicability of HEE</w:t>
      </w:r>
      <w:r>
        <w:t xml:space="preserve"> </w:t>
      </w:r>
      <w:r>
        <w:t>salts</w:t>
      </w:r>
      <w:r>
        <w:t xml:space="preserve"> </w:t>
      </w:r>
      <w:r>
        <w:t>.</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211">
        <w:r>
          <w:rPr>
            <w:color w:val="1155CC"/>
            <w:u w:val="single"/>
          </w:rPr>
          <w:t>调和强配位和阴离子增强溶剂化结构，使钾离子电池具有不易燃电解质</w:t>
        </w:r>
      </w:hyperlink>
    </w:p>
    <w:p>
      <w:pPr>
        <w:spacing w:before="0" w:after="80"/>
      </w:pPr>
      <w:r>
        <w:rPr>
          <w:i/>
          <w:sz w:val="20"/>
        </w:rPr>
        <w:t>EN: Reconciling strong coordination and anion-reinforced solvation structure enables nonflammable electrolytes for potassium-ion batteries</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不易燃电解质对于提高钾离子电池的安全性至关重要。然而，传统不可燃电解质的电极兼容性不足阻碍了它们的广泛采用，这通常是由于强溶剂化和过多的游离溶剂分子造成的。在这里，我们采用了一种分子设计策略，将强大的配位能力与阴离子增强的溶剂化结构相结合，从而能够有效地部署不可燃的磷酸盐溶剂。通过将加长的官能化侧链纳入磷酸酯主链，定制分子磷酸三（2-丁氧基乙基）酯通过醚氧（C-O-C）和磷酰基（P=O）基团之间的协同相互作用实现强大的多位点螯合。同时，其大分子结构有效提高了电解液中阴离子与溶剂的比例，促进稳定的电极-电解液界面的形成，从而与负极和正极具有高相容性。因此，优化的磷酸三（2-丁氧基乙基）基电解质能够实现石墨负极（100 mA g−1 下 800 次循环后容量保持率为 92.7%）和普鲁士蓝正极（4.2 V，100 mA g−1 下 3200 次循环后容量保持率为 88.6%）的稳定循环。此外，组装的石墨||普鲁士蓝全电池在500 mA g−1下循环1500次后仍保持80.3%的容量保持率。这项工作为钾离子电池电解质设计提供了策略。</w:t>
      </w:r>
    </w:p>
    <w:p>
      <w:pPr>
        <w:spacing w:before="0" w:after="200" w:lineRule="auto" w:line="276"/>
      </w:pPr>
      <w:r>
        <w:rPr>
          <w:b/>
        </w:rPr>
        <w:t xml:space="preserve">Abstract (EN): </w:t>
      </w:r>
      <w:r>
        <w:t>Nonflammable electrolytes are pivotal for improving the safety of potassium-ion batteries. However, their broad adoption has been hindered by the inadequate electrode compatibility of conventional nonflammable electrolytes, which typically result from strong solvation and excessive free solvent molecules. Here, we employ a molecular design strategy that integrates strong coordination capability with anion-reinforced solvation structure, thereby enabling the effective deployment of nonflammable phosphate solvents. By incorporating lengthened functionalized side-chains into the phosphate backbone, the tailored molecule tri(2-butoxyethyl) phosphate achieves robust multi-site chelation via synergistic interactions between the ether oxygen (C-O-C) and the phosphoryl (P=O) groups. Concurrently, its large molecular structure effectively increases the anion-to-solvent ratio in the electrolyte, promoting the formation of stable electrode-electrolyte interphases, and resulting in high compatibility with both the negative and positive electrodes. Consequently, the optimized tri(2-butoxyethyl) phosphate-based electrolyte enables stable cycling of graphite negative electrode (92.7% capacity retention after 800 cycles at 100 mA g−1) and Prussian blue positive electrode (4.2 V, 88.6% capacity retention after 3200 cycles at 100 mA g−1). Furthermore, the assembled graphite||Prussian blue full cell also maintains 80.3% capacity retention after 1500 cycles at 500 mA g−1. This work provides a strategy for electrolyte design in potassium-ion batteries.</w:t>
      </w:r>
    </w:p>
    <w:p>
      <w:pPr>
        <w:spacing w:before="120" w:after="120"/>
      </w:pPr>
      <w:r>
        <w:rPr>
          <w:sz w:val="18"/>
        </w:rPr>
        <w:t>——————————————————————————————————————————————————————————————————————</w:t>
      </w:r>
    </w:p>
    <w:p>
      <w:pPr>
        <w:spacing w:before="160" w:after="40" w:line="240" w:lineRule="auto"/>
      </w:pPr>
      <w:r>
        <w:rPr>
          <w:b/>
        </w:rPr>
        <w:t xml:space="preserve">[2] </w:t>
      </w:r>
      <w:hyperlink r:id="rId173">
        <w:r>
          <w:rPr>
            <w:color w:val="1155CC"/>
            <w:u w:val="single"/>
          </w:rPr>
          <w:t>锂离子电池硅基阳极电解质介导的界面工程：从液态到准固态和全固态系统</w:t>
        </w:r>
      </w:hyperlink>
    </w:p>
    <w:p>
      <w:pPr>
        <w:spacing w:before="0" w:after="80"/>
      </w:pPr>
      <w:r>
        <w:rPr>
          <w:i/>
          <w:sz w:val="20"/>
        </w:rPr>
        <w:t>EN: Electrolyte-mediated interfacial engineering for silicon-based anodes in lithium-ion batteries: From liquid to quasi-solid and all-solid-state systems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174">
        <w:r>
          <w:rPr>
            <w:color w:val="1155CC"/>
            <w:u w:val="single"/>
          </w:rPr>
          <w:t>10.1016/j.apenergy.2026.128654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12">
        <w:r>
          <w:rPr>
            <w:color w:val="1155CC"/>
            <w:u w:val="single"/>
          </w:rPr>
          <w:t>全固态锂硫电池用系列超离子硫化物电解质的液相合成</w:t>
        </w:r>
      </w:hyperlink>
    </w:p>
    <w:p>
      <w:pPr>
        <w:spacing w:before="0" w:after="80"/>
      </w:pPr>
      <w:r>
        <w:rPr>
          <w:i/>
          <w:sz w:val="20"/>
        </w:rPr>
        <w:t>EN: Liquid-phase synthesis of a series of superionic sulfide electrolytes for all-solid-state lithium-sulfur battery</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无机固体电解质通过实现新的化学物质和电池架构，为下一代锂电池提供变革机会。其中，硫化物电解质由于其高离子电导率和良好的机械加工性能而特别引人注目。然而，具有高离子电导率的硫化物电解质的大规模合成仍然是一个重大瓶颈。在此，我们报告了一种基于Li2S-SiS2-P2S5三元体系的液相合成平台，能够生产公斤级具有高离子电导率的电解质。除了快速离子传输动力学之外，通过该平台制备的电解质还可以有效地充当高负载硫电极的阴极电解液，促进均匀的离子传输并增强电化学动力学。在此方法的基础上，开发了 Li2S-SiS2-P2S5-LiI 四元系统来生产与锂金属兼容的阳极电解液。结果，我们实现了一种长循环全固态锂硫电池，其中阴极电解液、中间层和阳极电解液均通过液相方法合成。这项工作提出了一种可扩展的硫化物电解质生产路线，可能有助于全固态电池的工业发展。</w:t>
      </w:r>
    </w:p>
    <w:p>
      <w:pPr>
        <w:spacing w:before="0" w:after="200" w:lineRule="auto" w:line="276"/>
      </w:pPr>
      <w:r>
        <w:rPr>
          <w:b/>
        </w:rPr>
        <w:t xml:space="preserve">Abstract (EN): </w:t>
      </w:r>
      <w:r>
        <w:t>Inorganic solid electrolytes offer transformative opportunities for next-generation lithium batteries by enabling new chemistries and cell architectures. Among them, sulfide electrolytes are particularly attractive due to their high ionic conductivity and favorable mechanical processability. However, scalable synthesis of sulfide electrolytes with high ionic conductivity remains a significant bottleneck. Here, we report a liquid-phase synthesis platform based on a Li2S-SiS2-P2S5 ternary system, capable of producing electrolytes with high ionic conductivity at kilogram scale. Beyond fast ionic transport kinetics, the electrolytes prepared via this platform function effectively as catholytes for high-loading sulfur electrodes, promoting uniform ion transport and enhanced electrochemical kinetics. Building on this approach, a Li2S-SiS2-P2S5-LiI quaternary system is developed to produce lithium-metal compatible anolytes. As a result, we realize a long-cycling all-solid-state lithium-sulfur battery in which the catholyte, interlayer, and anolyte are all synthesized via liquid-phase methods. This work proposes a scalable route for producing sulfide electrolytes, potentially contributing to the industrial development of all-solid-state batteries.</w:t>
      </w:r>
    </w:p>
    <w:p>
      <w:pPr>
        <w:spacing w:before="120" w:after="120"/>
      </w:pPr>
      <w:r>
        <w:rPr>
          <w:sz w:val="18"/>
        </w:rPr>
        <w:t>——————————————————————————————————————————————————————————————————————</w:t>
      </w:r>
    </w:p>
    <w:p>
      <w:pPr>
        <w:spacing w:before="160" w:after="40" w:line="240" w:lineRule="auto"/>
      </w:pPr>
      <w:r>
        <w:rPr>
          <w:b/>
        </w:rPr>
        <w:t xml:space="preserve">[4] </w:t>
      </w:r>
      <w:hyperlink r:id="rId213">
        <w:r>
          <w:rPr>
            <w:color w:val="1155CC"/>
            <w:u w:val="single"/>
          </w:rPr>
          <w:t>锂金属电池中溶剂不对称性和转动惯量调控的界面锂氧化还原动力学</w:t>
        </w:r>
      </w:hyperlink>
    </w:p>
    <w:p>
      <w:pPr>
        <w:spacing w:before="0" w:after="80"/>
      </w:pPr>
      <w:r>
        <w:rPr>
          <w:i/>
          <w:sz w:val="20"/>
        </w:rPr>
        <w:t>EN: Interfacial Lithium Redox Kinetics Regulated by Solvent Asymmetry and Moment of Inertia in Li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214">
        <w:r>
          <w:rPr>
            <w:color w:val="1155CC"/>
            <w:u w:val="single"/>
          </w:rPr>
          <w:t>10.1021/jacs.5c21712</w:t>
        </w:r>
      </w:hyperlink>
    </w:p>
    <w:p>
      <w:pPr>
        <w:spacing w:before="0" w:after="120"/>
      </w:pPr>
      <w:r>
        <w:rPr>
          <w:b/>
        </w:rPr>
        <w:t xml:space="preserve">Notes: </w:t>
      </w:r>
      <w:r>
        <w:t>abstract_source=crossref</w:t>
      </w:r>
    </w:p>
    <w:p>
      <w:pPr>
        <w:spacing w:before="0" w:after="80" w:lineRule="auto" w:line="276"/>
      </w:pPr>
      <w:r>
        <w:rPr>
          <w:b/>
        </w:rPr>
        <w:t xml:space="preserve">摘要（ZH）: </w:t>
      </w:r>
      <w:r>
        <w:t>摘要 锂金属电池（LMB）具有高能量密度，但界面电荷转移动力学仍然是高速率运行的瓶颈。在这项工作中，我们构建了一个由 12 种醚溶剂组成的库，这些溶剂在对称性和氟化方面具有系统的变化，证实分子不对称性是一个重要特征，可以增强 Li+ 氧化还原动力学，并在 Li0 上形成更稳定的固体电解质界面。此外，我们对基本过程有了机械的理解。我们表明，更多的倾斜偶极子和更低的惯性矩与更高的交换电流密度密切相关。在我们研究的溶剂中，不对称 F5MPE（1-甲氧基-2-（2,2,3,3,3-五氟丙氧基）乙烷）分子是一种先前未报道的溶剂分子，可在高倍率 Li||NMC 全电池中实现 &gt;170 个稳定循环，优于先前报道的最佳单盐单溶剂醚溶剂 F5DEE 分子。总体而言，这项工作将分子级信息与电化学界面的行为联系起来，并提供了对专为高功率、快速充电 LMB 定制的下一代电解质的分子设计考虑因素的理解。</w:t>
      </w:r>
    </w:p>
    <w:p>
      <w:pPr>
        <w:spacing w:before="0" w:after="200" w:lineRule="auto" w:line="276"/>
      </w:pPr>
      <w:r>
        <w:rPr>
          <w:b/>
        </w:rPr>
        <w:t xml:space="preserve">Abstract (EN): </w:t>
      </w:r>
      <w:r>
        <w:t>Lithium metal batteries (LMBs) offer high energy density, but interfacial charge-transfer kinetics remain a bottleneck for high-rate operation. In this work, we construct a library of 12 ether solvents with systematic variations in symmetry and fluorination, confirming that molecular asymmetry is an important feature that results in enhanced Li+ redox kinetics and more stable solid electrolyte interphases on Li0. Furthermore, we developed a mechanistic understanding of the underlying process. We show that more tilted dipoles and lower moments of inertia strongly correlate with higher exchange current densities. Among the solvents in our study, the asymmetric F5MPE (1-methoxy-2-(2,2,3,3,3-pentafluoropropoxy) ethane) molecule, a previously unreported solvent molecule, enabled &amp;gt;170 stable cycles in high-rate Li||NMC full cells, outperforming the previously reported best single-salt-single-solvent ether solvent, F5DEE molecule. Overall, this work links molecular-level information with the behavior at electrochemical interfaces and provides an understanding of molecular design considerations for next-generation electrolytes tailored for high-power, fast-charging LMBs.</w:t>
      </w:r>
    </w:p>
    <w:p>
      <w:pPr>
        <w:spacing w:before="120" w:after="120"/>
      </w:pPr>
      <w:r>
        <w:rPr>
          <w:sz w:val="18"/>
        </w:rPr>
        <w:t>——————————————————————————————————————————————————————————————————————</w:t>
      </w:r>
    </w:p>
    <w:p>
      <w:pPr>
        <w:spacing w:before="160" w:after="40" w:line="240" w:lineRule="auto"/>
      </w:pPr>
      <w:r>
        <w:rPr>
          <w:b/>
        </w:rPr>
        <w:t xml:space="preserve">[5] </w:t>
      </w:r>
      <w:hyperlink r:id="rId215">
        <w:r>
          <w:rPr>
            <w:color w:val="1155CC"/>
            <w:u w:val="single"/>
          </w:rPr>
          <w:t>卤化物固态电解质的进展：结构调控、界面工程和机器学习驱动范式</w:t>
        </w:r>
      </w:hyperlink>
    </w:p>
    <w:p>
      <w:pPr>
        <w:spacing w:before="0" w:after="80"/>
      </w:pPr>
      <w:r>
        <w:rPr>
          <w:i/>
          <w:sz w:val="20"/>
        </w:rPr>
        <w:t>EN: Progress on Halide Solid State Electrolytes: Structural Regulation, Interfacial Engineering, and Machine Learning Driven Paradigms</w:t>
      </w:r>
    </w:p>
    <w:p>
      <w:pPr>
        <w:spacing w:before="0" w:after="120"/>
      </w:pPr>
      <w:r>
        <w:rPr>
          <w:b/>
        </w:rPr>
        <w:t xml:space="preserve">Source: </w:t>
      </w:r>
      <w:r>
        <w:t>ACS Energy Letters: Latest Articles (ACS Publications)</w:t>
      </w:r>
      <w:r>
        <w:t xml:space="preserve">    </w:t>
      </w:r>
      <w:r>
        <w:rPr>
          <w:b/>
        </w:rPr>
        <w:t xml:space="preserve">Pub date: </w:t>
      </w:r>
      <w:r>
        <w:t>2026-08-14 00:00:00+00:00</w:t>
      </w:r>
      <w:r>
        <w:t xml:space="preserve">    </w:t>
      </w:r>
      <w:r>
        <w:rPr>
          <w:b/>
        </w:rPr>
        <w:t xml:space="preserve">DOI: </w:t>
      </w:r>
      <w:hyperlink r:id="rId216">
        <w:r>
          <w:rPr>
            <w:color w:val="1155CC"/>
            <w:u w:val="single"/>
          </w:rPr>
          <w:t>10.1021/acsenergylett.6c01447</w:t>
        </w:r>
      </w:hyperlink>
    </w:p>
    <w:p>
      <w:pPr>
        <w:spacing w:before="0" w:after="120"/>
      </w:pPr>
      <w:r>
        <w:rPr>
          <w:b/>
        </w:rPr>
        <w:t xml:space="preserve">Notes: </w:t>
      </w:r>
      <w:r>
        <w:t>abstract_source=crossref</w:t>
      </w:r>
    </w:p>
    <w:p>
      <w:pPr>
        <w:spacing w:before="0" w:after="80" w:lineRule="auto" w:line="276"/>
      </w:pPr>
      <w:r>
        <w:rPr>
          <w:b/>
        </w:rPr>
        <w:t xml:space="preserve">摘要（ZH）: </w:t>
      </w:r>
      <w:r>
        <w:t>摘要 卤化物固态电解质具有良好的离子电导率、良好的机械变形能力和宽的电化学稳定性窗口，适用于全固态电池。在这里，我们回顾了锂基和钠基卤化物电解质的最新进展。本文从材料分类和合成方法入手，深入研究了晶体骨架结构、配位环境以及占据和空位的协同调节对离子传导机制的影响，特别强调了非晶卤化物固态电解质的优势。系统地总结了卤化物电池中空气不稳定和电解质/界面失效的根本原因，然后讨论了稳定性增强策略，包括元素掺杂、界面工程和结构优化。值得注意的是，这篇综述引入了机器学习的视角，探索其在材料筛选、离子传输机制阐明和界面反应预测方面的应用。该综述为全固态电池的合理设计提供了理论基础和技术指导。</w:t>
      </w:r>
    </w:p>
    <w:p>
      <w:pPr>
        <w:spacing w:before="0" w:after="200" w:lineRule="auto" w:line="276"/>
      </w:pPr>
      <w:r>
        <w:rPr>
          <w:b/>
        </w:rPr>
        <w:t xml:space="preserve">Abstract (EN): </w:t>
      </w:r>
      <w:r>
        <w:t>Halide solid state electrolytes are applicable for all-solid-state batteries due to their favorable ionic conductivity, desirable mechanical deformability, and wide electrochemical stability window. Here we review recent advances in both lithium-based and sodium-based halide electrolytes. Beginning with materials classification and synthesis methods, this review delves into the effects of crystal framework architecture, coordination environment, and the synergistic regulation of occupancy and vacancies on ion conduction mechanisms, particularly emphasizing the advantages of amorphous halide solid state electrolytes. The underlying origins of air instability and electrolyte/interface failure in halide-based batteries are systematically summarized, followed by a discussion of stability enhancement strategies, including elemental doping, interfacial engineering, and structural optimization. Notably, this review introduces a machine learning perspective, exploring its applications in materials screening, elucidation of ion transport mechanisms, and prediction of interfacial reactions. This review provides a theoretical foundation and technical guidance for the rational design of all-solid-state batteries.</w:t>
      </w:r>
    </w:p>
    <w:p>
      <w:pPr>
        <w:spacing w:before="120" w:after="120"/>
      </w:pPr>
      <w:r>
        <w:rPr>
          <w:sz w:val="18"/>
        </w:rPr>
        <w:t>——————————————————————————————————————————————————————————————————————</w:t>
      </w:r>
    </w:p>
    <w:p>
      <w:pPr>
        <w:spacing w:before="160" w:after="40" w:line="240" w:lineRule="auto"/>
      </w:pPr>
      <w:r>
        <w:rPr>
          <w:b/>
        </w:rPr>
        <w:t xml:space="preserve">[6] </w:t>
      </w:r>
      <w:hyperlink r:id="rId108">
        <w:r>
          <w:rPr>
            <w:color w:val="1155CC"/>
            <w:u w:val="single"/>
          </w:rPr>
          <w:t>稳定水系锌离子电池的埃克斯特罗姆受限水的拓扑挫败</w:t>
        </w:r>
      </w:hyperlink>
    </w:p>
    <w:p>
      <w:pPr>
        <w:spacing w:before="0" w:after="80"/>
      </w:pPr>
      <w:r>
        <w:rPr>
          <w:i/>
          <w:sz w:val="20"/>
        </w:rPr>
        <w:t>EN: Topological Frustration of Ångström‐Confined Water for Stable Aqueous Zinc‐Ion Batteries</w:t>
      </w:r>
    </w:p>
    <w:p>
      <w:pPr>
        <w:spacing w:before="0" w:after="120"/>
      </w:pPr>
      <w:r>
        <w:rPr>
          <w:b/>
        </w:rPr>
        <w:t xml:space="preserve">Source: </w:t>
      </w:r>
      <w:r>
        <w:t>Wiley: Advanced Materials: Table of Contents</w:t>
      </w:r>
      <w:r>
        <w:t xml:space="preserve">    </w:t>
      </w:r>
      <w:r>
        <w:rPr>
          <w:b/>
        </w:rPr>
        <w:t xml:space="preserve">Pub date: </w:t>
      </w:r>
      <w:r>
        <w:t>2026-08-14 06:35:37+00:00</w:t>
      </w:r>
      <w:r>
        <w:t xml:space="preserve">    </w:t>
      </w:r>
      <w:r>
        <w:rPr>
          <w:b/>
        </w:rPr>
        <w:t xml:space="preserve">DOI: </w:t>
      </w:r>
      <w:hyperlink r:id="rId109">
        <w:r>
          <w:rPr>
            <w:color w:val="1155CC"/>
            <w:u w:val="single"/>
          </w:rPr>
          <w:t>10.1002/adma.74640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在调节水性锌离子电池（AZIB）的水凝胶电解质中的水活性方面做出了广泛的努力，但目前的策略不足以对水分子施加空间限制并防止大量水网络的自组装。在此，我们报告了一种准固体混合电解质（HM），通过将聚丙烯酰胺与刚性无机蒙脱土（MMT）框架相结合，对层间水分子施加强埃限制。这种空间限制限制了组装大块三维四面体氢键网络所需的体积。同时，MMT 表面上的极性 Si-O 键以化学方式将水分子锚定为单氢向下构型，从而导致对称性破缺和拓扑挫败。因此，格罗萨斯型质子输运和水自电离被抑制。这种分子水平的调节减轻了水引起的寄生反应和副产物积累，确保了可逆的锌/电解质界面。结果，组装的 Zn||NH</w:t>
      </w:r>
      <w:r>
        <w:rPr>
          <w:vertAlign w:val="subscript"/>
        </w:rPr>
        <w:t>4</w:t>
      </w:r>
      <w:r>
        <w:t>V</w:t>
      </w:r>
      <w:r>
        <w:rPr>
          <w:vertAlign w:val="subscript"/>
        </w:rPr>
        <w:t>4</w:t>
      </w:r>
      <w:r>
        <w:t>氧</w:t>
      </w:r>
      <w:r>
        <w:rPr>
          <w:vertAlign w:val="subscript"/>
        </w:rPr>
        <w:t>10</w:t>
      </w:r>
      <w:r>
        <w:t>全电池在 1 A g 下实现超过 800 个循环的稳定循环</w:t>
      </w:r>
      <w:r>
        <w:t xml:space="preserve"> </w:t>
      </w:r>
      <w:r>
        <w:t>−1</w:t>
      </w:r>
      <w:r>
        <w:t xml:space="preserve"> </w:t>
      </w:r>
      <w:r>
        <w:t>。通过将电解质设计转向 ångström 拓扑工程，这项工作为抑制高性能 AZIB 中水引起的寄生反应建立了一个有前途的范例。</w:t>
      </w:r>
    </w:p>
    <w:p>
      <w:pPr>
        <w:spacing w:before="0" w:after="200" w:lineRule="auto" w:line="276"/>
      </w:pPr>
      <w:r>
        <w:rPr>
          <w:b/>
        </w:rPr>
        <w:t xml:space="preserve">Abstract (EN): </w:t>
      </w:r>
      <w:r>
        <w:t>Despite extensive efforts to regulate water activity in hydrogel electrolytes for aqueous zinc‐ion batteries (AZIBs), current strategies are insufficient to impose spatial constraints on water molecules and prevent the self‐assembly of bulk water networks. Herein, we report a quasi‐solid hybrid electrolyte (HM) by integrating polyacrylamide with a rigid inorganic montmorillonite (MMT) framework that imposes strong ångström confinement on interlayer water molecules. Such spatial confinement restricts the volume required to assemble a bulk three‐dimensional tetrahedral hydrogen‐bond network. Concurrently, polar Si‐O bonds on the MMT surface chemically anchor water molecules in a one‐hydrogen‐down configuration, inducing symmetry breaking and topological frustration. Consequently, Grotthuss‐type proton transport and water autoionization are suppressed. This molecular‐level regulation mitigates water‐induced parasitic reactions and byproduct accumulation, ensuring a reversible Zn/electrolyte interface. As a result, the assembled Zn||NH</w:t>
      </w:r>
      <w:r>
        <w:rPr>
          <w:vertAlign w:val="subscript"/>
        </w:rPr>
        <w:t>4</w:t>
      </w:r>
      <w:r>
        <w:t>V</w:t>
      </w:r>
      <w:r>
        <w:rPr>
          <w:vertAlign w:val="subscript"/>
        </w:rPr>
        <w:t>4</w:t>
      </w:r>
      <w:r>
        <w:t>O</w:t>
      </w:r>
      <w:r>
        <w:rPr>
          <w:vertAlign w:val="subscript"/>
        </w:rPr>
        <w:t>10</w:t>
      </w:r>
      <w:r>
        <w:t>full cell achieves stable cycling for over 800 cycles at 1 A g</w:t>
      </w:r>
      <w:r>
        <w:t xml:space="preserve"> </w:t>
      </w:r>
      <w:r>
        <w:t>−1</w:t>
      </w:r>
      <w:r>
        <w:t xml:space="preserve"> </w:t>
      </w:r>
      <w:r>
        <w:t>. By shifting the electrolyte design toward ångström topological engineering, this work establishes a promising paradigm for suppressing water‐induced parasitic reactions in high‐performance AZIBs.</w:t>
      </w:r>
    </w:p>
    <w:p>
      <w:pPr>
        <w:spacing w:before="120" w:after="120"/>
      </w:pPr>
      <w:r>
        <w:rPr>
          <w:sz w:val="18"/>
        </w:rPr>
        <w:t>——————————————————————————————————————————————————————————————————————</w:t>
      </w:r>
    </w:p>
    <w:p>
      <w:pPr>
        <w:spacing w:before="160" w:after="40" w:line="240" w:lineRule="auto"/>
      </w:pPr>
      <w:r>
        <w:rPr>
          <w:b/>
        </w:rPr>
        <w:t xml:space="preserve">[7] </w:t>
      </w:r>
      <w:hyperlink r:id="rId110">
        <w:r>
          <w:rPr>
            <w:color w:val="1155CC"/>
            <w:u w:val="single"/>
          </w:rPr>
          <w:t>固态电池的界面失效和自修复</w:t>
        </w:r>
      </w:hyperlink>
    </w:p>
    <w:p>
      <w:pPr>
        <w:spacing w:before="0" w:after="80"/>
      </w:pPr>
      <w:r>
        <w:rPr>
          <w:i/>
          <w:sz w:val="20"/>
        </w:rPr>
        <w:t>EN: Interfacial Failure and Self‐Healing in Solid‐State Batteries</w:t>
      </w:r>
    </w:p>
    <w:p>
      <w:pPr>
        <w:spacing w:before="0" w:after="120"/>
      </w:pPr>
      <w:r>
        <w:rPr>
          <w:b/>
        </w:rPr>
        <w:t xml:space="preserve">Source: </w:t>
      </w:r>
      <w:r>
        <w:t>Wiley: Advanced Materials: Table of Contents</w:t>
      </w:r>
      <w:r>
        <w:t xml:space="preserve">    </w:t>
      </w:r>
      <w:r>
        <w:rPr>
          <w:b/>
        </w:rPr>
        <w:t xml:space="preserve">Pub date: </w:t>
      </w:r>
      <w:r>
        <w:t>2026-08-14 06:36:32+00:00</w:t>
      </w:r>
      <w:r>
        <w:t xml:space="preserve">    </w:t>
      </w:r>
      <w:r>
        <w:rPr>
          <w:b/>
        </w:rPr>
        <w:t xml:space="preserve">DOI: </w:t>
      </w:r>
      <w:hyperlink r:id="rId111">
        <w:r>
          <w:rPr>
            <w:color w:val="1155CC"/>
            <w:u w:val="single"/>
          </w:rPr>
          <w:t>10.1002/adma.74666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在同时提高能量密度和本质安全性方面前景广阔。然而，它们的实际应用受到循环过程中机械、化学和电化学耦合降解产生的界面不稳定性的严重阻碍，最终导致性能快速衰减。尽管界面涂层或电极结构优化等传统策略部分改善了电化学性能，但其固有的静态性质使其无法适应长期运行过程中界面损伤的连续动态演变。为了解决这些持续存在的挑战，动态界面自修复已成为开发高度耐用和稳定的固态电池的一个引人注目的策略。在这篇综述中，我们首先讨论界面处机械、化学和电化学故障的起源和演变，强调它们复杂的相互作用。随后分析了自修复策略（包括物理流动、化学修复、外部刺激和电场）的最新进展，以解决特定的界面失效行为。最后提供了对实现高自愈效率的新兴策略和关键挑战的看法。自愈机制的发展为实现坚固的低压固态电池提供了一条非常可行的途径。</w:t>
      </w:r>
    </w:p>
    <w:p>
      <w:pPr>
        <w:spacing w:before="0" w:after="200" w:lineRule="auto" w:line="276"/>
      </w:pPr>
      <w:r>
        <w:rPr>
          <w:b/>
        </w:rPr>
        <w:t xml:space="preserve">Abstract (EN): </w:t>
      </w:r>
      <w:r>
        <w:t>Solid‐state batteries hold great promise for simultaneously improving energy density and intrinsic safety. However, their practical application is severely impeded by interfacial instabilities arising from coupled mechanical, chemical, and electrochemical degradation during cycling, ultimately resulting in rapid performance decay. Although conventional strategies, such as interfacial coatings or electrode structural optimization, have partially improved electrochemical performance, their inherently static nature renders them ill‐equipped to adapt to the continuous and dynamic evolution of interfacial damage during long‐term operation. To address these persistent challenges, dynamic interfacial self‐healing has emerged as a compelling strategy for developing highly durable and stable solid‐state batteries. In this review, we first discuss the origins and evolution of mechanical, chemical, and electrochemical failures at the interface, highlighting their intricate interplay. Recent progress in self‐healing strategies, including physical flow, chemical restoration, external stimuli, and electric fields was subsequently analyzed to solve specific interfacial failure behavior. Perspectives on the emerging strategies and key challenges for achieving high self‐healing efficiency were provided in the end. The development of self‐healing mechanisms presents a highly viable route toward the realization of robust, low‐pressure solid‐state batteries.</w:t>
      </w:r>
    </w:p>
    <w:p>
      <w:pPr>
        <w:spacing w:before="120" w:after="120"/>
      </w:pPr>
      <w:r>
        <w:rPr>
          <w:sz w:val="18"/>
        </w:rPr>
        <w:t>——————————————————————————————————————————————————————————————————————</w:t>
      </w:r>
    </w:p>
    <w:p>
      <w:pPr>
        <w:spacing w:before="160" w:after="40" w:line="240" w:lineRule="auto"/>
      </w:pPr>
      <w:r>
        <w:rPr>
          <w:b/>
        </w:rPr>
        <w:t xml:space="preserve">[8] </w:t>
      </w:r>
      <w:hyperlink r:id="rId114">
        <w:r>
          <w:rPr>
            <w:color w:val="1155CC"/>
            <w:u w:val="single"/>
          </w:rPr>
          <w:t>LiCoO2 与固态电解质之间的固体界面电化学</w:t>
        </w:r>
      </w:hyperlink>
    </w:p>
    <w:p>
      <w:pPr>
        <w:spacing w:before="0" w:after="80"/>
      </w:pPr>
      <w:r>
        <w:rPr>
          <w:i/>
          <w:sz w:val="20"/>
        </w:rPr>
        <w:t>EN: Solid interface electrochemistry between LiCoO2 and solid-state electrolytes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115">
        <w:r>
          <w:rPr>
            <w:color w:val="1155CC"/>
            <w:u w:val="single"/>
          </w:rPr>
          <w:t>10.1126/sciadv.aef1533</w:t>
        </w:r>
      </w:hyperlink>
    </w:p>
    <w:p>
      <w:pPr>
        <w:spacing w:before="0" w:after="120"/>
      </w:pPr>
      <w:r>
        <w:rPr>
          <w:b/>
        </w:rPr>
        <w:t xml:space="preserve">Notes: </w:t>
      </w:r>
      <w:r>
        <w:t>abstract_source=crossref</w:t>
      </w:r>
    </w:p>
    <w:p>
      <w:pPr>
        <w:spacing w:before="0" w:after="80" w:lineRule="auto" w:line="276"/>
      </w:pPr>
      <w:r>
        <w:rPr>
          <w:b/>
        </w:rPr>
        <w:t xml:space="preserve">摘要（ZH）: </w:t>
      </w:r>
      <w:r>
        <w:t>已开发出优化阴极/固体电解质界面（CSEI）的策略，以提高 LiCoO 的高电压耐久性</w:t>
      </w:r>
      <w:r>
        <w:rPr>
          <w:vertAlign w:val="subscript"/>
        </w:rPr>
        <w:t>2</w:t>
      </w:r>
      <w:r>
        <w:t>（LCO），但潜在的界面机制仍不清楚。在这里，我们为全固态电池（ASSB）构建了稳定的卤氧化物衍生 CSEI，以确定高电压运行所需的关键界面特征。 4.6 伏时，商用 LCO 与 Li</w:t>
      </w:r>
      <w:r>
        <w:rPr>
          <w:vertAlign w:val="subscript"/>
        </w:rPr>
        <w:t>6</w:t>
      </w:r>
      <w:r>
        <w:t>聚苯乙烯</w:t>
      </w:r>
      <w:r>
        <w:rPr>
          <w:vertAlign w:val="subscript"/>
        </w:rPr>
        <w:t>5</w:t>
      </w:r>
      <w:r>
        <w:t>Cl (LPSC) 遭受严重的界面不稳定，Li 缓慢</w:t>
      </w:r>
      <w:r>
        <w:t xml:space="preserve"> </w:t>
      </w:r>
      <w:r>
        <w:t>+</w:t>
      </w:r>
      <w:r>
        <w:t xml:space="preserve"> </w:t>
      </w:r>
      <w:r>
        <w:t>运输和连续的副反应。通过引入LiNbOCl</w:t>
      </w:r>
      <w:r>
        <w:rPr>
          <w:vertAlign w:val="subscript"/>
        </w:rPr>
        <w:t>4</w:t>
      </w:r>
      <w:r>
        <w:t>(LNOC)，建立了一种原位形成的富含 Li-Cl/Nb-O/Nb-O-Cl 物质的 CSEI，将界面能垒降低至 0.363 电子伏特，并增强界面韧性和离子电导率。这种稳定的界面抑制晶格氧活性，加速Li</w:t>
      </w:r>
      <w:r>
        <w:t xml:space="preserve"> </w:t>
      </w:r>
      <w:r>
        <w:t>+</w:t>
      </w:r>
      <w:r>
        <w:t xml:space="preserve"> </w:t>
      </w:r>
      <w:r>
        <w:t>运输，并提高 O3/H1-3 相变的可逆性。因此，LCO|LNOC|LPSC|Li-In ASSB 在 ~1.0 C 倍率下循环 500 次后容量保持率为 95.8%，LCO 负载量为每平方厘米 15.31 毫克。该软包电池可实现 90% 的初始库仑效率和超过 50 个循环的稳定循环。</w:t>
      </w:r>
    </w:p>
    <w:p>
      <w:pPr>
        <w:spacing w:before="0" w:after="200" w:lineRule="auto" w:line="276"/>
      </w:pPr>
      <w:r>
        <w:rPr>
          <w:b/>
        </w:rPr>
        <w:t xml:space="preserve">Abstract (EN): </w:t>
      </w:r>
      <w:r>
        <w:t>Strategies to optimize the cathode/solid electrolyte interphase (CSEI) have been developed to improve the high voltage durability of LiCoO</w:t>
      </w:r>
      <w:r>
        <w:rPr>
          <w:vertAlign w:val="subscript"/>
        </w:rPr>
        <w:t>2</w:t>
      </w:r>
      <w:r>
        <w:t>(LCO), yet the underlying interfacial mechanism remains unclear. Here, we construct a stable oxyhalide-derived CSEI for all-solid-state batteries (ASSBs) to identify the key interfacial features required for high-voltage operation. At 4.6 volts, commercial LCO coupled with Li</w:t>
      </w:r>
      <w:r>
        <w:rPr>
          <w:vertAlign w:val="subscript"/>
        </w:rPr>
        <w:t>6</w:t>
      </w:r>
      <w:r>
        <w:t>PS</w:t>
      </w:r>
      <w:r>
        <w:rPr>
          <w:vertAlign w:val="subscript"/>
        </w:rPr>
        <w:t>5</w:t>
      </w:r>
      <w:r>
        <w:t>Cl (LPSC) suffers from severe interfacial instability, sluggish Li</w:t>
      </w:r>
      <w:r>
        <w:t xml:space="preserve"> </w:t>
      </w:r>
      <w:r>
        <w:t>+</w:t>
      </w:r>
      <w:r>
        <w:t xml:space="preserve"> </w:t>
      </w:r>
      <w:r>
        <w:t>transport, and continuous side reactions. By introducing LiNbOCl</w:t>
      </w:r>
      <w:r>
        <w:rPr>
          <w:vertAlign w:val="subscript"/>
        </w:rPr>
        <w:t>4</w:t>
      </w:r>
      <w:r>
        <w:t>(LNOC), an in situ formed CSEI rich in Li-Cl/Nb-O/Nb-O-Cl species is established, lowering the interfacial energy barrier to 0.363 electron volts and enhancing interfacial toughness and ionic conductivity. This stabilized interface suppresses lattice oxygen activity, accelerates Li</w:t>
      </w:r>
      <w:r>
        <w:t xml:space="preserve"> </w:t>
      </w:r>
      <w:r>
        <w:t>+</w:t>
      </w:r>
      <w:r>
        <w:t xml:space="preserve"> </w:t>
      </w:r>
      <w:r>
        <w:t>transport, and improves the reversibility of O3/H1-3 phase transitions. Consequently, LCO|LNOC|LPSC|Li-In ASSBs deliver 95.8% capacity retention after 500 cycles at ∼1.0 C-rate with an LCO loading of 15.31 milligrams per square centimeter. The pouch cell achieves 90% initial Coulombic efficiency and stable cycling over 50 cycles.</w:t>
      </w:r>
    </w:p>
    <w:p>
      <w:pPr>
        <w:spacing w:before="120" w:after="120"/>
      </w:pPr>
      <w:r>
        <w:rPr>
          <w:sz w:val="18"/>
        </w:rPr>
        <w:t>——————————————————————————————————————————————————————————————————————</w:t>
      </w:r>
    </w:p>
    <w:p>
      <w:pPr>
        <w:spacing w:before="160" w:after="40" w:line="240" w:lineRule="auto"/>
      </w:pPr>
      <w:r>
        <w:rPr>
          <w:b/>
        </w:rPr>
        <w:t xml:space="preserve">[9] </w:t>
      </w:r>
      <w:hyperlink r:id="rId179">
        <w:r>
          <w:rPr>
            <w:color w:val="1155CC"/>
            <w:u w:val="single"/>
          </w:rPr>
          <w:t>利用不对称界面亲电性构建零外压高性能硫化物全固态软包电池</w:t>
        </w:r>
      </w:hyperlink>
    </w:p>
    <w:p>
      <w:pPr>
        <w:spacing w:before="0" w:after="80"/>
      </w:pPr>
      <w:r>
        <w:rPr>
          <w:i/>
          <w:sz w:val="20"/>
        </w:rPr>
        <w:t>EN: Constructing zero-external-pressure high-performance sulfide all-solid-state pouch cells via asymmetric interfacial electrophilicity</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180">
        <w:r>
          <w:rPr>
            <w:color w:val="1155CC"/>
            <w:u w:val="single"/>
          </w:rPr>
          <w:t>10.1126/sciadv.aef7800</w:t>
        </w:r>
      </w:hyperlink>
    </w:p>
    <w:p>
      <w:pPr>
        <w:spacing w:before="0" w:after="120"/>
      </w:pPr>
      <w:r>
        <w:rPr>
          <w:b/>
        </w:rPr>
        <w:t xml:space="preserve">Notes: </w:t>
      </w:r>
      <w:r>
        <w:t>abstract_source=crossref</w:t>
      </w:r>
    </w:p>
    <w:p>
      <w:pPr>
        <w:spacing w:before="0" w:after="80" w:lineRule="auto" w:line="276"/>
      </w:pPr>
      <w:r>
        <w:rPr>
          <w:b/>
        </w:rPr>
        <w:t xml:space="preserve">摘要（ZH）: </w:t>
      </w:r>
      <w:r>
        <w:t>基于硫化物固体电解质（SSE）的全固态锂金属电池（ASSLB）由于高离子电导率和机械变形能力而备受关注。然而，软包电池的实际应用因其严重依赖高外部压力来维持界面接触而受到阻碍。在这里，我们设计了一种由电子缓冲层和离子导体层组成的不对称界面亲电层，并实现了硫化物基ASSLB软包电池在完全零外部压力下的室温稳定循环。锂锡合金一侧经历快速亲电诱导重构，而碘化锂保持惰性，形成不对称界面亲电响应，从而在零外压下实现稳定、可逆的锂沉积/剥离。在 2 C 下进行 5000 次循环后，纽扣电池仍保留了 81.1% 的初始放电容量。组装好的软包电池（约 376 瓦时/千克）表现出创纪录的零外压循环稳定性，在 300 次循环中容量保持率为 85.7%，即使在 0°C 下也表现出稳定的循环能力。这项研究为加速硫化物基 ASSLB 的实际实现提供了有效的策略。</w:t>
      </w:r>
    </w:p>
    <w:p>
      <w:pPr>
        <w:spacing w:before="0" w:after="200" w:lineRule="auto" w:line="276"/>
      </w:pPr>
      <w:r>
        <w:rPr>
          <w:b/>
        </w:rPr>
        <w:t xml:space="preserve">Abstract (EN): </w:t>
      </w:r>
      <w:r>
        <w:t>Sulfide solid electrolyte (SSE)–based all-solid-state lithium metal batteries (ASSLBs) attract great attention owing to high ion conductivity and mechanical deformability. However, the practical application of pouch cells is hindered by their heavy reliance on high-external-pressure to maintain the interfacial contact. Here, we design an asymmetric interfacial electrophilic composed of electron buffer layers and ion conductor layers and realize the room-temperature stable cycling of sulfide-based ASSLB pouch cells under a complete zero external pressure. The lithium-tin alloy side undergoes fast electrophile-induced reconstruction while lithium iodide stays inert, forming an asymmetric interfacial electrophilic response, which enables the stable and reversible lithium deposition/stripping under a zero external pressure. The coin cell retains 81.1% of its initial discharge capacity after 5000 cycles at 2 C. The assembled pouch cell (∼376 watt-hours per kilogram) demonstrates a record zero-external-pressure cycling stability with a capacity retention of 85.7% over 300 cycles and exhibits a stable cyclability even at 0°C. This study offers an effective strategy to accelerate the practical realization of sulfide-based ASSLBs.</w:t>
      </w:r>
    </w:p>
    <w:p>
      <w:pPr>
        <w:spacing w:before="120" w:after="120"/>
      </w:pPr>
      <w:r>
        <w:rPr>
          <w:sz w:val="18"/>
        </w:rPr>
        <w:t>——————————————————————————————————————————————————————————————————————</w:t>
      </w:r>
    </w:p>
    <w:p>
      <w:pPr>
        <w:spacing w:before="160" w:after="40" w:line="240" w:lineRule="auto"/>
      </w:pPr>
      <w:r>
        <w:rPr>
          <w:b/>
        </w:rPr>
        <w:t xml:space="preserve">[10] </w:t>
      </w:r>
      <w:hyperlink r:id="rId217">
        <w:r>
          <w:rPr>
            <w:color w:val="1155CC"/>
            <w:u w:val="single"/>
          </w:rPr>
          <w:t>量化超高能量密度 769 Wh Kg−1 可充电锂金属电池的容量利用率和电解质剂量之间的相关性</w:t>
        </w:r>
      </w:hyperlink>
    </w:p>
    <w:p>
      <w:pPr>
        <w:spacing w:before="0" w:after="80"/>
      </w:pPr>
      <w:r>
        <w:rPr>
          <w:i/>
          <w:sz w:val="20"/>
        </w:rPr>
        <w:t>EN: Quantifying the Correlation Between Capacity Utilization and Electrolyte Dosage for Ultrahigh‐Energy‐Density 769 Wh Kg−1 Rechargeable Lithium Metal Batteries</w:t>
      </w:r>
    </w:p>
    <w:p>
      <w:pPr>
        <w:spacing w:before="0" w:after="120"/>
      </w:pPr>
      <w:r>
        <w:rPr>
          <w:b/>
        </w:rPr>
        <w:t xml:space="preserve">Source: </w:t>
      </w:r>
      <w:r>
        <w:t>Wiley: Advanced Materials: Table of Contents</w:t>
      </w:r>
      <w:r>
        <w:t xml:space="preserve">    </w:t>
      </w:r>
      <w:r>
        <w:rPr>
          <w:b/>
        </w:rPr>
        <w:t xml:space="preserve">Pub date: </w:t>
      </w:r>
      <w:r>
        <w:t>2026-08-14 10:46:52+00:00</w:t>
      </w:r>
      <w:r>
        <w:t xml:space="preserve">    </w:t>
      </w:r>
      <w:r>
        <w:rPr>
          <w:b/>
        </w:rPr>
        <w:t xml:space="preserve">DOI: </w:t>
      </w:r>
      <w:hyperlink r:id="rId218">
        <w:r>
          <w:rPr>
            <w:color w:val="1155CC"/>
            <w:u w:val="single"/>
          </w:rPr>
          <w:t>10.1002/adma.74644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追求高能量密度的锂金属电池需要同时优化电极结构、电解质配方和界面稳定性。在这里，我们建立一个基本参数</w:t>
      </w:r>
      <w:r>
        <w:t xml:space="preserve"> </w:t>
      </w:r>
      <w:r>
        <w:t>g(σ</w:t>
      </w:r>
      <w:r>
        <w:t xml:space="preserve"> </w:t>
      </w:r>
      <w:r>
        <w:t>e</w:t>
      </w:r>
      <w:r>
        <w:t xml:space="preserve"> </w:t>
      </w:r>
      <w:r>
        <w:t>,D</w:t>
      </w:r>
      <w:r>
        <w:t xml:space="preserve"> </w:t>
      </w:r>
      <w:r>
        <w:t>e</w:t>
      </w:r>
      <w:r>
        <w:t xml:space="preserve"> </w:t>
      </w:r>
      <w:r>
        <w:t>）</w:t>
      </w:r>
      <w:r>
        <w:t xml:space="preserve"> </w:t>
      </w:r>
      <w:r>
        <w:t>它量化了超厚电极 (&gt;100.0 µm) 中电解质剂量和容量利用率之间的关系，从而能够精确确定最低电解质需求量 (1.1 g Ah</w:t>
      </w:r>
      <w:r>
        <w:t xml:space="preserve"> </w:t>
      </w:r>
      <w:r>
        <w:t>−1</w:t>
      </w:r>
      <w:r>
        <w:t xml:space="preserve"> </w:t>
      </w:r>
      <w:r>
        <w:t>）。通过系统研究电解质与高负载正极（&gt; 10.0 mAh cm</w:t>
      </w:r>
      <w:r>
        <w:t xml:space="preserve"> </w:t>
      </w:r>
      <w:r>
        <w:t>−2</w:t>
      </w:r>
      <w:r>
        <w:t xml:space="preserve"> </w:t>
      </w:r>
      <w:r>
        <w:t>）在高电压（4.8 V）下，我们开发了一种优化的配方，可以形成稳定的界面，同时抑制寄生反应。通过整合这些先进技术（包括轻质锂金属阳极），我们展示了 54.2 Ah 软包电池，可实现 769 Wh kg</w:t>
      </w:r>
      <w:r>
        <w:t xml:space="preserve"> </w:t>
      </w:r>
      <w:r>
        <w:t>−1</w:t>
      </w:r>
      <w:r>
        <w:t xml:space="preserve"> </w:t>
      </w:r>
      <w:r>
        <w:t>，比传统锂离子电池提高了 150%。这项工作为通过电解液最小化和界面稳定来设计下一代电池提供了理论和实践框架。</w:t>
      </w:r>
    </w:p>
    <w:p>
      <w:pPr>
        <w:spacing w:before="0" w:after="200" w:lineRule="auto" w:line="276"/>
      </w:pPr>
      <w:r>
        <w:rPr>
          <w:b/>
        </w:rPr>
        <w:t xml:space="preserve">Abstract (EN): </w:t>
      </w:r>
      <w:r>
        <w:t>The pursuit of high‐energy‐density lithium metal batteries requires simultaneous optimization of electrode architecture, electrolyte formulation, and interfacial stability. Here, we establish a fundamental parameter</w:t>
      </w:r>
      <w:r>
        <w:t xml:space="preserve"> </w:t>
      </w:r>
      <w:r>
        <w:t>g(σ</w:t>
      </w:r>
      <w:r>
        <w:t xml:space="preserve"> </w:t>
      </w:r>
      <w:r>
        <w:t>e</w:t>
      </w:r>
      <w:r>
        <w:t xml:space="preserve"> </w:t>
      </w:r>
      <w:r>
        <w:t>, D</w:t>
      </w:r>
      <w:r>
        <w:t xml:space="preserve"> </w:t>
      </w:r>
      <w:r>
        <w:t>e</w:t>
      </w:r>
      <w:r>
        <w:t xml:space="preserve"> </w:t>
      </w:r>
      <w:r>
        <w:t>)</w:t>
      </w:r>
      <w:r>
        <w:t xml:space="preserve"> </w:t>
      </w:r>
      <w:r>
        <w:t>that quantifies the relationship between electrolyte dosage and capacity utilization in ultra‐thick electrodes (&amp;gt;100.0 µm), enabling precise determination of the minimal electrolyte requirement (1.1 g Ah</w:t>
      </w:r>
      <w:r>
        <w:t xml:space="preserve"> </w:t>
      </w:r>
      <w:r>
        <w:t>−1</w:t>
      </w:r>
      <w:r>
        <w:t xml:space="preserve"> </w:t>
      </w:r>
      <w:r>
        <w:t>). Through systematic investigation of electrolyte compatibility with high‐loading cathodes (&amp;gt; 10.0 mAh cm</w:t>
      </w:r>
      <w:r>
        <w:t xml:space="preserve"> </w:t>
      </w:r>
      <w:r>
        <w:t>−2</w:t>
      </w:r>
      <w:r>
        <w:t xml:space="preserve"> </w:t>
      </w:r>
      <w:r>
        <w:t>) at high voltages (4.8 V), we develop an optimized formulation that forms stable interfaces while suppressing parasitic reactions. By integrating these advances—including a lightweight lithium metal anode—we demonstrate a 54.2 Ah pouch cell achieving 769 Wh kg</w:t>
      </w:r>
      <w:r>
        <w:t xml:space="preserve"> </w:t>
      </w:r>
      <w:r>
        <w:t>−1</w:t>
      </w:r>
      <w:r>
        <w:t xml:space="preserve"> </w:t>
      </w:r>
      <w:r>
        <w:t>, representing a 150% improvement over conventional lithium‐ion batteries. This work provides both theoretical and practical frameworks for engineering next‐generation batteries through electrolyte minimization and interface stabilization.</w:t>
      </w:r>
    </w:p>
    <w:p>
      <w:pPr>
        <w:spacing w:before="120" w:after="120"/>
      </w:pPr>
      <w:r>
        <w:rPr>
          <w:sz w:val="18"/>
        </w:rPr>
        <w:t>——————————————————————————————————————————————————————————————————————</w:t>
      </w:r>
    </w:p>
    <w:p>
      <w:pPr>
        <w:spacing w:before="160" w:after="40" w:line="240" w:lineRule="auto"/>
      </w:pPr>
      <w:r>
        <w:rPr>
          <w:b/>
        </w:rPr>
        <w:t xml:space="preserve">[11] </w:t>
      </w:r>
      <w:hyperlink r:id="rId219">
        <w:r>
          <w:rPr>
            <w:color w:val="1155CC"/>
            <w:u w:val="single"/>
          </w:rPr>
          <w:t>三维离子共轭金属有机框架</w:t>
        </w:r>
      </w:hyperlink>
    </w:p>
    <w:p>
      <w:pPr>
        <w:spacing w:before="0" w:after="80"/>
      </w:pPr>
      <w:r>
        <w:rPr>
          <w:i/>
          <w:sz w:val="20"/>
        </w:rPr>
        <w:t>EN: A Three‐Dimensional Ionic Conjugated Metal–Organic Framework</w:t>
      </w:r>
    </w:p>
    <w:p>
      <w:pPr>
        <w:spacing w:before="0" w:after="120"/>
      </w:pPr>
      <w:r>
        <w:rPr>
          <w:b/>
        </w:rPr>
        <w:t xml:space="preserve">Source: </w:t>
      </w:r>
      <w:r>
        <w:t>Wiley: Angewandte Chemie International Edition: Table of Contents</w:t>
      </w:r>
      <w:r>
        <w:t xml:space="preserve">    </w:t>
      </w:r>
      <w:r>
        <w:rPr>
          <w:b/>
        </w:rPr>
        <w:t xml:space="preserve">Pub date: </w:t>
      </w:r>
      <w:r>
        <w:t>2026-08-14 16:38:42+00:00</w:t>
      </w:r>
      <w:r>
        <w:t xml:space="preserve">    </w:t>
      </w:r>
      <w:r>
        <w:rPr>
          <w:b/>
        </w:rPr>
        <w:t xml:space="preserve">DOI: </w:t>
      </w:r>
      <w:hyperlink r:id="rId220">
        <w:r>
          <w:rPr>
            <w:color w:val="1155CC"/>
            <w:u w:val="single"/>
          </w:rPr>
          <w:t>10.1002/anie.4078759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儿茶酚酸酯的共轭金属有机框架（MOF）由于其可调节的结构、卓越的稳定性、出色的导电性和固有的孔隙率而引起了广泛的研究兴趣。虽然大多数报道的材料仅限于二维（2D）结构，但新功能配体的设计和合成仍然是一个严峻的挑战。相比之下，三维（3D）儿茶酚基 MOF 尽管前景广阔，但仍尚未得到充分开发。尽管离子 MOF 最近取得了进展，但其功能仍然受到配体设计限制的限制。在这项工作中，我们报道了一种前所未有的基于儿茶酚的离子共轭3D配体——四苯并[6,f,j,n][1,5,9,13]四氮杂环十六碳镍(II)(Ni(TAAB))基单体的设计和合成，并成功构建了一种新型离子3D导电MOF(</w:t>
      </w:r>
      <w:r>
        <w:t xml:space="preserve"> </w:t>
      </w:r>
      <w:r>
        <w:t>金属有机纤维1</w:t>
      </w:r>
      <w:r>
        <w:t xml:space="preserve"> </w:t>
      </w:r>
      <w:r>
        <w:t>）。值得注意的是，离子性质</w:t>
      </w:r>
      <w:r>
        <w:t xml:space="preserve"> </w:t>
      </w:r>
      <w:r>
        <w:t>金属有机纤维1</w:t>
      </w:r>
      <w:r>
        <w:t xml:space="preserve"> </w:t>
      </w:r>
      <w:r>
        <w:t>能够容易地形成膜。电导率测量揭示</w:t>
      </w:r>
      <w:r>
        <w:t xml:space="preserve"> </w:t>
      </w:r>
      <w:r>
        <w:t>金属有机纤维1</w:t>
      </w:r>
      <w:r>
        <w:t xml:space="preserve"> </w:t>
      </w:r>
      <w:r>
        <w:t>表现出有前途的半导体特性，电子吸收跨越可见光和近红外光谱，带隙为 1.28 eV。值得注意的是，三氟乙酸掺杂</w:t>
      </w:r>
      <w:r>
        <w:t xml:space="preserve"> </w:t>
      </w:r>
      <w:r>
        <w:t>金属有机纤维1</w:t>
      </w:r>
      <w:r>
        <w:t xml:space="preserve"> </w:t>
      </w:r>
      <w:r>
        <w:t>在 97% 相对湿度下表现出 0.36 S/m 的优异质子电导率，使其成为混合电子质子导体。这项工作为开发 3D conjuga 提供了宝贵的见解</w:t>
      </w:r>
    </w:p>
    <w:p>
      <w:pPr>
        <w:spacing w:before="0" w:after="200" w:lineRule="auto" w:line="276"/>
      </w:pPr>
      <w:r>
        <w:rPr>
          <w:b/>
        </w:rPr>
        <w:t xml:space="preserve">Abstract (EN): </w:t>
      </w:r>
      <w:r>
        <w:t>Catecholate‐based conjugated metal–organic frameworks (MOFs) have garnered considerable research interest owing to their tunable structures, exceptional stability, outstanding conductivity, and intrinsic porosity. While most reported materials are limited to two‐dimensional (2D) architectures, the design and synthesis of new functional ligands remain a critical challenge. In contrast, three‐dimensional (3D) catecholate‐based MOFs, despite their promising prospect, are still underexplored. Although ionic MOFs have gained recent progress, their functionality remains limited by ligand design constraints. In this work, we report the design and synthesis of an unprecedented catechol‐based ionic conjugated 3D ligand‐the tetrabenzo[6,f,j,n][1,5,9,13]tetraazacyclohexadecinenickel(II) (Ni(TAAB)) based monomer, and successfully constructed a new ionic 3D electrically conductive MOF (</w:t>
      </w:r>
      <w:r>
        <w:t xml:space="preserve"> </w:t>
      </w:r>
      <w:r>
        <w:t>MOF1</w:t>
      </w:r>
      <w:r>
        <w:t xml:space="preserve"> </w:t>
      </w:r>
      <w:r>
        <w:t>). Notably, the ionic nature of</w:t>
      </w:r>
      <w:r>
        <w:t xml:space="preserve"> </w:t>
      </w:r>
      <w:r>
        <w:t>MOF1</w:t>
      </w:r>
      <w:r>
        <w:t xml:space="preserve"> </w:t>
      </w:r>
      <w:r>
        <w:t>enables facile membrane formation. Conductivity measurements reveal</w:t>
      </w:r>
      <w:r>
        <w:t xml:space="preserve"> </w:t>
      </w:r>
      <w:r>
        <w:t>MOF1</w:t>
      </w:r>
      <w:r>
        <w:t xml:space="preserve"> </w:t>
      </w:r>
      <w:r>
        <w:t>exhibits promising semiconductor properties, with electronic absorption spanning across the visible and near‐infrared spectra and a bandgap of 1.28 eV. Remarkably, trifluoroacetic acid‐doped</w:t>
      </w:r>
      <w:r>
        <w:t xml:space="preserve"> </w:t>
      </w:r>
      <w:r>
        <w:t>MOF1</w:t>
      </w:r>
      <w:r>
        <w:t xml:space="preserve"> </w:t>
      </w:r>
      <w:r>
        <w:t>demonstrates an excellent proton conductivity of 0.36 S/m at 97% relative humidity, making it a mixed electronic‐proton conductor. This work provides valuable insights into developing 3D conjugated MOFs as multifunctional ionic materials.</w:t>
      </w:r>
    </w:p>
    <w:p>
      <w:pPr>
        <w:spacing w:before="120" w:after="120"/>
      </w:pPr>
      <w:r>
        <w:rPr>
          <w:sz w:val="18"/>
        </w:rPr>
        <w:t>——————————————————————————————————————————————————————————————————————</w:t>
      </w:r>
    </w:p>
    <w:p>
      <w:pPr>
        <w:spacing w:before="160" w:after="40" w:line="240" w:lineRule="auto"/>
      </w:pPr>
      <w:r>
        <w:rPr>
          <w:b/>
        </w:rPr>
        <w:t xml:space="preserve">[12] </w:t>
      </w:r>
      <w:hyperlink r:id="rId181">
        <w:r>
          <w:rPr>
            <w:color w:val="1155CC"/>
            <w:u w:val="single"/>
          </w:rPr>
          <w:t>通过外源阳离子-阴离子协同化学对实用锌电池进行离子工程界面相编程</w:t>
        </w:r>
      </w:hyperlink>
    </w:p>
    <w:p>
      <w:pPr>
        <w:spacing w:before="0" w:after="80"/>
      </w:pPr>
      <w:r>
        <w:rPr>
          <w:i/>
          <w:sz w:val="20"/>
        </w:rPr>
        <w:t>EN: Programming Ion‐Engineered Interphase for Practical Zinc Batteries Through Exogenous Cation‐Anion Synergy Chemistry</w:t>
      </w:r>
    </w:p>
    <w:p>
      <w:pPr>
        <w:spacing w:before="0" w:after="120"/>
      </w:pPr>
      <w:r>
        <w:rPr>
          <w:b/>
        </w:rPr>
        <w:t xml:space="preserve">Source: </w:t>
      </w:r>
      <w:r>
        <w:t>Wiley: Angewandte Chemie International Edition: Table of Contents</w:t>
      </w:r>
      <w:r>
        <w:t xml:space="preserve">    </w:t>
      </w:r>
      <w:r>
        <w:rPr>
          <w:b/>
        </w:rPr>
        <w:t xml:space="preserve">Pub date: </w:t>
      </w:r>
      <w:r>
        <w:t>2026-08-14 16:49:21+00:00</w:t>
      </w:r>
      <w:r>
        <w:t xml:space="preserve">    </w:t>
      </w:r>
      <w:r>
        <w:rPr>
          <w:b/>
        </w:rPr>
        <w:t xml:space="preserve">DOI: </w:t>
      </w:r>
      <w:hyperlink r:id="rId182">
        <w:r>
          <w:rPr>
            <w:color w:val="1155CC"/>
            <w:u w:val="single"/>
          </w:rPr>
          <w:t>10.1002/anie.3578686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稳定的阳极-电解质界面对于电池循环至关重要。将成功的阴离子衍生界面范式从锂离子转化为水性锌离子电池（ZIB）受到狭窄的电化学窗口和混沌界面反应的阻碍。在这里，我们通过外源阳离子-阴离子协同作用来编程界面形成来克服这个问题。可水解阴离子驱动富含无机界面的快速形成，而弱水合大体积阳离子具有低离子势（</w:t>
      </w:r>
      <w:r>
        <w:t xml:space="preserve"> </w:t>
      </w:r>
      <w:r>
        <w:t>φ</w:t>
      </w:r>
      <w:r>
        <w:t xml:space="preserve"> </w:t>
      </w:r>
      <w:r>
        <w:t>）具有防腐蚀静电屏蔽和场驱动阴离子受体的双重功能，可动态调节界面环境，而不会产生寄生反应。作为概念证明，将四甲基氟脲六氟磷酸盐导入 ZnSO</w:t>
      </w:r>
      <w:r>
        <w:rPr>
          <w:vertAlign w:val="subscript"/>
        </w:rPr>
        <w:t>4</w:t>
      </w:r>
      <w:r>
        <w:t>电解质能够精确调节 H 的分布和转化</w:t>
      </w:r>
      <w:r>
        <w:rPr>
          <w:vertAlign w:val="subscript"/>
        </w:rPr>
        <w:t>2</w:t>
      </w:r>
      <w:r>
        <w:t>氧，SO</w:t>
      </w:r>
      <w:r>
        <w:rPr>
          <w:vertAlign w:val="subscript"/>
        </w:rPr>
        <w:t>4</w:t>
      </w:r>
      <w:r>
        <w:t>2−</w:t>
      </w:r>
      <w:r>
        <w:t>和锌</w:t>
      </w:r>
      <w:r>
        <w:t xml:space="preserve"> </w:t>
      </w:r>
      <w:r>
        <w:t>2+</w:t>
      </w:r>
      <w:r>
        <w:t xml:space="preserve"> </w:t>
      </w:r>
      <w:r>
        <w:t>在Zn界面上。由此产生的复合界面（ZnF</w:t>
      </w:r>
      <w:r>
        <w:rPr>
          <w:vertAlign w:val="subscript"/>
        </w:rPr>
        <w:t>2</w:t>
      </w:r>
      <w:r>
        <w:t>、ZnS、ZnO 和 C─N 物种）提高 Zn</w:t>
      </w:r>
      <w:r>
        <w:t xml:space="preserve"> </w:t>
      </w:r>
      <w:r>
        <w:t>2+</w:t>
      </w:r>
      <w:r>
        <w:t xml:space="preserve"> </w:t>
      </w:r>
      <w:r>
        <w:t>运输，并促进均匀的深层锌沉积。因此，Zn//Zn 电池在 1 mA cm 电流下可运行 3400 小时</w:t>
      </w:r>
      <w:r>
        <w:t xml:space="preserve"> </w:t>
      </w:r>
      <w:r>
        <w:t>−2</w:t>
      </w:r>
      <w:r>
        <w:t xml:space="preserve"> </w:t>
      </w:r>
      <w:r>
        <w:t>和 1 毫安时厘米</w:t>
      </w:r>
      <w:r>
        <w:t xml:space="preserve"> </w:t>
      </w:r>
      <w:r>
        <w:t>−2</w:t>
      </w:r>
      <w:r>
        <w:t xml:space="preserve"> </w:t>
      </w:r>
      <w:r>
        <w:t>，在 5 mA cm 下持续 1800 小时</w:t>
      </w:r>
      <w:r>
        <w:t xml:space="preserve"> </w:t>
      </w:r>
      <w:r>
        <w:t>−2</w:t>
      </w:r>
      <w:r>
        <w:t xml:space="preserve"> </w:t>
      </w:r>
      <w:r>
        <w:t>和 5 毫安时厘米</w:t>
      </w:r>
    </w:p>
    <w:p>
      <w:pPr>
        <w:spacing w:before="0" w:after="200" w:lineRule="auto" w:line="276"/>
      </w:pPr>
      <w:r>
        <w:rPr>
          <w:b/>
        </w:rPr>
        <w:t xml:space="preserve">Abstract (EN): </w:t>
      </w:r>
      <w:r>
        <w:t>A stable anode‐electrolyte interface is vital for battery cycling. Translating the successful anion‐derived interphase paradigm from Li‐ion to aqueous Zn‐ion batteries (ZIBs) is hindered by narrow electrochemical windows and chaotic interfacial reactions. Here we overcome this by programming interphase formation via exogenous cation–anion synergy. Hydrolysable anions drive the rapid formation of an inorganic‐rich interphase, while weakly hydrated bulky cations with low ionic potential (</w:t>
      </w:r>
      <w:r>
        <w:t xml:space="preserve"> </w:t>
      </w:r>
      <w:r>
        <w:t>φ</w:t>
      </w:r>
      <w:r>
        <w:t xml:space="preserve"> </w:t>
      </w:r>
      <w:r>
        <w:t>) dually function as noncorrosive electrostatic shields and field‐driven anion receptors to dynamically regulate the interfacial environment without parasitic reactions. As a proof of concept, importing tetramethylfluorourea hexafluorophosphate into ZnSO</w:t>
      </w:r>
      <w:r>
        <w:rPr>
          <w:vertAlign w:val="subscript"/>
        </w:rPr>
        <w:t>4</w:t>
      </w:r>
      <w:r>
        <w:t>electrolyte enables precise modulation of the distribution and conversion of H</w:t>
      </w:r>
      <w:r>
        <w:rPr>
          <w:vertAlign w:val="subscript"/>
        </w:rPr>
        <w:t>2</w:t>
      </w:r>
      <w:r>
        <w:t>O, SO</w:t>
      </w:r>
      <w:r>
        <w:rPr>
          <w:vertAlign w:val="subscript"/>
        </w:rPr>
        <w:t>4</w:t>
      </w:r>
      <w:r>
        <w:t>2−</w:t>
      </w:r>
      <w:r>
        <w:t>and Zn</w:t>
      </w:r>
      <w:r>
        <w:t xml:space="preserve"> </w:t>
      </w:r>
      <w:r>
        <w:t>2+</w:t>
      </w:r>
      <w:r>
        <w:t xml:space="preserve"> </w:t>
      </w:r>
      <w:r>
        <w:t>at the Zn interface. This resulting composite interface (ZnF</w:t>
      </w:r>
      <w:r>
        <w:rPr>
          <w:vertAlign w:val="subscript"/>
        </w:rPr>
        <w:t>2</w:t>
      </w:r>
      <w:r>
        <w:t>, ZnS, ZnO, and C─N species) improves Zn</w:t>
      </w:r>
      <w:r>
        <w:t xml:space="preserve"> </w:t>
      </w:r>
      <w:r>
        <w:t>2+</w:t>
      </w:r>
      <w:r>
        <w:t xml:space="preserve"> </w:t>
      </w:r>
      <w:r>
        <w:t>transport, and promotes uniform deep Zn deposition. As a result, Zn//Zn cells operate for 3400 h at 1 mA cm</w:t>
      </w:r>
      <w:r>
        <w:t xml:space="preserve"> </w:t>
      </w:r>
      <w:r>
        <w:t>−2</w:t>
      </w:r>
      <w:r>
        <w:t xml:space="preserve"> </w:t>
      </w:r>
      <w:r>
        <w:t>and 1 mAh cm</w:t>
      </w:r>
      <w:r>
        <w:t xml:space="preserve"> </w:t>
      </w:r>
      <w:r>
        <w:t>−2</w:t>
      </w:r>
      <w:r>
        <w:t xml:space="preserve"> </w:t>
      </w:r>
      <w:r>
        <w:t>, for 1800 h at 5 mA cm</w:t>
      </w:r>
      <w:r>
        <w:t xml:space="preserve"> </w:t>
      </w:r>
      <w:r>
        <w:t>−2</w:t>
      </w:r>
      <w:r>
        <w:t xml:space="preserve"> </w:t>
      </w:r>
      <w:r>
        <w:t>and 5 mAh cm</w:t>
      </w:r>
      <w:r>
        <w:t xml:space="preserve"> </w:t>
      </w:r>
      <w:r>
        <w:t>−2</w:t>
      </w:r>
      <w:r>
        <w:t xml:space="preserve"> </w:t>
      </w:r>
      <w:r>
        <w:t>, and for 410 h at a depth of discharge of 42.7%. Zn//KVO full cells and pouch cells also show improved cycling stability. These results establish exogenous cation‐anion pairing as a practical route for ZIB interphase engineering.</w:t>
      </w:r>
    </w:p>
    <w:p>
      <w:pPr>
        <w:spacing w:before="120" w:after="120"/>
      </w:pPr>
      <w:r>
        <w:rPr>
          <w:sz w:val="18"/>
        </w:rPr>
        <w:t>——————————————————————————————————————————————————————————————————————</w:t>
      </w:r>
    </w:p>
    <w:p>
      <w:pPr>
        <w:spacing w:before="160" w:after="40" w:line="240" w:lineRule="auto"/>
      </w:pPr>
      <w:r>
        <w:rPr>
          <w:b/>
        </w:rPr>
        <w:t xml:space="preserve">[13] </w:t>
      </w:r>
      <w:hyperlink r:id="rId183">
        <w:r>
          <w:rPr>
            <w:color w:val="1155CC"/>
            <w:u w:val="single"/>
          </w:rPr>
          <w:t>利用操作光谱椭圆光度法揭示锂金属阳极的不均匀钝化</w:t>
        </w:r>
      </w:hyperlink>
    </w:p>
    <w:p>
      <w:pPr>
        <w:spacing w:before="0" w:after="80"/>
      </w:pPr>
      <w:r>
        <w:rPr>
          <w:i/>
          <w:sz w:val="20"/>
        </w:rPr>
        <w:t>EN: Reveal Non‐Uniform Passivation on Lithium Metal Anode With Operando Spectroscopic Ellipsometry</w:t>
      </w:r>
    </w:p>
    <w:p>
      <w:pPr>
        <w:spacing w:before="0" w:after="120"/>
      </w:pPr>
      <w:r>
        <w:rPr>
          <w:b/>
        </w:rPr>
        <w:t xml:space="preserve">Source: </w:t>
      </w:r>
      <w:r>
        <w:t>Wiley: Advanced Energy Materials: Table of Contents</w:t>
      </w:r>
      <w:r>
        <w:t xml:space="preserve">    </w:t>
      </w:r>
      <w:r>
        <w:rPr>
          <w:b/>
        </w:rPr>
        <w:t xml:space="preserve">Pub date: </w:t>
      </w:r>
      <w:r>
        <w:t>2026-08-15 14:33:37+00:00</w:t>
      </w:r>
      <w:r>
        <w:t xml:space="preserve">    </w:t>
      </w:r>
      <w:r>
        <w:rPr>
          <w:b/>
        </w:rPr>
        <w:t xml:space="preserve">DOI: </w:t>
      </w:r>
      <w:hyperlink r:id="rId184">
        <w:r>
          <w:rPr>
            <w:color w:val="1155CC"/>
            <w:u w:val="single"/>
          </w:rPr>
          <w:t>10.1002/aenm.71434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Li）金属阳极的钝化对于锂金属电池（LMB）的安全性和长期循环性能至关重要，但天然钝化的机制和演变仍知之甚少。在这项工作中，我们使用具有实时空间分辨厚度映射功能的操作光谱椭圆光度术（SE）来研究新制备的具有/不具有纹理控制的锂金属阳极。在氩气手套箱内监测自然钝化反应，并精确控制 O2</w:t>
      </w:r>
      <w:r>
        <w:rPr>
          <w:vertAlign w:val="subscript"/>
        </w:rPr>
        <w:t>2</w:t>
      </w:r>
      <w:r>
        <w:t>,一氧化碳</w:t>
      </w:r>
      <w:r>
        <w:t xml:space="preserve"> </w:t>
      </w:r>
      <w:r>
        <w:t>2、</w:t>
      </w:r>
      <w:r>
        <w:t xml:space="preserve"> </w:t>
      </w:r>
      <w:r>
        <w:t>和H</w:t>
      </w:r>
      <w:r>
        <w:rPr>
          <w:vertAlign w:val="subscript"/>
        </w:rPr>
        <w:t>2</w:t>
      </w:r>
      <w:r>
        <w:t>O气体环境。我们发现锂金属的成核和各向异性反应性是原生钝化层分布不均匀的根本原因。研究了平衡厚度的织构效应（即具有 (200) 和 (110) 面外取向的 Li）和温度效应。原生层的生长采用 Fehlner-Mott 模型进行拟合。我们通过分析三种不同电解质中弛豫时间 (EIS-DRT) 和临界电流密度 (CCD) 的电化学阻抗谱分布，将天然钝化层的厚度与随后的 SEI 演化相关联。通过阐明原生钝化层的基本生长机制和作用，这项工作揭示了锂金属阳极上不均匀反应性的起源，为工程稳定、无枝晶的锂金属界面提供了新的框架。</w:t>
      </w:r>
    </w:p>
    <w:p>
      <w:pPr>
        <w:spacing w:before="0" w:after="200" w:lineRule="auto" w:line="276"/>
      </w:pPr>
      <w:r>
        <w:rPr>
          <w:b/>
        </w:rPr>
        <w:t xml:space="preserve">Abstract (EN): </w:t>
      </w:r>
      <w:r>
        <w:t>The passivity of lithium (Li) metal anode is crucial for the safety and long‐term cycling performance of Li metal batteries (LMBs), yet the mechanism and evolution of native passivation remain poorly understood. In this work, we use operando spectroscopic ellipsometry (SE) with a real‐time, spatially resolved thickness‐mapping function to study freshly prepared Li metal anodes with/without texture control. The native passivation reaction is monitored inside an Argon glovebox with precise control of O</w:t>
      </w:r>
      <w:r>
        <w:rPr>
          <w:vertAlign w:val="subscript"/>
        </w:rPr>
        <w:t>2</w:t>
      </w:r>
      <w:r>
        <w:t>, CO</w:t>
      </w:r>
      <w:r>
        <w:t xml:space="preserve"> </w:t>
      </w:r>
      <w:r>
        <w:t>2,</w:t>
      </w:r>
      <w:r>
        <w:t xml:space="preserve"> </w:t>
      </w:r>
      <w:r>
        <w:t>and H</w:t>
      </w:r>
      <w:r>
        <w:rPr>
          <w:vertAlign w:val="subscript"/>
        </w:rPr>
        <w:t>2</w:t>
      </w:r>
      <w:r>
        <w:t>O gas environment. We discovered that the nucleation and anisotropic reactivity of Li metal are the root causes for the non‐uniform distribution of the native passivation layer. The equilibrium thickness has been studied for texture effects (i.e., Li with (200) and (110) out‐of‐plane orientations) and temperature effects. The growth of the native layer is fitted by Fehlner–Mott model. We correlate the thickness of the native passivation layer with subsequent SEI evolution by analyzing electrochemical impedance spectroscopy distribution of relaxation times (EIS‐DRT) and critical current densities (CCD) in three different electrolytes. By elucidating the fundamental growth mechanisms and roles of the native passivation layer, this work reveals the origin of non‐uniform reactivities on Li metal anodes, providing a new framework for engineering stable, dendrite‐free lithium metal interfaces.</w:t>
      </w:r>
    </w:p>
    <w:p>
      <w:pPr>
        <w:spacing w:before="120" w:after="120"/>
      </w:pPr>
      <w:r>
        <w:rPr>
          <w:sz w:val="18"/>
        </w:rPr>
        <w:t>——————————————————————————————————————————————————————————————————————</w:t>
      </w:r>
    </w:p>
    <w:p>
      <w:pPr>
        <w:spacing w:before="160" w:after="40" w:line="240" w:lineRule="auto"/>
      </w:pPr>
      <w:r>
        <w:rPr>
          <w:b/>
        </w:rPr>
        <w:t xml:space="preserve">[14] </w:t>
      </w:r>
      <w:hyperlink r:id="rId221">
        <w:r>
          <w:rPr>
            <w:color w:val="1155CC"/>
            <w:u w:val="single"/>
          </w:rPr>
          <w:t>通过精确的有机合成定制锂金属电池的电解质化学</w:t>
        </w:r>
      </w:hyperlink>
    </w:p>
    <w:p>
      <w:pPr>
        <w:spacing w:before="0" w:after="80"/>
      </w:pPr>
      <w:r>
        <w:rPr>
          <w:i/>
          <w:sz w:val="20"/>
        </w:rPr>
        <w:t>EN: Tailoring Electrolyte Chemistry Through Precise Organic Synthesis for Lithium Metal Batteries</w:t>
      </w:r>
    </w:p>
    <w:p>
      <w:pPr>
        <w:spacing w:before="0" w:after="120"/>
      </w:pPr>
      <w:r>
        <w:rPr>
          <w:b/>
        </w:rPr>
        <w:t xml:space="preserve">Source: </w:t>
      </w:r>
      <w:r>
        <w:t>Wiley: Advanced Energy Materials: Table of Contents</w:t>
      </w:r>
      <w:r>
        <w:t xml:space="preserve">    </w:t>
      </w:r>
      <w:r>
        <w:rPr>
          <w:b/>
        </w:rPr>
        <w:t xml:space="preserve">Pub date: </w:t>
      </w:r>
      <w:r>
        <w:t>2026-08-15 14:39:53+00:00</w:t>
      </w:r>
      <w:r>
        <w:t xml:space="preserve">    </w:t>
      </w:r>
      <w:r>
        <w:rPr>
          <w:b/>
        </w:rPr>
        <w:t xml:space="preserve">DOI: </w:t>
      </w:r>
      <w:hyperlink r:id="rId222">
        <w:r>
          <w:rPr>
            <w:color w:val="1155CC"/>
            <w:u w:val="single"/>
          </w:rPr>
          <w:t>10.1002/aenm.71447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实现比能量超过 500 Wh kg 的下一代电池</w:t>
      </w:r>
      <w:r>
        <w:t xml:space="preserve"> </w:t>
      </w:r>
      <w:r>
        <w:t>−1</w:t>
      </w:r>
      <w:r>
        <w:t xml:space="preserve"> </w:t>
      </w:r>
      <w:r>
        <w:t>需要将锂金属阳极与高压阴极耦合。由于狭窄的电化学窗口和灾难性的界面降解，传统的碳酸盐电解质在这些腐蚀性环境中从根本上失效。克服这些瓶颈需要从经验公式到理性分子设计的范式转变。本综述强调合成分子工程作为一个系统框架，通过精密有机合成在原子尺度上定制电解质化学，定义为有意的共价修饰，包括从头构建和靶向功能化，本文重点关注锂金属系统。通过电子调节、空间位阻调节和官能团整合，采用精确的有机合成，研究人员积极地对盐、溶剂和添加剂的物理化学性质进行编程。我们系统地阐明了这些工程组件如何重塑主要溶剂化结构并指导稳健界面的构建，从而解决离子电导率和稳定性之间长期存在的权衡问题。我们根据实际的软包电池约束进一步对性能进行基准测试，并提炼出条件设计规则，指定每个策略的成功和失败之处。最后，整合计算筛选、全氟烷基和多氟烷基物质（PFAS）可持续性考虑以及绿色合成</w:t>
      </w:r>
    </w:p>
    <w:p>
      <w:pPr>
        <w:spacing w:before="0" w:after="200" w:lineRule="auto" w:line="276"/>
      </w:pPr>
      <w:r>
        <w:rPr>
          <w:b/>
        </w:rPr>
        <w:t xml:space="preserve">Abstract (EN): </w:t>
      </w:r>
      <w:r>
        <w:t>Realizing next‐generation batteries with specific energies exceeding 500 Wh kg</w:t>
      </w:r>
      <w:r>
        <w:t xml:space="preserve"> </w:t>
      </w:r>
      <w:r>
        <w:t>−1</w:t>
      </w:r>
      <w:r>
        <w:t xml:space="preserve"> </w:t>
      </w:r>
      <w:r>
        <w:t>requires coupling lithium metal anodes with high‐voltage cathodes. Conventional carbonate electrolytes fundamentally fail in these aggressive environments due to narrow electrochemical windows and catastrophic interfacial degradation. Overcoming these bottlenecks demands a paradigm shift from empirical formulation to rational molecular design. This review highlights synthetic molecular engineering as a systematic framework to tailor electrolyte chemistry at the atomic scale via precision organic synthesis—defined as deliberate covalent modification including de novo construction and targeted functionalization, focused herein on lithium metal systems. By employing precise organic synthesis through electronic regulation, steric hindrance modulation, and functional group integration, researchers actively program the physicochemical properties of salts, solvents, and additives. We systematically elucidate how these engineered components remodel primary solvation structures and direct the construction of robust interphases, navigating the long‐standing trade‐off between ionic conductivity and stability. We further benchmark performance against practical pouch‐cell constraints and distill conditional design rules specifying where each strategy succeeds and fails. Finally, integrating computational screening, perfluoroalkyl and polyfluoroalkyl substances (PFAS) sustainability considerations, and green synthesis will accelerate the industrial translation of advanced industrial lithium metal energy storage.</w:t>
      </w:r>
    </w:p>
    <w:p>
      <w:pPr>
        <w:spacing w:before="120" w:after="120"/>
      </w:pPr>
      <w:r>
        <w:rPr>
          <w:sz w:val="18"/>
        </w:rPr>
        <w:t>——————————————————————————————————————————————————————————————————————</w:t>
      </w:r>
    </w:p>
    <w:p>
      <w:pPr>
        <w:spacing w:before="160" w:after="40" w:line="240" w:lineRule="auto"/>
      </w:pPr>
      <w:r>
        <w:rPr>
          <w:b/>
        </w:rPr>
        <w:t xml:space="preserve">[15] </w:t>
      </w:r>
      <w:hyperlink r:id="rId189">
        <w:r>
          <w:rPr>
            <w:color w:val="1155CC"/>
            <w:u w:val="single"/>
          </w:rPr>
          <w:t>化学机械自适应 MXene-Si-Ag 双种子中间层实现低压硫化物全固态电池</w:t>
        </w:r>
      </w:hyperlink>
    </w:p>
    <w:p>
      <w:pPr>
        <w:spacing w:before="0" w:after="80"/>
      </w:pPr>
      <w:r>
        <w:rPr>
          <w:i/>
          <w:sz w:val="20"/>
        </w:rPr>
        <w:t>EN: Chemomechanically Adaptive MXene–Si–Ag Dual‐Seed Interlayer Enabling Low‐Pressure Sulfide all‐Solid‐State Batteries</w:t>
      </w:r>
    </w:p>
    <w:p>
      <w:pPr>
        <w:spacing w:before="0" w:after="120"/>
      </w:pPr>
      <w:r>
        <w:rPr>
          <w:b/>
        </w:rPr>
        <w:t xml:space="preserve">Source: </w:t>
      </w:r>
      <w:r>
        <w:t>Wiley: Advanced Energy Materials: Table of Contents</w:t>
      </w:r>
      <w:r>
        <w:t xml:space="preserve">    </w:t>
      </w:r>
      <w:r>
        <w:rPr>
          <w:b/>
        </w:rPr>
        <w:t xml:space="preserve">Pub date: </w:t>
      </w:r>
      <w:r>
        <w:t>2026-08-15 14:45:28+00:00</w:t>
      </w:r>
      <w:r>
        <w:t xml:space="preserve">    </w:t>
      </w:r>
      <w:r>
        <w:rPr>
          <w:b/>
        </w:rPr>
        <w:t xml:space="preserve">DOI: </w:t>
      </w:r>
      <w:hyperlink r:id="rId190">
        <w:r>
          <w:rPr>
            <w:color w:val="1155CC"/>
            <w:u w:val="single"/>
          </w:rPr>
          <w:t>10.1002/aenm.71461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硫化物基全固态电池（ASSB）具有高安全性和能量密度；然而，由于固固界面的化学机械不稳定性，在低堆压下维持稳定运行仍然具有挑战性。在这里，我们报告了一种化学机械自适应 MXene-Si-Ag 混合夹层，可稳定硫化物 ASSB 中的锂金属阳极界面。机械顺应性 MXene 框架与硫化物固体电解质保持紧密接触并适应界面应力演变，而固定的硅和移动的银则充当互补的亲锂种子。由于硅在锂中的溶解度可以忽略不计，因此它提供了持久的界面锚定和连续的离子通道，而银则沿着锂通量动态地重新分布，以调节成核和界面反应动力学。这种固定-移动双种子协同作用使锂传输均匀化，而不需要种子严格的空间重叠。当与高负载 NCM811 正极配合使用时，中间层的面积容量可达 4.56 mAh cm</w:t>
      </w:r>
      <w:r>
        <w:t xml:space="preserve"> </w:t>
      </w:r>
      <w:r>
        <w:t>−2</w:t>
      </w:r>
      <w:r>
        <w:t xml:space="preserve"> </w:t>
      </w:r>
      <w:r>
        <w:t>在 40 MPa、1C 条件下循环 500 次后容量保持率为 84.5%。值得注意的是，即使在超低堆压 (0.21 MPa) 下也能保持稳定的循环，初始库仑效率为 82.7%，200 次循环后容量保持率为 72.4%。这项工作表明，将机械适应性与动态亲锂调节相结合，为耐压、高能硫化物 ASSB 提供了一条实用途径。</w:t>
      </w:r>
    </w:p>
    <w:p>
      <w:pPr>
        <w:spacing w:before="0" w:after="200" w:lineRule="auto" w:line="276"/>
      </w:pPr>
      <w:r>
        <w:rPr>
          <w:b/>
        </w:rPr>
        <w:t xml:space="preserve">Abstract (EN): </w:t>
      </w:r>
      <w:r>
        <w:t>Sulfide‐based all‐solid‐state batteries (ASSBs) promise high safety and energy density; however, sustaining stable operation under low stack pressure remains challenging due to chemo‐mechanical instability at solid‐solid interfaces. Here, we report a chemomechanically adaptive MXene–Si–Ag hybrid interlayer that stabilizes Li metal‐based anode interfaces in sulfide ASSBs. A mechanically compliant MXene framework maintains intimate contact with the sulfide solid electrolyte and accommodates interfacial stress evolution, while immobile Si and mobile Ag function as complementary lithiophilic seeds. Si provides persistent interfacial anchoring and continuous ionic pathways owing to its negligible solubility in Li, whereas Ag dynamically redistributes along Li flux to regulate nucleation and interfacial reaction kinetics. This immobile‐mobile dual‐seed synergy homogenizes Li transport without requiring strict spatial overlap of the seeds. When paired with high‐loading NCM811 cathodes, the interlayer enables an areal capacity of 4.56 mAh cm</w:t>
      </w:r>
      <w:r>
        <w:t xml:space="preserve"> </w:t>
      </w:r>
      <w:r>
        <w:t>−2</w:t>
      </w:r>
      <w:r>
        <w:t xml:space="preserve"> </w:t>
      </w:r>
      <w:r>
        <w:t>with 84.5% capacity retention over 500 cycles at 1C under 40 MPa. Notably, stable cycling is preserved even under ultralow stack pressure (0.21 MPa), delivering an initial Coulombic efficiency of 82.7% and 72.4% capacity retention after 200 cycles. This work demonstrates that coupling mechanical adaptability with dynamic lithiophilic regulation provides a practical pathway toward pressure‐tolerant, high‐energy sulfide ASSBs.</w:t>
      </w:r>
    </w:p>
    <w:p>
      <w:pPr>
        <w:spacing w:before="120" w:after="120"/>
      </w:pPr>
      <w:r>
        <w:rPr>
          <w:sz w:val="18"/>
        </w:rPr>
        <w:t>——————————————————————————————————————————————————————————————————————</w:t>
      </w:r>
    </w:p>
    <w:p>
      <w:pPr>
        <w:spacing w:before="160" w:after="40" w:line="240" w:lineRule="auto"/>
      </w:pPr>
      <w:r>
        <w:rPr>
          <w:b/>
        </w:rPr>
        <w:t xml:space="preserve">[16] </w:t>
      </w:r>
      <w:hyperlink r:id="rId131">
        <w:r>
          <w:rPr>
            <w:color w:val="1155CC"/>
            <w:u w:val="single"/>
          </w:rPr>
          <w:t>耐用钠离子电池的双驱动阴极电解质相间调节</w:t>
        </w:r>
      </w:hyperlink>
    </w:p>
    <w:p>
      <w:pPr>
        <w:spacing w:before="0" w:after="80"/>
      </w:pPr>
      <w:r>
        <w:rPr>
          <w:i/>
          <w:sz w:val="20"/>
        </w:rPr>
        <w:t>EN: Dual-Driven Cathode Electrolyte Interphase Regulation for Durable Sodium-Ion Batteries</w:t>
      </w:r>
    </w:p>
    <w:p>
      <w:pPr>
        <w:spacing w:before="0" w:after="120"/>
      </w:pPr>
      <w:r>
        <w:rPr>
          <w:b/>
        </w:rPr>
        <w:t xml:space="preserve">Source: </w:t>
      </w:r>
      <w:r>
        <w:t>ACS Energy Letters: Latest Articles (ACS Publications)</w:t>
      </w:r>
      <w:r>
        <w:t xml:space="preserve">    </w:t>
      </w:r>
      <w:r>
        <w:rPr>
          <w:b/>
        </w:rPr>
        <w:t xml:space="preserve">Pub date: </w:t>
      </w:r>
      <w:r>
        <w:t>2026-08-16 00:00:00+00:00</w:t>
      </w:r>
      <w:r>
        <w:t xml:space="preserve">    </w:t>
      </w:r>
      <w:r>
        <w:rPr>
          <w:b/>
        </w:rPr>
        <w:t xml:space="preserve">DOI: </w:t>
      </w:r>
      <w:hyperlink r:id="rId132">
        <w:r>
          <w:rPr>
            <w:color w:val="1155CC"/>
            <w:u w:val="single"/>
          </w:rPr>
          <w:t>10.1021/acsenergylett.6c02224</w:t>
        </w:r>
      </w:hyperlink>
    </w:p>
    <w:p>
      <w:pPr>
        <w:spacing w:before="0" w:after="120"/>
      </w:pPr>
      <w:r>
        <w:rPr>
          <w:b/>
        </w:rPr>
        <w:t xml:space="preserve">Notes: </w:t>
      </w:r>
      <w:r>
        <w:t>abstract_source=crossref</w:t>
      </w:r>
    </w:p>
    <w:p>
      <w:pPr>
        <w:spacing w:before="0" w:after="80" w:lineRule="auto" w:line="276"/>
      </w:pPr>
      <w:r>
        <w:rPr>
          <w:b/>
        </w:rPr>
        <w:t xml:space="preserve">摘要（ZH）: </w:t>
      </w:r>
      <w:r>
        <w:t>摘要 保护性不足的阴极电解质界面（CEI）仍然是钠离子电池面临的一个关键挑战，特别是在宽温度条件下。传统的 CEI 形成添加剂依赖于充电过程中电势驱动的分解，导致阴极表面在极化前变得脆弱。在这里，我们使用 N-氟苯磺酰亚胺 (NFSI) 开发了一种双驱动 CEI 调节策略，将接触驱动预形成与电位驱动强化相结合。当与 Na4Fe3(PO4)2P2O7 (NFPP) 接触时，NFSI 会引发自发的界面氧化还原反应，生成富含 NaF 的内层，而中间体 NaNSI 随后在充电过程中被氧化，形成含 N/S 的外层。这种双层 CEI 可抑制电解质分解、过渡金属溶解和界面降解，同时改善 Na+ 传输。 NFSI 含量为 1.0 wt% 时，NFPP/Na 电池在 500 次循环后仍保留 79.9% 的容量，而基础电解质的容量为 45.8%，并且在 –20 至 80 °C 范围内保持循环能力。该策略在其他阴极和 NFPP||HC 全电池中得到了进一步验证，为耐用钠离子电池提供了一种可编程方法。</w:t>
      </w:r>
    </w:p>
    <w:p>
      <w:pPr>
        <w:spacing w:before="0" w:after="200" w:lineRule="auto" w:line="276"/>
      </w:pPr>
      <w:r>
        <w:rPr>
          <w:b/>
        </w:rPr>
        <w:t xml:space="preserve">Abstract (EN): </w:t>
      </w:r>
      <w:r>
        <w:t>The insufficiently protective cathode electrolyte interphase (CEI) remains a critical challenge for sodium-ion batteries, particularly under wide temperature conditions. Conventional CEI-forming additives rely on potential-driven decomposition during charging, leaving the cathode surface vulnerable before polarization. Here, we develop a dual-driven CEI regulation strategy using N-fluorobenzenesulfonimide (NFSI), integrating contact-driven preformation with potential-driven reinforcement. Upon contact with Na4Fe3(PO4)2P2O7 (NFPP), NFSI induces spontaneous interfacial redox reactions to generate a NaF-rich inner layer, while the intermediate NaNSI is subsequently oxidized to form an N/S-containing outer layer during charging. This bilayer CEI suppresses electrolyte decomposition, transition-metal dissolution, and interfacial degradation while improving Na+ transport. With 1.0 wt % NFSI, NFPP/Na cells retain 79.9% capacity after 500 cycles, compared with 45.8% for the base electrolyte, and maintain cycling capability from –20 to 80 °C. The strategy is further validated in other cathodes and NFPP||HC full cells, providing a programmable approach for durable sodium-ion batteries.</w:t>
      </w:r>
    </w:p>
    <w:p>
      <w:pPr>
        <w:spacing w:before="120" w:after="120"/>
      </w:pPr>
      <w:r>
        <w:rPr>
          <w:sz w:val="18"/>
        </w:rPr>
        <w:t>——————————————————————————————————————————————————————————————————————</w:t>
      </w:r>
    </w:p>
    <w:p>
      <w:pPr>
        <w:spacing w:before="160" w:after="40" w:line="240" w:lineRule="auto"/>
      </w:pPr>
      <w:r>
        <w:rPr>
          <w:b/>
        </w:rPr>
        <w:t xml:space="preserve">[17] </w:t>
      </w:r>
      <w:hyperlink r:id="rId223">
        <w:r>
          <w:rPr>
            <w:color w:val="1155CC"/>
            <w:u w:val="single"/>
          </w:rPr>
          <w:t>“铠装聚合”解锁同时快速Li+传导和高固化的聚合物电解质</w:t>
        </w:r>
      </w:hyperlink>
    </w:p>
    <w:p>
      <w:pPr>
        <w:spacing w:before="0" w:after="80"/>
      </w:pPr>
      <w:r>
        <w:rPr>
          <w:i/>
          <w:sz w:val="20"/>
        </w:rPr>
        <w:t>EN: “Armor Polymerization” Unlocks Polymer Electrolytes With Simultaneous Rapid Li+ Conduction and High Solidification</w:t>
      </w:r>
    </w:p>
    <w:p>
      <w:pPr>
        <w:spacing w:before="0" w:after="120"/>
      </w:pPr>
      <w:r>
        <w:rPr>
          <w:b/>
        </w:rPr>
        <w:t xml:space="preserve">Source: </w:t>
      </w:r>
      <w:r>
        <w:t>Wiley: Angewandte Chemie International Edition: Table of Contents</w:t>
      </w:r>
      <w:r>
        <w:t xml:space="preserve">    </w:t>
      </w:r>
      <w:r>
        <w:rPr>
          <w:b/>
        </w:rPr>
        <w:t xml:space="preserve">Pub date: </w:t>
      </w:r>
      <w:r>
        <w:t>2026-08-16 16:27:29+00:00</w:t>
      </w:r>
      <w:r>
        <w:t xml:space="preserve">    </w:t>
      </w:r>
      <w:r>
        <w:rPr>
          <w:b/>
        </w:rPr>
        <w:t xml:space="preserve">DOI: </w:t>
      </w:r>
      <w:hyperlink r:id="rId224">
        <w:r>
          <w:rPr>
            <w:color w:val="1155CC"/>
            <w:u w:val="single"/>
          </w:rPr>
          <w:t>10.1002/anie.4583501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聚合物电解质由于其简单的加工和优异的电极兼容性，为高性能准固态电池提供了巨大的前景。然而，它们本质上受到一个关键妥协的限制：虽然流动溶剂能够实现更高的离子电导率（</w:t>
      </w:r>
      <w:r>
        <w:t xml:space="preserve"> </w:t>
      </w:r>
      <w:r>
        <w:t>σ</w:t>
      </w:r>
      <w:r>
        <w:t xml:space="preserve"> </w:t>
      </w:r>
      <w:r>
        <w:t>），这些溶剂本质上会削弱凝固，因此破坏本质安全。在此，我们提出了一种创新的“装甲聚合”策略，以同时实现快速锂传导和稳健凝固。采用功能化离子共价有机框架（iCOF）作为原位聚合的结构“铠甲”，我们的策略创建了Li减弱的分层、低能垒离子传输途径</w:t>
      </w:r>
      <w:r>
        <w:t xml:space="preserve"> </w:t>
      </w:r>
      <w:r>
        <w:t>+</w:t>
      </w:r>
      <w:r>
        <w:t xml:space="preserve"> </w:t>
      </w:r>
      <w:r>
        <w:t>‐聚合物相互作用，同时通过氢键网络固定溶剂分子。所得电解质表现出</w:t>
      </w:r>
      <w:r>
        <w:t xml:space="preserve"> </w:t>
      </w:r>
      <w:r>
        <w:t>σ</w:t>
      </w:r>
      <w:r>
        <w:t xml:space="preserve"> </w:t>
      </w:r>
      <w:r>
        <w:t>7.6×10</w:t>
      </w:r>
      <w:r>
        <w:t xml:space="preserve"> </w:t>
      </w:r>
      <w:r>
        <w:t>−4</w:t>
      </w:r>
      <w:r>
        <w:t xml:space="preserve"> </w:t>
      </w:r>
      <w:r>
        <w:t>厘米</w:t>
      </w:r>
      <w:r>
        <w:t xml:space="preserve"> </w:t>
      </w:r>
      <w:r>
        <w:t>−1</w:t>
      </w:r>
      <w:r>
        <w:t xml:space="preserve"> </w:t>
      </w:r>
      <w:r>
        <w:t>在 25°C 时，Li 升高</w:t>
      </w:r>
      <w:r>
        <w:t xml:space="preserve"> </w:t>
      </w:r>
      <w:r>
        <w:t>+</w:t>
      </w:r>
      <w:r>
        <w:t xml:space="preserve"> </w:t>
      </w:r>
      <w:r>
        <w:t>转移数（</w:t>
      </w:r>
      <w:r>
        <w:t xml:space="preserve"> </w:t>
      </w:r>
      <w:r>
        <w:t>t</w:t>
      </w:r>
      <w:r>
        <w:t xml:space="preserve"> </w:t>
      </w:r>
      <w:r>
        <w:t>锂+</w:t>
      </w:r>
      <w:r>
        <w:t xml:space="preserve"> </w:t>
      </w:r>
      <w:r>
        <w:t>）为0.66，具有高凝固的固态特性。值得注意的是，Li||LiFePO</w:t>
      </w:r>
      <w:r>
        <w:rPr>
          <w:vertAlign w:val="subscript"/>
        </w:rPr>
        <w:t>4</w:t>
      </w:r>
      <w:r>
        <w:t>电池具有较长的循环寿命，在 1C 下循环 1500 次后，容量保持率为 92.2%，库仑效率接近 100%，容量保持率为 83.8%</w:t>
      </w:r>
    </w:p>
    <w:p>
      <w:pPr>
        <w:spacing w:before="0" w:after="200" w:lineRule="auto" w:line="276"/>
      </w:pPr>
      <w:r>
        <w:rPr>
          <w:b/>
        </w:rPr>
        <w:t xml:space="preserve">Abstract (EN): </w:t>
      </w:r>
      <w:r>
        <w:t>Polymer electrolytes offer significant promise for high‐performance quasi‐solid‐state batteries due to their simple processing and excellent electrode compatibility. Nevertheless, they are intrinsically constrained by a critical compromise: while mobile solvents enable higher ionic conductivity (</w:t>
      </w:r>
      <w:r>
        <w:t xml:space="preserve"> </w:t>
      </w:r>
      <w:r>
        <w:t>σ</w:t>
      </w:r>
      <w:r>
        <w:t xml:space="preserve"> </w:t>
      </w:r>
      <w:r>
        <w:t>), these solvents inherently weaken solidification and therefore undermine intrinsic safety. Herein, we propose an innovative “armor polymerization” strategy to simultaneously achieve rapid Li conduction and robust solidification. Employing a functionalized ionic covalent organic framework (iCOF) as structural “armor” for in situ polymerization, our strategy creates hierarchical, low‐energy‐barrier ion‑transport pathways with weakened Li</w:t>
      </w:r>
      <w:r>
        <w:t xml:space="preserve"> </w:t>
      </w:r>
      <w:r>
        <w:t>+</w:t>
      </w:r>
      <w:r>
        <w:t xml:space="preserve"> </w:t>
      </w:r>
      <w:r>
        <w:t>‐polymer interactions, while immobilizing solvent molecules via hydrogen‑bond networks. The resulting electrolyte exhibits a</w:t>
      </w:r>
      <w:r>
        <w:t xml:space="preserve"> </w:t>
      </w:r>
      <w:r>
        <w:t>σ</w:t>
      </w:r>
      <w:r>
        <w:t xml:space="preserve"> </w:t>
      </w:r>
      <w:r>
        <w:t>of 7.6 × 10</w:t>
      </w:r>
      <w:r>
        <w:t xml:space="preserve"> </w:t>
      </w:r>
      <w:r>
        <w:t>−4</w:t>
      </w:r>
      <w:r>
        <w:t xml:space="preserve"> </w:t>
      </w:r>
      <w:r>
        <w:t>S cm</w:t>
      </w:r>
      <w:r>
        <w:t xml:space="preserve"> </w:t>
      </w:r>
      <w:r>
        <w:t>−1</w:t>
      </w:r>
      <w:r>
        <w:t xml:space="preserve"> </w:t>
      </w:r>
      <w:r>
        <w:t>at 25°C, an elevated Li</w:t>
      </w:r>
      <w:r>
        <w:t xml:space="preserve"> </w:t>
      </w:r>
      <w:r>
        <w:t>+</w:t>
      </w:r>
      <w:r>
        <w:t xml:space="preserve"> </w:t>
      </w:r>
      <w:r>
        <w:t>transference number (</w:t>
      </w:r>
      <w:r>
        <w:t xml:space="preserve"> </w:t>
      </w:r>
      <w:r>
        <w:t>t</w:t>
      </w:r>
      <w:r>
        <w:t xml:space="preserve"> </w:t>
      </w:r>
      <w:r>
        <w:t>Li+</w:t>
      </w:r>
      <w:r>
        <w:t xml:space="preserve"> </w:t>
      </w:r>
      <w:r>
        <w:t>) of 0.66, and solid‑state characteristics with high solidification. Remarkably, Li||LiFePO</w:t>
      </w:r>
      <w:r>
        <w:rPr>
          <w:vertAlign w:val="subscript"/>
        </w:rPr>
        <w:t>4</w:t>
      </w:r>
      <w:r>
        <w:t>cells deliver a long cycling life with a high‐capacity retention of 92.2% and a nearly 100% Coulombic efficiency after 1500 cycles at 1C, as well as a 83.8% capacity retention after 2200 cycles at 2C. Furthermore, Li||NCM523 maintains an extremely high‐capacity retention of 99.7% after 210 cycles at 0.5C. This strategy provides a novel pathway for designing high‐performance, safe quasi‐solid‐state batteries through advanced electrolyte engineering.</w:t>
      </w:r>
    </w:p>
    <w:p>
      <w:pPr>
        <w:spacing w:before="120" w:after="120"/>
      </w:pPr>
      <w:r>
        <w:rPr>
          <w:sz w:val="18"/>
        </w:rPr>
        <w:t>——————————————————————————————————————————————————————————————————————</w:t>
      </w:r>
    </w:p>
    <w:p>
      <w:pPr>
        <w:spacing w:before="160" w:after="40" w:line="240" w:lineRule="auto"/>
      </w:pPr>
      <w:r>
        <w:rPr>
          <w:b/>
        </w:rPr>
        <w:t xml:space="preserve">[18] </w:t>
      </w:r>
      <w:hyperlink r:id="rId133">
        <w:r>
          <w:rPr>
            <w:color w:val="1155CC"/>
            <w:u w:val="single"/>
          </w:rPr>
          <w:t>走向稳健的阴离子衍生界面：一种用于高压快速充电钠电池的新型三元溶剂电解质</w:t>
        </w:r>
      </w:hyperlink>
    </w:p>
    <w:p>
      <w:pPr>
        <w:spacing w:before="0" w:after="80"/>
      </w:pPr>
      <w:r>
        <w:rPr>
          <w:i/>
          <w:sz w:val="20"/>
        </w:rPr>
        <w:t>EN: Toward Robust Anion‐Derived Interphases: A Novel Ternary‐Solvent Electrolyte for High‐Voltage Fast‐Charging Sodium Batteries</w:t>
      </w:r>
    </w:p>
    <w:p>
      <w:pPr>
        <w:spacing w:before="0" w:after="120"/>
      </w:pPr>
      <w:r>
        <w:rPr>
          <w:b/>
        </w:rPr>
        <w:t xml:space="preserve">Source: </w:t>
      </w:r>
      <w:r>
        <w:t>Wiley: Angewandte Chemie International Edition: Table of Contents</w:t>
      </w:r>
      <w:r>
        <w:t xml:space="preserve">    </w:t>
      </w:r>
      <w:r>
        <w:rPr>
          <w:b/>
        </w:rPr>
        <w:t xml:space="preserve">Pub date: </w:t>
      </w:r>
      <w:r>
        <w:t>2026-08-16 16:28:12+00:00</w:t>
      </w:r>
      <w:r>
        <w:t xml:space="preserve">    </w:t>
      </w:r>
      <w:r>
        <w:rPr>
          <w:b/>
        </w:rPr>
        <w:t xml:space="preserve">DOI: </w:t>
      </w:r>
      <w:hyperlink r:id="rId134">
        <w:r>
          <w:rPr>
            <w:color w:val="1155CC"/>
            <w:u w:val="single"/>
          </w:rPr>
          <w:t>10.1002/anie.3464448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传统的碳酸盐电解质存在严重的氧化分解和NaNi不稳定的界面</w:t>
      </w:r>
      <w:r>
        <w:t xml:space="preserve"> </w:t>
      </w:r>
      <w:r>
        <w:t>1/3</w:t>
      </w:r>
      <w:r>
        <w:t xml:space="preserve"> </w:t>
      </w:r>
      <w:r>
        <w:t>铁</w:t>
      </w:r>
      <w:r>
        <w:t xml:space="preserve"> </w:t>
      </w:r>
      <w:r>
        <w:t>1/3</w:t>
      </w:r>
      <w:r>
        <w:t xml:space="preserve"> </w:t>
      </w:r>
      <w:r>
        <w:t>锰</w:t>
      </w:r>
      <w:r>
        <w:t xml:space="preserve"> </w:t>
      </w:r>
      <w:r>
        <w:t>1/3</w:t>
      </w:r>
      <w:r>
        <w:t xml:space="preserve"> </w:t>
      </w:r>
      <w:r>
        <w:t>氧</w:t>
      </w:r>
      <w:r>
        <w:rPr>
          <w:vertAlign w:val="subscript"/>
        </w:rPr>
        <w:t>2</w:t>
      </w:r>
      <w:r>
        <w:t>高电压和快速充电条件下的（NaNFM）阴极。在此，通过利用环丁砜（SL）、碳酸二甲酯（DMC）和乙氧基（五氟）环三磷腈（PFPN）溶剂的协同溶剂化结构调节设计了阴离子衍生的界面策略。在新型电解质（表示为SDP）中，SL与Na竞争性配位</w:t>
      </w:r>
      <w:r>
        <w:t xml:space="preserve"> </w:t>
      </w:r>
      <w:r>
        <w:t>+</w:t>
      </w:r>
      <w:r>
        <w:t xml:space="preserve"> </w:t>
      </w:r>
      <w:r>
        <w:t>抑制 DMC 氧化，而 PFPN 作为游离共溶剂以保持相间稳定性。重要的是，协同相互作用促进阴离子（PF</w:t>
      </w:r>
      <w:r>
        <w:rPr>
          <w:vertAlign w:val="subscript"/>
        </w:rPr>
        <w:t>6</w:t>
      </w:r>
      <w:r>
        <w:t>-</w:t>
      </w:r>
      <w:r>
        <w:t>）进入初级溶剂化鞘层，诱导阴离子和溶剂优先分解，形成无机、富含阴离子的阴极电解质界面（CEI），具有高机械模量（19.967 GPa）和均匀厚度（∼7 nm）。因此，SDP 具有良好的循环稳定性（在 3 C、2–4.1 V 下循环 300 次后容量保持率为 85.72%）、高初始库仑效率（92.03%）和卓越的倍率容量（57.83 mAh g）</w:t>
      </w:r>
      <w:r>
        <w:t xml:space="preserve"> </w:t>
      </w:r>
      <w:r>
        <w:t>−1</w:t>
      </w:r>
      <w:r>
        <w:t xml:space="preserve"> </w:t>
      </w:r>
      <w:r>
        <w:t>20°C）。此外，SDP 可有效减轻颗粒破裂、过渡金属溶解和气体逸出 (H</w:t>
      </w:r>
      <w:r>
        <w:rPr>
          <w:vertAlign w:val="subscript"/>
        </w:rPr>
        <w:t>2</w:t>
      </w:r>
    </w:p>
    <w:p>
      <w:pPr>
        <w:spacing w:before="0" w:after="200" w:lineRule="auto" w:line="276"/>
      </w:pPr>
      <w:r>
        <w:rPr>
          <w:b/>
        </w:rPr>
        <w:t xml:space="preserve">Abstract (EN): </w:t>
      </w:r>
      <w:r>
        <w:t>Conventional carbonate electrolytes suffer from severe oxidative decomposition and unstable interphases for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(NaNFM) cathode under high‐voltage and fast‐charging condition. Herein, an anion‐derived interphase strategy is designed via synergistic solvation structure regulation utilizing sulfolane (SL), dimethyl carbonate (DMC), and ethoxy(pentafluoro)cyclotriphosphazene (PFPN) solvents. In the novel electrolyte (denoted as SDP), SL competitively coordinates with Na</w:t>
      </w:r>
      <w:r>
        <w:t xml:space="preserve"> </w:t>
      </w:r>
      <w:r>
        <w:t>+</w:t>
      </w:r>
      <w:r>
        <w:t xml:space="preserve"> </w:t>
      </w:r>
      <w:r>
        <w:t>to suppress DMC oxidation, while PFPN acts as a free co‐solvent for interphase stability. Critically, the synergistic interactions promote anion (PF</w:t>
      </w:r>
      <w:r>
        <w:rPr>
          <w:vertAlign w:val="subscript"/>
        </w:rPr>
        <w:t>6</w:t>
      </w:r>
      <w:r>
        <w:t>−</w:t>
      </w:r>
      <w:r>
        <w:t>) entry into the primary solvation sheath, inducing preferential decomposition of anion and solvents to form an inorganic, anion‐rich cathode–electrolyte interphase (CEI) with high mechanical modulus (19.967 GPa) and uniform thickness (∼7 nm). Consequently, SDP delivers favorable cycling stability (85.72% capacity retention after 300 cycles at 3 C, 2–4.1 V), high initial coulombic efficiency (92.03%), and superior rate capacity (57.83 mAh g</w:t>
      </w:r>
      <w:r>
        <w:t xml:space="preserve"> </w:t>
      </w:r>
      <w:r>
        <w:t>−1</w:t>
      </w:r>
      <w:r>
        <w:t xml:space="preserve"> </w:t>
      </w:r>
      <w:r>
        <w:t>at 20 C). Furthermore, SDP effectively mitigates particle cracking, transition metals dissolution, and gas evolution (H</w:t>
      </w:r>
      <w:r>
        <w:rPr>
          <w:vertAlign w:val="subscript"/>
        </w:rPr>
        <w:t>2</w:t>
      </w:r>
      <w:r>
        <w:t>and CO</w:t>
      </w:r>
      <w:r>
        <w:rPr>
          <w:vertAlign w:val="subscript"/>
        </w:rPr>
        <w:t>2</w:t>
      </w:r>
      <w:r>
        <w:t>), while demonstrating broad compatibility with various layered oxide and polyanionic cathode materials. This work provides a rational electrolyte design strategy to construct a stable anion‐derived CEI by manipulating the electrolyte structure of anion and solvents.</w:t>
      </w:r>
    </w:p>
    <w:p>
      <w:pPr>
        <w:spacing w:before="120" w:after="120"/>
      </w:pPr>
      <w:r>
        <w:rPr>
          <w:sz w:val="18"/>
        </w:rPr>
        <w:t>——————————————————————————————————————————————————————————————————————</w:t>
      </w:r>
    </w:p>
    <w:p>
      <w:pPr>
        <w:spacing w:before="160" w:after="40" w:line="240" w:lineRule="auto"/>
      </w:pPr>
      <w:r>
        <w:rPr>
          <w:b/>
        </w:rPr>
        <w:t xml:space="preserve">[19] </w:t>
      </w:r>
      <w:hyperlink r:id="rId135">
        <w:r>
          <w:rPr>
            <w:color w:val="1155CC"/>
            <w:u w:val="single"/>
          </w:rPr>
          <w:t>深入了解全固态锂电池中氧化物阴极活性材料/硫化物基固态电解质界面：耦合机械和（电）化学视角</w:t>
        </w:r>
      </w:hyperlink>
    </w:p>
    <w:p>
      <w:pPr>
        <w:spacing w:before="0" w:after="80"/>
      </w:pPr>
      <w:r>
        <w:rPr>
          <w:i/>
          <w:sz w:val="20"/>
        </w:rPr>
        <w:t>EN: Insights into the Oxide Cathode Active Material/Sulfide-Based Solid-State Electrolyte Interface in All-Solid-State Lithium Batteries: Coupling Mechanical and (Electro)chemical Perspectives</w:t>
      </w:r>
    </w:p>
    <w:p>
      <w:pPr>
        <w:spacing w:before="0" w:after="120"/>
      </w:pPr>
      <w:r>
        <w:rPr>
          <w:b/>
        </w:rPr>
        <w:t xml:space="preserve">Source: </w:t>
      </w:r>
      <w:r>
        <w:t>ACS Energy Letters: Latest Articles (ACS Publications)</w:t>
      </w:r>
      <w:r>
        <w:t xml:space="preserve">    </w:t>
      </w:r>
      <w:r>
        <w:rPr>
          <w:b/>
        </w:rPr>
        <w:t xml:space="preserve">Pub date: </w:t>
      </w:r>
      <w:r>
        <w:t>2026-08-17 00:00:00+00:00</w:t>
      </w:r>
      <w:r>
        <w:t xml:space="preserve">    </w:t>
      </w:r>
      <w:r>
        <w:rPr>
          <w:b/>
        </w:rPr>
        <w:t xml:space="preserve">DOI: </w:t>
      </w:r>
      <w:hyperlink r:id="rId136">
        <w:r>
          <w:rPr>
            <w:color w:val="1155CC"/>
            <w:u w:val="single"/>
          </w:rPr>
          <w:t>10.1021/acsenergylett.6c01559</w:t>
        </w:r>
      </w:hyperlink>
    </w:p>
    <w:p>
      <w:pPr>
        <w:spacing w:before="0" w:after="120"/>
      </w:pPr>
      <w:r>
        <w:rPr>
          <w:b/>
        </w:rPr>
        <w:t xml:space="preserve">Notes: </w:t>
      </w:r>
      <w:r>
        <w:t>abstract_source=crossref</w:t>
      </w:r>
    </w:p>
    <w:p>
      <w:pPr>
        <w:spacing w:before="0" w:after="80" w:lineRule="auto" w:line="276"/>
      </w:pPr>
      <w:r>
        <w:rPr>
          <w:b/>
        </w:rPr>
        <w:t xml:space="preserve">摘要（ZH）: </w:t>
      </w:r>
      <w:r>
        <w:t>摘要 全固态锂电池（ASSLB）具有安全可靠、能量密度高、循环稳定等特点，已进入重点开发和应用阶段。然而，阻碍其进一步商业化的主要挑战来自于阴极活性材料（CAM）/固态电解质（SSE）界面上复杂的机械-（电）化学耦合效应，这对界面接触完整性、离子传输效率以及整体电池性能和寿命至关重要。创新性地，这篇综述解耦并独立分析了两个核心退化途径：应力积累和结构演化引起的机械失效，以及空间电荷层（SCL）形成、元素扩散和界面反应驱动的（电）化学退化。相应的稳定策略受到严格评估，包括应变减轻设计，如单晶阴极、近零应变材料、可变形电解质和压力自适应组件，并通过涂层和缓冲层进行（电）化学钝化作为补充。最终，这项工作详细阐述了集成耦合机制，调查了先进的表征技术，并提出了未来的研究方向，为ASSLB的发展提供了理论和方法指导。</w:t>
      </w:r>
    </w:p>
    <w:p>
      <w:pPr>
        <w:spacing w:before="0" w:after="200" w:lineRule="auto" w:line="276"/>
      </w:pPr>
      <w:r>
        <w:rPr>
          <w:b/>
        </w:rPr>
        <w:t xml:space="preserve">Abstract (EN): </w:t>
      </w:r>
      <w:r>
        <w:t>All-solid-state lithium batteries (ASSLBs) feature reliable safety, high energy density, and stable cycling, stepping into the key development and application stage. However, a main challenge impeding their further commercialization arises from the complex mechano-(electro)chemical coupling effects at the cathode active material (CAM)/solid-state electrolyte (SSE) interface, which critically governs interfacial contact integrity, ion transport efficiency, and overall cell performance and lifespan. Innovatively, this review decouples and independently analyzes two core degradation pathways: mechanical failure induced by stress accumulation and structural evolution and (electro)chemical degradation driven by space charge layer (SCL) formation, elemental diffusion, and interfacial reactions. Corresponding stabilization strategies are critically evaluated, including strain-mitigating designs such as single-crystal cathodes, near-zero-strain materials, deformable electrolytes, and pressure-adaptive assembly, complemented by (electro)chemical passivation through coating and buffer layers. Ultimately, this work elaborates in detail on the integrated coupling mechanisms, surveys advanced characterization techniques, and proposes future research directions, offering theoretical and methodological guidance for ASSLB development.</w:t>
      </w:r>
    </w:p>
    <w:p>
      <w:pPr>
        <w:spacing w:before="120" w:after="120"/>
      </w:pPr>
      <w:r>
        <w:rPr>
          <w:sz w:val="18"/>
        </w:rPr>
        <w:t>——————————————————————————————————————————————————————————————————————</w:t>
      </w:r>
    </w:p>
    <w:p>
      <w:pPr>
        <w:spacing w:before="160" w:after="40" w:line="240" w:lineRule="auto"/>
      </w:pPr>
      <w:r>
        <w:rPr>
          <w:b/>
        </w:rPr>
        <w:t xml:space="preserve">[20] </w:t>
      </w:r>
      <w:hyperlink r:id="rId225">
        <w:r>
          <w:rPr>
            <w:color w:val="1155CC"/>
            <w:u w:val="single"/>
          </w:rPr>
          <w:t>固体电解质的电子传导性导致全固态电池发生物理自放电</w:t>
        </w:r>
      </w:hyperlink>
    </w:p>
    <w:p>
      <w:pPr>
        <w:spacing w:before="0" w:after="80"/>
      </w:pPr>
      <w:r>
        <w:rPr>
          <w:i/>
          <w:sz w:val="20"/>
        </w:rPr>
        <w:t>EN: Electronic conductivity of solid electrolytes causes physical self-discharge in all-solid-state batteries</w:t>
      </w:r>
    </w:p>
    <w:p>
      <w:pPr>
        <w:spacing w:before="0" w:after="120"/>
      </w:pPr>
      <w:r>
        <w:rPr>
          <w:b/>
        </w:rPr>
        <w:t xml:space="preserve">Source: </w:t>
      </w:r>
      <w:r>
        <w:t>Nature Energy</w:t>
      </w:r>
      <w:r>
        <w:t xml:space="preserve">    </w:t>
      </w:r>
      <w:r>
        <w:rPr>
          <w:b/>
        </w:rPr>
        <w:t xml:space="preserve">Pub date: </w:t>
      </w:r>
      <w:r>
        <w:t>2026-08-17 00:00:00+00:00</w:t>
      </w:r>
      <w:r>
        <w:t xml:space="preserve">    </w:t>
      </w:r>
      <w:r>
        <w:rPr>
          <w:b/>
        </w:rPr>
        <w:t xml:space="preserve">DOI: </w:t>
      </w:r>
      <w:hyperlink r:id="rId226">
        <w:r>
          <w:rPr>
            <w:color w:val="1155CC"/>
            <w:u w:val="single"/>
          </w:rPr>
          <w:t>10.1038/s41560-026-02090-x</w:t>
        </w:r>
      </w:hyperlink>
    </w:p>
    <w:p>
      <w:pPr>
        <w:spacing w:before="0" w:after="120"/>
      </w:pPr>
      <w:r>
        <w:rPr>
          <w:b/>
        </w:rPr>
        <w:t xml:space="preserve">Notes: </w:t>
      </w:r>
      <w:r>
        <w:t>abstract_source=rss_nature</w:t>
      </w:r>
    </w:p>
    <w:p>
      <w:pPr>
        <w:spacing w:before="0" w:after="80" w:lineRule="auto" w:line="276"/>
      </w:pPr>
      <w:r>
        <w:rPr>
          <w:b/>
        </w:rPr>
        <w:t xml:space="preserve">摘要（ZH）: </w:t>
      </w:r>
      <w:r>
        <w:t>物理自放电严重限制了全固态电池（ASSB）的使用寿命。王等人。研究表明，固态电解质不可忽略的电子电导率会导致 ASSB 中出现大量的物理自放电。</w:t>
      </w:r>
    </w:p>
    <w:p>
      <w:pPr>
        <w:spacing w:before="0" w:after="200" w:lineRule="auto" w:line="276"/>
      </w:pPr>
      <w:r>
        <w:rPr>
          <w:b/>
        </w:rPr>
        <w:t xml:space="preserve">Abstract (EN): </w:t>
      </w:r>
      <w:r>
        <w:t>Physical self-discharge critically limits the lifetime of all-solid-state batteries (ASSBs). Wang et al. showed that the non-negligible electronic conductivity of solid-state electrolytes can lead to substantial physical self-discharge in ASSBs.</w:t>
      </w:r>
    </w:p>
    <w:p>
      <w:pPr>
        <w:spacing w:before="120" w:after="120"/>
      </w:pPr>
      <w:r>
        <w:rPr>
          <w:sz w:val="18"/>
        </w:rPr>
        <w:t>——————————————————————————————————————————————————————————————————————</w:t>
      </w:r>
    </w:p>
    <w:p>
      <w:pPr>
        <w:spacing w:before="160" w:after="40" w:line="240" w:lineRule="auto"/>
      </w:pPr>
      <w:r>
        <w:rPr>
          <w:b/>
        </w:rPr>
        <w:t xml:space="preserve">[21] </w:t>
      </w:r>
      <w:hyperlink r:id="rId227">
        <w:r>
          <w:rPr>
            <w:color w:val="1155CC"/>
            <w:u w:val="single"/>
          </w:rPr>
          <w:t>作者更正：溶剂化化学的静电调节使安时级高能锂金属电池成为可能</w:t>
        </w:r>
      </w:hyperlink>
    </w:p>
    <w:p>
      <w:pPr>
        <w:spacing w:before="0" w:after="80"/>
      </w:pPr>
      <w:r>
        <w:rPr>
          <w:i/>
          <w:sz w:val="20"/>
        </w:rPr>
        <w:t>EN: Author Correction: Electrostatic regulation of solvation chemistry enables ampere-hour-scale high-energy lithium metal batteries</w:t>
      </w:r>
    </w:p>
    <w:p>
      <w:pPr>
        <w:spacing w:before="0" w:after="120"/>
      </w:pPr>
      <w:r>
        <w:rPr>
          <w:b/>
        </w:rPr>
        <w:t xml:space="preserve">Source: </w:t>
      </w:r>
      <w:r>
        <w:t>Nature Nanotechnology</w:t>
      </w:r>
      <w:r>
        <w:t xml:space="preserve">    </w:t>
      </w:r>
      <w:r>
        <w:rPr>
          <w:b/>
        </w:rPr>
        <w:t xml:space="preserve">Pub date: </w:t>
      </w:r>
      <w:r>
        <w:t>2026-08-17 00:00:00+00:00</w:t>
      </w:r>
      <w:r>
        <w:t xml:space="preserve">    </w:t>
      </w:r>
      <w:r>
        <w:rPr>
          <w:b/>
        </w:rPr>
        <w:t xml:space="preserve">DOI: </w:t>
      </w:r>
      <w:hyperlink r:id="rId228">
        <w:r>
          <w:rPr>
            <w:color w:val="1155CC"/>
            <w:u w:val="single"/>
          </w:rPr>
          <w:t>10.1038/s41565-026-02277-z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229">
        <w:r>
          <w:rPr>
            <w:color w:val="1155CC"/>
            <w:u w:val="single"/>
          </w:rPr>
          <w:t>通过从头算非绝热分子动力学揭示固体电解质界面的激发态电化学反应路径</w:t>
        </w:r>
      </w:hyperlink>
    </w:p>
    <w:p>
      <w:pPr>
        <w:spacing w:before="0" w:after="80"/>
      </w:pPr>
      <w:r>
        <w:rPr>
          <w:i/>
          <w:sz w:val="20"/>
        </w:rPr>
        <w:t>EN: Revealing Excited-State Electrochemical Reaction Pathways at Solid Electrolyte Interphases by Ab Initio Nonadiabatic Molecular Dynamics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230">
        <w:r>
          <w:rPr>
            <w:color w:val="1155CC"/>
            <w:u w:val="single"/>
          </w:rPr>
          <w:t>10.1021/jacs.6c12254</w:t>
        </w:r>
      </w:hyperlink>
    </w:p>
    <w:p>
      <w:pPr>
        <w:spacing w:before="0" w:after="120"/>
      </w:pPr>
      <w:r>
        <w:rPr>
          <w:b/>
        </w:rPr>
        <w:t xml:space="preserve">Notes: </w:t>
      </w:r>
      <w:r>
        <w:t>abstract_source=crossref</w:t>
      </w:r>
    </w:p>
    <w:p>
      <w:pPr>
        <w:spacing w:before="0" w:after="80" w:lineRule="auto" w:line="276"/>
      </w:pPr>
      <w:r>
        <w:rPr>
          <w:b/>
        </w:rPr>
        <w:t xml:space="preserve">摘要（ZH）: </w:t>
      </w:r>
      <w:r>
        <w:t>摘要 电极电位通过控制带电界面的界面电子转移过程来控制电化学反应性。在不同的电化学势下，注入的电子可能会进入界面电解质复合物的不同电子态，从而可能驱动不同的非平衡激发态反应途径。传统的电化学框架主要关注平衡反应能量学，而界面电子转移后的非平衡动力学在很大程度上仍未得到探索。在这里，我们在 Ehrenfest 动力学框架内使用从头开始非绝热分子动力学 (NAMD) 模拟来研究这种超快界面反应动力学。使用碳酸亚乙酯（EC）作为锂离子电池中的典型电解质溶剂，我们证明电子注入溶剂化Li+络合物的不同电子态可以在飞秒到皮秒时间尺度上驱动性质不同的非绝热反应途径。此外，局部溶剂化环境和相邻反应单元之间的相互作用极大地改变了反应景观以及由此产生的与固体电解质界面形成相关的分解通道。这项工作建立了电化学反应的微观非平衡视角，并表明激发态动力学可能在传统基态描述之外的界面电化学反应中发挥重要作用。</w:t>
      </w:r>
    </w:p>
    <w:p>
      <w:pPr>
        <w:spacing w:before="0" w:after="200" w:lineRule="auto" w:line="276"/>
      </w:pPr>
      <w:r>
        <w:rPr>
          <w:b/>
        </w:rPr>
        <w:t xml:space="preserve">Abstract (EN): </w:t>
      </w:r>
      <w:r>
        <w:t>Electrode potential controls electrochemical reactivity by governing interfacial electron-transfer processes at electrified interfaces. Under varying electrochemical potentials, injected electrons may access different electronic states of interfacial electrolyte complexes, potentially driving distinct nonequilibrium excited-state reaction pathways. Conventional electrochemical frameworks primarily focus on equilibrium reaction energetics, while the nonequilibrium dynamics following interfacial electron transfer remain largely unexplored. Here, we investigate such ultrafast interfacial reaction dynamics using ab initio nonadiabatic molecular dynamics (NAMD) simulations within the Ehrenfest dynamics framework. Using ethylene carbonate (EC) as a prototypical electrolyte solvent in Li-ion batteries, we show that electron injection into different electronic states of solvated Li+ complexes can drive qualitatively distinct nonadiabatic reaction pathways on femtosecond-to-picosecond time scales. Furthermore, local solvation environments and interactions between neighboring reaction units substantially modify the reaction landscape and the resulting decomposition channels relevant to solid electrolyte interphase formation. This work establishes a microscopic nonequilibrium perspective on electrochemical reactivity and suggests that excited-state dynamics may play an important role in interfacial electrochemical reactions beyond conventional ground-state descriptions.</w:t>
      </w:r>
    </w:p>
    <w:p>
      <w:pPr>
        <w:spacing w:before="120" w:after="120"/>
      </w:pPr>
      <w:r>
        <w:rPr>
          <w:sz w:val="18"/>
        </w:rPr>
        <w:t>——————————————————————————————————————————————————————————————————————</w:t>
      </w:r>
    </w:p>
    <w:p>
      <w:pPr>
        <w:spacing w:before="160" w:after="40" w:line="240" w:lineRule="auto"/>
      </w:pPr>
      <w:r>
        <w:rPr>
          <w:b/>
        </w:rPr>
        <w:t xml:space="preserve">[23] </w:t>
      </w:r>
      <w:hyperlink r:id="rId231">
        <w:r>
          <w:rPr>
            <w:color w:val="1155CC"/>
            <w:u w:val="single"/>
          </w:rPr>
          <w:t>用于调节锂硫电池溶剂化化学的凝胶聚合物电解质的焓-熵分子设计</w:t>
        </w:r>
      </w:hyperlink>
    </w:p>
    <w:p>
      <w:pPr>
        <w:spacing w:before="0" w:after="80"/>
      </w:pPr>
      <w:r>
        <w:rPr>
          <w:i/>
          <w:sz w:val="20"/>
        </w:rPr>
        <w:t>EN: Enthalpy‐Entropy Molecular Design of Gel Polymer Electrolytes for Regulating Solvation Chemistry in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2026-08-17 08:06:47+00:00</w:t>
      </w:r>
      <w:r>
        <w:t xml:space="preserve">    </w:t>
      </w:r>
      <w:r>
        <w:rPr>
          <w:b/>
        </w:rPr>
        <w:t xml:space="preserve">DOI: </w:t>
      </w:r>
      <w:hyperlink r:id="rId232">
        <w:r>
          <w:rPr>
            <w:color w:val="1155CC"/>
            <w:u w:val="single"/>
          </w:rPr>
          <w:t>10.1002/anie.7695165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凝胶聚合物电解质（GPE）在锂硫（Li-S）电池中显示出巨大的前景，但其实际应用受到Li的高热焓的限制</w:t>
      </w:r>
      <w:r>
        <w:t xml:space="preserve"> </w:t>
      </w:r>
      <w:r>
        <w:t>+</w:t>
      </w:r>
      <w:r>
        <w:t xml:space="preserve"> </w:t>
      </w:r>
      <w:r>
        <w:t>去溶剂化和多硫化物的缓慢转化率会破坏氧化还原途径并加速容量衰减。在这里，我们提出了一种熵熵分子设计策略，将这些过程集成到统一的电解质系统中。通过调节Li的溶剂化结构</w:t>
      </w:r>
      <w:r>
        <w:t xml:space="preserve"> </w:t>
      </w:r>
      <w:r>
        <w:t>+</w:t>
      </w:r>
      <w:r>
        <w:t xml:space="preserve"> </w:t>
      </w:r>
      <w:r>
        <w:t>和多硫化物，我们既可以限制可用的反应途径，又可以控制多硫化物在溶剂化结构内的配位环境。通过调节溶剂化结构，我们降低了Li和Li的去溶剂化焓</w:t>
      </w:r>
      <w:r>
        <w:t xml:space="preserve"> </w:t>
      </w:r>
      <w:r>
        <w:t>+</w:t>
      </w:r>
      <w:r>
        <w:t xml:space="preserve"> </w:t>
      </w:r>
      <w:r>
        <w:t>和多硫化物，从而促进Li的均匀成核</w:t>
      </w:r>
      <w:r>
        <w:rPr>
          <w:vertAlign w:val="subscript"/>
        </w:rPr>
        <w:t>2</w:t>
      </w:r>
      <w:r>
        <w:t>S. 这种开创性的设计使所得的 GPE 的离子电导率高达 1.21 mS cm</w:t>
      </w:r>
      <w:r>
        <w:t xml:space="preserve"> </w:t>
      </w:r>
      <w:r>
        <w:t>−1</w:t>
      </w:r>
      <w:r>
        <w:t xml:space="preserve"> </w:t>
      </w:r>
      <w:r>
        <w:t>在 22°C 和 Li</w:t>
      </w:r>
      <w:r>
        <w:t xml:space="preserve"> </w:t>
      </w:r>
      <w:r>
        <w:t>+</w:t>
      </w:r>
      <w:r>
        <w:t xml:space="preserve"> </w:t>
      </w:r>
      <w:r>
        <w:t>转移数为0.82，所得Li||Li对称电池可以稳定循环超过2250小时。因此，该电池在 2C 下经过 1000 次循环后，表现出每循环 0.043% 的超低容量衰减率，并且在组装成 1.8 Ah 软包电池（403.7 Wh kg）时仍能保持功能。</w:t>
      </w:r>
      <w:r>
        <w:t xml:space="preserve"> </w:t>
      </w:r>
      <w:r>
        <w:t>−1</w:t>
      </w:r>
      <w:r>
        <w:t xml:space="preserve"> </w:t>
      </w:r>
      <w:r>
        <w:t>）。这项研究强调了熵熵分子设计策略在 GPE 中的关键作用。</w:t>
      </w:r>
    </w:p>
    <w:p>
      <w:pPr>
        <w:spacing w:before="0" w:after="200" w:lineRule="auto" w:line="276"/>
      </w:pPr>
      <w:r>
        <w:rPr>
          <w:b/>
        </w:rPr>
        <w:t xml:space="preserve">Abstract (EN): </w:t>
      </w:r>
      <w:r>
        <w:t>Gel polymer electrolytes (GPEs) show great promise in lithium–sulfur (Li–S) batteries, but their practical application is limited by the high enthalpy of Li</w:t>
      </w:r>
      <w:r>
        <w:t xml:space="preserve"> </w:t>
      </w:r>
      <w:r>
        <w:t>+</w:t>
      </w:r>
      <w:r>
        <w:t xml:space="preserve"> </w:t>
      </w:r>
      <w:r>
        <w:t>desolvation and the slow conversion rate of polysulfides, which disrupt the redox pathway and accelerate capacity decay. Here, we propose an enthalpy‐entropy molecular design strategy to integrate these processes into a unified electrolyte system. By regulating the solvation structures of Li</w:t>
      </w:r>
      <w:r>
        <w:t xml:space="preserve"> </w:t>
      </w:r>
      <w:r>
        <w:t>+</w:t>
      </w:r>
      <w:r>
        <w:t xml:space="preserve"> </w:t>
      </w:r>
      <w:r>
        <w:t>and polysulfides, we can both restrict available reaction pathways and control the coordination environment of polysulfides within the solvation structure. By modulating the solvation structure, we reduce the desolvation enthalpy of both Li</w:t>
      </w:r>
      <w:r>
        <w:t xml:space="preserve"> </w:t>
      </w:r>
      <w:r>
        <w:t>+</w:t>
      </w:r>
      <w:r>
        <w:t xml:space="preserve"> </w:t>
      </w:r>
      <w:r>
        <w:t>and polysulfides, thereby promoting uniform nucleation of Li</w:t>
      </w:r>
      <w:r>
        <w:rPr>
          <w:vertAlign w:val="subscript"/>
        </w:rPr>
        <w:t>2</w:t>
      </w:r>
      <w:r>
        <w:t>S. This pioneering design enables the resulting GPE with an ionic conductivity of up to 1.21 mS cm</w:t>
      </w:r>
      <w:r>
        <w:t xml:space="preserve"> </w:t>
      </w:r>
      <w:r>
        <w:t>−1</w:t>
      </w:r>
      <w:r>
        <w:t xml:space="preserve"> </w:t>
      </w:r>
      <w:r>
        <w:t>at 22°C and a Li</w:t>
      </w:r>
      <w:r>
        <w:t xml:space="preserve"> </w:t>
      </w:r>
      <w:r>
        <w:t>+</w:t>
      </w:r>
      <w:r>
        <w:t xml:space="preserve"> </w:t>
      </w:r>
      <w:r>
        <w:t>transference number of 0.82, the resulting Li||Li symmetric cell can cycle stably for over 2250 h. Consequently, the cell exhibits an ultralow capacity fading rate of 0.043% per cycle over 1000 cycles at 2C and remained functional when assembled into a 1.8 Ah pouch‐cell (403.7 Wh kg</w:t>
      </w:r>
      <w:r>
        <w:t xml:space="preserve"> </w:t>
      </w:r>
      <w:r>
        <w:t>−1</w:t>
      </w:r>
      <w:r>
        <w:t xml:space="preserve"> </w:t>
      </w:r>
      <w:r>
        <w:t>). This study highlights the crucial role of enthalpy‐entropy molecular design strategies in GPEs.</w:t>
      </w:r>
    </w:p>
    <w:p>
      <w:pPr>
        <w:spacing w:before="120" w:after="120"/>
      </w:pPr>
      <w:r>
        <w:rPr>
          <w:sz w:val="18"/>
        </w:rPr>
        <w:t>——————————————————————————————————————————————————————————————————————</w:t>
      </w:r>
    </w:p>
    <w:p>
      <w:pPr>
        <w:spacing w:before="160" w:after="40" w:line="240" w:lineRule="auto"/>
      </w:pPr>
      <w:r>
        <w:rPr>
          <w:b/>
        </w:rPr>
        <w:t xml:space="preserve">[24] </w:t>
      </w:r>
      <w:hyperlink r:id="rId143">
        <w:r>
          <w:rPr>
            <w:color w:val="1155CC"/>
            <w:u w:val="single"/>
          </w:rPr>
          <w:t>高镍阴极存储诱导降解的界面化学</w:t>
        </w:r>
      </w:hyperlink>
    </w:p>
    <w:p>
      <w:pPr>
        <w:spacing w:before="0" w:after="80"/>
      </w:pPr>
      <w:r>
        <w:rPr>
          <w:i/>
          <w:sz w:val="20"/>
        </w:rPr>
        <w:t>EN: Interfacial Chemistry of Storage-Induced Degradation in High-Nickel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44">
        <w:r>
          <w:rPr>
            <w:color w:val="1155CC"/>
            <w:u w:val="single"/>
          </w:rPr>
          <w:t>10.1021/jacs.6c06113</w:t>
        </w:r>
      </w:hyperlink>
    </w:p>
    <w:p>
      <w:pPr>
        <w:spacing w:before="0" w:after="120"/>
      </w:pPr>
      <w:r>
        <w:rPr>
          <w:b/>
        </w:rPr>
        <w:t xml:space="preserve">Notes: </w:t>
      </w:r>
      <w:r>
        <w:t>abstract_source=crossref</w:t>
      </w:r>
    </w:p>
    <w:p>
      <w:pPr>
        <w:spacing w:before="0" w:after="80" w:lineRule="auto" w:line="276"/>
      </w:pPr>
      <w:r>
        <w:rPr>
          <w:b/>
        </w:rPr>
        <w:t xml:space="preserve">摘要（ZH）: </w:t>
      </w:r>
      <w:r>
        <w:t>摘要电化学系统中的界面不稳定性仍然是一个基本挑战，特别是在高镍层状氧化物中，即使在接近平衡的条件下，活性表面也会驱动寄生化学。在这里，我们阐明了 LiNi0.8Mn0.1Co0.1O2 正极存储引起的降解的化学起源，表明电解质分解和界面 Ni 溶解是控制存储过程中容量损失的相关过程。基于这种机制洞察，我们通过将密度泛函理论与机器学习原子间势相结合，开发了一个用于工程阴极电解质界面（CEIs）的数据驱动框架。这种方法能够快速评估多种电解质添加剂的分子描述符。无监督聚类强调双草酸硼酸锂 (LiBOB) 和三氟甲亚磺酸锂是有效的 CEI 形成添加剂。实验验证证实，加入 0.05 M LiBOB 可以显着稳定界面，在 60 °C 储存 28 天后容量保留率从 82% 提高到 95.5%，并且在软包电池中表现一致。此外，使用弛豫时间分布分析评估界面稳定性，为评估 CEI 演化提供实用的描述符。这项工作建立了一种可推广的、数据驱动的策略，用于理解和控制亚稳态电化学系统中的界面反应性。</w:t>
      </w:r>
    </w:p>
    <w:p>
      <w:pPr>
        <w:spacing w:before="0" w:after="200" w:lineRule="auto" w:line="276"/>
      </w:pPr>
      <w:r>
        <w:rPr>
          <w:b/>
        </w:rPr>
        <w:t xml:space="preserve">Abstract (EN): </w:t>
      </w:r>
      <w:r>
        <w:t>Interfacial instability in electrochemical systems remains a fundamental challenge, particularly in high-nickel layered oxides where reactive surfaces drive parasitic chemistry even under near-equilibrium conditions. Here, we elucidate the chemical origins of storage-induced degradation in LiNi0.8Mn0.1Co0.1O2 cathodes, showing that electrolyte decomposition and interfacial Ni dissolution are correlated processes that govern capacity loss during storage. Building on this mechanistic insight, we develop a data-driven framework for engineering cathode–electrolyte interphases (CEIs) by integrating density functional theory with machine-learning interatomic potentials. This approach enables rapid evaluation of molecular descriptors for a diverse set of electrolyte additives. Unsupervised clustering highlights lithium bis(oxalato)borate (LiBOB) and lithium trifluoromethanesulfinate as effective CEI-forming additives. Experimental validation confirms that incorporating 0.05 M LiBOB significantly stabilizes the interface, improving capacity retention from 82% to 95.5% after 28 days of storage at 60 °C, with consistent behavior in a pouch cell. Furthermore, interfacial stability is assessed using distribution-of-relaxation-time analysis, providing a practical descriptor for evaluating CEI evolution. This work establishes a generalizable, data-driven strategy for understanding and controlling interfacial reactivity in metastable electrochemical systems.</w:t>
      </w:r>
    </w:p>
    <w:p>
      <w:pPr>
        <w:spacing w:before="120" w:after="120"/>
      </w:pPr>
      <w:r>
        <w:rPr>
          <w:sz w:val="18"/>
        </w:rPr>
        <w:t>——————————————————————————————————————————————————————————————————————</w:t>
      </w:r>
    </w:p>
    <w:p>
      <w:pPr>
        <w:spacing w:before="160" w:after="40" w:line="240" w:lineRule="auto"/>
      </w:pPr>
      <w:r>
        <w:rPr>
          <w:b/>
        </w:rPr>
        <w:t xml:space="preserve">[25] </w:t>
      </w:r>
      <w:hyperlink r:id="rId233">
        <w:r>
          <w:rPr>
            <w:color w:val="1155CC"/>
            <w:u w:val="single"/>
          </w:rPr>
          <w:t>钠离子电池中的醚基电解质和溶剂化结构</w:t>
        </w:r>
      </w:hyperlink>
    </w:p>
    <w:p>
      <w:pPr>
        <w:spacing w:before="0" w:after="80"/>
      </w:pPr>
      <w:r>
        <w:rPr>
          <w:i/>
          <w:sz w:val="20"/>
        </w:rPr>
        <w:t>EN: Ether‐Based Electrolytes and the Solvation Structure in Sodium Ion Batteries</w:t>
      </w:r>
    </w:p>
    <w:p>
      <w:pPr>
        <w:spacing w:before="0" w:after="120"/>
      </w:pPr>
      <w:r>
        <w:rPr>
          <w:b/>
        </w:rPr>
        <w:t xml:space="preserve">Source: </w:t>
      </w:r>
      <w:r>
        <w:t>Wiley: Advanced Energy Materials: Table of Contents</w:t>
      </w:r>
      <w:r>
        <w:t xml:space="preserve">    </w:t>
      </w:r>
      <w:r>
        <w:rPr>
          <w:b/>
        </w:rPr>
        <w:t xml:space="preserve">Pub date: </w:t>
      </w:r>
      <w:r>
        <w:t>2026-08-18 11:53:12+00:00</w:t>
      </w:r>
      <w:r>
        <w:t xml:space="preserve">    </w:t>
      </w:r>
      <w:r>
        <w:rPr>
          <w:b/>
        </w:rPr>
        <w:t xml:space="preserve">DOI: </w:t>
      </w:r>
      <w:hyperlink r:id="rId234">
        <w:r>
          <w:rPr>
            <w:color w:val="1155CC"/>
            <w:u w:val="single"/>
          </w:rPr>
          <w:t>10.1002/aenm.71452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由于钠资源的成本效益，钠离子电池（SIB）是大规模储能的有希望的候选者。 SIB 需要合适且可靠的电解质，具有优异的热力学和动力学特性以及电化学和化学稳定性。电化学过程中较高的供体数量、亲核螯合能力和新颖的共插机制使醚成为 SIB 中新兴的电解质溶剂。了解电池中醚溶剂的功能将促进电解质的研究。然而，由于现有检测技术的局限性，仍然缺乏对局部溶剂化结构及其在控制电池行为的电化学过程中的演变的全面和深入的了解。本文对醚溶剂化结构的表征、溶剂和盐对调节固体电解质界面形成的影响以及实验室和工业实践应用的最新研究进行了总结和讨论。特别强调了溶剂化结构、电化学行为和电化学性能之间的相关性，旨在为SIBs高性能电解质的合理设计提供见解。提出的观点是为了推进研究发展，我们希望这篇综述能够阐明对醚溶剂化结构的理解和未来在 SIB 中的应用。</w:t>
      </w:r>
    </w:p>
    <w:p>
      <w:pPr>
        <w:spacing w:before="0" w:after="200" w:lineRule="auto" w:line="276"/>
      </w:pPr>
      <w:r>
        <w:rPr>
          <w:b/>
        </w:rPr>
        <w:t xml:space="preserve">Abstract (EN): </w:t>
      </w:r>
      <w:r>
        <w:t>Sodium‐ion batteries (SIBs) are promising candidates for large‐scale energy storage due to the cost‐effectiveness of sodium resources. Suitable and reliable electrolytes with excellent thermodynamic and kinetic properties as well as electrochemical and chemical stability are desired for SIBs. The higher donor number, nucleophilic chelating ability, and the novel co‐intercalation mechanism during the electrochemical process make ether an emerging electrolyte solvent in SIB. Understanding the functionality of ether solvents in batteries would promote the investigation of electrolyte. However, owing to the limitations of existing detection techniques, a comprehensive and in‐depth understanding of localized solvation structures and their evolution during electrochemical processes, which govern battery behavior, is still lacking. The recent investigations about the characterization of ether solvation structure, the solvent and salt impact on adjusting the formation of solid electrolyte interphase and practice application in both laboratory and industry are summarized and discussed in this review. In particular, the correlations between solvation structure, electrochemical behaviors and electrochemical performance are highlighted, aiming to provide insight into the rational design of high‐performance electrolytes for SIBs. Perspectives are proposed to advance research development, and we hope the review can shed light on the understanding of ether solvation structure and future applications in SIBs.</w:t>
      </w:r>
    </w:p>
    <w:p>
      <w:pPr>
        <w:spacing w:before="120" w:after="120"/>
      </w:pPr>
      <w:r>
        <w:rPr>
          <w:sz w:val="18"/>
        </w:rPr>
        <w:t>——————————————————————————————————————————————————————————————————————</w:t>
      </w:r>
    </w:p>
    <w:p>
      <w:pPr>
        <w:spacing w:before="160" w:after="40" w:line="240" w:lineRule="auto"/>
      </w:pPr>
      <w:r>
        <w:rPr>
          <w:b/>
        </w:rPr>
        <w:t xml:space="preserve">[26] </w:t>
      </w:r>
      <w:hyperlink r:id="rId235">
        <w:r>
          <w:rPr>
            <w:color w:val="1155CC"/>
            <w:u w:val="single"/>
          </w:rPr>
          <w:t>盐包水电解质电极极化过程中的早期气体逸出</w:t>
        </w:r>
      </w:hyperlink>
    </w:p>
    <w:p>
      <w:pPr>
        <w:spacing w:before="0" w:after="80"/>
      </w:pPr>
      <w:r>
        <w:rPr>
          <w:i/>
          <w:sz w:val="20"/>
        </w:rPr>
        <w:t>EN: Early Gas Evolution during Electrode Polarization in Water-in-Salt Electrolyte</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236">
        <w:r>
          <w:rPr>
            <w:color w:val="1155CC"/>
            <w:u w:val="single"/>
          </w:rPr>
          <w:t>10.1021/jacs.6c13982</w:t>
        </w:r>
      </w:hyperlink>
    </w:p>
    <w:p>
      <w:pPr>
        <w:spacing w:before="0" w:after="120"/>
      </w:pPr>
      <w:r>
        <w:rPr>
          <w:b/>
        </w:rPr>
        <w:t xml:space="preserve">Notes: </w:t>
      </w:r>
      <w:r>
        <w:t>abstract_source=crossref</w:t>
      </w:r>
    </w:p>
    <w:p>
      <w:pPr>
        <w:spacing w:before="0" w:after="80" w:lineRule="auto" w:line="276"/>
      </w:pPr>
      <w:r>
        <w:rPr>
          <w:b/>
        </w:rPr>
        <w:t xml:space="preserve">摘要（ZH）: </w:t>
      </w:r>
      <w:r>
        <w:t>摘要 高盐浓度盐包水电解质（WiSE）已被证明可以有效调节极化电极界面的水活性，从而有利于电池和电催化系统。为了充分利用电化学系统中 WiSE 的独特性能，必须系统地研究极化下水的界面结构和动力学，以确定电解质成分如何决定反应性。在这里，我们结合循环伏安法 (CV)、定量电化学质谱 (ECMS) 和表面敏感壳隔离纳米颗粒增强拉曼光谱 (SHINERS) 来揭示多晶 Pt 电极上 WiSE 中水还原和氧化的界面途径。这些条件导致质子还原和水还原产生的 H2 明显解耦，并在水氧化产生连续 O2 产生之前，通过 ECMS 检测到意外的阳极波，同时检测到有限的 O2。 SHINERS 查明了这些现象的分子起源，捕获了场诱导的水重新定向、界面 O-H 模式的振动硬化，以及 Pt-OH、Pt-O2- 和 Pt-Ox 物质的出现，这些物质在静态流体动力条件下仍被困在亥姆霍兹平面内，随后氧化为 O2。这些结果表明，酸性 WiSE 中的界面水电解在受限的微环境中独特地表现出抑制的质子迁移率和中间羟基物种的稳定性。因此，这项工作提供了第一个完整的分子水平图像</w:t>
      </w:r>
    </w:p>
    <w:p>
      <w:pPr>
        <w:spacing w:before="0" w:after="200" w:lineRule="auto" w:line="276"/>
      </w:pPr>
      <w:r>
        <w:rPr>
          <w:b/>
        </w:rPr>
        <w:t xml:space="preserve">Abstract (EN): </w:t>
      </w:r>
      <w:r>
        <w:t>High salt concentration water-in-salt electrolytes (WiSEs) have proven effective at modulating water activity at polarized electrode interfaces, to the benefit of battery and electrocatalytic systems. To fully leverage the unique properties of WiSE for electrochemical systems, the interfacial structure and dynamics of water under polarization must be systematically investigated to establish how electrolyte composition dictates reactivity. Here we combine cyclic voltammetry (CV), quantitative electrochemical mass spectrometry (ECMS), and surface-sensitive shell-isolated nanoparticle-enhanced Raman spectroscopy (SHINERS) to unravel the interfacial pathways of water reduction and oxidation in WiSE on polycrystalline Pt electrodes. These conditions result in clear decoupling of H2 evolving from proton reduction and water reduction and reveal an unexpected anodic wave with coincident finite O2 detection via ECMS, prior to the onset of continuous O2 evolution from water oxidation. SHINERS pinpoints the molecular origin of these phenomena, capturing field-induced water reorientation, vibrational stiffening of interfacial O–H modes, and the emergence of Pt–OH, Pt–O2–, and Pt–Ox species that remain trapped within the inner Helmholtz plane under static hydrodynamic conditions, which later oxidize to O2. These results establish that interfacial water electrolysis in acidic WiSE uniquely exhibits suppressed proton mobility and stabilization of intermediate hydroxyl species within a constrained microenvironment. This work thus provides the first integrated molecular-level picture of how interfacial water structures drive nonclassical gas evolution pathways in WiSEs, which represent critical considerations for aqueous batteries and catalytic devices.</w:t>
      </w:r>
    </w:p>
    <w:p>
      <w:pPr>
        <w:spacing w:before="120" w:after="120"/>
      </w:pPr>
      <w:r>
        <w:rPr>
          <w:sz w:val="18"/>
        </w:rPr>
        <w:t>——————————————————————————————————————————————————————————————————————</w:t>
      </w:r>
    </w:p>
    <w:p>
      <w:pPr>
        <w:spacing w:before="160" w:after="40" w:line="240" w:lineRule="auto"/>
      </w:pPr>
      <w:r>
        <w:rPr>
          <w:b/>
        </w:rPr>
        <w:t xml:space="preserve">[27] </w:t>
      </w:r>
      <w:hyperlink r:id="rId199">
        <w:r>
          <w:rPr>
            <w:color w:val="1155CC"/>
            <w:u w:val="single"/>
          </w:rPr>
          <w:t>了解钠离子电池中电解质与硬碳界面的协同作用：从机理洞察到设计策略</w:t>
        </w:r>
      </w:hyperlink>
    </w:p>
    <w:p>
      <w:pPr>
        <w:spacing w:before="0" w:after="80"/>
      </w:pPr>
      <w:r>
        <w:rPr>
          <w:i/>
          <w:sz w:val="20"/>
        </w:rPr>
        <w:t>EN: Understanding the Electrolyte‐Hard Carbon Interphase Synergy in Sodium‐Ion Batteries: From Mechanistic Insights to Design Strategies</w:t>
      </w:r>
    </w:p>
    <w:p>
      <w:pPr>
        <w:spacing w:before="0" w:after="120"/>
      </w:pPr>
      <w:r>
        <w:rPr>
          <w:b/>
        </w:rPr>
        <w:t xml:space="preserve">Source: </w:t>
      </w:r>
      <w:r>
        <w:t>Wiley: Advanced Energy Materials: Table of Contents</w:t>
      </w:r>
      <w:r>
        <w:t xml:space="preserve">    </w:t>
      </w:r>
      <w:r>
        <w:rPr>
          <w:b/>
        </w:rPr>
        <w:t xml:space="preserve">Pub date: </w:t>
      </w:r>
      <w:r>
        <w:t>2026-08-19 06:27:14+00:00</w:t>
      </w:r>
      <w:r>
        <w:t xml:space="preserve">    </w:t>
      </w:r>
      <w:r>
        <w:rPr>
          <w:b/>
        </w:rPr>
        <w:t xml:space="preserve">DOI: </w:t>
      </w:r>
      <w:hyperlink r:id="rId200">
        <w:r>
          <w:rPr>
            <w:color w:val="1155CC"/>
            <w:u w:val="single"/>
          </w:rPr>
          <w:t>10.1002/aenm.71425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硬碳是钠离子电池最实用的阳极，但其部署受到不稳定、不均匀的固体电解质界面（SEI）的阻碍，这种界面会导致不可逆的钠损失、高界面电阻和容量衰减。本综述讨论了 SEI 的形成作为电解质化学与局部碳界面之间的动态耦合，并讨论了溶剂化结构、阴离子化学、浓度和添加剂与硬碳表面基团、掺杂剂、孔隙和缺陷的相互作用，以控制 SEI 特性。基于这种理解，我们提出了电解质-硬碳界面协同的透视框架，其中包括四个耦合设计方向：（i）溶剂化-孔隙耦合以平衡去溶剂化、孔隙可及性和受限钠存储； (ii) 表面和添加剂引导的电解质分解以调节 SEI 成分； (iii) 孔缺陷电解质调节以实现选择性Na</w:t>
      </w:r>
      <w:r>
        <w:t xml:space="preserve"> </w:t>
      </w:r>
      <w:r>
        <w:t>+</w:t>
      </w:r>
      <w:r>
        <w:t xml:space="preserve"> </w:t>
      </w:r>
      <w:r>
        <w:t>运输同时抑制孔内 SEI 生长； （iv）通过无机-有机杂化结构构建化学和机械上坚固的界面。一个关键的差距仍然缺失</w:t>
      </w:r>
      <w:r>
        <w:t xml:space="preserve"> </w:t>
      </w:r>
      <w:r>
        <w:t>操作</w:t>
      </w:r>
      <w:r>
        <w:t xml:space="preserve"> </w:t>
      </w:r>
      <w:r>
        <w:t>界面电场与 SEI 演化之间的联系，阻碍了自限钝化的合理设计。我们概述了高性能钠离子电池化学稳健、超薄和离子导电界面的未来方向。</w:t>
      </w:r>
    </w:p>
    <w:p>
      <w:pPr>
        <w:spacing w:before="0" w:after="200" w:lineRule="auto" w:line="276"/>
      </w:pPr>
      <w:r>
        <w:rPr>
          <w:b/>
        </w:rPr>
        <w:t xml:space="preserve">Abstract (EN): </w:t>
      </w:r>
      <w:r>
        <w:t>Hard carbon is the most practical anode for sodium‐ion batteries, yet its deployment is hindered by an unstable, non‐uniform solid electrolyte interphase (SEI) that causes irreversible Na loss, high interfacial resistance, and capacity fading. This review discusses SEI formation as a dynamic coupling between electrolyte chemistry and the local carbon interface, and discuss the interactions of solvation structure, anion chemistry, concentration, and additives with hard carbon surface groups, dopants, pores, and defects to govern SEI properties. Based on this understanding, we propose a perspective framework for electrolyte‐hard carbon interphase synergy, which includes four coupled design directions: (i) solvation‐pore coupling to balance desolvation, pore accessibility, and confined sodium storage; (ii) surface‐ and additive‐guided electrolyte decomposition to regulate SEI composition; (iii) pore‐defect‐electrolyte regulation to enable selective Na</w:t>
      </w:r>
      <w:r>
        <w:t xml:space="preserve"> </w:t>
      </w:r>
      <w:r>
        <w:t>+</w:t>
      </w:r>
      <w:r>
        <w:t xml:space="preserve"> </w:t>
      </w:r>
      <w:r>
        <w:t>transport while suppressing intrapore SEI growth; (iv) constructing chemically and mechanically robust interphases through inorganic‐organic hybrid architectures. A key gap remains the missing in</w:t>
      </w:r>
      <w:r>
        <w:t xml:space="preserve"> </w:t>
      </w:r>
      <w:r>
        <w:t>operando</w:t>
      </w:r>
      <w:r>
        <w:t xml:space="preserve"> </w:t>
      </w:r>
      <w:r>
        <w:t>link between interfacial electric fields and SEI evolution, hindering rational design of self‐limiting passivation. We outline future directions toward chemically robust, ultrathin, and ionically conductive interphases for high‐performance sodium‐ion batteries.</w:t>
      </w:r>
    </w:p>
    <w:p>
      <w:pPr>
        <w:spacing w:before="120" w:after="120"/>
      </w:pPr>
      <w:r>
        <w:rPr>
          <w:sz w:val="18"/>
        </w:rPr>
        <w:t>——————————————————————————————————————————————————————————————————————</w:t>
      </w:r>
    </w:p>
    <w:p>
      <w:pPr>
        <w:spacing w:before="160" w:after="40" w:line="240" w:lineRule="auto"/>
      </w:pPr>
      <w:r>
        <w:rPr>
          <w:b/>
        </w:rPr>
        <w:t xml:space="preserve">[28] </w:t>
      </w:r>
      <w:hyperlink r:id="rId157">
        <w:r>
          <w:rPr>
            <w:color w:val="1155CC"/>
            <w:u w:val="single"/>
          </w:rPr>
          <w:t>植入的 Zn2+ 导电水凝胶界面可实现用于 Ah 级水性锌碘袋电池的高度紧凑的厚碘电极</w:t>
        </w:r>
      </w:hyperlink>
    </w:p>
    <w:p>
      <w:pPr>
        <w:spacing w:before="0" w:after="80"/>
      </w:pPr>
      <w:r>
        <w:rPr>
          <w:i/>
          <w:sz w:val="20"/>
        </w:rPr>
        <w:t>EN: Implanted Zn2+‐Conducting Hydrogel Interphase Enables Highly Compacted Thick Iodine Electrodes for Ah‐Level Aqueous Zinc–Iodine Pouch Batteries</w:t>
      </w:r>
    </w:p>
    <w:p>
      <w:pPr>
        <w:spacing w:before="0" w:after="120"/>
      </w:pPr>
      <w:r>
        <w:rPr>
          <w:b/>
        </w:rPr>
        <w:t xml:space="preserve">Source: </w:t>
      </w:r>
      <w:r>
        <w:t>Wiley: Angewandte Chemie International Edition: Table of Contents</w:t>
      </w:r>
      <w:r>
        <w:t xml:space="preserve">    </w:t>
      </w:r>
      <w:r>
        <w:rPr>
          <w:b/>
        </w:rPr>
        <w:t xml:space="preserve">Pub date: </w:t>
      </w:r>
      <w:r>
        <w:t>2026-08-19 08:42:59+00:00</w:t>
      </w:r>
      <w:r>
        <w:t xml:space="preserve">    </w:t>
      </w:r>
      <w:r>
        <w:rPr>
          <w:b/>
        </w:rPr>
        <w:t xml:space="preserve">DOI: </w:t>
      </w:r>
      <w:hyperlink r:id="rId158">
        <w:r>
          <w:rPr>
            <w:color w:val="1155CC"/>
            <w:u w:val="single"/>
          </w:rPr>
          <w:t>10.1002/anie.6865881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提高干法厚碘阴极的压实密度对于提高能量密度至关重要，但仍然受到反应动力学缓慢和多碘化物穿梭加剧的阻碍。在此，我们报告了植入的 Zn</w:t>
      </w:r>
      <w:r>
        <w:t xml:space="preserve"> </w:t>
      </w:r>
      <w:r>
        <w:t>2+</w:t>
      </w:r>
      <w:r>
        <w:t xml:space="preserve"> </w:t>
      </w:r>
      <w:r>
        <w:t>‐导电（PAMPS-Zn，聚（2-丙烯酰胺基-2-甲基丙磺酸锌））水凝胶界面，通过原位紫外线诱导聚合，使局部 Zn</w:t>
      </w:r>
      <w:r>
        <w:t xml:space="preserve"> </w:t>
      </w:r>
      <w:r>
        <w:t>2+</w:t>
      </w:r>
      <w:r>
        <w:t xml:space="preserve"> </w:t>
      </w:r>
      <w:r>
        <w:t>缓冲、增强锌</w:t>
      </w:r>
      <w:r>
        <w:t xml:space="preserve"> </w:t>
      </w:r>
      <w:r>
        <w:t>2+</w:t>
      </w:r>
      <w:r>
        <w:t xml:space="preserve"> </w:t>
      </w:r>
      <w:r>
        <w:t>传输和抑制高度压缩的干法碘阴极中的聚碘化物迁移。聚合物链中丰富的磺酸基团作为固定的阴离子位点来协调 Zn</w:t>
      </w:r>
      <w:r>
        <w:t xml:space="preserve"> </w:t>
      </w:r>
      <w:r>
        <w:t>2+</w:t>
      </w:r>
      <w:r>
        <w:t xml:space="preserve"> </w:t>
      </w:r>
      <w:r>
        <w:t>并提供本地 Zn</w:t>
      </w:r>
      <w:r>
        <w:t xml:space="preserve"> </w:t>
      </w:r>
      <w:r>
        <w:t>2+</w:t>
      </w:r>
      <w:r>
        <w:t xml:space="preserve"> </w:t>
      </w:r>
      <w:r>
        <w:t>储层，减轻界面锌</w:t>
      </w:r>
      <w:r>
        <w:t xml:space="preserve"> </w:t>
      </w:r>
      <w:r>
        <w:t>2+</w:t>
      </w:r>
      <w:r>
        <w:t xml:space="preserve"> </w:t>
      </w:r>
      <w:r>
        <w:t>耗尽。同时，互连的Zn</w:t>
      </w:r>
      <w:r>
        <w:t xml:space="preserve"> </w:t>
      </w:r>
      <w:r>
        <w:t>2+</w:t>
      </w:r>
      <w:r>
        <w:t xml:space="preserve"> </w:t>
      </w:r>
      <w:r>
        <w:t>‐传导水凝胶网络有利于锌</w:t>
      </w:r>
      <w:r>
        <w:t xml:space="preserve"> </w:t>
      </w:r>
      <w:r>
        <w:t>2+</w:t>
      </w:r>
      <w:r>
        <w:t xml:space="preserve"> </w:t>
      </w:r>
      <w:r>
        <w:t>通过厚电极进行传输，减少了对干法电极中传统电解质渗透介导的离子传输的依赖，这种依赖本质上受到 PTFE 粘合剂的疏水性和高离子弯曲度的限制。重要的是，带负电的水调节水凝胶界面还通过静电排斥抑制聚碘化物扩散，并减少水驱动的溶解。</w:t>
      </w:r>
    </w:p>
    <w:p>
      <w:pPr>
        <w:spacing w:before="0" w:after="200" w:lineRule="auto" w:line="276"/>
      </w:pPr>
      <w:r>
        <w:rPr>
          <w:b/>
        </w:rPr>
        <w:t xml:space="preserve">Abstract (EN): </w:t>
      </w:r>
      <w:r>
        <w:t>Increasing the compaction density of dry‐processed thick iodine cathodes is essential for enhancing energy density, yet remains hindered by sluggish reaction kinetics and aggravated polyiodide shuttling. Herein, we report an implanted Zn</w:t>
      </w:r>
      <w:r>
        <w:t xml:space="preserve"> </w:t>
      </w:r>
      <w:r>
        <w:t>2+</w:t>
      </w:r>
      <w:r>
        <w:t xml:space="preserve"> </w:t>
      </w:r>
      <w:r>
        <w:t>‐conducting (PAMPS‐Zn, poly(zinc 2‐acrylamido‐2‐methylpropane sulfonate)) hydrogel interphase via in situ ultraviolet‐induced polymerization, which enables local Zn</w:t>
      </w:r>
      <w:r>
        <w:t xml:space="preserve"> </w:t>
      </w:r>
      <w:r>
        <w:t>2+</w:t>
      </w:r>
      <w:r>
        <w:t xml:space="preserve"> </w:t>
      </w:r>
      <w:r>
        <w:t>buffering, enhanced Zn</w:t>
      </w:r>
      <w:r>
        <w:t xml:space="preserve"> </w:t>
      </w:r>
      <w:r>
        <w:t>2+</w:t>
      </w:r>
      <w:r>
        <w:t xml:space="preserve"> </w:t>
      </w:r>
      <w:r>
        <w:t>transport, and suppression of polyiodide migration in highly compacted dry‐processed iodine cathodes. Abundant sulfonate groups in polymeric chains serve as immobilized anionic sites that coordinate Zn</w:t>
      </w:r>
      <w:r>
        <w:t xml:space="preserve"> </w:t>
      </w:r>
      <w:r>
        <w:t>2+</w:t>
      </w:r>
      <w:r>
        <w:t xml:space="preserve"> </w:t>
      </w:r>
      <w:r>
        <w:t>and provide a local Zn</w:t>
      </w:r>
      <w:r>
        <w:t xml:space="preserve"> </w:t>
      </w:r>
      <w:r>
        <w:t>2+</w:t>
      </w:r>
      <w:r>
        <w:t xml:space="preserve"> </w:t>
      </w:r>
      <w:r>
        <w:t>reservoir, which mitigates interfacial Zn</w:t>
      </w:r>
      <w:r>
        <w:t xml:space="preserve"> </w:t>
      </w:r>
      <w:r>
        <w:t>2+</w:t>
      </w:r>
      <w:r>
        <w:t xml:space="preserve"> </w:t>
      </w:r>
      <w:r>
        <w:t>depletion. Meanwhile, the interconnected Zn</w:t>
      </w:r>
      <w:r>
        <w:t xml:space="preserve"> </w:t>
      </w:r>
      <w:r>
        <w:t>2+</w:t>
      </w:r>
      <w:r>
        <w:t xml:space="preserve"> </w:t>
      </w:r>
      <w:r>
        <w:t>‐conducting hydrogel network facilitates Zn</w:t>
      </w:r>
      <w:r>
        <w:t xml:space="preserve"> </w:t>
      </w:r>
      <w:r>
        <w:t>2+</w:t>
      </w:r>
      <w:r>
        <w:t xml:space="preserve"> </w:t>
      </w:r>
      <w:r>
        <w:t>transport through the thick electrode, reducing reliance on conventional electrolyte‐permeation‐mediated ion transport in dry‐processed electrodes, which is intrinsically limited by the hydrophobic nature of the PTFE binder and high ionic tortuosity. Importantly, the negatively charged, water‐regulated hydrogel interphase also suppresses polyiodide diffusion through electrostatic repulsion and reduced water‐driven dissolution. Consequently, under high compaction conditions (∼0.5 g cm</w:t>
      </w:r>
      <w:r>
        <w:t xml:space="preserve"> </w:t>
      </w:r>
      <w:r>
        <w:t>−3</w:t>
      </w:r>
      <w:r>
        <w:t xml:space="preserve"> </w:t>
      </w:r>
      <w:r>
        <w:t>), Zn–I</w:t>
      </w:r>
      <w:r>
        <w:rPr>
          <w:vertAlign w:val="subscript"/>
        </w:rPr>
        <w:t>2</w:t>
      </w:r>
      <w:r>
        <w:t>batteries incorporating PAMPS‐Zn interphase achieve a high areal capacity of 9.6 mAh cm</w:t>
      </w:r>
      <w:r>
        <w:t xml:space="preserve"> </w:t>
      </w:r>
      <w:r>
        <w:t>−2</w:t>
      </w:r>
      <w:r>
        <w:t xml:space="preserve"> </w:t>
      </w:r>
      <w:r>
        <w:t>at 0.5 C and an ultralong lifespan exceeding 4400 cycles at 5 C. Notably, Ah‐level Zn‐I</w:t>
      </w:r>
      <w:r>
        <w:rPr>
          <w:vertAlign w:val="subscript"/>
        </w:rPr>
        <w:t>2</w:t>
      </w:r>
      <w:r>
        <w:t>pouch cells (∼1.2 Ah) achieve stable operation for 850 cycles, providing compelling proof‐of‐concept validation of this strategy.</w:t>
      </w:r>
    </w:p>
    <w:p>
      <w:pPr>
        <w:spacing w:before="120" w:after="120"/>
      </w:pPr>
      <w:r>
        <w:rPr>
          <w:sz w:val="18"/>
        </w:rPr>
        <w:t>——————————————————————————————————————————————————————————————————————</w:t>
      </w:r>
    </w:p>
    <w:p>
      <w:pPr>
        <w:spacing w:before="160" w:after="40" w:line="240" w:lineRule="auto"/>
      </w:pPr>
      <w:r>
        <w:rPr>
          <w:b/>
        </w:rPr>
        <w:t xml:space="preserve">[29] </w:t>
      </w:r>
      <w:hyperlink r:id="rId159">
        <w:r>
          <w:rPr>
            <w:color w:val="1155CC"/>
            <w:u w:val="single"/>
          </w:rPr>
          <w:t>电化学激活的高度可逆硫酸盐转化使高电压和大容量锌基阴阳离子穿梭电池成为可能</w:t>
        </w:r>
      </w:hyperlink>
    </w:p>
    <w:p>
      <w:pPr>
        <w:spacing w:before="0" w:after="80"/>
      </w:pPr>
      <w:r>
        <w:rPr>
          <w:i/>
          <w:sz w:val="20"/>
        </w:rPr>
        <w:t>EN: Electrochemically Activated Highly Reversible Sulfate Conversion Enables High‐Voltage and Large‐Volumetric‐Capacity Zinc‐Based Anion–Cation Shuttle Battery</w:t>
      </w:r>
    </w:p>
    <w:p>
      <w:pPr>
        <w:spacing w:before="0" w:after="120"/>
      </w:pPr>
      <w:r>
        <w:rPr>
          <w:b/>
        </w:rPr>
        <w:t xml:space="preserve">Source: </w:t>
      </w:r>
      <w:r>
        <w:t>Wiley: Angewandte Chemie International Edition: Table of Contents</w:t>
      </w:r>
      <w:r>
        <w:t xml:space="preserve">    </w:t>
      </w:r>
      <w:r>
        <w:rPr>
          <w:b/>
        </w:rPr>
        <w:t xml:space="preserve">Pub date: </w:t>
      </w:r>
      <w:r>
        <w:t>2026-08-19 08:53:13+00:00</w:t>
      </w:r>
      <w:r>
        <w:t xml:space="preserve">    </w:t>
      </w:r>
      <w:r>
        <w:rPr>
          <w:b/>
        </w:rPr>
        <w:t xml:space="preserve">DOI: </w:t>
      </w:r>
      <w:hyperlink r:id="rId160">
        <w:r>
          <w:rPr>
            <w:color w:val="1155CC"/>
            <w:u w:val="single"/>
          </w:rPr>
          <w:t>10.1002/anie.3330483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由于优异的安全性能、高功率密度和成本效益，水系双离子电池（DIB）正在成为大规模固定储能最引人注目的选择之一。然而，它们的低输出电压导致能量密度不足。在这里，我们设计了一种高度可逆的 pH 中性 Ag↔Ag</w:t>
      </w:r>
      <w:r>
        <w:rPr>
          <w:vertAlign w:val="subscript"/>
        </w:rPr>
        <w:t>2</w:t>
      </w:r>
      <w:r>
        <w:t>SO</w:t>
      </w:r>
      <w:r>
        <w:rPr>
          <w:vertAlign w:val="subscript"/>
        </w:rPr>
        <w:t>4</w:t>
      </w:r>
      <w:r>
        <w:t>电化学并构建了一种新型的锌基转换型水性阴阳离子穿梭DIB。制备了具有功能石墨层的无枝晶锌阳极以提高循环寿命。受益于锌的同步效应</w:t>
      </w:r>
      <w:r>
        <w:t xml:space="preserve"> </w:t>
      </w:r>
      <w:r>
        <w:t>2+</w:t>
      </w:r>
      <w:r>
        <w:t xml:space="preserve"> </w:t>
      </w:r>
      <w:r>
        <w:t>/SO</w:t>
      </w:r>
      <w:r>
        <w:rPr>
          <w:vertAlign w:val="subscript"/>
        </w:rPr>
        <w:t>4</w:t>
      </w:r>
      <w:r>
        <w:t>2−</w:t>
      </w:r>
      <w:r>
        <w:t>双电荷携带和无枝晶阳极，DIB 提供 1.41 V 的高输出电压，体积能量密度为 3295.4 Wh L</w:t>
      </w:r>
      <w:r>
        <w:t xml:space="preserve"> </w:t>
      </w:r>
      <w:r>
        <w:t>−1</w:t>
      </w:r>
      <w:r>
        <w:t xml:space="preserve"> </w:t>
      </w:r>
      <w:r>
        <w:t>0.5安克时</w:t>
      </w:r>
      <w:r>
        <w:t xml:space="preserve"> </w:t>
      </w:r>
      <w:r>
        <w:t>−1</w:t>
      </w:r>
      <w:r>
        <w:t xml:space="preserve"> </w:t>
      </w:r>
      <w:r>
        <w:t>，在 1 A g 下 300 次循环后容量保持率为 95.9%</w:t>
      </w:r>
      <w:r>
        <w:t xml:space="preserve"> </w:t>
      </w:r>
      <w:r>
        <w:t>−1</w:t>
      </w:r>
      <w:r>
        <w:t xml:space="preserve"> </w:t>
      </w:r>
      <w:r>
        <w:t>，优于大多数报道的 DIB。作为概念验证，我们制造了一种具有卓越机械强度、柔韧性和令人印象深刻的耐温性的准固态水性 DIB。随着工作温度从 20°C 降至 -10°C，它仅表现出非常低的容量损失 (8.4%) 和可忽略不计的极化变化 (0.05 V)。这项工作克服了水基 DIB 中输出电压低的瓶颈，为 DIB 的设计提供了一条有前途的途径。</w:t>
      </w:r>
    </w:p>
    <w:p>
      <w:pPr>
        <w:spacing w:before="0" w:after="200" w:lineRule="auto" w:line="276"/>
      </w:pPr>
      <w:r>
        <w:rPr>
          <w:b/>
        </w:rPr>
        <w:t xml:space="preserve">Abstract (EN): </w:t>
      </w:r>
      <w:r>
        <w:t>Aqueous dual‐ion batteries (DIBs) are becoming one of the most compelling choices for large‐scale stationary energy storage owing to the excellent safety performance, high power density, and cost‐effectiveness. However, their low output voltage leads to insufficient energy density. Here, we design a highly reversible pH‐neutral Ag↔Ag</w:t>
      </w:r>
      <w:r>
        <w:rPr>
          <w:vertAlign w:val="subscript"/>
        </w:rPr>
        <w:t>2</w:t>
      </w:r>
      <w:r>
        <w:t>SO</w:t>
      </w:r>
      <w:r>
        <w:rPr>
          <w:vertAlign w:val="subscript"/>
        </w:rPr>
        <w:t>4</w:t>
      </w:r>
      <w:r>
        <w:t>electrochemistry and construct a novel Zn‐based conversion‐type aqueous anion–cation shuttle DIB. A dendrite‐free Zn anode with functional graphite layer is prepared to improve cycle life. Benefitting from the synchronous effect of Zn</w:t>
      </w:r>
      <w:r>
        <w:t xml:space="preserve"> </w:t>
      </w:r>
      <w:r>
        <w:t>2+</w:t>
      </w:r>
      <w:r>
        <w:t xml:space="preserve"> </w:t>
      </w:r>
      <w:r>
        <w:t>/SO</w:t>
      </w:r>
      <w:r>
        <w:rPr>
          <w:vertAlign w:val="subscript"/>
        </w:rPr>
        <w:t>4</w:t>
      </w:r>
      <w:r>
        <w:t>2−</w:t>
      </w:r>
      <w:r>
        <w:t>dual charge carries and dendrite‐free anode, the DIB delivers a high output voltage of 1.41 V, volumetric energy density of 3295.4 Wh L</w:t>
      </w:r>
      <w:r>
        <w:t xml:space="preserve"> </w:t>
      </w:r>
      <w:r>
        <w:t>−1</w:t>
      </w:r>
      <w:r>
        <w:t xml:space="preserve"> </w:t>
      </w:r>
      <w:r>
        <w:t>at 0.5 A g</w:t>
      </w:r>
      <w:r>
        <w:t xml:space="preserve"> </w:t>
      </w:r>
      <w:r>
        <w:t>−1</w:t>
      </w:r>
      <w:r>
        <w:t xml:space="preserve"> </w:t>
      </w:r>
      <w:r>
        <w:t>, and 95.9% capacity retention over 300 cycles at 1 A g</w:t>
      </w:r>
      <w:r>
        <w:t xml:space="preserve"> </w:t>
      </w:r>
      <w:r>
        <w:t>−1</w:t>
      </w:r>
      <w:r>
        <w:t xml:space="preserve"> </w:t>
      </w:r>
      <w:r>
        <w:t>, superior to most reported DIBs. As a proof of concept, we fabricate a quasi‐solid‐state aqueous DIB with remarkable mechanical strength, flexibility, and impressive temperature resistance. With working temperature decreasing from 20 to −10°C, it shows only a very low‐capacity loss (8.4%) and negligible polarization change (0.05 V). This work overcomes the bottleneck of low output voltage in aqueous DIBs and offers a promising pathway for the development of future aqueous batteries with high energy density.</w:t>
      </w:r>
    </w:p>
    <w:p>
      <w:pPr>
        <w:spacing w:before="120" w:after="120"/>
      </w:pPr>
      <w:r>
        <w:rPr>
          <w:sz w:val="18"/>
        </w:rPr>
        <w:t>——————————————————————————————————————————————————————————————————————</w:t>
      </w:r>
    </w:p>
    <w:p>
      <w:pPr>
        <w:spacing w:before="160" w:after="40" w:line="240" w:lineRule="auto"/>
      </w:pPr>
      <w:r>
        <w:rPr>
          <w:b/>
        </w:rPr>
        <w:t xml:space="preserve">[30] </w:t>
      </w:r>
      <w:hyperlink r:id="rId237">
        <w:r>
          <w:rPr>
            <w:color w:val="1155CC"/>
            <w:u w:val="single"/>
          </w:rPr>
          <w:t>热力学和动力学水分不稳定性的解耦揭示了硫代磷酸钠固体电解质的临界湿度阈值</w:t>
        </w:r>
      </w:hyperlink>
    </w:p>
    <w:p>
      <w:pPr>
        <w:spacing w:before="0" w:after="80"/>
      </w:pPr>
      <w:r>
        <w:rPr>
          <w:i/>
          <w:sz w:val="20"/>
        </w:rPr>
        <w:t>EN: Decoupling Thermodynamic and Kinetic Moisture Instability Reveals a Critical Humidity Threshold for Sodium Thiophosphate Solid Electrolyte</w:t>
      </w:r>
    </w:p>
    <w:p>
      <w:pPr>
        <w:spacing w:before="0" w:after="120"/>
      </w:pPr>
      <w:r>
        <w:rPr>
          <w:b/>
        </w:rPr>
        <w:t xml:space="preserve">Source: </w:t>
      </w:r>
      <w:r>
        <w:t>Wiley: Advanced Energy Materials: Table of Contents</w:t>
      </w:r>
      <w:r>
        <w:t xml:space="preserve">    </w:t>
      </w:r>
      <w:r>
        <w:rPr>
          <w:b/>
        </w:rPr>
        <w:t xml:space="preserve">Pub date: </w:t>
      </w:r>
      <w:r>
        <w:t>2026-08-19 10:22:20+00:00</w:t>
      </w:r>
      <w:r>
        <w:t xml:space="preserve">    </w:t>
      </w:r>
      <w:r>
        <w:rPr>
          <w:b/>
        </w:rPr>
        <w:t xml:space="preserve">DOI: </w:t>
      </w:r>
      <w:hyperlink r:id="rId238">
        <w:r>
          <w:rPr>
            <w:color w:val="1155CC"/>
            <w:u w:val="single"/>
          </w:rPr>
          <w:t>10.1002/aenm.71467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硫化钠固体电解质被广泛认为对湿度高度敏感，需要超低湿度（通常为 15-100 ppm）加工，这给固态电池制造带来了主要的成本障碍。然而，这些材料的实际水分稳定性极限仍然很难量化，并且降解的机械起源（无论是热力学还是动力学）尚未解决。这里，使用硫代磷酸钠，Na</w:t>
      </w:r>
      <w:r>
        <w:rPr>
          <w:vertAlign w:val="subscript"/>
        </w:rPr>
        <w:t>3</w:t>
      </w:r>
      <w:r>
        <w:t>聚苯乙烯</w:t>
      </w:r>
      <w:r>
        <w:rPr>
          <w:vertAlign w:val="subscript"/>
        </w:rPr>
        <w:t>4</w:t>
      </w:r>
      <w:r>
        <w:t>作为一个模型系统，我们建立了一个定量的水分稳定性框架，该框架将热力学和动力学对表观不稳定性的贡献解耦。相对湿度 13%–38% 的受控暴露研究，与 H 相关</w:t>
      </w:r>
      <w:r>
        <w:rPr>
          <w:vertAlign w:val="subscript"/>
        </w:rPr>
        <w:t>2</w:t>
      </w:r>
      <w:r>
        <w:t>S 演化、质量吸收、结构演化和离子电导率恢复揭示了接近 15% 相对湿度的临界湿度阈值，低于该阈值 Na</w:t>
      </w:r>
      <w:r>
        <w:rPr>
          <w:vertAlign w:val="subscript"/>
        </w:rPr>
        <w:t>3</w:t>
      </w:r>
      <w:r>
        <w:t>聚苯乙烯</w:t>
      </w:r>
      <w:r>
        <w:rPr>
          <w:vertAlign w:val="subscript"/>
        </w:rPr>
        <w:t>4</w:t>
      </w:r>
      <w:r>
        <w:t>发生可逆水合，表面水解程度最低，短暂热处理后在 13% 相对湿度下完全恢复其离子电导率。密度泛函理论表明，水合在热力学上是有利的（ΔG = -0.76 eV），而水解在动力学上由 1.78 eV 激活势垒控制，从而合理化了意外的耐受性。通过定义实用的湿度耐受窗口和可重复的基准测试协议，这项工作提供了可转移的基础</w:t>
      </w:r>
    </w:p>
    <w:p>
      <w:pPr>
        <w:spacing w:before="0" w:after="200" w:lineRule="auto" w:line="276"/>
      </w:pPr>
      <w:r>
        <w:rPr>
          <w:b/>
        </w:rPr>
        <w:t xml:space="preserve">Abstract (EN): </w:t>
      </w:r>
      <w:r>
        <w:t>Sodium sulfide solid electrolytes are widely regarded as highly moisture‐sensitive, requiring ultralow‐humidity (typically 15–100 ppm) processing that imposes a major cost barrier to solid‐state battery manufacturing. Yet the actual moisture‐stability limit of these materials remains poorly quantified, and the mechanistic origin of degradation, whether thermodynamic or kinetic, is unresolved. Here, using sodium thiophosphate, Na</w:t>
      </w:r>
      <w:r>
        <w:rPr>
          <w:vertAlign w:val="subscript"/>
        </w:rPr>
        <w:t>3</w:t>
      </w:r>
      <w:r>
        <w:t>PS</w:t>
      </w:r>
      <w:r>
        <w:rPr>
          <w:vertAlign w:val="subscript"/>
        </w:rPr>
        <w:t>4</w:t>
      </w:r>
      <w:r>
        <w:t>, as a model system, we establish a quantitative moisture‐stability framework that decouples thermodynamic and kinetic contributions to apparent instability. Controlled exposure studies across 13%–38% relative humidity, correlated with H</w:t>
      </w:r>
      <w:r>
        <w:rPr>
          <w:vertAlign w:val="subscript"/>
        </w:rPr>
        <w:t>2</w:t>
      </w:r>
      <w:r>
        <w:t>S evolution, mass uptake, structural evolution, and ionic conductivity recovery, reveal a critical humidity threshold near 15% relative humidity, below which Na</w:t>
      </w:r>
      <w:r>
        <w:rPr>
          <w:vertAlign w:val="subscript"/>
        </w:rPr>
        <w:t>3</w:t>
      </w:r>
      <w:r>
        <w:t>PS</w:t>
      </w:r>
      <w:r>
        <w:rPr>
          <w:vertAlign w:val="subscript"/>
        </w:rPr>
        <w:t>4</w:t>
      </w:r>
      <w:r>
        <w:t>undergoes reversible hydration with minimal hydrolysis on the surface, fully recovering its ionic conductivity at 13% relative humidity after brief heat treatment. Density functional theory shows that hydration is thermodynamically favorable (ΔG = −0.76 eV), whereas hydrolysis is kinetically gated by a 1.78 eV activation barrier, rationalizing the unexpected tolerance. By defining a practical humidity‐tolerance window and a reproducible benchmarking protocol, this work provides a transferable foundation for the rational design of moisture‐tolerant sulfide electrolytes toward substantially relaxed humidity requirements for all‐solid‐state battery manufacturing.</w:t>
      </w:r>
    </w:p>
    <w:p>
      <w:pPr>
        <w:spacing w:before="120" w:after="120"/>
      </w:pPr>
      <w:r>
        <w:rPr>
          <w:sz w:val="18"/>
        </w:rPr>
        <w:t>——————————————————————————————————————————————————————————————————————</w:t>
      </w:r>
    </w:p>
    <w:p>
      <w:pPr>
        <w:spacing w:before="160" w:after="40" w:line="240" w:lineRule="auto"/>
      </w:pPr>
      <w:r>
        <w:rPr>
          <w:b/>
        </w:rPr>
        <w:t xml:space="preserve">[31] </w:t>
      </w:r>
      <w:hyperlink r:id="rId165">
        <w:r>
          <w:rPr>
            <w:color w:val="1155CC"/>
            <w:u w:val="single"/>
          </w:rPr>
          <w:t>单侧氰基官能化不对称醚基电解质可实现稳定的高压锂金属电池</w:t>
        </w:r>
      </w:hyperlink>
    </w:p>
    <w:p>
      <w:pPr>
        <w:spacing w:before="0" w:after="80"/>
      </w:pPr>
      <w:r>
        <w:rPr>
          <w:i/>
          <w:sz w:val="20"/>
        </w:rPr>
        <w:t>EN: Unilateral‐Cyano‐Functionalized Asymmetric Ether‐Based Electrolytes Enable Stable High‐Voltage Lithium Metal Batteries</w:t>
      </w:r>
    </w:p>
    <w:p>
      <w:pPr>
        <w:spacing w:before="0" w:after="120"/>
      </w:pPr>
      <w:r>
        <w:rPr>
          <w:b/>
        </w:rPr>
        <w:t xml:space="preserve">Source: </w:t>
      </w:r>
      <w:r>
        <w:t>Wiley: Advanced Materials: Table of Contents</w:t>
      </w:r>
      <w:r>
        <w:t xml:space="preserve">    </w:t>
      </w:r>
      <w:r>
        <w:rPr>
          <w:b/>
        </w:rPr>
        <w:t xml:space="preserve">Pub date: </w:t>
      </w:r>
      <w:r>
        <w:t>2026-08-19 11:28:17+00:00</w:t>
      </w:r>
      <w:r>
        <w:t xml:space="preserve">    </w:t>
      </w:r>
      <w:r>
        <w:rPr>
          <w:b/>
        </w:rPr>
        <w:t xml:space="preserve">DOI: </w:t>
      </w:r>
      <w:hyperlink r:id="rId166">
        <w:r>
          <w:rPr>
            <w:color w:val="1155CC"/>
            <w:u w:val="single"/>
          </w:rPr>
          <w:t>10.1002/adma.74706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高能量密度电池的需求增加加剧了对高电压富镍三元正极的关注。然而，它们的高电压特性难以与传统醚电解质的狭窄电化学稳定性窗口相匹配。在此，我们通过分子工程提出了一系列单侧氰基官能化的不对称甘醇二甲醚（甘醇二甲醚-CN）电解质，其具有更宽的氧化稳定性。吸电子氰基通过抑制醚-氧孤对电子损失来增强氧化稳定性，同时它们的溶剂化结构经过微调以促进阴离子衍生的界面化学。名为 TF 的优化电解质甘醇二甲醚-CN 在 Li||Cu 电池中实现了 5.2 V 的电化学稳定性窗口、98.9% 的库仑效率，以及在 Li||Li 电池中稳定循环超过 1400 小时。 Li||磷酸铁锂</w:t>
      </w:r>
      <w:r>
        <w:rPr>
          <w:vertAlign w:val="subscript"/>
        </w:rPr>
        <w:t>4</w:t>
      </w:r>
      <w:r>
        <w:t>采用 TF 电解液的全电池具有出色的循环稳定性，保持 133.3 mAh g</w:t>
      </w:r>
      <w:r>
        <w:t xml:space="preserve"> </w:t>
      </w:r>
      <w:r>
        <w:t>−1</w:t>
      </w:r>
      <w:r>
        <w:t xml:space="preserve"> </w:t>
      </w:r>
      <w:r>
        <w:t>高容量，1C 循环 4000 次后容量保持率为 90.8%。此外，TF 还支持 4.3 V 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阴极在 800 次循环后保留 64.2% 的容量，即使在 4.6 V 下也能保持稳定运行。这种针对结构和性能定制的精确分子工程策略为先进的开发提供了新的见解。</w:t>
      </w:r>
    </w:p>
    <w:p>
      <w:pPr>
        <w:spacing w:before="0" w:after="200" w:lineRule="auto" w:line="276"/>
      </w:pPr>
      <w:r>
        <w:rPr>
          <w:b/>
        </w:rPr>
        <w:t xml:space="preserve">Abstract (EN): </w:t>
      </w:r>
      <w:r>
        <w:t>Enhanced demand for high‐energy‐density batteries has intensified the focus on high‐voltage Ni‐rich ternary cathodes. However, their high‐voltage characteristics are challenging to match the narrow electrochemical stability window of traditional ether electrolytes. Herein, we propose a series of unilateral‐cyano‐functionalized asymmetric glyme (glyme‐CN) electrolytes with broadened oxidation stability by molecular engineering. The electron‐withdrawing cyano group enhances oxidation stability by suppressing ether‐oxygen lone pair loss, while their solvation structures are finely tuned to promote anion‐derived interfacial chemistry. The optimized electrolyte glyme‐CN named TF achieves a 5.2 V electrochemical stability window, 98.9% Coulombic efficiency in Li||Cu cells, and stable cycling in Li||Li cells over 1400 h. The Li||LiFePO</w:t>
      </w:r>
      <w:r>
        <w:rPr>
          <w:vertAlign w:val="subscript"/>
        </w:rPr>
        <w:t>4</w:t>
      </w:r>
      <w:r>
        <w:t>full battery with electrolyte TF delivers remarkable cycling stability, maintaining 133.3 mAh g</w:t>
      </w:r>
      <w:r>
        <w:t xml:space="preserve"> </w:t>
      </w:r>
      <w:r>
        <w:t>−1</w:t>
      </w:r>
      <w:r>
        <w:t xml:space="preserve"> </w:t>
      </w:r>
      <w:r>
        <w:t>high capacity with a 90.8% capacity retention rate after 4000 cycles at 1C. Furthermore, TF enables a 4.3 V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 to retain 64.2% capacity after 800 cycles and sustains stable operation even at 4.6 V. This precise molecular engineering strategy for structure and property customization provides new insights into the development of advanced battery materials.</w:t>
      </w:r>
    </w:p>
    <w:p>
      <w:pPr>
        <w:spacing w:before="120" w:after="120"/>
      </w:pPr>
      <w:r>
        <w:rPr>
          <w:sz w:val="18"/>
        </w:rPr>
        <w:t>——————————————————————————————————————————————————————————————————————</w:t>
      </w:r>
    </w:p>
    <w:p>
      <w:pPr>
        <w:spacing w:before="160" w:after="40" w:line="240" w:lineRule="auto"/>
      </w:pPr>
      <w:r>
        <w:rPr>
          <w:b/>
        </w:rPr>
        <w:t xml:space="preserve">[32] </w:t>
      </w:r>
      <w:hyperlink r:id="rId167">
        <w:r>
          <w:rPr>
            <w:color w:val="1155CC"/>
            <w:u w:val="single"/>
          </w:rPr>
          <w:t>突破能量密度极限：与非晶锂钒氧化物薄膜阴极集成的无阳极固态电池（Adv. Energy Mater. 31/2026）</w:t>
        </w:r>
      </w:hyperlink>
    </w:p>
    <w:p>
      <w:pPr>
        <w:spacing w:before="0" w:after="80"/>
      </w:pPr>
      <w:r>
        <w:rPr>
          <w:i/>
          <w:sz w:val="20"/>
        </w:rPr>
        <w:t>EN: Pushing Energy Density Limits: Anode‐Less Solid‐State Battery Integrated With Amorphous Lithium Vanadium Oxide Thin‐Film Cathode (Adv. Energy Mater. 31/2026)</w:t>
      </w:r>
    </w:p>
    <w:p>
      <w:pPr>
        <w:spacing w:before="0" w:after="120"/>
      </w:pPr>
      <w:r>
        <w:rPr>
          <w:b/>
        </w:rPr>
        <w:t xml:space="preserve">Source: </w:t>
      </w:r>
      <w:r>
        <w:t>Wiley: Advanced Energy Materials: Table of Contents</w:t>
      </w:r>
      <w:r>
        <w:t xml:space="preserve">    </w:t>
      </w:r>
      <w:r>
        <w:rPr>
          <w:b/>
        </w:rPr>
        <w:t xml:space="preserve">Pub date: </w:t>
      </w:r>
      <w:r>
        <w:t>2026-08-19 16:16:34+00:00</w:t>
      </w:r>
      <w:r>
        <w:t xml:space="preserve">    </w:t>
      </w:r>
      <w:r>
        <w:rPr>
          <w:b/>
        </w:rPr>
        <w:t xml:space="preserve">DOI: </w:t>
      </w:r>
      <w:hyperlink r:id="rId168">
        <w:r>
          <w:rPr>
            <w:color w:val="1155CC"/>
            <w:u w:val="single"/>
          </w:rPr>
          <w:t>10.1002/aenm.71327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39">
        <w:r>
          <w:rPr>
            <w:color w:val="1155CC"/>
            <w:u w:val="single"/>
          </w:rPr>
          <w:t>为单离子导电有机离子固体中的车辆运输定制能量景观</w:t>
        </w:r>
      </w:hyperlink>
    </w:p>
    <w:p>
      <w:pPr>
        <w:spacing w:before="0" w:after="80"/>
      </w:pPr>
      <w:r>
        <w:rPr>
          <w:i/>
          <w:sz w:val="20"/>
        </w:rPr>
        <w:t>EN: Tailoring Energy Landscapes for Vehicular Transport in Single-Ion Conducting Organo-Ionic Solids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240">
        <w:r>
          <w:rPr>
            <w:color w:val="1155CC"/>
            <w:u w:val="single"/>
          </w:rPr>
          <w:t>10.1021/jacs.6c07483</w:t>
        </w:r>
      </w:hyperlink>
    </w:p>
    <w:p>
      <w:pPr>
        <w:spacing w:before="0" w:after="120"/>
      </w:pPr>
      <w:r>
        <w:rPr>
          <w:b/>
        </w:rPr>
        <w:t xml:space="preserve">Notes: </w:t>
      </w:r>
      <w:r>
        <w:t>abstract_source=crossref</w:t>
      </w:r>
    </w:p>
    <w:p>
      <w:pPr>
        <w:spacing w:before="0" w:after="80" w:lineRule="auto" w:line="276"/>
      </w:pPr>
      <w:r>
        <w:rPr>
          <w:b/>
        </w:rPr>
        <w:t xml:space="preserve">摘要（ZH）: </w:t>
      </w:r>
      <w:r>
        <w:t>摘要 具有高载流子浓度和阳离子迁移率的单离子导电有机离子（ORION）固体作为电池电解质受到高度追捧，但由于接触离子对的丰富性和静态特性抑制了长程阳离子传输，因此在很大程度上遥不可及。在这里，我们展示了基于甘醇二甲醚的有机配体如何减少由四聚双（磺酰亚胺）制成的钠离子传导 ORION 固体中接触离子对的普遍性，从而为具有可调能量景观的车辆运输打开了大门。当 L 型醚配体相对于 Na+ 离子的化学计量数增加至 4 时，Na+ 传输的活化势垒降低了 &gt;50%，从 117.2 kJ·mol–1 减少到 52.2 kJ·mol–1。在此优选方案中，1,2-二甲氧基乙烷具有最高的离子电导率（60 °C 时为 0.28 mS·cm-1），因为移动电荷载体的有效质量较低。分子动力学模拟和 23Na-NMR 实验表明，通过添加甘醇二甲醚配体，接触离子对可有效转化为载体 Na+ 物质，从而改善钠传导。电泳核磁共振测量显示，阴离子四聚体在高场强 (9.1 × 10–11 m2 V–1 s–1) 下的迁移率非常低，提供了高阳离子迁移数 t+ = 0.84。</w:t>
      </w:r>
    </w:p>
    <w:p>
      <w:pPr>
        <w:spacing w:before="0" w:after="200" w:lineRule="auto" w:line="276"/>
      </w:pPr>
      <w:r>
        <w:rPr>
          <w:b/>
        </w:rPr>
        <w:t xml:space="preserve">Abstract (EN): </w:t>
      </w:r>
      <w:r>
        <w:t>Single-ion conducting organo-ionic (ORION) solids with concomitantly high carrier concentration and cation mobility are highly sought after as electrolytes for batteries, yet largely out of reach due to the abundance and static character of contact ion pairs, which inhibit long-range cation transport. Here, we show how glyme-based organic ligands reduce the prevalence of contact ion pairs in sodium-ion conducting ORION solids created from tetrameric bis(sulfonylimides), opening the door to vehicular transport with tunable energy landscapes. Activation barriers to Na+ transport were reduced by &amp;gt;50%─from 117.2 to 52.2 kJ·mol–1─when the stoichiometric number of L-type ether ligands relative to Na+ ions was increased, up to four. Within this preferred regime, 1,2-dimethoxyethane delivered the highest ionic conductivity─0.28 mS·cm–1 at 60 °C─due to the lower effective mass for the mobile charge carrier. Molecular dynamics simulations and 23Na-NMR experiments showed contact ion pairs are effectively converted into vehicular Na+ species through the addition of glyme ligands, improving sodium conduction. Electrophoretic NMR measurements show mobility of the anionic tetramer under high field strength (9.1 × 10–11 m2 V–1 s–1) is remarkably low, providing a high cationic transference number of t+ = 0.84.</w:t>
      </w:r>
    </w:p>
    <w:p>
      <w:pPr>
        <w:spacing w:before="120" w:after="120"/>
      </w:pPr>
      <w:r>
        <w:rPr>
          <w:sz w:val="18"/>
        </w:rPr>
        <w:t>——————————————————————————————————————————————————————————————————————</w:t>
      </w:r>
    </w:p>
    <w:p>
      <w:pPr>
        <w:spacing w:before="160" w:after="40" w:line="240" w:lineRule="auto"/>
      </w:pPr>
      <w:r>
        <w:rPr>
          <w:b/>
        </w:rPr>
        <w:t xml:space="preserve">[34] </w:t>
      </w:r>
      <w:hyperlink r:id="rId241">
        <w:r>
          <w:rPr>
            <w:color w:val="1155CC"/>
            <w:u w:val="single"/>
          </w:rPr>
          <w:t>当电解质设计中路径胜过轨道时</w:t>
        </w:r>
      </w:hyperlink>
    </w:p>
    <w:p>
      <w:pPr>
        <w:spacing w:before="0" w:after="80"/>
      </w:pPr>
      <w:r>
        <w:rPr>
          <w:i/>
          <w:sz w:val="20"/>
        </w:rPr>
        <w:t>EN: When pathways trump orbitals in electrolyte design</w:t>
      </w:r>
    </w:p>
    <w:p>
      <w:pPr>
        <w:spacing w:before="0" w:after="120"/>
      </w:pPr>
      <w:r>
        <w:rPr>
          <w:b/>
        </w:rPr>
        <w:t xml:space="preserve">Source: </w:t>
      </w:r>
      <w:r>
        <w:t>Nature Chemistry</w:t>
      </w:r>
      <w:r>
        <w:t xml:space="preserve">    </w:t>
      </w:r>
      <w:r>
        <w:rPr>
          <w:b/>
        </w:rPr>
        <w:t xml:space="preserve">Pub date: </w:t>
      </w:r>
      <w:r>
        <w:t>2026-08-20 00:00:00+00:00</w:t>
      </w:r>
      <w:r>
        <w:t xml:space="preserve">    </w:t>
      </w:r>
      <w:r>
        <w:rPr>
          <w:b/>
        </w:rPr>
        <w:t xml:space="preserve">DOI: </w:t>
      </w:r>
      <w:hyperlink r:id="rId242">
        <w:r>
          <w:rPr>
            <w:color w:val="1155CC"/>
            <w:u w:val="single"/>
          </w:rPr>
          <w:t>10.1038/s41557-026-02239-x</w:t>
        </w:r>
      </w:hyperlink>
    </w:p>
    <w:p>
      <w:pPr>
        <w:spacing w:before="0" w:after="120"/>
      </w:pPr>
      <w:r>
        <w:rPr>
          <w:b/>
        </w:rPr>
        <w:t xml:space="preserve">Notes: </w:t>
      </w:r>
      <w:r>
        <w:t>abstract_source=rss_nature</w:t>
      </w:r>
    </w:p>
    <w:p>
      <w:pPr>
        <w:spacing w:before="0" w:after="80" w:lineRule="auto" w:line="276"/>
      </w:pPr>
      <w:r>
        <w:rPr>
          <w:b/>
        </w:rPr>
        <w:t xml:space="preserve">摘要（ZH）: </w:t>
      </w:r>
      <w:r>
        <w:t>高压电池受到电解液氧化的限制。现在，路径选择性策略通过取代易受影响的α-氢来限制电解质氧化，超越基于前沿轨道的设计，并能够在高电压下稳定运行而无需氟化。</w:t>
      </w:r>
    </w:p>
    <w:p>
      <w:pPr>
        <w:spacing w:before="0" w:after="200" w:lineRule="auto" w:line="276"/>
      </w:pPr>
      <w:r>
        <w:rPr>
          <w:b/>
        </w:rPr>
        <w:t xml:space="preserve">Abstract (EN): </w:t>
      </w:r>
      <w:r>
        <w:t>High-voltage batteries are limited by electrolyte oxidation. Now, a pathway-selective strategy limits electrolyte oxidation by replacing the susceptible α-hydrogens, moving beyond frontier orbital-based design and enabling stable operation at high voltage without fluorination.</w:t>
      </w:r>
    </w:p>
    <w:p>
      <w:pPr>
        <w:spacing w:before="120" w:after="120"/>
      </w:pPr>
      <w:r>
        <w:rPr>
          <w:sz w:val="18"/>
        </w:rPr>
        <w:t>——————————————————————————————————————————————————————————————————————</w:t>
      </w:r>
    </w:p>
    <w:p>
      <w:pPr>
        <w:spacing w:before="160" w:after="40" w:line="240" w:lineRule="auto"/>
      </w:pPr>
      <w:r>
        <w:rPr>
          <w:b/>
        </w:rPr>
        <w:t xml:space="preserve">[35] </w:t>
      </w:r>
      <w:hyperlink r:id="rId243">
        <w:r>
          <w:rPr>
            <w:color w:val="1155CC"/>
            <w:u w:val="single"/>
          </w:rPr>
          <w:t>基于阳离子共价有机框架的电解质可在锂金属电池应用中实现快速锂离子传导</w:t>
        </w:r>
      </w:hyperlink>
    </w:p>
    <w:p>
      <w:pPr>
        <w:spacing w:before="0" w:after="80"/>
      </w:pPr>
      <w:r>
        <w:rPr>
          <w:i/>
          <w:sz w:val="20"/>
        </w:rPr>
        <w:t>EN: Cationic Covalent Organic Framework-Based Electrolyte Enabling Fast Li-Ion Conduction for Lithium Metal Battery Application</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244">
        <w:r>
          <w:rPr>
            <w:color w:val="1155CC"/>
            <w:u w:val="single"/>
          </w:rPr>
          <w:t>10.1021/acsami.6c09398</w:t>
        </w:r>
      </w:hyperlink>
    </w:p>
    <w:p>
      <w:pPr>
        <w:spacing w:before="0" w:after="120"/>
      </w:pPr>
      <w:r>
        <w:rPr>
          <w:b/>
        </w:rPr>
        <w:t xml:space="preserve">Notes: </w:t>
      </w:r>
      <w:r>
        <w:t>abstract_source=crossref</w:t>
      </w:r>
    </w:p>
    <w:p>
      <w:pPr>
        <w:spacing w:before="0" w:after="80" w:lineRule="auto" w:line="276"/>
      </w:pPr>
      <w:r>
        <w:rPr>
          <w:b/>
        </w:rPr>
        <w:t xml:space="preserve">摘要（ZH）: </w:t>
      </w:r>
      <w:r>
        <w:t>摘要 共价有机骨架（COF）作为锂基电池中 Li+ 传导的多功能平台受到越来越多的关注。然而，在 COF 基电解质中实现高离子电导率仍然是一个艰巨的挑战。在此，我们展示了一种坚固的阳离子亚乙烯基连接的COF（COF-Br）作为构建高性能复合电解质的有效主体，并强调了其在锂金属电池中实际应用的巨大潜力。该复合电解质被命名为IL@COF-Br，是通过将离子液体电解质（Li-IL）纳入COF-Br明确的纳米通道中而制备的。阳离子骨架增强了介电屏蔽，从而促进锂盐解离，而骨架与阴离子之间的强静电相互作用有效抑制阴离子迁移率，导致Li+优先传输。因此，IL@COF-Br 具有超过 10−3 S cm−1 的高离子电导率、大的 Li+ 迁移数 (0.79) 和宽的电化学稳定性窗口 (5.42 V)。此外，复合电解质与锂金属表现出优异的界面相容性，并有效减少重复循环过程中枝晶的形成。当集成到锂金属电池中时，IL@COF-Br使电池具有出色的电化学性能，包括良好的倍率性能、0.5 C下137.6 mAh g−1的高比容量以及出色的循环稳定性，300次充放电循环后容量保持率为90.4%，库仑效率为99.5%。蒂</w:t>
      </w:r>
    </w:p>
    <w:p>
      <w:pPr>
        <w:spacing w:before="0" w:after="200" w:lineRule="auto" w:line="276"/>
      </w:pPr>
      <w:r>
        <w:rPr>
          <w:b/>
        </w:rPr>
        <w:t xml:space="preserve">Abstract (EN): </w:t>
      </w:r>
      <w:r>
        <w:t>Covalent organic frameworks (COFs) have garnered increasing attention as versatile platforms for Li+ conduction in lithium-based batteries; however, achieving high ionic conductivity in COF-based electrolytes remains a formidable challenge. Herein, we demonstrate a robust cationic vinylene-linked COF (COF-Br) as an efficient host for constructing high-performance composite electrolytes and highlight its great potential for practical application in lithium-metal batteries. The composite electrolyte, named as IL@COF-Br, was prepared by incorporating an ionic-liquid electrolyte (Li-IL) within the well-defined nanochannels of COF-Br. The cationic framework enhances dielectric screening, thereby promoting lithium-salt dissociation, while strong electrostatic interactions between the framework and anions effectively suppress anion mobility, leading to preferential Li+ transport. As a result, IL@COF-Br delivers a high ionic conductivity exceeding 10−3 S cm−1, a large Li+ transference number (0.79), and a wide electrochemical stability window (5.42 V). In addition, the composite electrolyte exhibits excellent interfacial compatibility with lithium metal and effectively mitigates dendrite formation during repeated cycling. When integrated into lithium-metal batteries, IL@COF-Br enables the batteries to achieve outstanding electrochemical performance, including good rate capability, a high specific capacity of 137.6 mAh g−1 at 0.5 C, and remarkable cycling stability, with a capacity retention of 90.4% and a Coulombic efficiency of 99.5% after 300 charge–discharge cycles. This study provides an effective strategy for leveraging cationic COF architectures to develop advanced quasi-solid-state electrolytes for next-generation lithium-metal batteries.</w:t>
      </w:r>
    </w:p>
    <w:p>
      <w:pPr>
        <w:spacing w:before="120" w:after="120"/>
      </w:pPr>
      <w:r>
        <w:rPr>
          <w:sz w:val="18"/>
        </w:rPr>
        <w:t>——————————————————————————————————————————————————————————————————————</w:t>
      </w:r>
    </w:p>
    <w:p>
      <w:pPr>
        <w:spacing w:before="160" w:after="40" w:line="240" w:lineRule="auto"/>
      </w:pPr>
      <w:r>
        <w:rPr>
          <w:b/>
        </w:rPr>
        <w:t xml:space="preserve">[36] </w:t>
      </w:r>
      <w:hyperlink r:id="rId245">
        <w:r>
          <w:rPr>
            <w:color w:val="1155CC"/>
            <w:u w:val="single"/>
          </w:rPr>
          <w:t>分子电荷拓扑电解质可实现 &gt;630 Wh kg−1 的锂金属电池</w:t>
        </w:r>
      </w:hyperlink>
    </w:p>
    <w:p>
      <w:pPr>
        <w:spacing w:before="0" w:after="80"/>
      </w:pPr>
      <w:r>
        <w:rPr>
          <w:i/>
          <w:sz w:val="20"/>
        </w:rPr>
        <w:t>EN: Molecular charge-topology electrolytes enable &gt;630 Wh kg−1 lithium-metal batteries</w:t>
      </w:r>
    </w:p>
    <w:p>
      <w:pPr>
        <w:spacing w:before="0" w:after="120"/>
      </w:pPr>
      <w:r>
        <w:rPr>
          <w:b/>
        </w:rPr>
        <w:t xml:space="preserve">Source: </w:t>
      </w:r>
      <w:r>
        <w:t>Joule</w:t>
      </w:r>
      <w:r>
        <w:t xml:space="preserve">    </w:t>
      </w:r>
      <w:r>
        <w:rPr>
          <w:b/>
        </w:rPr>
        <w:t xml:space="preserve">Pub date: </w:t>
      </w:r>
      <w:r>
        <w:t>2026-08-20 00:00:00+00:00</w:t>
      </w:r>
      <w:r>
        <w:t xml:space="preserve">    </w:t>
      </w:r>
      <w:r>
        <w:rPr>
          <w:b/>
        </w:rPr>
        <w:t xml:space="preserve">DOI: </w:t>
      </w:r>
      <w:hyperlink r:id="rId246">
        <w:r>
          <w:rPr>
            <w:color w:val="1155CC"/>
            <w:u w:val="single"/>
          </w:rPr>
          <w:t>10.1016/j.joule.2026.102634</w:t>
        </w:r>
      </w:hyperlink>
    </w:p>
    <w:p>
      <w:pPr>
        <w:spacing w:before="0" w:after="120"/>
      </w:pPr>
      <w:r>
        <w:rPr>
          <w:b/>
        </w:rPr>
        <w:t xml:space="preserve">Notes: </w:t>
      </w:r>
      <w:r>
        <w:t>abstract_source=rss_cell</w:t>
      </w:r>
    </w:p>
    <w:p>
      <w:pPr>
        <w:spacing w:before="0" w:after="80" w:lineRule="auto" w:line="276"/>
      </w:pPr>
      <w:r>
        <w:rPr>
          <w:b/>
        </w:rPr>
        <w:t xml:space="preserve">摘要（ZH）: </w:t>
      </w:r>
      <w:r>
        <w:t>锂金属电解质的还原限制了高能电池的效率和寿命。分子电荷拓扑框架将电子吸收与分子重组联系起来，从而能够合理设计本质稳定的电解质。由此产生的电解质可抑制寄生反应，支持高度可逆的锂循环，并使 13.0 Ah 软包电池在超贫条件下能量密度高于 630 Wh kg−1。</w:t>
      </w:r>
    </w:p>
    <w:p>
      <w:pPr>
        <w:spacing w:before="0" w:after="200" w:lineRule="auto" w:line="276"/>
      </w:pPr>
      <w:r>
        <w:rPr>
          <w:b/>
        </w:rPr>
        <w:t xml:space="preserve">Abstract (EN): </w:t>
      </w:r>
      <w:r>
        <w:t>Electrolyte reduction at lithium metal limits the efficiency and lifetime of high-energy batteries. A molecular charge-topology framework links electron uptake with molecular reorganization, enabling the rational design of intrinsically stable electrolytes. The resulting electrolyte suppresses parasitic reactions, supports highly reversible lithium cycling, and enables 13.0 Ah pouch cells with energy densities above 630 Wh kg−1 under ultra-lean conditions.</w:t>
      </w:r>
    </w:p>
    <w:p>
      <w:pPr>
        <w:spacing w:before="120" w:after="120"/>
      </w:pPr>
      <w:r>
        <w:rPr>
          <w:sz w:val="18"/>
        </w:rPr>
        <w:t>——————————————————————————————————————————————————————————————————————</w:t>
      </w:r>
    </w:p>
    <w:p>
      <w:pPr>
        <w:spacing w:before="160" w:after="40" w:line="240" w:lineRule="auto"/>
      </w:pPr>
      <w:r>
        <w:rPr>
          <w:b/>
        </w:rPr>
        <w:t xml:space="preserve">[37] </w:t>
      </w:r>
      <w:hyperlink r:id="rId171">
        <w:r>
          <w:rPr>
            <w:color w:val="1155CC"/>
            <w:u w:val="single"/>
          </w:rPr>
          <w:t>用于无过渡金属和无卤素钠电池的无氟、低离子对电解质</w:t>
        </w:r>
      </w:hyperlink>
    </w:p>
    <w:p>
      <w:pPr>
        <w:spacing w:before="0" w:after="80"/>
      </w:pPr>
      <w:r>
        <w:rPr>
          <w:i/>
          <w:sz w:val="20"/>
        </w:rPr>
        <w:t>EN: A Fluorine‐Free, Low Ion Pair Electrolyte for Transition Metal‐Free and Halogen‐Free Sodium Batteries</w:t>
      </w:r>
    </w:p>
    <w:p>
      <w:pPr>
        <w:spacing w:before="0" w:after="120"/>
      </w:pPr>
      <w:r>
        <w:rPr>
          <w:b/>
        </w:rPr>
        <w:t xml:space="preserve">Source: </w:t>
      </w:r>
      <w:r>
        <w:t>Wiley: Advanced Energy Materials: Table of Contents</w:t>
      </w:r>
      <w:r>
        <w:t xml:space="preserve">    </w:t>
      </w:r>
      <w:r>
        <w:rPr>
          <w:b/>
        </w:rPr>
        <w:t xml:space="preserve">Pub date: </w:t>
      </w:r>
      <w:r>
        <w:t>2026-08-20 06:04:17+00:00</w:t>
      </w:r>
      <w:r>
        <w:t xml:space="preserve">    </w:t>
      </w:r>
      <w:r>
        <w:rPr>
          <w:b/>
        </w:rPr>
        <w:t xml:space="preserve">DOI: </w:t>
      </w:r>
      <w:hyperlink r:id="rId172">
        <w:r>
          <w:rPr>
            <w:color w:val="1155CC"/>
            <w:u w:val="single"/>
          </w:rPr>
          <w:t>10.1002/aenm.71422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化溶剂、盐和粘合剂广泛用于现代可充电电池。高耐久性和优异的高倍率能力通常归因于富氟界面或氟调节溶剂化结构。迄今为止，无氟电池的开发仍处于起步阶段，对界面和结构-性能-性能关系的了解仍知之甚少。在这里，我们研究了钠离子盐中的阴离子取代基对钠离子阳极电解质离子输运特性和界面组成的影响。无氟四苯硼酸钠-二甘醇二甲醚电解质可以使硬碳负极在1C下循环超过2000次，容量保持率超过98%。钠金属阳极在 0.5 mA/cm 电流下经过 1000 次循环后的剥离电镀效率高达 99.93%</w:t>
      </w:r>
      <w:r>
        <w:rPr>
          <w:vertAlign w:val="subscript"/>
        </w:rPr>
        <w:t>2</w:t>
      </w:r>
      <w:r>
        <w:t>和 0.5mAh/cm</w:t>
      </w:r>
      <w:r>
        <w:rPr>
          <w:vertAlign w:val="subscript"/>
        </w:rPr>
        <w:t>2</w:t>
      </w:r>
      <w:r>
        <w:t>。大苯基取代基的空间效应导致可忽略的离子配对和良好的离子电导率，支持钠离子电极的高倍率性能。我们证明，作为概念验证的无过渡金属（TM）和无氟电池，采用苝-3,4,9,10-四羧酸二酰亚胺（PTCDI）||硬碳全电池配置，可提供稳定的循环，500次循环后在1C下容量保持率为~85%，并且具有良好的快速充电能力，在不到4分钟的时间内达到80%的比能量。这些结果表明，无需富阴离子溶剂化即可设计无TM和无氟钠离子电池</w:t>
      </w:r>
    </w:p>
    <w:p>
      <w:pPr>
        <w:spacing w:before="0" w:after="200" w:lineRule="auto" w:line="276"/>
      </w:pPr>
      <w:r>
        <w:rPr>
          <w:b/>
        </w:rPr>
        <w:t xml:space="preserve">Abstract (EN): </w:t>
      </w:r>
      <w:r>
        <w:t>Fluorinated solvents, salts, and binders are widely used in modern rechargeable batteries. High durability and superior high‐rate ability are often attributed to fluorine‐rich interphases or fluorine‐tuned solvation structures. To date, fluorine‐free battery development is still nascent, with the interphases and structure‐property‐performance relationship thereby remaining poorly understood. Here, we investigate the impact of anion substituents in Na‐ion salts on electrolyte ion transport properties and interphase compositions on Na‐ion anodes. A fluorine‐free sodium tetraphenylborate‐diglyme electrolyte can cycle hard carbon anode over 2000 cycles at 1C with a capacity retention exceeding 98%. Sodium metal anode exhibits stripping‐plating efficiencies of 99.93% over 1000 cycles at 0.5 mA/cm</w:t>
      </w:r>
      <w:r>
        <w:rPr>
          <w:vertAlign w:val="subscript"/>
        </w:rPr>
        <w:t>2</w:t>
      </w:r>
      <w:r>
        <w:t>and 0.5 mAh/cm</w:t>
      </w:r>
      <w:r>
        <w:rPr>
          <w:vertAlign w:val="subscript"/>
        </w:rPr>
        <w:t>2</w:t>
      </w:r>
      <w:r>
        <w:t>. The steric effect of the bulky phenyl substituent leads to negligible ion pairing and good ionic conductivity, supporting high‐rate performance of Na‐ion electrodes. We demonstrate that a transition‐metal(TM)‐free and fluorine‐free battery as proof of concept, in a perylene‐3,4,9,10‐tetracarboxylic acid diimide (PTCDI)||hard carbon full cell configuration, delivers stable cycling with a ∼85% capacity retention at 1C after 500 cycles and good fast‐charging capability reaching 80% specific energy in less than 4 min. These results show that it is possible to design TM‐free and fluorine‐free sodium ion batteries without an anion‐rich solvation structure or fluorine‐based interphases.</w:t>
      </w:r>
    </w:p>
    <w:p>
      <w:pPr>
        <w:spacing w:before="120" w:after="120"/>
      </w:pPr>
      <w:r>
        <w:rPr>
          <w:sz w:val="18"/>
        </w:rPr>
        <w:t>——————————————————————————————————————————————————————————————————————</w:t>
      </w:r>
    </w:p>
    <w:p>
      <w:pPr>
        <w:spacing w:before="160" w:after="40" w:line="240" w:lineRule="auto"/>
      </w:pPr>
      <w:r>
        <w:rPr>
          <w:b/>
        </w:rPr>
        <w:t xml:space="preserve">[38] </w:t>
      </w:r>
      <w:hyperlink r:id="rId207">
        <w:r>
          <w:rPr>
            <w:color w:val="1155CC"/>
            <w:u w:val="single"/>
          </w:rPr>
          <w:t>氟化物驱动的界面工程：构建高性能无枝晶锂金属电池的功能层</w:t>
        </w:r>
      </w:hyperlink>
    </w:p>
    <w:p>
      <w:pPr>
        <w:spacing w:before="0" w:after="80"/>
      </w:pPr>
      <w:r>
        <w:rPr>
          <w:i/>
          <w:sz w:val="20"/>
        </w:rPr>
        <w:t>EN: Fluoride‐Driven Interfacial Engineering: Architecting Functional Layers for High‐Performance Dendrite‐Free Li Metal Batteries</w:t>
      </w:r>
    </w:p>
    <w:p>
      <w:pPr>
        <w:spacing w:before="0" w:after="120"/>
      </w:pPr>
      <w:r>
        <w:rPr>
          <w:b/>
        </w:rPr>
        <w:t xml:space="preserve">Source: </w:t>
      </w:r>
      <w:r>
        <w:t>Wiley: Advanced Energy Materials: Table of Contents</w:t>
      </w:r>
      <w:r>
        <w:t xml:space="preserve">    </w:t>
      </w:r>
      <w:r>
        <w:rPr>
          <w:b/>
        </w:rPr>
        <w:t xml:space="preserve">Pub date: </w:t>
      </w:r>
      <w:r>
        <w:t>2026-08-20 06:05:46+00:00</w:t>
      </w:r>
      <w:r>
        <w:t xml:space="preserve">    </w:t>
      </w:r>
      <w:r>
        <w:rPr>
          <w:b/>
        </w:rPr>
        <w:t xml:space="preserve">DOI: </w:t>
      </w:r>
      <w:hyperlink r:id="rId208">
        <w:r>
          <w:rPr>
            <w:color w:val="1155CC"/>
            <w:u w:val="single"/>
          </w:rPr>
          <w:t>10.1002/aenm.71463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容量锂金属负极对于高能量密度电池至关重要。然而，它们的实际应用受到臭名昭著的枝晶生长、严重的体积变化和不稳定的固体电解质界面（SEI）的阻碍，导致循环稳定性差和严重的安全隐患。人们投入了大量精力来探索界面功能层，以实现无枝晶和可逆的电镀/剥离。金属氟化物（M</w:t>
      </w:r>
      <w:r>
        <w:t xml:space="preserve"> </w:t>
      </w:r>
      <w:r>
        <w:t>x</w:t>
      </w:r>
      <w:r>
        <w:t xml:space="preserve"> </w:t>
      </w:r>
      <w:r>
        <w:t>Fᵧ）由于其高离子电导率、机械鲁棒性以及与锂的良好反应性而被积极开发。重要的是，转化和合金化反应会产生含有导电LiF和合金物质的有利界面，从而有效调节Li</w:t>
      </w:r>
      <w:r>
        <w:t xml:space="preserve"> </w:t>
      </w:r>
      <w:r>
        <w:t>+</w:t>
      </w:r>
      <w:r>
        <w:t xml:space="preserve"> </w:t>
      </w:r>
      <w:r>
        <w:t>通量并促进快速离子迁移和均匀沉积，从而提高锂金属电池（LMB）的循环寿命和能量密度。这篇综述系统地总结了M的应用</w:t>
      </w:r>
      <w:r>
        <w:t xml:space="preserve"> </w:t>
      </w:r>
      <w:r>
        <w:t>x</w:t>
      </w:r>
      <w:r>
        <w:t xml:space="preserve"> </w:t>
      </w:r>
      <w:r>
        <w:t>LMB 中的 Fᵧ，包括人工中间相层、亲锂 3D 主体、隔膜改性层和电解质添加剂。特别强调澄清 M 的作用</w:t>
      </w:r>
      <w:r>
        <w:t xml:space="preserve"> </w:t>
      </w:r>
      <w:r>
        <w:t>x</w:t>
      </w:r>
      <w:r>
        <w:t xml:space="preserve"> </w:t>
      </w:r>
      <w:r>
        <w:t>Fᵧ 用于构建强大的 SEI 并提供主体框架，以加速动力学并引导均匀成核以实现无枝晶沉积。同时，从实际应用的角度讨论了 LMB 的性能，特别是在 PO 中。</w:t>
      </w:r>
    </w:p>
    <w:p>
      <w:pPr>
        <w:spacing w:before="0" w:after="200" w:lineRule="auto" w:line="276"/>
      </w:pPr>
      <w:r>
        <w:rPr>
          <w:b/>
        </w:rPr>
        <w:t xml:space="preserve">Abstract (EN): </w:t>
      </w:r>
      <w:r>
        <w:t>High‐capacity lithium metal anodes are essential for high‐energy‐density batteries. However, their practical deployment is hindered by notorious dendritic growth, severe volume variation and an unstable solid electrolyte interphase (SEI), giving rise to poor cyclic stability and serious safety hazards. Much effort has been devoted to exploring interfacial functional layers to enable dendrite‐free and reversible plating/stripping. Metal fluorides (M</w:t>
      </w:r>
      <w:r>
        <w:t xml:space="preserve"> </w:t>
      </w:r>
      <w:r>
        <w:t>x</w:t>
      </w:r>
      <w:r>
        <w:t xml:space="preserve"> </w:t>
      </w:r>
      <w:r>
        <w:t>Fᵧ) are being actively exploited due to their high ionic conductivity, mechanical robustness and favorable reactivity with Li. Importantly, conversion and alloying reactions generate favorable interphases containing conductive LiF and alloying species, which effectively regulate Li</w:t>
      </w:r>
      <w:r>
        <w:t xml:space="preserve"> </w:t>
      </w:r>
      <w:r>
        <w:t>+</w:t>
      </w:r>
      <w:r>
        <w:t xml:space="preserve"> </w:t>
      </w:r>
      <w:r>
        <w:t>flux and facilitate fast ion migration and uniform deposition, thereby enhancing both cycle life and energy density of Li metal batteries (LMBs). This review systematically summarizes the applications of M</w:t>
      </w:r>
      <w:r>
        <w:t xml:space="preserve"> </w:t>
      </w:r>
      <w:r>
        <w:t>x</w:t>
      </w:r>
      <w:r>
        <w:t xml:space="preserve"> </w:t>
      </w:r>
      <w:r>
        <w:t>Fᵧ in LMBs, including artificial interphase layers, lithiophilic 3D hosts, separator modification layers and electrolyte additives. Particular emphasis is placed on clarifying the role of M</w:t>
      </w:r>
      <w:r>
        <w:t xml:space="preserve"> </w:t>
      </w:r>
      <w:r>
        <w:t>x</w:t>
      </w:r>
      <w:r>
        <w:t xml:space="preserve"> </w:t>
      </w:r>
      <w:r>
        <w:t>Fᵧ for building a robust SEI and providing host framework that accelerates kinetics and guides homogeneous nucleation for dendrite‐free deposition. Meanwhile, the performance of LMBs from a practical application viewpoint is discussed, especially in pouch cells. Finally, future directions and prospects for M</w:t>
      </w:r>
      <w:r>
        <w:t xml:space="preserve"> </w:t>
      </w:r>
      <w:r>
        <w:t>x</w:t>
      </w:r>
      <w:r>
        <w:t xml:space="preserve"> </w:t>
      </w:r>
      <w:r>
        <w:t>Fᵧ are presented to stimulate their commercialization and extension to other metal batteries.</w:t>
      </w:r>
    </w:p>
    <w:p>
      <w:pPr>
        <w:spacing w:before="120" w:after="120"/>
      </w:pPr>
      <w:r>
        <w:rPr>
          <w:sz w:val="18"/>
        </w:rPr>
        <w:t>——————————————————————————————————————————————————————————————————————</w:t>
      </w:r>
    </w:p>
    <w:p>
      <w:pPr>
        <w:spacing w:before="160" w:after="40" w:line="240" w:lineRule="auto"/>
      </w:pPr>
      <w:r>
        <w:rPr>
          <w:b/>
        </w:rPr>
        <w:t xml:space="preserve">[39] </w:t>
      </w:r>
      <w:hyperlink r:id="rId209">
        <w:r>
          <w:rPr>
            <w:color w:val="1155CC"/>
            <w:u w:val="single"/>
          </w:rPr>
          <w:t>多盐高熵电解质中的多选择性主导配位以获得高性能硅阳极</w:t>
        </w:r>
      </w:hyperlink>
    </w:p>
    <w:p>
      <w:pPr>
        <w:spacing w:before="0" w:after="80"/>
      </w:pPr>
      <w:r>
        <w:rPr>
          <w:i/>
          <w:sz w:val="20"/>
        </w:rPr>
        <w:t>EN: Multi‐Selective Dominant Coordination in Multi‐Salt High‐Entropy Electrolytes Toward High‐Performance Silicon Anodes</w:t>
      </w:r>
    </w:p>
    <w:p>
      <w:pPr>
        <w:spacing w:before="0" w:after="120"/>
      </w:pPr>
      <w:r>
        <w:rPr>
          <w:b/>
        </w:rPr>
        <w:t xml:space="preserve">Source: </w:t>
      </w:r>
      <w:r>
        <w:t>Wiley: Advanced Energy Materials: Table of Contents</w:t>
      </w:r>
      <w:r>
        <w:t xml:space="preserve">    </w:t>
      </w:r>
      <w:r>
        <w:rPr>
          <w:b/>
        </w:rPr>
        <w:t xml:space="preserve">Pub date: </w:t>
      </w:r>
      <w:r>
        <w:t>2026-08-20 06:06:57+00:00</w:t>
      </w:r>
      <w:r>
        <w:t xml:space="preserve">    </w:t>
      </w:r>
      <w:r>
        <w:rPr>
          <w:b/>
        </w:rPr>
        <w:t xml:space="preserve">DOI: </w:t>
      </w:r>
      <w:hyperlink r:id="rId210">
        <w:r>
          <w:rPr>
            <w:color w:val="1155CC"/>
            <w:u w:val="single"/>
          </w:rPr>
          <w:t>10.1002/aenm.71486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电解质（HEE）正在彻底改变锂离子电池电解质的设计。然而，该领域仍然存在巨大差距和众多不确定性。为了解决这些问题，我们最初提出了多选择性主导配位机制，该机制揭示了多盐高熵电解质（HEE）中富含阴离子的溶剂化环境的起源</w:t>
      </w:r>
      <w:r>
        <w:t xml:space="preserve"> </w:t>
      </w:r>
      <w:r>
        <w:t>盐类</w:t>
      </w:r>
      <w:r>
        <w:t xml:space="preserve"> </w:t>
      </w:r>
      <w:r>
        <w:t>）。使用市售锂盐，我们设计了单盐（SS）、三盐（TS）、母盐/辅助盐（PAS）和混合五盐（MixS）电解质，系统地研究了熵对合金型阳极电化学性能的调节作用。分子动力学 (MD) 模拟和光谱表征证实，阴离子配位选择性的增加使 Li</w:t>
      </w:r>
      <w:r>
        <w:t xml:space="preserve"> </w:t>
      </w:r>
      <w:r>
        <w:t>+</w:t>
      </w:r>
      <w:r>
        <w:t xml:space="preserve"> </w:t>
      </w:r>
      <w:r>
        <w:t>进入高度离域且动态可重构的溶剂化环境，驱动系统自发地向稳定、富含阴离子的状态演化。循环后分析表明 HEE</w:t>
      </w:r>
      <w:r>
        <w:t xml:space="preserve"> </w:t>
      </w:r>
      <w:r>
        <w:t>盐类</w:t>
      </w:r>
      <w:r>
        <w:t xml:space="preserve"> </w:t>
      </w:r>
      <w:r>
        <w:t>诱导形成薄的、均匀的、坚固的固体电解质界面（SEI），无机含量高达49.2%。因此，熵驱动的溶剂化重构协同加速了离子本体传输和界面反应动力学。因此，与其他电解质相比，MixS 具有显着改善的电化学性能。值得注意的是，250 m</w:t>
      </w:r>
    </w:p>
    <w:p>
      <w:pPr>
        <w:spacing w:before="0" w:after="200" w:lineRule="auto" w:line="276"/>
      </w:pPr>
      <w:r>
        <w:rPr>
          <w:b/>
        </w:rPr>
        <w:t xml:space="preserve">Abstract (EN): </w:t>
      </w:r>
      <w:r>
        <w:t>High‐entropy electrolytes (HEEs) are revolutionizing the design of electrolytes for lithium‐ion batteries. However, significant gaps and numerous uncertainties still persist in this field. To address these issues, we originally proposed the multi‐selective dominant coordination mechanism, which reveals the origin of the anion‐rich solvation environment in multi‐salt high‐entropy electrolytes (HEE</w:t>
      </w:r>
      <w:r>
        <w:t xml:space="preserve"> </w:t>
      </w:r>
      <w:r>
        <w:t>salts</w:t>
      </w:r>
      <w:r>
        <w:t xml:space="preserve"> </w:t>
      </w:r>
      <w:r>
        <w:t>). Using commercially available lithium salts, we designed single‐salt (SS), triple‐salt (TS), parent/auxiliary salt (PAS), and mixed pentasalt (MixS) electrolytes to systematically investigate the regulating role of entropy on the electrochemical performance of alloying‐type anodes. Molecular dynamics (MD) simulations and spectroscopic characterization confirm that increased coordination selectivity of anions enables Li</w:t>
      </w:r>
      <w:r>
        <w:t xml:space="preserve"> </w:t>
      </w:r>
      <w:r>
        <w:t>+</w:t>
      </w:r>
      <w:r>
        <w:t xml:space="preserve"> </w:t>
      </w:r>
      <w:r>
        <w:t>to enter a highly delocalized and dynamically reconfigurable solvation environment, driving the system to spontaneously evolve toward a stable, anion‐rich state. Post‐cycle analysis reveals that HEE</w:t>
      </w:r>
      <w:r>
        <w:t xml:space="preserve"> </w:t>
      </w:r>
      <w:r>
        <w:t>salts</w:t>
      </w:r>
      <w:r>
        <w:t xml:space="preserve"> </w:t>
      </w:r>
      <w:r>
        <w:t>induce the formation of a thin, uniform, and robust solid electrolyte interphase (SEI), with an inorganic content up to 49.2%. As a result, the entropy‐driven solvation reconfiguration synergistically accelerates ion bulk transport and interfacial reaction kinetics. Accordingly, MixS endows significantly improved electrochemical performance compared to other electrolytes. Remarkably, a 250 mAh pouch cell exhibits a capacity retention rate of 97.18% after 200 cycles, demonstrating the excellent industrial practicability of HEE</w:t>
      </w:r>
      <w:r>
        <w:t xml:space="preserve"> </w:t>
      </w:r>
      <w:r>
        <w:t>salts</w:t>
      </w:r>
      <w:r>
        <w:t xml:space="preserve"> </w:t>
      </w:r>
      <w:r>
        <w:t>.</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247">
        <w:r>
          <w:rPr>
            <w:color w:val="1155CC"/>
            <w:u w:val="single"/>
          </w:rPr>
          <w:t>磷酸铁锂电池全循环寿命的跨域退化模式预测</w:t>
        </w:r>
      </w:hyperlink>
    </w:p>
    <w:p>
      <w:pPr>
        <w:spacing w:before="0" w:after="80"/>
      </w:pPr>
      <w:r>
        <w:rPr>
          <w:i/>
          <w:sz w:val="20"/>
        </w:rPr>
        <w:t>EN: A cross-domain degradation mode prediction of lithium iron phosphate batteries for full cycle life</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248">
        <w:r>
          <w:rPr>
            <w:color w:val="1155CC"/>
            <w:u w:val="single"/>
          </w:rPr>
          <w:t>10.1016/j.apenergy.2026.128655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49">
        <w:r>
          <w:rPr>
            <w:color w:val="1155CC"/>
            <w:u w:val="single"/>
          </w:rPr>
          <w:t>预测费米接触 NMR 位移的统计力学框架</w:t>
        </w:r>
      </w:hyperlink>
    </w:p>
    <w:p>
      <w:pPr>
        <w:spacing w:before="0" w:after="80"/>
      </w:pPr>
      <w:r>
        <w:rPr>
          <w:i/>
          <w:sz w:val="20"/>
        </w:rPr>
        <w:t>EN: A Statistical Mechanical Framework for Predicting Fermi Contact NMR Shifts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250">
        <w:r>
          <w:rPr>
            <w:color w:val="1155CC"/>
            <w:u w:val="single"/>
          </w:rPr>
          <w:t>10.1021/jacs.6c07045</w:t>
        </w:r>
      </w:hyperlink>
    </w:p>
    <w:p>
      <w:pPr>
        <w:spacing w:before="0" w:after="120"/>
      </w:pPr>
      <w:r>
        <w:rPr>
          <w:b/>
        </w:rPr>
        <w:t xml:space="preserve">Notes: </w:t>
      </w:r>
      <w:r>
        <w:t>abstract_source=crossref</w:t>
      </w:r>
    </w:p>
    <w:p>
      <w:pPr>
        <w:spacing w:before="0" w:after="80" w:lineRule="auto" w:line="276"/>
      </w:pPr>
      <w:r>
        <w:rPr>
          <w:b/>
        </w:rPr>
        <w:t xml:space="preserve">摘要（ZH）: </w:t>
      </w:r>
      <w:r>
        <w:t>摘要 固态核磁共振（NMR）光谱是功能材料局部化学环境的有力探针，其中许多材料都含有顺磁性过渡金属或稀土离子。不成对的电子可以诱发强烈的电子-核超精细相互作用，从而产生大的顺磁位移，编码有关局部原子和电子结构的详细信息。然而，这些相同的相互作用通常会产生严重的谱线展宽，使光谱分配变得复杂，特别是在表现出混合价态、磁性和电荷有序性、缺陷或成分无序的材料中。尽管第一原理计算可以帮助解释顺磁位移，但其计算成本对于结构和化学复杂的系统来说变得过高。这种限制促进了新方法的开发，这些新方法既能保留第一性原理的准确性，又能在无序、多组分材料中进行易于处理的模拟。在这里，我们引入了一个从头开始的框架，它将簇扩展技术与蒙特卡罗采样相结合，以预测有限温度顺磁（费米接触）位移。我们演示了阴极材料 Li2MnO3 中 7Li 和 17O NMR 位移的方法。磁簇扩展揭示了最近邻和次近邻 Mn-O-Li 相互作用主导了 7Li 费米接触位移。扩展到 17O 进一步揭示了 Mn-O-Mn-O 途径介导的重要长程贡献，这是首次发现的。该方法可以实现第一原理级预测</w:t>
      </w:r>
    </w:p>
    <w:p>
      <w:pPr>
        <w:spacing w:before="0" w:after="200" w:lineRule="auto" w:line="276"/>
      </w:pPr>
      <w:r>
        <w:rPr>
          <w:b/>
        </w:rPr>
        <w:t xml:space="preserve">Abstract (EN): </w:t>
      </w:r>
      <w:r>
        <w:t>Solid-state nuclear magnetic resonance (NMR) spectroscopy is a powerful probe of local chemical environments in functional materials, many of which incorporate paramagnetic transition-metal or rare-earth ions. Unpaired electrons can induce strong electron–nuclear hyperfine interactions, giving rise to large paramagnetic shifts that encode detailed information about the local atomic and electronic structure. These same interactions, however, often produce severe line broadening, complicating spectral assignment─particularly in materials exhibiting mixed valence, magnetic and charge ordering, defects, or compositional disorder. Although first-principles calculations can aid in interpreting paramagnetic shifts, their computational cost becomes prohibitive for structurally and chemically complex systems. This limitation motivates the development of new approaches that retain first-principles accuracy while enabling tractable simulations across disordered, multicomponent materials. Here, we introduce an ab initio framework that combines cluster expansion techniques with Monte Carlo sampling to predict finite-temperature paramagnetic (Fermi contact) shifts. We demonstrate the approach for 7Li and 17O NMR shifts in the cathode material Li2MnO3. A magnetic cluster expansion reveals that nearest- and next-nearest-neighbor Mn–O–Li interactions dominate the 7Li Fermi contact shift. Extension to 17O further uncovers significant long-range contributions mediated by Mn–O–Mn–O pathways, identified here for the first time. This methodology enables first-principles-level predictions of paramagnetic NMR shifts in complex materials containing open-shell species, providing a route to interpreting spectra in real-world systems, including those relevant to energy storage, catalysis, and solid-state lighting.</w:t>
      </w:r>
    </w:p>
    <w:p>
      <w:pPr>
        <w:spacing w:before="120" w:after="120"/>
      </w:pPr>
      <w:r>
        <w:rPr>
          <w:sz w:val="18"/>
        </w:rPr>
        <w:t>——————————————————————————————————————————————————————————————————————</w:t>
      </w:r>
    </w:p>
    <w:p>
      <w:pPr>
        <w:spacing w:before="160" w:after="40" w:line="240" w:lineRule="auto"/>
      </w:pPr>
      <w:r>
        <w:rPr>
          <w:b/>
        </w:rPr>
        <w:t xml:space="preserve">[3] </w:t>
      </w:r>
      <w:hyperlink r:id="rId251">
        <w:r>
          <w:rPr>
            <w:color w:val="1155CC"/>
            <w:u w:val="single"/>
          </w:rPr>
          <w:t>阳离子络合物聚合物分离器限制阴离子 [Zn(OH)4]2- 还原稳定碱性电池</w:t>
        </w:r>
      </w:hyperlink>
    </w:p>
    <w:p>
      <w:pPr>
        <w:spacing w:before="0" w:after="80"/>
      </w:pPr>
      <w:r>
        <w:rPr>
          <w:i/>
          <w:sz w:val="20"/>
        </w:rPr>
        <w:t>EN: Cationic Complex Polymer Separator Confined Anionic [Zn(OH)4]2‒ Reduction for Stable Alkaline Batteries</w:t>
      </w:r>
    </w:p>
    <w:p>
      <w:pPr>
        <w:spacing w:before="0" w:after="120"/>
      </w:pPr>
      <w:r>
        <w:rPr>
          <w:b/>
        </w:rPr>
        <w:t xml:space="preserve">Source: </w:t>
      </w:r>
      <w:r>
        <w:t>Wiley: Advanced Materials: Table of Contents</w:t>
      </w:r>
      <w:r>
        <w:t xml:space="preserve">    </w:t>
      </w:r>
      <w:r>
        <w:rPr>
          <w:b/>
        </w:rPr>
        <w:t xml:space="preserve">Pub date: </w:t>
      </w:r>
      <w:r>
        <w:t>2026-08-14 10:37:46+00:00</w:t>
      </w:r>
      <w:r>
        <w:t xml:space="preserve">    </w:t>
      </w:r>
      <w:r>
        <w:rPr>
          <w:b/>
        </w:rPr>
        <w:t xml:space="preserve">DOI: </w:t>
      </w:r>
      <w:hyperlink r:id="rId252">
        <w:r>
          <w:rPr>
            <w:color w:val="1155CC"/>
            <w:u w:val="single"/>
          </w:rPr>
          <w:t>10.1002/adma.74613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与带有阳离子锌的中性水性电池不同</w:t>
      </w:r>
      <w:r>
        <w:t xml:space="preserve"> </w:t>
      </w:r>
      <w:r>
        <w:t>2+</w:t>
      </w:r>
      <w:r>
        <w:t xml:space="preserve"> </w:t>
      </w:r>
      <w:r>
        <w:t>作为电荷载体，碱性电池以阴离子[Zn(OH)</w:t>
      </w:r>
      <w:r>
        <w:rPr>
          <w:vertAlign w:val="subscript"/>
        </w:rPr>
        <w:t>4</w:t>
      </w:r>
      <w:r>
        <w:t>]</w:t>
      </w:r>
      <w:r>
        <w:t xml:space="preserve"> </w:t>
      </w:r>
      <w:r>
        <w:t>2--</w:t>
      </w:r>
      <w:r>
        <w:t>和羟基</w:t>
      </w:r>
      <w:r>
        <w:t xml:space="preserve"> </w:t>
      </w:r>
      <w:r>
        <w:t>－</w:t>
      </w:r>
      <w:r>
        <w:t xml:space="preserve"> </w:t>
      </w:r>
      <w:r>
        <w:t>由于它们具有抑制析氢的能力，因此实际上具有商业可行性并且热力学稳定。而碱性电池中的商业隔膜不具有离子调节能力，无法抑制严重的枝晶和阴离子[Zn(OH)2的钝化</w:t>
      </w:r>
      <w:r>
        <w:rPr>
          <w:vertAlign w:val="subscript"/>
        </w:rPr>
        <w:t>4</w:t>
      </w:r>
      <w:r>
        <w:t>]</w:t>
      </w:r>
      <w:r>
        <w:t xml:space="preserve"> </w:t>
      </w:r>
      <w:r>
        <w:t>2--</w:t>
      </w:r>
      <w:r>
        <w:t>并加速阴离子·OH的离子传输</w:t>
      </w:r>
      <w:r>
        <w:t xml:space="preserve"> </w:t>
      </w:r>
      <w:r>
        <w:t>－</w:t>
      </w:r>
      <w:r>
        <w:t xml:space="preserve"> </w:t>
      </w:r>
      <w:r>
        <w:t>。在此，我们在聚合物分离器（CCPS）中定制碱稳定阳离子配合物的配位结构来构建阴离子 OH</w:t>
      </w:r>
      <w:r>
        <w:t xml:space="preserve"> </w:t>
      </w:r>
      <w:r>
        <w:t>－</w:t>
      </w:r>
      <w:r>
        <w:t xml:space="preserve"> </w:t>
      </w:r>
      <w:r>
        <w:t>选择性传输通道。同步加速器光谱表征和理论计算表明，低配位阳离子配合物暴露出更多的正电荷密度，静电吸引更多的负电荷[Zn(OH)</w:t>
      </w:r>
      <w:r>
        <w:rPr>
          <w:vertAlign w:val="subscript"/>
        </w:rPr>
        <w:t>4</w:t>
      </w:r>
      <w:r>
        <w:t>]</w:t>
      </w:r>
      <w:r>
        <w:t xml:space="preserve"> </w:t>
      </w:r>
      <w:r>
        <w:t>2--</w:t>
      </w:r>
      <w:r>
        <w:t>。原位电化学数字全息技术和飞行时间二次离子质谱分析进一步证实了均相[Zn(OH)</w:t>
      </w:r>
      <w:r>
        <w:rPr>
          <w:vertAlign w:val="subscript"/>
        </w:rPr>
        <w:t>4</w:t>
      </w:r>
      <w:r>
        <w:t>]</w:t>
      </w:r>
      <w:r>
        <w:t xml:space="preserve"> </w:t>
      </w:r>
      <w:r>
        <w:t>2--</w:t>
      </w:r>
      <w:r>
        <w:t>CCPS-电极界面处的分布，ori</w:t>
      </w:r>
    </w:p>
    <w:p>
      <w:pPr>
        <w:spacing w:before="0" w:after="200" w:lineRule="auto" w:line="276"/>
      </w:pPr>
      <w:r>
        <w:rPr>
          <w:b/>
        </w:rPr>
        <w:t xml:space="preserve">Abstract (EN): </w:t>
      </w:r>
      <w:r>
        <w:t>Unlike neutral aqueous batteries with cationic Zn</w:t>
      </w:r>
      <w:r>
        <w:t xml:space="preserve"> </w:t>
      </w:r>
      <w:r>
        <w:t>2+</w:t>
      </w:r>
      <w:r>
        <w:t xml:space="preserve"> </w:t>
      </w:r>
      <w:r>
        <w:t>as the charge carrier, alkaline batteries with anionic [Zn(OH)</w:t>
      </w:r>
      <w:r>
        <w:rPr>
          <w:vertAlign w:val="subscript"/>
        </w:rPr>
        <w:t>4</w:t>
      </w:r>
      <w:r>
        <w:t>]</w:t>
      </w:r>
      <w:r>
        <w:t xml:space="preserve"> </w:t>
      </w:r>
      <w:r>
        <w:t>2‒</w:t>
      </w:r>
      <w:r>
        <w:t xml:space="preserve"> </w:t>
      </w:r>
      <w:r>
        <w:t>and OH</w:t>
      </w:r>
      <w:r>
        <w:t xml:space="preserve"> </w:t>
      </w:r>
      <w:r>
        <w:t>‒</w:t>
      </w:r>
      <w:r>
        <w:t xml:space="preserve"> </w:t>
      </w:r>
      <w:r>
        <w:t>are actually commercially feasible and thermodynamically stable thanks to their ability to suppress hydrogen evolution. Whereas commercial separators in alkaline batteries, without ion regulation capability, fail to suppress severe dendrite and passivation of anionic [Zn(OH)</w:t>
      </w:r>
      <w:r>
        <w:rPr>
          <w:vertAlign w:val="subscript"/>
        </w:rPr>
        <w:t>4</w:t>
      </w:r>
      <w:r>
        <w:t>]</w:t>
      </w:r>
      <w:r>
        <w:t xml:space="preserve"> </w:t>
      </w:r>
      <w:r>
        <w:t>2‒</w:t>
      </w:r>
      <w:r>
        <w:t xml:space="preserve"> </w:t>
      </w:r>
      <w:r>
        <w:t>and accelerate ion transport of anionic OH</w:t>
      </w:r>
      <w:r>
        <w:t xml:space="preserve"> </w:t>
      </w:r>
      <w:r>
        <w:t>‒</w:t>
      </w:r>
      <w:r>
        <w:t xml:space="preserve"> </w:t>
      </w:r>
      <w:r>
        <w:t>. Herein, we tailor the coordination structures of alkali‐stable cationic complexes in polymer separators (CCPS) to construct anionic OH</w:t>
      </w:r>
      <w:r>
        <w:t xml:space="preserve"> </w:t>
      </w:r>
      <w:r>
        <w:t>‒</w:t>
      </w:r>
      <w:r>
        <w:t xml:space="preserve"> </w:t>
      </w:r>
      <w:r>
        <w:t>selective transfer channels. Synchrotron spectroscopic characterizations and theoretical calculations reveal that the low‐coordination cationic complexes expose more positive charge density, electrostatically attracting more negative charge from [Zn(OH)</w:t>
      </w:r>
      <w:r>
        <w:rPr>
          <w:vertAlign w:val="subscript"/>
        </w:rPr>
        <w:t>4</w:t>
      </w:r>
      <w:r>
        <w:t>]</w:t>
      </w:r>
      <w:r>
        <w:t xml:space="preserve"> </w:t>
      </w:r>
      <w:r>
        <w:t>2‒</w:t>
      </w:r>
      <w:r>
        <w:t xml:space="preserve"> </w:t>
      </w:r>
      <w:r>
        <w:t>. In situ electrochemical digital holography technology and time‐of‐flight secondary ion mass spectrometry analyses further confirm the homogeneous [Zn(OH)</w:t>
      </w:r>
      <w:r>
        <w:rPr>
          <w:vertAlign w:val="subscript"/>
        </w:rPr>
        <w:t>4</w:t>
      </w:r>
      <w:r>
        <w:t>]</w:t>
      </w:r>
      <w:r>
        <w:t xml:space="preserve"> </w:t>
      </w:r>
      <w:r>
        <w:t>2‒</w:t>
      </w:r>
      <w:r>
        <w:t xml:space="preserve"> </w:t>
      </w:r>
      <w:r>
        <w:t>distribution at the CCPS‐electrode interface, oriented Zn deposition, and impeded passivation. As a result, CCPS enables alkaline Zn||Cu cells to operate over 5500 cycles at 1 mA cm</w:t>
      </w:r>
      <w:r>
        <w:t xml:space="preserve"> </w:t>
      </w:r>
      <w:r>
        <w:t>‒2</w:t>
      </w:r>
      <w:r>
        <w:t xml:space="preserve"> </w:t>
      </w:r>
      <w:r>
        <w:t>with a high coulombic efficiency of 99.99%. Alkaline Ni–Zn batteries exhibit ultrastable cycling over 1000 cycles at 6 C and maintain 86.17% of their maximum capacity at 10 C. Our work may provide practical and effective separator strategies to accelerate the commercialization of alkaline batteries.</w:t>
      </w:r>
    </w:p>
    <w:p>
      <w:pPr>
        <w:spacing w:before="120" w:after="120"/>
      </w:pPr>
      <w:r>
        <w:rPr>
          <w:sz w:val="18"/>
        </w:rPr>
        <w:t>——————————————————————————————————————————————————————————————————————</w:t>
      </w:r>
    </w:p>
    <w:p>
      <w:pPr>
        <w:spacing w:before="160" w:after="40" w:line="240" w:lineRule="auto"/>
      </w:pPr>
      <w:r>
        <w:rPr>
          <w:b/>
        </w:rPr>
        <w:t xml:space="preserve">[4] </w:t>
      </w:r>
      <w:hyperlink r:id="rId116">
        <w:r>
          <w:rPr>
            <w:color w:val="1155CC"/>
            <w:u w:val="single"/>
          </w:rPr>
          <w:t>超分子自组装可实现受控锂补充，实现废旧磷酸铁锂电池的高性能和可持续再生</w:t>
        </w:r>
      </w:hyperlink>
    </w:p>
    <w:p>
      <w:pPr>
        <w:spacing w:before="0" w:after="80"/>
      </w:pPr>
      <w:r>
        <w:rPr>
          <w:i/>
          <w:sz w:val="20"/>
        </w:rPr>
        <w:t>EN: Supramolecular Self‐Assembly Enables Controlled Lithium Replenishment Toward High‐Performance and Sustainable Regeneration of Spent LiFePO4 Batteries</w:t>
      </w:r>
    </w:p>
    <w:p>
      <w:pPr>
        <w:spacing w:before="0" w:after="120"/>
      </w:pPr>
      <w:r>
        <w:rPr>
          <w:b/>
        </w:rPr>
        <w:t xml:space="preserve">Source: </w:t>
      </w:r>
      <w:r>
        <w:t>Wiley: Angewandte Chemie International Edition: Table of Contents</w:t>
      </w:r>
      <w:r>
        <w:t xml:space="preserve">    </w:t>
      </w:r>
      <w:r>
        <w:rPr>
          <w:b/>
        </w:rPr>
        <w:t xml:space="preserve">Pub date: </w:t>
      </w:r>
      <w:r>
        <w:t>2026-08-14 16:36:08+00:00</w:t>
      </w:r>
      <w:r>
        <w:t xml:space="preserve">    </w:t>
      </w:r>
      <w:r>
        <w:rPr>
          <w:b/>
        </w:rPr>
        <w:t xml:space="preserve">DOI: </w:t>
      </w:r>
      <w:hyperlink r:id="rId117">
        <w:r>
          <w:rPr>
            <w:color w:val="1155CC"/>
            <w:u w:val="single"/>
          </w:rPr>
          <w:t>10.1002/anie.4146793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随着锂离子电池部署的迅速扩大，磷酸铁锂（LiFePO）</w:t>
      </w:r>
      <w:r>
        <w:rPr>
          <w:vertAlign w:val="subscript"/>
        </w:rPr>
        <w:t>4</w:t>
      </w:r>
      <w:r>
        <w:t>（LFP）再生对于闭合材料循环至关重要。然而，在传统的固态再生中，有限的固-固接触和致密导电碳层的过早形成阻碍了锂补充、结构缺陷修复和界面重建的有效协调，从而限制了锂的利用效率和结构恢复。本文提出了一种由三硫氰尿酸（TMT）和醋酸锂（CH）自发形成的自组装超分子（SAS）再生系统</w:t>
      </w:r>
      <w:r>
        <w:rPr>
          <w:vertAlign w:val="subscript"/>
        </w:rPr>
        <w:t>3</w:t>
      </w:r>
      <w:r>
        <w:t>酷利）。通过Li-S配位和氢键相互作用，前驱体自组装成有序的超分子结构，调节固态再生过程的热演化。与传统固态再生中机械混合前驱体的独立热分解不同，有序超分子结构调节反应顺序，使锂优先进入LiFePO</w:t>
      </w:r>
      <w:r>
        <w:rPr>
          <w:vertAlign w:val="subscript"/>
        </w:rPr>
        <w:t>4</w:t>
      </w:r>
      <w:r>
        <w:t>晶格在形成致密的导电碳层之前，从而实现高效的锂补充和结构修复。随后，原位生成的 N/S 共掺杂导电碳层提高了再生 LFP 的界面电导率。再生正极可提供 160.3 mAh g</w:t>
      </w:r>
      <w:r>
        <w:t xml:space="preserve"> </w:t>
      </w:r>
      <w:r>
        <w:t>-</w:t>
      </w:r>
    </w:p>
    <w:p>
      <w:pPr>
        <w:spacing w:before="0" w:after="200" w:lineRule="auto" w:line="276"/>
      </w:pPr>
      <w:r>
        <w:rPr>
          <w:b/>
        </w:rPr>
        <w:t xml:space="preserve">Abstract (EN): </w:t>
      </w:r>
      <w:r>
        <w:t>With the rapid expansion of lithium–ion battery deployment, spent LiFePO</w:t>
      </w:r>
      <w:r>
        <w:rPr>
          <w:vertAlign w:val="subscript"/>
        </w:rPr>
        <w:t>4</w:t>
      </w:r>
      <w:r>
        <w:t>(LFP) regeneration is vital for closing material loops. However, in conventional solid‐state regeneration, limited solid–solid contact and the premature formation of a dense conductive carbon layer hinder the effective coordination of lithium replenishment, structural defect repair, and interfacial reconstruction, thereby limiting lithium utilization efficiency and structural restoration. This paper presents a self‐assembled supramolecular (SAS) regeneration system spontaneously formed from trithiocyanuric acid (TMT) and lithium acetate (CH</w:t>
      </w:r>
      <w:r>
        <w:rPr>
          <w:vertAlign w:val="subscript"/>
        </w:rPr>
        <w:t>3</w:t>
      </w:r>
      <w:r>
        <w:t>COOLi). Through Li–S coordination and hydrogen‐bonding interactions, the precursor self‐assembles into an ordered supramolecular architecture that regulates the thermal evolution of the solid‐state regeneration process. Unlike the independent thermal decomposition of mechanically mixed precursors in conventional solid‐state regeneration, the ordered supramolecular architecture regulates the reaction sequence, enabling lithium to preferentially enter the LiFePO</w:t>
      </w:r>
      <w:r>
        <w:rPr>
          <w:vertAlign w:val="subscript"/>
        </w:rPr>
        <w:t>4</w:t>
      </w:r>
      <w:r>
        <w:t>lattice before the formation of a dense conductive carbon layer, thereby achieving efficient lithium replenishment and structural restoration. Subsequently, an in situ generated N/S co‐doped conductive carbon layer elevates interfacial conductivity of regenerated LFP. The regenerated cathode delivers 160.3 mAh g</w:t>
      </w:r>
      <w:r>
        <w:t xml:space="preserve"> </w:t>
      </w:r>
      <w:r>
        <w:t>−</w:t>
      </w:r>
      <w:r>
        <w:rPr>
          <w:vertAlign w:val="subscript"/>
        </w:rPr>
        <w:t>1</w:t>
      </w:r>
      <w:r>
        <w:t>(0.1 C) and 143.0 mAh g</w:t>
      </w:r>
      <w:r>
        <w:t xml:space="preserve"> </w:t>
      </w:r>
      <w:r>
        <w:t>−</w:t>
      </w:r>
      <w:r>
        <w:rPr>
          <w:vertAlign w:val="subscript"/>
        </w:rPr>
        <w:t>1</w:t>
      </w:r>
      <w:r>
        <w:t>(1 C), maintaining 88% capacity over 500 cycles at 1 C, while the pouch cell exhibits 81% capacity retention after 500 cycles at 0.5 C.</w:t>
      </w:r>
    </w:p>
    <w:p>
      <w:pPr>
        <w:spacing w:before="120" w:after="120"/>
      </w:pPr>
      <w:r>
        <w:rPr>
          <w:sz w:val="18"/>
        </w:rPr>
        <w:t>——————————————————————————————————————————————————————————————————————</w:t>
      </w:r>
    </w:p>
    <w:p>
      <w:pPr>
        <w:spacing w:before="160" w:after="40" w:line="240" w:lineRule="auto"/>
      </w:pPr>
      <w:r>
        <w:rPr>
          <w:b/>
        </w:rPr>
        <w:t xml:space="preserve">[5] </w:t>
      </w:r>
      <w:hyperlink r:id="rId253">
        <w:r>
          <w:rPr>
            <w:color w:val="1155CC"/>
            <w:u w:val="single"/>
          </w:rPr>
          <w:t>评估 WLTP 驱动循环下锂离子电池的等温退化误差</w:t>
        </w:r>
      </w:hyperlink>
    </w:p>
    <w:p>
      <w:pPr>
        <w:spacing w:before="0" w:after="80"/>
      </w:pPr>
      <w:r>
        <w:rPr>
          <w:i/>
          <w:sz w:val="20"/>
        </w:rPr>
        <w:t>EN: Evaluating isothermal degradation error in lithium-ion batteries under WLTP drive cycles</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254">
        <w:r>
          <w:rPr>
            <w:color w:val="1155CC"/>
            <w:u w:val="single"/>
          </w:rPr>
          <w:t>10.1016/j.apenergy.2026.128623</w:t>
        </w:r>
      </w:hyperlink>
    </w:p>
    <w:p>
      <w:pPr>
        <w:spacing w:before="0" w:after="120"/>
      </w:pPr>
      <w:r>
        <w:rPr>
          <w:b/>
        </w:rPr>
        <w:t xml:space="preserve">Notes: </w:t>
      </w:r>
      <w:r>
        <w:t>abstract_source=openalex</w:t>
      </w:r>
    </w:p>
    <w:p>
      <w:pPr>
        <w:spacing w:before="0" w:after="80" w:lineRule="auto" w:line="276"/>
      </w:pPr>
      <w:r>
        <w:rPr>
          <w:b/>
        </w:rPr>
        <w:t xml:space="preserve">摘要（ZH）: </w:t>
      </w:r>
      <w:r>
        <w:t>基于物理的电池管理系统经常假设电池等温运行，从而消除热子模型以降低计算成本。这种假设在健康状态预测中引入的误差取决于固体电解质相间动力学速率常数的活化能。在广泛使用的参数化中，该能量被设置为零，将温度与降解动力学解耦并隐藏真实的热敏感性。为镍锰钴氧化物和磷酸铁锂电池开发了带有电解质的校准多机制单粒子模型。两阶段顺序程序根据温度相关的褪色率比率校准活化能，然后根据纵向健康状态轨迹联合优化固体电解质相间速率常数和活性材料损失系数，实现均方根误差为 1 。 45 页 — 6 。比未校准的默认值提高了 3 倍。对涵盖两种化学物质、环境温度为 10、25 和 40 °C 以及充电速率为 1C 和 2C 的 24 种条件进行的参数扫描表明，等温假设引入了 1 的健康状态误差。 4-8。 2 页（针对镍锰钴氧化物）超过 500 个全球统一轻型车辆测试程序循环，校准活化能为 78 。 5 kJ mol -1 ，与最大值 0 相比。 20 页，活化能为零。对于镍锰钴氧化物电池，固体电解质界面生长导致容量损失 &gt;99%。对于磷酸铁锂电池，s</w:t>
      </w:r>
    </w:p>
    <w:p>
      <w:pPr>
        <w:spacing w:before="0" w:after="200" w:lineRule="auto" w:line="276"/>
      </w:pPr>
      <w:r>
        <w:rPr>
          <w:b/>
        </w:rPr>
        <w:t xml:space="preserve">Abstract (EN): </w:t>
      </w:r>
      <w:r>
        <w:t>Physics-based battery management systems frequently assume isothermal cell oper-ation, eliminating the thermal sub-model to reduce computational cost. The error introduced by this assumption in state-of-health prediction depends on the activation energy of the solid electrolyte interphase kinetic rate constant. In widely used pa-rameterisations this energy is set to zero, decoupling temperature from degradation kinetics and concealing the true thermal sensitivity. A calibrated multi-mechanism Single Particle Model with Electrolyte is developed for nickel manganese cobalt oxide and lithium iron phosphate cells. A two-stage sequential procedure calibrates the ac-tivation energy from temperature-dependent fade rate ratios, then jointly optimises the solid electrolyte interphase rate constant and loss of active material coefficient against a longitudinal state-of-health trajectory, achieving a root mean square er-ror of 1 . 45 pp. — 6 . 3-fold improvement over the uncalibrated default. A parametric sweep of 24 conditions spanning both chemistries, ambient temperatures of 10, 25, and 40 °C, and charge rates of 1C and 2C shows that the isothermal assumption in-troduces state-of-health errors of 1 . 4–8 . 2 pp. (for nickel manganese cobalt oxide) over 500 Worldwide Harmonised Light Vehicle Test Procedure cycles with the calibrated activation energy of 78 . 5 kJ mol −1 , compared with a maximum of 0 . 20 pp. at zero ac-tivation energy. For nickel manganese cobalt oxide cells, solid electrolyte interphase growth accounts for &gt;99% of capacity loss. For lithium iron phosphate cells, solid electrolyte interphase and loss of active material contribute approximately 62% and 38% respectively, due to the larger depth of discharge per cycle. A three-layer parameter uncertainty analysis one-at-a-time sensitivity, an activation energy sweep across 62 – 95 kJ mol −1 , and an analytical Monte Carlo, confirms that the isothermal Δ SOH error exceeds 0.5 pp. across the full physically plausible parameter space and that activation energy is the dominant source of uncertainty.</w:t>
      </w:r>
    </w:p>
    <w:p>
      <w:pPr>
        <w:spacing w:before="120" w:after="120"/>
      </w:pPr>
      <w:r>
        <w:rPr>
          <w:sz w:val="18"/>
        </w:rPr>
        <w:t>——————————————————————————————————————————————————————————————————————</w:t>
      </w:r>
    </w:p>
    <w:p>
      <w:pPr>
        <w:spacing w:before="160" w:after="40" w:line="240" w:lineRule="auto"/>
      </w:pPr>
      <w:r>
        <w:rPr>
          <w:b/>
        </w:rPr>
        <w:t xml:space="preserve">[6] </w:t>
      </w:r>
      <w:hyperlink r:id="rId187">
        <w:r>
          <w:rPr>
            <w:color w:val="1155CC"/>
            <w:u w:val="single"/>
          </w:rPr>
          <w:t>用于通过石墨阳极耦合电子/离子传输的表面氟化导电碳</w:t>
        </w:r>
      </w:hyperlink>
    </w:p>
    <w:p>
      <w:pPr>
        <w:spacing w:before="0" w:after="80"/>
      </w:pPr>
      <w:r>
        <w:rPr>
          <w:i/>
          <w:sz w:val="20"/>
        </w:rPr>
        <w:t>EN: Surface‐Fluorinated Conductive Carbon for Coupled Electron/Ion Transport Through the Graphite Anode</w:t>
      </w:r>
    </w:p>
    <w:p>
      <w:pPr>
        <w:spacing w:before="0" w:after="120"/>
      </w:pPr>
      <w:r>
        <w:rPr>
          <w:b/>
        </w:rPr>
        <w:t xml:space="preserve">Source: </w:t>
      </w:r>
      <w:r>
        <w:t>Wiley: Advanced Energy Materials: Table of Contents</w:t>
      </w:r>
      <w:r>
        <w:t xml:space="preserve">    </w:t>
      </w:r>
      <w:r>
        <w:rPr>
          <w:b/>
        </w:rPr>
        <w:t xml:space="preserve">Pub date: </w:t>
      </w:r>
      <w:r>
        <w:t>2026-08-15 14:40:24+00:00</w:t>
      </w:r>
      <w:r>
        <w:t xml:space="preserve">    </w:t>
      </w:r>
      <w:r>
        <w:rPr>
          <w:b/>
        </w:rPr>
        <w:t xml:space="preserve">DOI: </w:t>
      </w:r>
      <w:hyperlink r:id="rId188">
        <w:r>
          <w:rPr>
            <w:color w:val="1155CC"/>
            <w:u w:val="single"/>
          </w:rPr>
          <w:t>10.1002/aenm.71436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石墨（Gr）是商用锂离子电池（LIB）的主要阳极材料。然而，其快速充电能力往往受到缓慢的锂电池的限制。</w:t>
      </w:r>
      <w:r>
        <w:t xml:space="preserve"> </w:t>
      </w:r>
      <w:r>
        <w:t>+</w:t>
      </w:r>
      <w:r>
        <w:t xml:space="preserve"> </w:t>
      </w:r>
      <w:r>
        <w:t>高电流密度下的传输和大界面极化。传统的导电碳主要充当电子渗流网络，对锂没有贡献</w:t>
      </w:r>
      <w:r>
        <w:t xml:space="preserve"> </w:t>
      </w:r>
      <w:r>
        <w:t>+</w:t>
      </w:r>
      <w:r>
        <w:t xml:space="preserve"> </w:t>
      </w:r>
      <w:r>
        <w:t>运输监管。在这里，我们报告了一种气相氟化策略，将商业纳米级导电碳转化为表面氟化导电碳（F-SP），以实现电子/锂的耦合</w:t>
      </w:r>
      <w:r>
        <w:t xml:space="preserve"> </w:t>
      </w:r>
      <w:r>
        <w:t>+</w:t>
      </w:r>
      <w:r>
        <w:t xml:space="preserve"> </w:t>
      </w:r>
      <w:r>
        <w:t>Gr 阳极中的传输和局部富 LiF 相间调节。引入的半离子和极性 C-F 物质增强了电解质的润湿性和 Li</w:t>
      </w:r>
      <w:r>
        <w:t xml:space="preserve"> </w:t>
      </w:r>
      <w:r>
        <w:t>+</w:t>
      </w:r>
      <w:r>
        <w:t xml:space="preserve"> </w:t>
      </w:r>
      <w:r>
        <w:t>亲和力，同时保持导电碳框架。 F-SP的部分电化学脱氟进一步促进了循环过程中表面上纳米级富LiF界面的原位形成，调节局部界面化学并改善电荷转移动力学。受益于这种协同传输和相间调节，基于 F-SP 的 Gr 阳极表现出更高的倍率性能和循环稳定性，同时减少了极化并加速了 Li</w:t>
      </w:r>
      <w:r>
        <w:t xml:space="preserve"> </w:t>
      </w:r>
      <w:r>
        <w:t>+</w:t>
      </w:r>
      <w:r>
        <w:t xml:space="preserve"> </w:t>
      </w:r>
      <w:r>
        <w:t>运输动力学。 NCM523||Gr/F-SP 全电池可逆容量为 95.2 mAh g</w:t>
      </w:r>
      <w:r>
        <w:t xml:space="preserve"> </w:t>
      </w:r>
      <w:r>
        <w:t>−1</w:t>
      </w:r>
      <w:r>
        <w:t xml:space="preserve"> </w:t>
      </w:r>
      <w:r>
        <w:t>10℃时</w:t>
      </w:r>
    </w:p>
    <w:p>
      <w:pPr>
        <w:spacing w:before="0" w:after="200" w:lineRule="auto" w:line="276"/>
      </w:pPr>
      <w:r>
        <w:rPr>
          <w:b/>
        </w:rPr>
        <w:t xml:space="preserve">Abstract (EN): </w:t>
      </w:r>
      <w:r>
        <w:t>Graphite (Gr) is the dominant anode material for commercial lithium‐ion batteries (LIBs). However, its fast‐charging capability is often constrained by sluggish Li</w:t>
      </w:r>
      <w:r>
        <w:t xml:space="preserve"> </w:t>
      </w:r>
      <w:r>
        <w:t>+</w:t>
      </w:r>
      <w:r>
        <w:t xml:space="preserve"> </w:t>
      </w:r>
      <w:r>
        <w:t>transport and large interfacial polarization under high current densities. Conventional conductive carbons mainly serve as electronic percolation networks and do not contribute to Li</w:t>
      </w:r>
      <w:r>
        <w:t xml:space="preserve"> </w:t>
      </w:r>
      <w:r>
        <w:t>+</w:t>
      </w:r>
      <w:r>
        <w:t xml:space="preserve"> </w:t>
      </w:r>
      <w:r>
        <w:t>transport regulation. Here, we report a gas‐phase fluorination strategy that converts commercial nanosized conductive carbon into a surface‐fluorinated conductive carbon (F‐SP) to enable coupled electron/Li</w:t>
      </w:r>
      <w:r>
        <w:t xml:space="preserve"> </w:t>
      </w:r>
      <w:r>
        <w:t>+</w:t>
      </w:r>
      <w:r>
        <w:t xml:space="preserve"> </w:t>
      </w:r>
      <w:r>
        <w:t>transport and localized LiF‐rich interphase regulation in Gr anodes. The introduced semi‐ionic and polar C‐F species enhance electrolyte wettability and Li</w:t>
      </w:r>
      <w:r>
        <w:t xml:space="preserve"> </w:t>
      </w:r>
      <w:r>
        <w:t>+</w:t>
      </w:r>
      <w:r>
        <w:t xml:space="preserve"> </w:t>
      </w:r>
      <w:r>
        <w:t>affinity while maintaining the conductive carbon framework. Partial electrochemical defluorination of F‐SP further promotes the in situ formation of a nanoscale LiF‐rich interphase on the surface during cycling, regulating local interfacial chemistry and improving charge‐transfer kinetics. Benefiting from this synergistic transport and interphase regulation, the F‐SP‐based Gr anode exhibits improved rate capability and cycling stability with reduced polarization and accelerated Li</w:t>
      </w:r>
      <w:r>
        <w:t xml:space="preserve"> </w:t>
      </w:r>
      <w:r>
        <w:t>+</w:t>
      </w:r>
      <w:r>
        <w:t xml:space="preserve"> </w:t>
      </w:r>
      <w:r>
        <w:t>transport kinetics. The NCM523||Gr/F‐SP full‐cell delivers a reversible capacity of 95.2 mAh g</w:t>
      </w:r>
      <w:r>
        <w:t xml:space="preserve"> </w:t>
      </w:r>
      <w:r>
        <w:t>−1</w:t>
      </w:r>
      <w:r>
        <w:t xml:space="preserve"> </w:t>
      </w:r>
      <w:r>
        <w:t>at 10C and retains 81.99% of its capacity after 500 cycles at 1C. This work demonstrates that rational surface fluorination can upgrade conventional conductive carbon into multifunctional kinetic regulators for fast‐charging Gr anodes.</w:t>
      </w:r>
    </w:p>
    <w:p>
      <w:pPr>
        <w:spacing w:before="120" w:after="120"/>
      </w:pPr>
      <w:r>
        <w:rPr>
          <w:sz w:val="18"/>
        </w:rPr>
        <w:t>——————————————————————————————————————————————————————————————————————</w:t>
      </w:r>
    </w:p>
    <w:p>
      <w:pPr>
        <w:spacing w:before="160" w:after="40" w:line="240" w:lineRule="auto"/>
      </w:pPr>
      <w:r>
        <w:rPr>
          <w:b/>
        </w:rPr>
        <w:t xml:space="preserve">[7] </w:t>
      </w:r>
      <w:hyperlink r:id="rId129">
        <w:r>
          <w:rPr>
            <w:color w:val="1155CC"/>
            <w:u w:val="single"/>
          </w:rPr>
          <w:t>下一代锂离子电池的超高负载正极</w:t>
        </w:r>
      </w:hyperlink>
    </w:p>
    <w:p>
      <w:pPr>
        <w:spacing w:before="0" w:after="80"/>
      </w:pPr>
      <w:r>
        <w:rPr>
          <w:i/>
          <w:sz w:val="20"/>
        </w:rPr>
        <w:t>EN: Ultrahigh‐Loading Cathodes for Next‐Generation Lithium‐Ion Batteries</w:t>
      </w:r>
    </w:p>
    <w:p>
      <w:pPr>
        <w:spacing w:before="0" w:after="120"/>
      </w:pPr>
      <w:r>
        <w:rPr>
          <w:b/>
        </w:rPr>
        <w:t xml:space="preserve">Source: </w:t>
      </w:r>
      <w:r>
        <w:t>Wiley: Advanced Energy Materials: Table of Contents</w:t>
      </w:r>
      <w:r>
        <w:t xml:space="preserve">    </w:t>
      </w:r>
      <w:r>
        <w:rPr>
          <w:b/>
        </w:rPr>
        <w:t xml:space="preserve">Pub date: </w:t>
      </w:r>
      <w:r>
        <w:t>2026-08-15 14:41:36+00:00</w:t>
      </w:r>
      <w:r>
        <w:t xml:space="preserve">    </w:t>
      </w:r>
      <w:r>
        <w:rPr>
          <w:b/>
        </w:rPr>
        <w:t xml:space="preserve">DOI: </w:t>
      </w:r>
      <w:hyperlink r:id="rId130">
        <w:r>
          <w:rPr>
            <w:color w:val="1155CC"/>
            <w:u w:val="single"/>
          </w:rPr>
          <w:t>10.1002/aenm.71439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高负载正极是提高锂离子电池能量密度的关键途径。厚电极的设计可以通过最大限度地减少器件级别的非活性成分的比例来显着增加电极活性材料的负载量。然而，仍然需要付出相当大的努力来解决随着电极厚度增加而出现的挑战。本综述概述了超高负载阴极面临的共同挑战，重点关注不同阴极系统中厚电极的关键降解机制和最新进展。还讨论了实际电池水平的限制，并评估了各种修改策略和新兴制造工艺的工业可行性。最后，对超高负载正极的未来发展和研究方向提出建议。</w:t>
      </w:r>
    </w:p>
    <w:p>
      <w:pPr>
        <w:spacing w:before="0" w:after="200" w:lineRule="auto" w:line="276"/>
      </w:pPr>
      <w:r>
        <w:rPr>
          <w:b/>
        </w:rPr>
        <w:t xml:space="preserve">Abstract (EN): </w:t>
      </w:r>
      <w:r>
        <w:t>Ultrahigh‐loading cathodes are a key pathway to boosting the energy density of lithium‐ion batteries. The design of thick electrodes can significantly increase the loading of electrode active materials by minimizing the proportion of inactive components at the device level. However, considerable effort is still required to address the challenges that arise as the electrode thickness increases. This review outlines the common challenges faced by ultra‐high‐loading cathodes, focusing on the key degradation mechanisms of thick electrodes in different cathode systems and the latest advances. The constraints at the practical cell level are also discussed, and the industrial feasibility of various modification strategies and emerging fabrication processes is evaluated. Finally, suggestions on the future directions of ultrahigh‐loading cathode development and research are provided.</w:t>
      </w:r>
    </w:p>
    <w:p>
      <w:pPr>
        <w:spacing w:before="120" w:after="120"/>
      </w:pPr>
      <w:r>
        <w:rPr>
          <w:sz w:val="18"/>
        </w:rPr>
        <w:t>——————————————————————————————————————————————————————————————————————</w:t>
      </w:r>
    </w:p>
    <w:p>
      <w:pPr>
        <w:spacing w:before="160" w:after="40" w:line="240" w:lineRule="auto"/>
      </w:pPr>
      <w:r>
        <w:rPr>
          <w:b/>
        </w:rPr>
        <w:t xml:space="preserve">[8] </w:t>
      </w:r>
      <w:hyperlink r:id="rId189">
        <w:r>
          <w:rPr>
            <w:color w:val="1155CC"/>
            <w:u w:val="single"/>
          </w:rPr>
          <w:t>化学机械自适应 MXene-Si-Ag 双种子中间层实现低压硫化物全固态电池</w:t>
        </w:r>
      </w:hyperlink>
    </w:p>
    <w:p>
      <w:pPr>
        <w:spacing w:before="0" w:after="80"/>
      </w:pPr>
      <w:r>
        <w:rPr>
          <w:i/>
          <w:sz w:val="20"/>
        </w:rPr>
        <w:t>EN: Chemomechanically Adaptive MXene–Si–Ag Dual‐Seed Interlayer Enabling Low‐Pressure Sulfide all‐Solid‐State Batteries</w:t>
      </w:r>
    </w:p>
    <w:p>
      <w:pPr>
        <w:spacing w:before="0" w:after="120"/>
      </w:pPr>
      <w:r>
        <w:rPr>
          <w:b/>
        </w:rPr>
        <w:t xml:space="preserve">Source: </w:t>
      </w:r>
      <w:r>
        <w:t>Wiley: Advanced Energy Materials: Table of Contents</w:t>
      </w:r>
      <w:r>
        <w:t xml:space="preserve">    </w:t>
      </w:r>
      <w:r>
        <w:rPr>
          <w:b/>
        </w:rPr>
        <w:t xml:space="preserve">Pub date: </w:t>
      </w:r>
      <w:r>
        <w:t>2026-08-15 14:45:28+00:00</w:t>
      </w:r>
      <w:r>
        <w:t xml:space="preserve">    </w:t>
      </w:r>
      <w:r>
        <w:rPr>
          <w:b/>
        </w:rPr>
        <w:t xml:space="preserve">DOI: </w:t>
      </w:r>
      <w:hyperlink r:id="rId190">
        <w:r>
          <w:rPr>
            <w:color w:val="1155CC"/>
            <w:u w:val="single"/>
          </w:rPr>
          <w:t>10.1002/aenm.71461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硫化物基全固态电池（ASSB）具有高安全性和能量密度；然而，由于固固界面的化学机械不稳定性，在低堆压下维持稳定运行仍然具有挑战性。在这里，我们报告了一种化学机械自适应 MXene-Si-Ag 混合夹层，可稳定硫化物 ASSB 中的锂金属阳极界面。机械顺应性 MXene 框架与硫化物固体电解质保持紧密接触并适应界面应力演变，而固定的硅和移动的银则充当互补的亲锂种子。由于硅在锂中的溶解度可以忽略不计，因此它提供了持久的界面锚定和连续的离子通道，而银则沿着锂通量动态地重新分布，以调节成核和界面反应动力学。这种固定-移动双种子协同作用使锂传输均匀化，而不需要种子严格的空间重叠。当与高负载 NCM811 正极配合使用时，中间层的面积容量可达 4.56 mAh cm</w:t>
      </w:r>
      <w:r>
        <w:t xml:space="preserve"> </w:t>
      </w:r>
      <w:r>
        <w:t>−2</w:t>
      </w:r>
      <w:r>
        <w:t xml:space="preserve"> </w:t>
      </w:r>
      <w:r>
        <w:t>在 40 MPa、1C 条件下循环 500 次后容量保持率为 84.5%。值得注意的是，即使在超低堆压 (0.21 MPa) 下也能保持稳定的循环，初始库仑效率为 82.7%，200 次循环后容量保持率为 72.4%。这项工作表明，将机械适应性与动态亲锂调节相结合，为耐压、高能硫化物 ASSB 提供了一条实用途径。</w:t>
      </w:r>
    </w:p>
    <w:p>
      <w:pPr>
        <w:spacing w:before="0" w:after="200" w:lineRule="auto" w:line="276"/>
      </w:pPr>
      <w:r>
        <w:rPr>
          <w:b/>
        </w:rPr>
        <w:t xml:space="preserve">Abstract (EN): </w:t>
      </w:r>
      <w:r>
        <w:t>Sulfide‐based all‐solid‐state batteries (ASSBs) promise high safety and energy density; however, sustaining stable operation under low stack pressure remains challenging due to chemo‐mechanical instability at solid‐solid interfaces. Here, we report a chemomechanically adaptive MXene–Si–Ag hybrid interlayer that stabilizes Li metal‐based anode interfaces in sulfide ASSBs. A mechanically compliant MXene framework maintains intimate contact with the sulfide solid electrolyte and accommodates interfacial stress evolution, while immobile Si and mobile Ag function as complementary lithiophilic seeds. Si provides persistent interfacial anchoring and continuous ionic pathways owing to its negligible solubility in Li, whereas Ag dynamically redistributes along Li flux to regulate nucleation and interfacial reaction kinetics. This immobile‐mobile dual‐seed synergy homogenizes Li transport without requiring strict spatial overlap of the seeds. When paired with high‐loading NCM811 cathodes, the interlayer enables an areal capacity of 4.56 mAh cm</w:t>
      </w:r>
      <w:r>
        <w:t xml:space="preserve"> </w:t>
      </w:r>
      <w:r>
        <w:t>−2</w:t>
      </w:r>
      <w:r>
        <w:t xml:space="preserve"> </w:t>
      </w:r>
      <w:r>
        <w:t>with 84.5% capacity retention over 500 cycles at 1C under 40 MPa. Notably, stable cycling is preserved even under ultralow stack pressure (0.21 MPa), delivering an initial Coulombic efficiency of 82.7% and 72.4% capacity retention after 200 cycles. This work demonstrates that coupling mechanical adaptability with dynamic lithiophilic regulation provides a practical pathway toward pressure‐tolerant, high‐energy sulfide ASSBs.</w:t>
      </w:r>
    </w:p>
    <w:p>
      <w:pPr>
        <w:spacing w:before="120" w:after="120"/>
      </w:pPr>
      <w:r>
        <w:rPr>
          <w:sz w:val="18"/>
        </w:rPr>
        <w:t>——————————————————————————————————————————————————————————————————————</w:t>
      </w:r>
    </w:p>
    <w:p>
      <w:pPr>
        <w:spacing w:before="160" w:after="40" w:line="240" w:lineRule="auto"/>
      </w:pPr>
      <w:r>
        <w:rPr>
          <w:b/>
        </w:rPr>
        <w:t xml:space="preserve">[9] </w:t>
      </w:r>
      <w:hyperlink r:id="rId255">
        <w:r>
          <w:rPr>
            <w:color w:val="1155CC"/>
            <w:u w:val="single"/>
          </w:rPr>
          <w:t>无扩散机制在电池颗粒中产生类似扩散的电化学</w:t>
        </w:r>
      </w:hyperlink>
    </w:p>
    <w:p>
      <w:pPr>
        <w:spacing w:before="0" w:after="80"/>
      </w:pPr>
      <w:r>
        <w:rPr>
          <w:i/>
          <w:sz w:val="20"/>
        </w:rPr>
        <w:t>EN: Diffusionless mechanisms produce diffusion-like electrochemistry in battery particles</w:t>
      </w:r>
    </w:p>
    <w:p>
      <w:pPr>
        <w:spacing w:before="0" w:after="120"/>
      </w:pPr>
      <w:r>
        <w:rPr>
          <w:b/>
        </w:rPr>
        <w:t xml:space="preserve">Source: </w:t>
      </w:r>
      <w:r>
        <w:t>Nature Energy</w:t>
      </w:r>
      <w:r>
        <w:t xml:space="preserve">    </w:t>
      </w:r>
      <w:r>
        <w:rPr>
          <w:b/>
        </w:rPr>
        <w:t xml:space="preserve">Pub date: </w:t>
      </w:r>
      <w:r>
        <w:t>2026-08-17 00:00:00+00:00</w:t>
      </w:r>
      <w:r>
        <w:t xml:space="preserve">    </w:t>
      </w:r>
      <w:r>
        <w:rPr>
          <w:b/>
        </w:rPr>
        <w:t xml:space="preserve">DOI: </w:t>
      </w:r>
      <w:hyperlink r:id="rId256">
        <w:r>
          <w:rPr>
            <w:color w:val="1155CC"/>
            <w:u w:val="single"/>
          </w:rPr>
          <w:t>10.1038/s41560-026-02123-5</w:t>
        </w:r>
      </w:hyperlink>
    </w:p>
    <w:p>
      <w:pPr>
        <w:spacing w:before="0" w:after="120"/>
      </w:pPr>
      <w:r>
        <w:rPr>
          <w:b/>
        </w:rPr>
        <w:t xml:space="preserve">Notes: </w:t>
      </w:r>
      <w:r>
        <w:t>abstract_source=rss_nature</w:t>
      </w:r>
    </w:p>
    <w:p>
      <w:pPr>
        <w:spacing w:before="0" w:after="80" w:lineRule="auto" w:line="276"/>
      </w:pPr>
      <w:r>
        <w:rPr>
          <w:b/>
        </w:rPr>
        <w:t xml:space="preserve">摘要（ZH）: </w:t>
      </w:r>
      <w:r>
        <w:t>长期以来，锂离子电池活性颗粒的低频过电势一直被归因于固体扩散。现在，电解质渗透到电池团聚颗粒中已被证明可以使内表面具有电化学活性，但具有传输线配置。即使不涉及扩散，这种获取电池容量的机制也会产生类似扩散的电化学。</w:t>
      </w:r>
    </w:p>
    <w:p>
      <w:pPr>
        <w:spacing w:before="0" w:after="200" w:lineRule="auto" w:line="276"/>
      </w:pPr>
      <w:r>
        <w:rPr>
          <w:b/>
        </w:rPr>
        <w:t xml:space="preserve">Abstract (EN): </w:t>
      </w:r>
      <w:r>
        <w:t>Overpotentials at low frequencies in Li-ion battery active particles have long been attributed to solid diffusion. Now, electrolyte penetration in battery agglomerate particles is shown to make interior surfaces electrochemically active, but with a transmission-line configuration. This mechanism for accessing battery capacity produces diffusion-like electrochemistry, even without diffusion involved.</w:t>
      </w:r>
    </w:p>
    <w:p>
      <w:pPr>
        <w:spacing w:before="120" w:after="120"/>
      </w:pPr>
      <w:r>
        <w:rPr>
          <w:sz w:val="18"/>
        </w:rPr>
        <w:t>——————————————————————————————————————————————————————————————————————</w:t>
      </w:r>
    </w:p>
    <w:p>
      <w:pPr>
        <w:spacing w:before="160" w:after="40" w:line="240" w:lineRule="auto"/>
      </w:pPr>
      <w:r>
        <w:rPr>
          <w:b/>
        </w:rPr>
        <w:t xml:space="preserve">[10] </w:t>
      </w:r>
      <w:hyperlink r:id="rId257">
        <w:r>
          <w:rPr>
            <w:color w:val="1155CC"/>
            <w:u w:val="single"/>
          </w:rPr>
          <w:t>用于与高负载和高压阴极兼容的坚固锂金属阳极的独立式氮掺杂纳米多孔石墨烯/聚丙烯隔膜</w:t>
        </w:r>
      </w:hyperlink>
    </w:p>
    <w:p>
      <w:pPr>
        <w:spacing w:before="0" w:after="80"/>
      </w:pPr>
      <w:r>
        <w:rPr>
          <w:i/>
          <w:sz w:val="20"/>
        </w:rPr>
        <w:t>EN: Free-Standing N-Doped Nanoporous Graphene/Polypropylene Separator for Robust Lithium Metal Anodes Compatible with High-Loading and High-Voltage Cathodes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258">
        <w:r>
          <w:rPr>
            <w:color w:val="1155CC"/>
            <w:u w:val="single"/>
          </w:rPr>
          <w:t>10.1021/acsami.6c09617</w:t>
        </w:r>
      </w:hyperlink>
    </w:p>
    <w:p>
      <w:pPr>
        <w:spacing w:before="0" w:after="120"/>
      </w:pPr>
      <w:r>
        <w:rPr>
          <w:b/>
        </w:rPr>
        <w:t xml:space="preserve">Notes: </w:t>
      </w:r>
      <w:r>
        <w:t>abstract_source=crossref</w:t>
      </w:r>
    </w:p>
    <w:p>
      <w:pPr>
        <w:spacing w:before="0" w:after="80" w:lineRule="auto" w:line="276"/>
      </w:pPr>
      <w:r>
        <w:rPr>
          <w:b/>
        </w:rPr>
        <w:t xml:space="preserve">摘要（ZH）: </w:t>
      </w:r>
      <w:r>
        <w:t>摘要：本研究旨在将传统的聚丙烯（PP）隔膜从被动物理屏障转变为引导锂沉积的“功能界面层”。使用一种独立的氮掺杂纳米孔纳米管石墨烯（NG）网络薄膜以无粘合剂的方式对隔膜（PP@NG）进行改性。其开放的纳米孔/管状结构和氮掺杂剂赋予薄膜优异的电解质润湿性和导电性/导热性。此外，纳米多孔通道引导均匀的Li+通量穿过薄膜和随后的沉积。因此，PP@NG可以将锂成核过电势从38.0 mV降低至17.7 mV，并将tLi+提高至0.62。对称的Li|PP@NG|Li实现了更好的倍率性能和800小时的稳定循环。 Li|PP@NG|LiNi0.8Co0.1Mn0.1O2全电池在1.0 C下循环900次后容量保持率为64.8%。即使与6.1 mAh·cm–2的高阴极质量负载或接近5.0 V的高压阴极相结合，仍然可以实现明显增强的性能。</w:t>
      </w:r>
    </w:p>
    <w:p>
      <w:pPr>
        <w:spacing w:before="0" w:after="200" w:lineRule="auto" w:line="276"/>
      </w:pPr>
      <w:r>
        <w:rPr>
          <w:b/>
        </w:rPr>
        <w:t xml:space="preserve">Abstract (EN): </w:t>
      </w:r>
      <w:r>
        <w:t>This study aims to transform the traditional polypropylene (PP) separator from a passive physical barrier into a “functional interfacial layer” to guide lithium deposition. A free-standing nitrogen-doped nanoporous nanotubular graphene (NG) network-based thin film is used to modify the separator (PP@NG) in a binder-free manner. Its open nanoporous/tubular structure and nitrogen-dopants endow the film with excellent electrolyte wettability and electrical/thermal conductivity. Moreover, the nanoporous channel guides the uniform Li+ flux through the film and subsequent deposition. Accordingly, the PP@NG can reduce the lithium nucleation overpotential from 38.0 to 17.7 mV and increase the tLi+ to 0.62. The symmetric Li|PP@NG|Li achieves a better rate performance and stable cycling for 800 h. The Li|PP@NG|LiNi0.8Co0.1Mn0.1O2 full cell shows a capacity retention of 64.8% after 900 cycles at 1.0 C. Even combined with a high cathode mass loading of 6.1 mAh·cm–2 or near 5.0 V high-voltage cathode, clearly enhanced performance can still be achieved.</w:t>
      </w:r>
    </w:p>
    <w:p>
      <w:pPr>
        <w:spacing w:before="120" w:after="120"/>
      </w:pPr>
      <w:r>
        <w:rPr>
          <w:sz w:val="18"/>
        </w:rPr>
        <w:t>——————————————————————————————————————————————————————————————————————</w:t>
      </w:r>
    </w:p>
    <w:p>
      <w:pPr>
        <w:spacing w:before="160" w:after="40" w:line="240" w:lineRule="auto"/>
      </w:pPr>
      <w:r>
        <w:rPr>
          <w:b/>
        </w:rPr>
        <w:t xml:space="preserve">[11] </w:t>
      </w:r>
      <w:hyperlink r:id="rId259">
        <w:r>
          <w:rPr>
            <w:color w:val="1155CC"/>
            <w:u w:val="single"/>
          </w:rPr>
          <w:t>通过熔融共混法高效制造锂金属电池具有优异热稳定性和高离子电导率的 PVDF 隔膜</w:t>
        </w:r>
      </w:hyperlink>
    </w:p>
    <w:p>
      <w:pPr>
        <w:spacing w:before="0" w:after="80"/>
      </w:pPr>
      <w:r>
        <w:rPr>
          <w:i/>
          <w:sz w:val="20"/>
        </w:rPr>
        <w:t>EN: Efficient Fabrication of PVDF Separators with Excellent Thermal Stability and High Ionic Conductivity by Melt Blending for Lithium Metal Batteries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260">
        <w:r>
          <w:rPr>
            <w:color w:val="1155CC"/>
            <w:u w:val="single"/>
          </w:rPr>
          <w:t>10.1021/acsami.6c08889</w:t>
        </w:r>
      </w:hyperlink>
    </w:p>
    <w:p>
      <w:pPr>
        <w:spacing w:before="0" w:after="120"/>
      </w:pPr>
      <w:r>
        <w:rPr>
          <w:b/>
        </w:rPr>
        <w:t xml:space="preserve">Notes: </w:t>
      </w:r>
      <w:r>
        <w:t>abstract_source=crossref</w:t>
      </w:r>
    </w:p>
    <w:p>
      <w:pPr>
        <w:spacing w:before="0" w:after="80" w:lineRule="auto" w:line="276"/>
      </w:pPr>
      <w:r>
        <w:rPr>
          <w:b/>
        </w:rPr>
        <w:t xml:space="preserve">摘要（ZH）: </w:t>
      </w:r>
      <w:r>
        <w:t>摘要 锂（Li）金属电池由于其超高的能量密度而成为高端储能的变革性候选者。 However, commercial polyolefin separators suffer from poor thermal stability and insufficient electrolyte wettability, resulting in high interfacial resistance and inferior compatibility that severely restrict their practical applications. To address these issues, we report the fabrication of LMB separators using polyvinylidene fluoride (PVDF) as the matrix and dibutyl phthalate (DBP) as the diluent via melt blending. PD46隔膜采用优化的PVDF/DBP质量比4:6制成，呈现出三维互连多孔结构。它表现出优异的热稳定性，在 150 °C 时收缩率仅为 4.5%。 Furthermore, the PD46 separator delivers high ionic conductivity of 1.23 mS cm–1 and satisfactory Li+ transference number of 0.73, showing its potential as a high-performance separator for LMBs. More importantly, the PD46 separator effectively suppresses Li dendrite growth, enabling stable Li||PD46||Li symmetric cells cycling for over 1500 h at 0.5 mA cm–2. Li||PD46||LiFePO4 电池具有出色的循环稳定性，在 1C 下循环 1350 次后仍保留超过 95% 的容量。 This work offers a novel strategy for designing separators with high safety and excellent electrochemical performance for LMBs, contributing to the advancement of next-generation energy storage systems.</w:t>
      </w:r>
    </w:p>
    <w:p>
      <w:pPr>
        <w:spacing w:before="0" w:after="200" w:lineRule="auto" w:line="276"/>
      </w:pPr>
      <w:r>
        <w:rPr>
          <w:b/>
        </w:rPr>
        <w:t xml:space="preserve">Abstract (EN): </w:t>
      </w:r>
      <w:r>
        <w:t>Lithium (Li) metal batteries represent a transformative candidate for high-end energy storage due to their ultra-high energy density. However, commercial polyolefin separators suffer from poor thermal stability and insufficient electrolyte wettability, resulting in high interfacial resistance and inferior compatibility that severely restrict their practical applications. To address these issues, we report the fabrication of LMB separators using polyvinylidene fluoride (PVDF) as the matrix and dibutyl phthalate (DBP) as the diluent via melt blending. The PD46 separator, fabricated with an optimized PVDF/DBP mass ratio of 4:6, exhibits a three-dimensional interconnected porous structure. It demonstrates excellent thermal stability with a shrinkage of merely 4.5% at 150 °C. Furthermore, the PD46 separator delivers high ionic conductivity of 1.23 mS cm–1 and satisfactory Li+ transference number of 0.73, showing its potential as a high-performance separator for LMBs. More importantly, the PD46 separator effectively suppresses Li dendrite growth, enabling stable Li||PD46||Li symmetric cells cycling for over 1500 h at 0.5 mA cm–2. Li||PD46||LiFePO4 cells deliver excellent cycling stability, retaining over 95% capacity after 1350 cycles at 1C. This work offers a novel strategy for designing separators with high safety and excellent electrochemical performance for LMBs, contributing to the advancement of next-generation energy storage systems.</w:t>
      </w:r>
    </w:p>
    <w:p>
      <w:pPr>
        <w:spacing w:before="120" w:after="120"/>
      </w:pPr>
      <w:r>
        <w:rPr>
          <w:sz w:val="18"/>
        </w:rPr>
        <w:t>——————————————————————————————————————————————————————————————————————</w:t>
      </w:r>
    </w:p>
    <w:p>
      <w:pPr>
        <w:spacing w:before="160" w:after="40" w:line="240" w:lineRule="auto"/>
      </w:pPr>
      <w:r>
        <w:rPr>
          <w:b/>
        </w:rPr>
        <w:t xml:space="preserve">[12] </w:t>
      </w:r>
      <w:hyperlink r:id="rId50">
        <w:r>
          <w:rPr>
            <w:color w:val="1155CC"/>
            <w:u w:val="single"/>
          </w:rPr>
          <w:t>用于能源可持续应用的数据驱动材料科学</w:t>
        </w:r>
      </w:hyperlink>
    </w:p>
    <w:p>
      <w:pPr>
        <w:spacing w:before="0" w:after="80"/>
      </w:pPr>
      <w:r>
        <w:rPr>
          <w:i/>
          <w:sz w:val="20"/>
        </w:rPr>
        <w:t>EN: Data‐Driven Materials Science for Energy‐Sustainable Applications</w:t>
      </w:r>
    </w:p>
    <w:p>
      <w:pPr>
        <w:spacing w:before="0" w:after="120"/>
      </w:pPr>
      <w:r>
        <w:rPr>
          <w:b/>
        </w:rPr>
        <w:t xml:space="preserve">Source: </w:t>
      </w:r>
      <w:r>
        <w:t>Wiley: Advanced Materials: Table of Contents</w:t>
      </w:r>
      <w:r>
        <w:t xml:space="preserve">    </w:t>
      </w:r>
      <w:r>
        <w:rPr>
          <w:b/>
        </w:rPr>
        <w:t xml:space="preserve">Pub date: </w:t>
      </w:r>
      <w:r>
        <w:t>2026-08-17 08:45:54+00:00</w:t>
      </w:r>
      <w:r>
        <w:t xml:space="preserve">    </w:t>
      </w:r>
      <w:r>
        <w:rPr>
          <w:b/>
        </w:rPr>
        <w:t xml:space="preserve">DOI: </w:t>
      </w:r>
      <w:hyperlink r:id="rId51">
        <w:r>
          <w:rPr>
            <w:color w:val="1155CC"/>
            <w:u w:val="single"/>
          </w:rPr>
          <w:t>10.1002/adma.74491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材料科学以控制材料功能的结构-性能关系为基础。这些关系可以被编码到算法中并集成到机器学习模型中，从而能够预测材料及其同源属性。然而，由于全球范围内缺乏现实（实验）数据集，机器学习模型主要是在计算数据上进行训练的。这篇综述描述了如何使用人工智能（AI）方法从科学文献中捕获和整理实验数据，以生成材料领域特定的数据集或语言模型。然后通过六个案例研究说明了它们在人工智能驱动的查询中的应用，促进了能源可持续材料科学的进步，这些案例涵盖：训练机器学习模型、数据驱动的材料发现、优化制造工艺、绘制材料阶段、预测以材料为中心的研究趋势以及使用自动提示工程对材料类型进行分类。然后为能源行业设想了使用人工智能代理的材料领域特定数据集、语言模型和决策工作流程的未来。然后描述了访问材料科学中的历史暗数据的内在挑战，并将其与未来利用实验室大量实验数据的及时机会进行了对比；通过利用电子实验室笔记本、高通量实验和数字孪生技术。这些机会说明了能源可持续发展</w:t>
      </w:r>
    </w:p>
    <w:p>
      <w:pPr>
        <w:spacing w:before="0" w:after="200" w:lineRule="auto" w:line="276"/>
      </w:pPr>
      <w:r>
        <w:rPr>
          <w:b/>
        </w:rPr>
        <w:t xml:space="preserve">Abstract (EN): </w:t>
      </w:r>
      <w:r>
        <w:t>Materials science is underpinned by structure‐property relationships that govern the function of a material. These relationships can be encoded into algorithms and integrated into machine‐learning models that enable the prediction of materials and their cognate properties. However, machine‐learning models are largely being trained on computed data owing to a worldwide shortage of real‐world (experimental) datasets. This review describes how to capture and collate experimental data from scientific literature using artificial‐intelligence (AI) methods to produce materials‐domain‐specific datasets or language models. Their application in AI‐driven enquiries that facilitate progress in energy‐sustainable materials science is then illustrated via six case studies that cover: training machine‐learning models, data‐driven materials discovery, optimizing manufacturing processes, mapping phases of materials, forecasting materials‐centric research trends, and classifying types of materials using automated prompt engineering. The future of materials‐domain‐specific datasets, language models, and decision‐making workflows using AI agents is then envisioned for the energy sector. The intrinsic challenges of accessing historical dark data in materials science are then described and contrasted with timely opportunities for leveraging massive amounts of experimental data from laboratories in going forwards; by exploiting electronic‐lab notebooks, high‐throughput experiments, and digital‐twin technologies. These opportunities are illustrated for energy‐sustainable materials science, especially the photovoltaic and battery industries.</w:t>
      </w:r>
    </w:p>
    <w:p>
      <w:pPr>
        <w:spacing w:before="120" w:after="120"/>
      </w:pPr>
      <w:r>
        <w:rPr>
          <w:sz w:val="18"/>
        </w:rPr>
        <w:t>——————————————————————————————————————————————————————————————————————</w:t>
      </w:r>
    </w:p>
    <w:p>
      <w:pPr>
        <w:spacing w:before="160" w:after="40" w:line="240" w:lineRule="auto"/>
      </w:pPr>
      <w:r>
        <w:rPr>
          <w:b/>
        </w:rPr>
        <w:t xml:space="preserve">[13] </w:t>
      </w:r>
      <w:hyperlink r:id="rId261">
        <w:r>
          <w:rPr>
            <w:color w:val="1155CC"/>
            <w:u w:val="single"/>
          </w:rPr>
          <w:t>用于峰值功率控制的电池辅助机床</w:t>
        </w:r>
      </w:hyperlink>
    </w:p>
    <w:p>
      <w:pPr>
        <w:spacing w:before="0" w:after="80"/>
      </w:pPr>
      <w:r>
        <w:rPr>
          <w:i/>
          <w:sz w:val="20"/>
        </w:rPr>
        <w:t>EN: Battery-assisted machine tool for peak power control</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262">
        <w:r>
          <w:rPr>
            <w:color w:val="1155CC"/>
            <w:u w:val="single"/>
          </w:rPr>
          <w:t>10.1016/j.apenergy.2026.128688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63">
        <w:r>
          <w:rPr>
            <w:color w:val="1155CC"/>
            <w:u w:val="single"/>
          </w:rPr>
          <w:t>锂离子电池厚电极中梯度热力学势驱动的反应均质化</w:t>
        </w:r>
      </w:hyperlink>
    </w:p>
    <w:p>
      <w:pPr>
        <w:spacing w:before="0" w:after="80"/>
      </w:pPr>
      <w:r>
        <w:rPr>
          <w:i/>
          <w:sz w:val="20"/>
        </w:rPr>
        <w:t>EN: Gradient thermodynamic potential driven reaction homogenization in thick electrodes of lithium-ion batteries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264">
        <w:r>
          <w:rPr>
            <w:color w:val="1155CC"/>
            <w:u w:val="single"/>
          </w:rPr>
          <w:t>10.1016/j.apenergy.2026.128595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65">
        <w:r>
          <w:rPr>
            <w:color w:val="1155CC"/>
            <w:u w:val="single"/>
          </w:rPr>
          <w:t>通过龙格-库塔集成对两代储能电池（280 Ah 和 314 Ah）进行基于物理的建模和动力学分析</w:t>
        </w:r>
      </w:hyperlink>
    </w:p>
    <w:p>
      <w:pPr>
        <w:spacing w:before="0" w:after="80"/>
      </w:pPr>
      <w:r>
        <w:rPr>
          <w:i/>
          <w:sz w:val="20"/>
        </w:rPr>
        <w:t>EN: Physics-based modeling and kinetic analysis of two-generation energy storage batteries (280 Ah &amp; 314 Ah) via Runge-Kutta integration</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266">
        <w:r>
          <w:rPr>
            <w:color w:val="1155CC"/>
            <w:u w:val="single"/>
          </w:rPr>
          <w:t>10.1016/j.apenergy.2026.128653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67">
        <w:r>
          <w:rPr>
            <w:color w:val="1155CC"/>
            <w:u w:val="single"/>
          </w:rPr>
          <w:t>用于具有电压调节的配电网络中 BESS 协调的隐私保护联合强化学习</w:t>
        </w:r>
      </w:hyperlink>
    </w:p>
    <w:p>
      <w:pPr>
        <w:spacing w:before="0" w:after="80"/>
      </w:pPr>
      <w:r>
        <w:rPr>
          <w:i/>
          <w:sz w:val="20"/>
        </w:rPr>
        <w:t>EN: Privacy-preserving federated reinforcement learning for BESS coordination in distribution networks with voltage regulation</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268">
        <w:r>
          <w:rPr>
            <w:color w:val="1155CC"/>
            <w:u w:val="single"/>
          </w:rPr>
          <w:t>10.1016/j.apenergy.2026.128681</w:t>
        </w:r>
      </w:hyperlink>
    </w:p>
    <w:p>
      <w:pPr>
        <w:spacing w:before="0" w:after="120"/>
      </w:pPr>
      <w:r>
        <w:rPr>
          <w:b/>
        </w:rPr>
        <w:t xml:space="preserve">Notes: </w:t>
      </w:r>
      <w:r>
        <w:t>abstract_source=openalex</w:t>
      </w:r>
    </w:p>
    <w:p>
      <w:pPr>
        <w:spacing w:before="0" w:after="80" w:lineRule="auto" w:line="276"/>
      </w:pPr>
      <w:r>
        <w:rPr>
          <w:b/>
        </w:rPr>
        <w:t xml:space="preserve">摘要（ZH）: </w:t>
      </w:r>
      <w:r>
        <w:t>分布式能源（DER）在配电网络中的日益集成，特别是电池储能系统（BESS），使得能源交易和运营成本降低成为可能，但也给协调能源管理带来了挑战。分布式 BESS 的有效协调需要访问住宅数据，这引发了重大的数据隐私问题。近年来，联合强化学习（FRL）已成为一种有前景的人工智能方法，用于保护隐私的 BESS 能源管理。然而，FRL在配电网中的应用受到一些挑战的限制，包括耦合BESS交互引起的电压约束下的协调、中间结果共享造成的隐私泄漏以及高BESS渗透率下的可扩展性问题。为了解决这些挑战，本文提出了一种用于BESS与电压调节协调的隐私保护联邦强化学习方案（PPFRL-BC）。 BESS 能源管理问题是在 (ε,δ) 差分隐私约束下制定的，其中隐私保护奖励函数共同捕获系统级奖励和电压调节要求。在此基础上，所提出的 PPFRL-BC 方案能够在不直接共享原始住宅数据的情况下实现协调的 BESS 操作，同时采用面向 BESS 的高斯噪声机制来减轻与中间结果共享相关的隐私泄漏。为了进一步提高可扩展性，引入了近似动作分支方法来降低大型中的计算复杂度</w:t>
      </w:r>
    </w:p>
    <w:p>
      <w:pPr>
        <w:spacing w:before="0" w:after="200" w:lineRule="auto" w:line="276"/>
      </w:pPr>
      <w:r>
        <w:rPr>
          <w:b/>
        </w:rPr>
        <w:t xml:space="preserve">Abstract (EN): </w:t>
      </w:r>
      <w:r>
        <w:t>The increasing integration of distributed energy resources (DERs) in distribution networks, particularly battery energy storage systems (BESSs), enables energy trading and operational cost reduction but also introduces challenges for coordinated energy management. Effective coordination of distributed BESSs requires access to residential data, raising significant data privacy concerns. In recent years, federated reinforcement learning (FRL) has emerged as a promising AI approach for privacy-preserving BESS energy management. However, the application of FRL in distribution networks is limited by several challenges, including coordination under voltage constraints caused by coupled BESS interactions, privacy leakage from intermediate result sharing, and scalability issues under high BESS penetration.To address these challenges, this paper proposes a privacy-preserving federated reinforcement learning scheme for BESS coordination with voltage regulation (PPFRL-BC). The BESS energy management problem is formulated under (ε,δ)-differential privacy constraints, within which privacy-preserving reward functions jointly capture system-level rewards and voltage regulation requirements. Building on this formulation, the proposed PPFRL-BC scheme enables coordinated BESS operation without direct sharing of raw residential data, while a BESS-oriented Gaussian noise mechanism is incorporated to mitigate privacy leakage associated with intermediate result sharing. To further improve scalability, an approximate action branching method is introduced to reduce computational complexity in large-scale distribution networks.Case studies on the IEEE 33-bus and 123-bus test feeders demonstrate that the proposed PPFRL-BC scheme effectively coordinates distributed BESS operations, maintains voltage regulation under network constraints and preserves data privacy, while achieving performance comparable to the centralized scheme and outperforming both decentralized and conventional horizontal FRL schemes.</w:t>
      </w:r>
    </w:p>
    <w:p>
      <w:pPr>
        <w:spacing w:before="120" w:after="120"/>
      </w:pPr>
      <w:r>
        <w:rPr>
          <w:sz w:val="18"/>
        </w:rPr>
        <w:t>——————————————————————————————————————————————————————————————————————</w:t>
      </w:r>
    </w:p>
    <w:p>
      <w:pPr>
        <w:spacing w:before="160" w:after="40" w:line="240" w:lineRule="auto"/>
      </w:pPr>
      <w:r>
        <w:rPr>
          <w:b/>
        </w:rPr>
        <w:t xml:space="preserve">[17] </w:t>
      </w:r>
      <w:hyperlink r:id="rId269">
        <w:r>
          <w:rPr>
            <w:color w:val="1155CC"/>
            <w:u w:val="single"/>
          </w:rPr>
          <w:t>基于机理分析的LiFePO4电池退化模式直接诊断方法</w:t>
        </w:r>
      </w:hyperlink>
    </w:p>
    <w:p>
      <w:pPr>
        <w:spacing w:before="0" w:after="80"/>
      </w:pPr>
      <w:r>
        <w:rPr>
          <w:i/>
          <w:sz w:val="20"/>
        </w:rPr>
        <w:t>EN: A direct diagnosis method for degradation modes of LiFePO4 batteries based on mechanism analysis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270">
        <w:r>
          <w:rPr>
            <w:color w:val="1155CC"/>
            <w:u w:val="single"/>
          </w:rPr>
          <w:t>10.1016/j.apenergy.2026.128689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71">
        <w:r>
          <w:rPr>
            <w:color w:val="1155CC"/>
            <w:u w:val="single"/>
          </w:rPr>
          <w:t>通过亚稳态锂铜合金中的热电化学滞后按需提取容量</w:t>
        </w:r>
      </w:hyperlink>
    </w:p>
    <w:p>
      <w:pPr>
        <w:spacing w:before="0" w:after="80"/>
      </w:pPr>
      <w:r>
        <w:rPr>
          <w:i/>
          <w:sz w:val="20"/>
        </w:rPr>
        <w:t>EN: On-demand capacity extraction through thermo-electrochemical hysteresis in metastable Li-Cu alloy</w:t>
      </w:r>
    </w:p>
    <w:p>
      <w:pPr>
        <w:spacing w:before="0" w:after="120"/>
      </w:pPr>
      <w:r>
        <w:rPr>
          <w:b/>
        </w:rPr>
        <w:t xml:space="preserve">Source: </w:t>
      </w:r>
      <w:r>
        <w:t>Joule</w:t>
      </w:r>
      <w:r>
        <w:t xml:space="preserve">    </w:t>
      </w:r>
      <w:r>
        <w:rPr>
          <w:b/>
        </w:rPr>
        <w:t xml:space="preserve">Pub date: </w:t>
      </w:r>
      <w:r>
        <w:t>2026-08-19 00:00:00+00:00</w:t>
      </w:r>
      <w:r>
        <w:t xml:space="preserve">    </w:t>
      </w:r>
      <w:r>
        <w:rPr>
          <w:b/>
        </w:rPr>
        <w:t xml:space="preserve">DOI: </w:t>
      </w:r>
      <w:hyperlink r:id="rId272">
        <w:r>
          <w:rPr>
            <w:color w:val="1155CC"/>
            <w:u w:val="single"/>
          </w:rPr>
          <w:t>10.1016/j.joule.2026.102632</w:t>
        </w:r>
      </w:hyperlink>
    </w:p>
    <w:p>
      <w:pPr>
        <w:spacing w:before="0" w:after="120"/>
      </w:pPr>
      <w:r>
        <w:rPr>
          <w:b/>
        </w:rPr>
        <w:t xml:space="preserve">Notes: </w:t>
      </w:r>
      <w:r>
        <w:t>abstract_source=rss_cell</w:t>
      </w:r>
    </w:p>
    <w:p>
      <w:pPr>
        <w:spacing w:before="0" w:after="80" w:lineRule="auto" w:line="276"/>
      </w:pPr>
      <w:r>
        <w:rPr>
          <w:b/>
        </w:rPr>
        <w:t xml:space="preserve">摘要（ZH）: </w:t>
      </w:r>
      <w:r>
        <w:t>电池在循环过程中会逐渐失去可用的锂，因为反应性锂会自发消耗——这是限制电池保持容量时间的关键因素。集电器内置亚稳态锂铜合金，可储存锂并在运行过程中保持休眠状态。储存的锂只有在有意触发时才会释放，从而按需提高电池容量并延长锂金属和锂离子电池的循环寿命，这说明了亚稳态材料如何为能量存储引入功能。</w:t>
      </w:r>
    </w:p>
    <w:p>
      <w:pPr>
        <w:spacing w:before="0" w:after="200" w:lineRule="auto" w:line="276"/>
      </w:pPr>
      <w:r>
        <w:rPr>
          <w:b/>
        </w:rPr>
        <w:t xml:space="preserve">Abstract (EN): </w:t>
      </w:r>
      <w:r>
        <w:t>Batteries steadily lose usable lithium as they cycle, as reactive lithium is consumed spontaneously—a key factor limiting how long they retain capacity. A metastable lithium-copper alloy, built into the current collector, stores lithium in reserve and keeps it dormant during operation. The stored lithium is released only when intentionally triggered, boosting the cell’s capacity on demand and extending cycle life in both lithium-metal and lithium-ion batteries, illustrating how metastable materials can introduce functionalities to energy storage.</w:t>
      </w:r>
    </w:p>
    <w:p>
      <w:pPr>
        <w:spacing w:before="120" w:after="120"/>
      </w:pPr>
      <w:r>
        <w:rPr>
          <w:sz w:val="18"/>
        </w:rPr>
        <w:t>——————————————————————————————————————————————————————————————————————</w:t>
      </w:r>
    </w:p>
    <w:p>
      <w:pPr>
        <w:spacing w:before="160" w:after="40" w:line="240" w:lineRule="auto"/>
      </w:pPr>
      <w:r>
        <w:rPr>
          <w:b/>
        </w:rPr>
        <w:t xml:space="preserve">[19] </w:t>
      </w:r>
      <w:hyperlink r:id="rId273">
        <w:r>
          <w:rPr>
            <w:color w:val="1155CC"/>
            <w:u w:val="single"/>
          </w:rPr>
          <w:t>使用扫描电化学显微镜分离锌金属电池电镀过程中的析氢</w:t>
        </w:r>
      </w:hyperlink>
    </w:p>
    <w:p>
      <w:pPr>
        <w:spacing w:before="0" w:after="80"/>
      </w:pPr>
      <w:r>
        <w:rPr>
          <w:i/>
          <w:sz w:val="20"/>
        </w:rPr>
        <w:t>EN: Separating Hydrogen Evolution From Electroplating in Zn Metal Batteries Using Scanning Electrochemical Microscopy</w:t>
      </w:r>
    </w:p>
    <w:p>
      <w:pPr>
        <w:spacing w:before="0" w:after="120"/>
      </w:pPr>
      <w:r>
        <w:rPr>
          <w:b/>
        </w:rPr>
        <w:t xml:space="preserve">Source: </w:t>
      </w:r>
      <w:r>
        <w:t>Wiley: Advanced Energy Materials: Table of Contents</w:t>
      </w:r>
      <w:r>
        <w:t xml:space="preserve">    </w:t>
      </w:r>
      <w:r>
        <w:rPr>
          <w:b/>
        </w:rPr>
        <w:t xml:space="preserve">Pub date: </w:t>
      </w:r>
      <w:r>
        <w:t>2026-08-19 06:29:29+00:00</w:t>
      </w:r>
      <w:r>
        <w:t xml:space="preserve">    </w:t>
      </w:r>
      <w:r>
        <w:rPr>
          <w:b/>
        </w:rPr>
        <w:t xml:space="preserve">DOI: </w:t>
      </w:r>
      <w:hyperlink r:id="rId274">
        <w:r>
          <w:rPr>
            <w:color w:val="1155CC"/>
            <w:u w:val="single"/>
          </w:rPr>
          <w:t>10.1002/aenm.71398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锌金属电池的性能受到寄生析氢反应（HER）的限制，该反应发生在与镀锌类似的电位下。 HER 会导致库仑效率损失，并通过局部 pH 值变化引起钝化，从而导致电极表面形成副产物。了解这些过程对于控制锌形态和提高 ZMB 的寿命和安全性至关重要。这项工作使用扫描电化学显微镜 (SECM) 通过监测电极循环过程中超微电极上的氢氧化反应来量化析氢。我们证明，在一系列与电池相关的电解质中，由于锌结晶度的变化和副产物的形成，循环时析氢量减少，这一点得到了原位拉曼光谱和 X 射线衍射的支持。使用 SECM 的生成和收集模式，我们量化了 HER 对 Zn 电镀过程中通过的电荷的贡献，并表明，在目前的条件下，它比从库仑效率测量推断出的不可逆电荷损失小几个数量级。这些发现表明 SECM 是一种强大的操作方法，可将 HER 与水性锌电解质中的其他降解途径分离。</w:t>
      </w:r>
    </w:p>
    <w:p>
      <w:pPr>
        <w:spacing w:before="0" w:after="200" w:lineRule="auto" w:line="276"/>
      </w:pPr>
      <w:r>
        <w:rPr>
          <w:b/>
        </w:rPr>
        <w:t xml:space="preserve">Abstract (EN): </w:t>
      </w:r>
      <w:r>
        <w:t>The performance of Zn metal batteries is limited by the parasitic hydrogen evolution reaction (HER), which occurs at potentials similar to Zn plating. The HER contributes to losses in coulombic efficiency and causes passivation via local pH changes, resulting in by‐product formation on the electrode surface. Understanding these processes is essential for controlling Zn morphology and improving the lifetime and safety of ZMBs. This work uses scanning electrochemical microscopy (SECM) to quantify hydrogen evolution by monitoring the hydrogen oxidation reaction at an ultramicroelectrode during electrode cycling. We demonstrate, across a series of battery‐relevant electrolytes, that hydrogen evolution decreases upon cycling because of changes in Zn crystallinity and by‐product formation, as supported by in‐situ Raman spectroscopy and X‐ray diffraction. Using the generation and collection modes of SECM, we quantify the contribution of HER to charge passed during Zn electroplating and show that, under the present conditions, it is orders of magnitude smaller than irreversible charge losses inferred from Coulombic efficiency measurements. These findings establish SECM as a powerful operando method for decoupling HER from other degradation pathways in aqueous Zn electrolytes.</w:t>
      </w:r>
    </w:p>
    <w:p>
      <w:pPr>
        <w:spacing w:before="120" w:after="120"/>
      </w:pPr>
      <w:r>
        <w:rPr>
          <w:sz w:val="18"/>
        </w:rPr>
        <w:t>——————————————————————————————————————————————————————————————————————</w:t>
      </w:r>
    </w:p>
    <w:p>
      <w:pPr>
        <w:spacing w:before="160" w:after="40" w:line="240" w:lineRule="auto"/>
      </w:pPr>
      <w:r>
        <w:rPr>
          <w:b/>
        </w:rPr>
        <w:t xml:space="preserve">[20] </w:t>
      </w:r>
      <w:hyperlink r:id="rId275">
        <w:r>
          <w:rPr>
            <w:color w:val="1155CC"/>
            <w:u w:val="single"/>
          </w:rPr>
          <w:t>调节碳的界面电子密度以实现稳定的高性能电池</w:t>
        </w:r>
      </w:hyperlink>
    </w:p>
    <w:p>
      <w:pPr>
        <w:spacing w:before="0" w:after="80"/>
      </w:pPr>
      <w:r>
        <w:rPr>
          <w:i/>
          <w:sz w:val="20"/>
        </w:rPr>
        <w:t>EN: Regulating Interfacial Electron Density of Carbon for Stable and High‐Performance Batteries</w:t>
      </w:r>
    </w:p>
    <w:p>
      <w:pPr>
        <w:spacing w:before="0" w:after="120"/>
      </w:pPr>
      <w:r>
        <w:rPr>
          <w:b/>
        </w:rPr>
        <w:t xml:space="preserve">Source: </w:t>
      </w:r>
      <w:r>
        <w:t>Wiley: Advanced Energy Materials: Table of Contents</w:t>
      </w:r>
      <w:r>
        <w:t xml:space="preserve">    </w:t>
      </w:r>
      <w:r>
        <w:rPr>
          <w:b/>
        </w:rPr>
        <w:t xml:space="preserve">Pub date: </w:t>
      </w:r>
      <w:r>
        <w:t>2026-08-19 10:41:11+00:00</w:t>
      </w:r>
      <w:r>
        <w:t xml:space="preserve">    </w:t>
      </w:r>
      <w:r>
        <w:rPr>
          <w:b/>
        </w:rPr>
        <w:t xml:space="preserve">DOI: </w:t>
      </w:r>
      <w:hyperlink r:id="rId276">
        <w:r>
          <w:rPr>
            <w:color w:val="1155CC"/>
            <w:u w:val="single"/>
          </w:rPr>
          <w:t>10.1002/aenm.71466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导电碳作为导电添加剂和结构支架广泛应用于电池系统中，但其在寄生反应中的作用仍知之甚少。与电化学惰性的常见假设相反，越来越多的证据表明，碳积极控制界面反应，导致电解质分解、析氢和结构退化，从而限制电池的稳定性和寿命。在这里，我们提供了基于电子结构的视角来阐明和调节不同电池化学成分中碳引起的寄生反应。我们证明，这些看似不同的退化现象源于由界面电子密度和费米能级排列定义的共同电子起源。碳在有限的电子稳定窗口内运行，其中电子过剩会驱动还原副反应，而电子耗尽会引起氧化降解。基于这种理解，我们概述了控制界面电子密度的设计策略，包括费米能级工程、缺陷态优化以及从界面电子注入中解耦体电子传输。这些策略能够抑制寄生反应，并提供提高先进电池系统的循环稳定性、能源效率和耐用性的途径。该综述提出了一个统一的电子框架来理解和控制碳诱导的降解，并为下一代电子稳定碳材料的合理设计提供了实用指导</w:t>
      </w:r>
    </w:p>
    <w:p>
      <w:pPr>
        <w:spacing w:before="0" w:after="200" w:lineRule="auto" w:line="276"/>
      </w:pPr>
      <w:r>
        <w:rPr>
          <w:b/>
        </w:rPr>
        <w:t xml:space="preserve">Abstract (EN): </w:t>
      </w:r>
      <w:r>
        <w:t>Conductive carbon is widely used in battery systems as a conductive additive and structural scaffold, yet its role in parasitic reactions remains poorly understood. Contrary to the common assumption of electrochemical inertness, growing evidence shows that carbon actively governs interfacial reactions, leading to electrolyte decomposition, hydrogen evolution, and structural degradation that limit battery stability and lifetime. Here, we provide an electronic‐structure‐based perspective to elucidate and regulate carbon‐induced parasitic reactions across diverse battery chemistries. We demonstrate that these seemingly distinct degradation phenomena originate from a common electronic origin defined by interfacial electron density and Fermi‐level alignment. Carbon operates within a finite electronic stability window, where electron oversupply drives reductive side reactions, while electron depletion induces oxidative degradation. Based on this understanding, we outline design strategies to control interfacial electron density, including Fermi‐level engineering, defect‐state optimization, and decoupling bulk electron transport from interfacial electron injection. These strategies enable suppression of parasitic reactions and provide pathways to improve cycling stability, energy efficiency, and durability in advanced battery systems. This review presents a unified electronic framework for understanding and controlling carbon‐induced degradation and offers practical guidance for the rational design of electronically stable carbon materials for next‐generation energy storage.</w:t>
      </w:r>
    </w:p>
    <w:p>
      <w:pPr>
        <w:spacing w:before="120" w:after="120"/>
      </w:pPr>
      <w:r>
        <w:rPr>
          <w:sz w:val="18"/>
        </w:rPr>
        <w:t>——————————————————————————————————————————————————————————————————————</w:t>
      </w:r>
    </w:p>
    <w:p>
      <w:pPr>
        <w:spacing w:before="160" w:after="40" w:line="240" w:lineRule="auto"/>
      </w:pPr>
      <w:r>
        <w:rPr>
          <w:b/>
        </w:rPr>
        <w:t xml:space="preserve">[21] </w:t>
      </w:r>
      <w:hyperlink r:id="rId163">
        <w:r>
          <w:rPr>
            <w:color w:val="1155CC"/>
            <w:u w:val="single"/>
          </w:rPr>
          <w:t>由反应衍生的纳米晶非晶Li2S阴极和可变形钠集流体实现的稳定低压无阳极全固态Li-S电池</w:t>
        </w:r>
      </w:hyperlink>
    </w:p>
    <w:p>
      <w:pPr>
        <w:spacing w:before="0" w:after="80"/>
      </w:pPr>
      <w:r>
        <w:rPr>
          <w:i/>
          <w:sz w:val="20"/>
        </w:rPr>
        <w:t>EN: Stable and Low‐Pressure Anode‐Free All‐Solid‐State Li–S Batteries Enabled by Reaction‐Derived Nanocrystalline‐Amorphous Li2S Cathodes and Deformable Sodium Current Collectors</w:t>
      </w:r>
    </w:p>
    <w:p>
      <w:pPr>
        <w:spacing w:before="0" w:after="120"/>
      </w:pPr>
      <w:r>
        <w:rPr>
          <w:b/>
        </w:rPr>
        <w:t xml:space="preserve">Source: </w:t>
      </w:r>
      <w:r>
        <w:t>Wiley: Advanced Energy Materials: Table of Contents</w:t>
      </w:r>
      <w:r>
        <w:t xml:space="preserve">    </w:t>
      </w:r>
      <w:r>
        <w:rPr>
          <w:b/>
        </w:rPr>
        <w:t xml:space="preserve">Pub date: </w:t>
      </w:r>
      <w:r>
        <w:t>2026-08-19 10:43:30+00:00</w:t>
      </w:r>
      <w:r>
        <w:t xml:space="preserve">    </w:t>
      </w:r>
      <w:r>
        <w:rPr>
          <w:b/>
        </w:rPr>
        <w:t xml:space="preserve">DOI: </w:t>
      </w:r>
      <w:hyperlink r:id="rId164">
        <w:r>
          <w:rPr>
            <w:color w:val="1155CC"/>
            <w:u w:val="single"/>
          </w:rPr>
          <w:t>10.1002/aenm.71471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无阳极全固态锂硫电池（ASSLSB）有望用于高能量密度存储，但其发展受到锂电池迟缓的阻碍</w:t>
      </w:r>
      <w:r>
        <w:rPr>
          <w:vertAlign w:val="subscript"/>
        </w:rPr>
        <w:t>2</w:t>
      </w:r>
      <w:r>
        <w:t>S激活和不稳定的固-固界面，特别是在低烟囱压力下。在这里，我们报告了一种低压无阳极 ASSLSB，由固态原位反应衍生的纳米晶非晶锂实现</w:t>
      </w:r>
      <w:r>
        <w:rPr>
          <w:vertAlign w:val="subscript"/>
        </w:rPr>
        <w:t>2</w:t>
      </w:r>
      <w:r>
        <w:t>S 阴极和可变形 Na 集电器。在短期高能球磨过程中，PI</w:t>
      </w:r>
      <w:r>
        <w:rPr>
          <w:vertAlign w:val="subscript"/>
        </w:rPr>
        <w:t>3</w:t>
      </w:r>
      <w:r>
        <w:t>与Li发生反应</w:t>
      </w:r>
      <w:r>
        <w:rPr>
          <w:vertAlign w:val="subscript"/>
        </w:rPr>
        <w:t>2</w:t>
      </w:r>
      <w:r>
        <w:t>S 在纳米晶 Li 周围生成 LiI 和无定形硫代磷酸盐物质</w:t>
      </w:r>
      <w:r>
        <w:rPr>
          <w:vertAlign w:val="subscript"/>
        </w:rPr>
        <w:t>2</w:t>
      </w:r>
      <w:r>
        <w:t>S域，形成反应衍生的离子传导框架。同时，即使在有限的外部压力下，Na集流体仍与硫化物电解质保持紧密接触，而Li的体积变化得到缓解</w:t>
      </w:r>
      <w:r>
        <w:rPr>
          <w:vertAlign w:val="subscript"/>
        </w:rPr>
        <w:t>2</w:t>
      </w:r>
      <w:r>
        <w:t>S和非晶界面框架共同稳定循环过程中的固-固界面。因此，优化后的 Li</w:t>
      </w:r>
      <w:r>
        <w:rPr>
          <w:vertAlign w:val="subscript"/>
        </w:rPr>
        <w:t>2</w:t>
      </w:r>
      <w:r>
        <w:t>S-PI</w:t>
      </w:r>
      <w:r>
        <w:rPr>
          <w:vertAlign w:val="subscript"/>
        </w:rPr>
        <w:t>3</w:t>
      </w:r>
      <w:r>
        <w:t>8%全电池在0.5 C、4 MPa堆叠压力下循环200次后容量保持率约为100%。在相同的外部压力下，该电池在 0.2 C 下循环 400 次后仍表现出 89.71% 的容量保持率。值得注意的是，即使在外部压力为</w:t>
      </w:r>
    </w:p>
    <w:p>
      <w:pPr>
        <w:spacing w:before="0" w:after="200" w:lineRule="auto" w:line="276"/>
      </w:pPr>
      <w:r>
        <w:rPr>
          <w:b/>
        </w:rPr>
        <w:t xml:space="preserve">Abstract (EN): </w:t>
      </w:r>
      <w:r>
        <w:t>Anode‐free all‐solid‐state Li–S batteries (ASSLSBs) are promising for high‐energy‐density storage, but their development is hindered by sluggish Li</w:t>
      </w:r>
      <w:r>
        <w:rPr>
          <w:vertAlign w:val="subscript"/>
        </w:rPr>
        <w:t>2</w:t>
      </w:r>
      <w:r>
        <w:t>S activation and unstable solid–solid interfaces, especially under low stack pressure. Here we report a low‐pressure anode‐free ASSLSB enabled by a solid‐state in situ reaction‐derived nanocrystalline‐amorphous Li</w:t>
      </w:r>
      <w:r>
        <w:rPr>
          <w:vertAlign w:val="subscript"/>
        </w:rPr>
        <w:t>2</w:t>
      </w:r>
      <w:r>
        <w:t>S cathode and a deformable Na current collector. During short‐term high‐energy ball milling, PI</w:t>
      </w:r>
      <w:r>
        <w:rPr>
          <w:vertAlign w:val="subscript"/>
        </w:rPr>
        <w:t>3</w:t>
      </w:r>
      <w:r>
        <w:t>reacts with Li</w:t>
      </w:r>
      <w:r>
        <w:rPr>
          <w:vertAlign w:val="subscript"/>
        </w:rPr>
        <w:t>2</w:t>
      </w:r>
      <w:r>
        <w:t>S to generate LiI and amorphous thiophosphate species around nanocrystalline Li</w:t>
      </w:r>
      <w:r>
        <w:rPr>
          <w:vertAlign w:val="subscript"/>
        </w:rPr>
        <w:t>2</w:t>
      </w:r>
      <w:r>
        <w:t>S domains, forming a reaction‐derived ion‐conductive framework. Meanwhile, the Na current collector maintains intimate contact with the sulfide electrolyte even under limited external pressure, while the mitigated volume variation of Li</w:t>
      </w:r>
      <w:r>
        <w:rPr>
          <w:vertAlign w:val="subscript"/>
        </w:rPr>
        <w:t>2</w:t>
      </w:r>
      <w:r>
        <w:t>S and amorphous interfacial framework jointly stabilize the solid–solid interfaces during cycling. Consequently, the optimized Li</w:t>
      </w:r>
      <w:r>
        <w:rPr>
          <w:vertAlign w:val="subscript"/>
        </w:rPr>
        <w:t>2</w:t>
      </w:r>
      <w:r>
        <w:t>S‐PI</w:t>
      </w:r>
      <w:r>
        <w:rPr>
          <w:vertAlign w:val="subscript"/>
        </w:rPr>
        <w:t>3</w:t>
      </w:r>
      <w:r>
        <w:t>8% full cell exhibits a capacity retention of approximately 100% after 200 cycles at 0.5 C under a stacking pressure of 4 MPa. Under the same external pressure, the cell further exhibits a capacity retention of 89.71% after 400 cycles at 0.2 C. Remarkably, even under an external pressure as low as 1 MPa, the full cell maintains 70.54% capacity retention after 300 cycles, underscoring its robust cycling stability under low‐external‐pressure conditions.</w:t>
      </w:r>
    </w:p>
    <w:p>
      <w:pPr>
        <w:spacing w:before="120" w:after="120"/>
      </w:pPr>
      <w:r>
        <w:rPr>
          <w:sz w:val="18"/>
        </w:rPr>
        <w:t>——————————————————————————————————————————————————————————————————————</w:t>
      </w:r>
    </w:p>
    <w:p>
      <w:pPr>
        <w:spacing w:before="160" w:after="40" w:line="240" w:lineRule="auto"/>
      </w:pPr>
      <w:r>
        <w:rPr>
          <w:b/>
        </w:rPr>
        <w:t xml:space="preserve">[22] </w:t>
      </w:r>
      <w:hyperlink r:id="rId277">
        <w:r>
          <w:rPr>
            <w:color w:val="1155CC"/>
            <w:u w:val="single"/>
          </w:rPr>
          <w:t>熵介导的无孔聚合物隔膜解锁超宽温度范围（−70°C 至 150°C）锂金属电池</w:t>
        </w:r>
      </w:hyperlink>
    </w:p>
    <w:p>
      <w:pPr>
        <w:spacing w:before="0" w:after="80"/>
      </w:pPr>
      <w:r>
        <w:rPr>
          <w:i/>
          <w:sz w:val="20"/>
        </w:rPr>
        <w:t>EN: Entropy‐Mediated Nonporous Polymer Separator Unlocks Ultra‐Wide Temperature Range (−70°C to 150°C) Lithium Metal Batteries</w:t>
      </w:r>
    </w:p>
    <w:p>
      <w:pPr>
        <w:spacing w:before="0" w:after="120"/>
      </w:pPr>
      <w:r>
        <w:rPr>
          <w:b/>
        </w:rPr>
        <w:t xml:space="preserve">Source: </w:t>
      </w:r>
      <w:r>
        <w:t>Wiley: Advanced Energy Materials: Table of Contents</w:t>
      </w:r>
      <w:r>
        <w:t xml:space="preserve">    </w:t>
      </w:r>
      <w:r>
        <w:rPr>
          <w:b/>
        </w:rPr>
        <w:t xml:space="preserve">Pub date: </w:t>
      </w:r>
      <w:r>
        <w:t>2026-08-19 10:44:32+00:00</w:t>
      </w:r>
      <w:r>
        <w:t xml:space="preserve">    </w:t>
      </w:r>
      <w:r>
        <w:rPr>
          <w:b/>
        </w:rPr>
        <w:t xml:space="preserve">DOI: </w:t>
      </w:r>
      <w:hyperlink r:id="rId278">
        <w:r>
          <w:rPr>
            <w:color w:val="1155CC"/>
            <w:u w:val="single"/>
          </w:rPr>
          <w:t>10.1002/aenm.71480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隔膜作为电池中不可缺少的组成部分，受到了广泛的关注。然而，其较差的温度适应性限制了锂（Li）金属电池在极端温度场景下的应用。在此，我们开发了一种基于合理设计的高熵聚合物的新型无孔高熵隔膜（HES），首次从隔膜的角度实现了锂金属电池在-70至150℃的长期运行。所制备的 HES 具有优异的电解质润湿性和热稳定性。此外，HES中丰富的离子传输通道均匀化并加速离子传输，同时促进锂金属电池中稳定、无机/富含B的固体电解质界面和阴极电解质界面的形成。这些可以在很宽的温度范围内有效抑制锂枝晶和寄生反应。因此，Li||Li 电池在 -70°C 下运行 2200 小时，在 25°C 下运行 6548 小时，在 150°C 下运行 700 小时。锂||V</w:t>
      </w:r>
      <w:r>
        <w:rPr>
          <w:vertAlign w:val="subscript"/>
        </w:rPr>
        <w:t>2</w:t>
      </w:r>
      <w:r>
        <w:t>氧</w:t>
      </w:r>
      <w:r>
        <w:rPr>
          <w:vertAlign w:val="subscript"/>
        </w:rPr>
        <w:t>5</w:t>
      </w:r>
      <w:r>
        <w:t>电池的工作温度范围为-70至150°C，表现出良好的应用潜力。这项工作丰富了隔膜设计策略，扩大了锂金属电池应用的温度边界。</w:t>
      </w:r>
    </w:p>
    <w:p>
      <w:pPr>
        <w:spacing w:before="0" w:after="200" w:lineRule="auto" w:line="276"/>
      </w:pPr>
      <w:r>
        <w:rPr>
          <w:b/>
        </w:rPr>
        <w:t xml:space="preserve">Abstract (EN): </w:t>
      </w:r>
      <w:r>
        <w:t>The separator, as an indispensable component in batteries, has attracted extensive attention. Nevertheless, its poor temperature adaptability restricts the application of lithium (Li) metal batteries under extreme temperature scenarios. Herein, we develop a novel nonporous high‐entropy separator (HES) based on a rationally designed high‐entropy polymer, achieving for the first time, from the perspective of the separator, the long‐term operation of Li metal batteries from −70 to 150°C. The as‐prepared HES delivers superior electrolyte wettability and thermal stability. Moreover, the abundant ion transport channels in HES homogenize and accelerate ion transport, while facilitating the formation of stable, inorganic/B‐rich solid electrolyte interphase and cathode electrolyte interphase in the Li metal batteries. These effectively inhibit Li dendrites and parasitic reactions across a wide temperature range. Consequently, Li||Li cells operate for 2200 h at −70°C, 6548 h at 25°C, and 700 h at 150°C. Li||V</w:t>
      </w:r>
      <w:r>
        <w:rPr>
          <w:vertAlign w:val="subscript"/>
        </w:rPr>
        <w:t>2</w:t>
      </w:r>
      <w:r>
        <w:t>O</w:t>
      </w:r>
      <w:r>
        <w:rPr>
          <w:vertAlign w:val="subscript"/>
        </w:rPr>
        <w:t>5</w:t>
      </w:r>
      <w:r>
        <w:t>batteries can run from −70 to 150°C, demonstrating excellent application potential. This work enriches separator design strategies and expands the temperature boundaries for the application of Li metal batteries.</w:t>
      </w:r>
    </w:p>
    <w:p>
      <w:pPr>
        <w:spacing w:before="120" w:after="120"/>
      </w:pPr>
      <w:r>
        <w:rPr>
          <w:sz w:val="18"/>
        </w:rPr>
        <w:t>——————————————————————————————————————————————————————————————————————</w:t>
      </w:r>
    </w:p>
    <w:p>
      <w:pPr>
        <w:spacing w:before="160" w:after="40" w:line="240" w:lineRule="auto"/>
      </w:pPr>
      <w:r>
        <w:rPr>
          <w:b/>
        </w:rPr>
        <w:t xml:space="preserve">[23] </w:t>
      </w:r>
      <w:hyperlink r:id="rId279">
        <w:r>
          <w:rPr>
            <w:color w:val="1155CC"/>
            <w:u w:val="single"/>
          </w:rPr>
          <w:t>氟排列静电把关调节稳定锂硫电池的多硫化物迁移（Adv. Energy Mater. 31/2026）</w:t>
        </w:r>
      </w:hyperlink>
    </w:p>
    <w:p>
      <w:pPr>
        <w:spacing w:before="0" w:after="80"/>
      </w:pPr>
      <w:r>
        <w:rPr>
          <w:i/>
          <w:sz w:val="20"/>
        </w:rPr>
        <w:t>EN: Fluorine‐Aligned Electrostatic Gatekeepers Regulating Polysulfide Migration for Stable Lithium–Sulfur Batteries (Adv. Energy Mater. 31/2026)</w:t>
      </w:r>
    </w:p>
    <w:p>
      <w:pPr>
        <w:spacing w:before="0" w:after="120"/>
      </w:pPr>
      <w:r>
        <w:rPr>
          <w:b/>
        </w:rPr>
        <w:t xml:space="preserve">Source: </w:t>
      </w:r>
      <w:r>
        <w:t>Wiley: Advanced Energy Materials: Table of Contents</w:t>
      </w:r>
      <w:r>
        <w:t xml:space="preserve">    </w:t>
      </w:r>
      <w:r>
        <w:rPr>
          <w:b/>
        </w:rPr>
        <w:t xml:space="preserve">Pub date: </w:t>
      </w:r>
      <w:r>
        <w:t>2026-08-19 16:16:34+00:00</w:t>
      </w:r>
      <w:r>
        <w:t xml:space="preserve">    </w:t>
      </w:r>
      <w:r>
        <w:rPr>
          <w:b/>
        </w:rPr>
        <w:t xml:space="preserve">DOI: </w:t>
      </w:r>
      <w:hyperlink r:id="rId280">
        <w:r>
          <w:rPr>
            <w:color w:val="1155CC"/>
            <w:u w:val="single"/>
          </w:rPr>
          <w:t>10.1002/aenm.71328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281">
        <w:r>
          <w:rPr>
            <w:color w:val="1155CC"/>
            <w:u w:val="single"/>
          </w:rPr>
          <w:t>自转变 MOF-on-MXene 异质结构作为低温多价金属电池的离子加速界面</w:t>
        </w:r>
      </w:hyperlink>
    </w:p>
    <w:p>
      <w:pPr>
        <w:spacing w:before="0" w:after="80"/>
      </w:pPr>
      <w:r>
        <w:rPr>
          <w:i/>
          <w:sz w:val="20"/>
        </w:rPr>
        <w:t>EN: Self-Transformed MOF-on-MXene Heterostructure as an Ion-Expedited Interphase toward Low-Temperature Multivalent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282">
        <w:r>
          <w:rPr>
            <w:color w:val="1155CC"/>
            <w:u w:val="single"/>
          </w:rPr>
          <w:t>10.1021/jacs.6c10753</w:t>
        </w:r>
      </w:hyperlink>
    </w:p>
    <w:p>
      <w:pPr>
        <w:spacing w:before="0" w:after="120"/>
      </w:pPr>
      <w:r>
        <w:rPr>
          <w:b/>
        </w:rPr>
        <w:t xml:space="preserve">Notes: </w:t>
      </w:r>
      <w:r>
        <w:t>abstract_source=crossref</w:t>
      </w:r>
    </w:p>
    <w:p>
      <w:pPr>
        <w:spacing w:before="0" w:after="80" w:lineRule="auto" w:line="276"/>
      </w:pPr>
      <w:r>
        <w:rPr>
          <w:b/>
        </w:rPr>
        <w:t xml:space="preserve">摘要（ZH）: </w:t>
      </w:r>
      <w:r>
        <w:t>摘要 可充电水系多价金属电池（AMMB）由于其高能量密度和成本效益而有望成为下一代安全储能系统。然而，强的离子偶极相互作用阻碍了去溶剂化和扩散，导致巨大的能垒和缓慢的动力学。为了解决这些动力学限制，我们开发了一种催化异质结构，其中包含与 MXene 集成的多孔电子离域金属有机框架 (MOF)。这种异质结构是通过 Ti3C2TX MXene 部分自转变为 Ti-MOF (NH2-MOF-MXene) 制成的，形成 Ti-MOF-MXene 异质结构。作为动力学促进剂，它削弱了静电离子偶极子相互作用，从而加速了界面 Zn2+/Al3+ 去溶剂化和扩散，同时抑制枝晶形成，光谱和电化学测量证实了这一点。此外，多孔结构和电子离域的-NH2极性基团有效抑制了溶剂化壳层中活性水的形成，从而抑制了析氢反应（HER）。因此，采用 NH2-MOF-MXene 异质结构的对称锌电池实现了无枝晶镀锌，使用寿命延长约 1000 小时，并且在低温（0 °C 和 -20 °C）下具有高库仑效率。类似地，与裸 Al//Al 电池相比，包含相同异质结构的对称 Al//Al 电池以降低的过电势运行，并且在 100 至 220 小时内表现出更高的稳定性。这些结果建立了通往高性能的电子离域途径</w:t>
      </w:r>
    </w:p>
    <w:p>
      <w:pPr>
        <w:spacing w:before="0" w:after="200" w:lineRule="auto" w:line="276"/>
      </w:pPr>
      <w:r>
        <w:rPr>
          <w:b/>
        </w:rPr>
        <w:t xml:space="preserve">Abstract (EN): </w:t>
      </w:r>
      <w:r>
        <w:t>Rechargeable aqueous multivalent metal batteries (AMMBs) are promising for next-generation safe energy storage systems owing to their high energy density and cost-effectiveness. However, strong ion-dipole interactions hinder desolvation and diffusion, resulting in large energy barriers and sluggish kinetics. To address these kinetic limitations, we develop a catalytic heterostructure comprising a porous, electron-delocalized metal–organic framework (MOF) integrated with MXene. This heterostructure is fabricated via partial self-transformation of Ti3C2Tx MXene into Ti-MOF (NH2-MOF-MXene), forming a Ti-MOF-MXene heterostructure. Acting as a kinetic promoter, it weakens electrostatic ion-dipole interactions, thereby accelerating interfacial Zn2+/Al3+ desolvation and diffusion while inhibiting dendrite formation, as confirmed by spectroscopic and electrochemical measurements. Moreover, the porous structure and electron-delocalized –NH2 polar groups effectively suppress active water formation from the solvation shell, thus inhibiting the hydrogen evolution reaction (HER). Consequently, symmetric Zn cells incorporating the NH2-MOF-MXene heterostructure achieve dendrite-free Zn plating with an extended lifespan of approximately 1000 h and high Coulombic efficiency under low temperatures (0 °C and −20 °C). Similarly, symmetric Al//Al cells incorporating the same heterostructure operate with reduced overpotentials and show improved stability from 100 to 220 h compared with bare Al//Al cells. These results establish an electron-delocalization pathway toward high-performance AMMBs.</w:t>
      </w:r>
    </w:p>
    <w:p>
      <w:pPr>
        <w:spacing w:before="120" w:after="120"/>
      </w:pPr>
      <w:r>
        <w:rPr>
          <w:sz w:val="18"/>
        </w:rPr>
        <w:t>——————————————————————————————————————————————————————————————————————</w:t>
      </w:r>
    </w:p>
    <w:p>
      <w:pPr>
        <w:spacing w:before="160" w:after="40" w:line="240" w:lineRule="auto"/>
      </w:pPr>
      <w:r>
        <w:rPr>
          <w:b/>
        </w:rPr>
        <w:t xml:space="preserve">[25] </w:t>
      </w:r>
      <w:hyperlink r:id="rId283">
        <w:r>
          <w:rPr>
            <w:color w:val="1155CC"/>
            <w:u w:val="single"/>
          </w:rPr>
          <w:t>了解并抑制使用醚基电解质的锂金属电池中的气体逸出</w:t>
        </w:r>
      </w:hyperlink>
    </w:p>
    <w:p>
      <w:pPr>
        <w:spacing w:before="0" w:after="80"/>
      </w:pPr>
      <w:r>
        <w:rPr>
          <w:i/>
          <w:sz w:val="20"/>
        </w:rPr>
        <w:t>EN: Understanding and suppressing gas evolution in lithium metal batteries with ether-based electrolytes</w:t>
      </w:r>
    </w:p>
    <w:p>
      <w:pPr>
        <w:spacing w:before="0" w:after="120"/>
      </w:pPr>
      <w:r>
        <w:rPr>
          <w:b/>
        </w:rPr>
        <w:t xml:space="preserve">Source: </w:t>
      </w:r>
      <w:r>
        <w:t>Nature Chemistry</w:t>
      </w:r>
      <w:r>
        <w:t xml:space="preserve">    </w:t>
      </w:r>
      <w:r>
        <w:rPr>
          <w:b/>
        </w:rPr>
        <w:t xml:space="preserve">Pub date: </w:t>
      </w:r>
      <w:r>
        <w:t>2026-08-20 00:00:00+00:00</w:t>
      </w:r>
      <w:r>
        <w:t xml:space="preserve">    </w:t>
      </w:r>
      <w:r>
        <w:rPr>
          <w:b/>
        </w:rPr>
        <w:t xml:space="preserve">DOI: </w:t>
      </w:r>
      <w:hyperlink r:id="rId284">
        <w:r>
          <w:rPr>
            <w:color w:val="1155CC"/>
            <w:u w:val="single"/>
          </w:rPr>
          <w:t>10.1038/s41557-026-02219-1</w:t>
        </w:r>
      </w:hyperlink>
    </w:p>
    <w:p>
      <w:pPr>
        <w:spacing w:before="0" w:after="120"/>
      </w:pPr>
      <w:r>
        <w:rPr>
          <w:b/>
        </w:rPr>
        <w:t xml:space="preserve">Notes: </w:t>
      </w:r>
      <w:r>
        <w:t>abstract_source=rss_nature</w:t>
      </w:r>
    </w:p>
    <w:p>
      <w:pPr>
        <w:spacing w:before="0" w:after="80" w:lineRule="auto" w:line="276"/>
      </w:pPr>
      <w:r>
        <w:rPr>
          <w:b/>
        </w:rPr>
        <w:t xml:space="preserve">摘要（ZH）: </w:t>
      </w:r>
      <w:r>
        <w:t>气体逸出会损害高能锂金属电池的安全性和商业可行性。现在已经表明，在锂阳极上由醚类电解质分解产生的CH4在气体释放中占主导地位。简便的阳极激活策略可抑制形成 CH4 的界面反应，从而显着减少气体逸出并延长循环寿命。</w:t>
      </w:r>
    </w:p>
    <w:p>
      <w:pPr>
        <w:spacing w:before="0" w:after="200" w:lineRule="auto" w:line="276"/>
      </w:pPr>
      <w:r>
        <w:rPr>
          <w:b/>
        </w:rPr>
        <w:t xml:space="preserve">Abstract (EN): </w:t>
      </w:r>
      <w:r>
        <w:t>Gas evolution compromises the safety and commercial viability of high-energy lithium metal batteries. Now it has been shown that CH4 generated by ether-based electrolyte decomposition at the Li anode dominates gas evolution. A facile anode activation strategy suppresses CH4-forming interfacial reactions, dramatically reducing gas evolution and extending cycle life.</w:t>
      </w:r>
    </w:p>
    <w:p>
      <w:pPr>
        <w:spacing w:before="120" w:after="120"/>
      </w:pPr>
      <w:r>
        <w:rPr>
          <w:sz w:val="18"/>
        </w:rPr>
        <w:t>——————————————————————————————————————————————————————————————————————</w:t>
      </w:r>
    </w:p>
    <w:p>
      <w:pPr>
        <w:spacing w:before="160" w:after="40" w:line="240" w:lineRule="auto"/>
      </w:pPr>
      <w:r>
        <w:rPr>
          <w:b/>
        </w:rPr>
        <w:t xml:space="preserve">[26] </w:t>
      </w:r>
      <w:hyperlink r:id="rId207">
        <w:r>
          <w:rPr>
            <w:color w:val="1155CC"/>
            <w:u w:val="single"/>
          </w:rPr>
          <w:t>氟化物驱动的界面工程：构建高性能无枝晶锂金属电池的功能层</w:t>
        </w:r>
      </w:hyperlink>
    </w:p>
    <w:p>
      <w:pPr>
        <w:spacing w:before="0" w:after="80"/>
      </w:pPr>
      <w:r>
        <w:rPr>
          <w:i/>
          <w:sz w:val="20"/>
        </w:rPr>
        <w:t>EN: Fluoride‐Driven Interfacial Engineering: Architecting Functional Layers for High‐Performance Dendrite‐Free Li Metal Batteries</w:t>
      </w:r>
    </w:p>
    <w:p>
      <w:pPr>
        <w:spacing w:before="0" w:after="120"/>
      </w:pPr>
      <w:r>
        <w:rPr>
          <w:b/>
        </w:rPr>
        <w:t xml:space="preserve">Source: </w:t>
      </w:r>
      <w:r>
        <w:t>Wiley: Advanced Energy Materials: Table of Contents</w:t>
      </w:r>
      <w:r>
        <w:t xml:space="preserve">    </w:t>
      </w:r>
      <w:r>
        <w:rPr>
          <w:b/>
        </w:rPr>
        <w:t xml:space="preserve">Pub date: </w:t>
      </w:r>
      <w:r>
        <w:t>2026-08-20 06:05:46+00:00</w:t>
      </w:r>
      <w:r>
        <w:t xml:space="preserve">    </w:t>
      </w:r>
      <w:r>
        <w:rPr>
          <w:b/>
        </w:rPr>
        <w:t xml:space="preserve">DOI: </w:t>
      </w:r>
      <w:hyperlink r:id="rId208">
        <w:r>
          <w:rPr>
            <w:color w:val="1155CC"/>
            <w:u w:val="single"/>
          </w:rPr>
          <w:t>10.1002/aenm.71463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容量锂金属负极对于高能量密度电池至关重要。然而，它们的实际应用受到臭名昭著的枝晶生长、严重的体积变化和不稳定的固体电解质界面（SEI）的阻碍，导致循环稳定性差和严重的安全隐患。人们投入了大量精力来探索界面功能层，以实现无枝晶和可逆的电镀/剥离。金属氟化物（M</w:t>
      </w:r>
      <w:r>
        <w:t xml:space="preserve"> </w:t>
      </w:r>
      <w:r>
        <w:t>x</w:t>
      </w:r>
      <w:r>
        <w:t xml:space="preserve"> </w:t>
      </w:r>
      <w:r>
        <w:t>Fᵧ）由于其高离子电导率、机械鲁棒性以及与锂的良好反应性而被积极开发。重要的是，转化和合金化反应会产生含有导电LiF和合金物质的有利界面，从而有效调节Li</w:t>
      </w:r>
      <w:r>
        <w:t xml:space="preserve"> </w:t>
      </w:r>
      <w:r>
        <w:t>+</w:t>
      </w:r>
      <w:r>
        <w:t xml:space="preserve"> </w:t>
      </w:r>
      <w:r>
        <w:t>通量并促进快速离子迁移和均匀沉积，从而提高锂金属电池（LMB）的循环寿命和能量密度。这篇综述系统地总结了M的应用</w:t>
      </w:r>
      <w:r>
        <w:t xml:space="preserve"> </w:t>
      </w:r>
      <w:r>
        <w:t>x</w:t>
      </w:r>
      <w:r>
        <w:t xml:space="preserve"> </w:t>
      </w:r>
      <w:r>
        <w:t>LMB 中的 Fᵧ，包括人工中间相层、亲锂 3D 主体、隔膜改性层和电解质添加剂。特别强调澄清 M 的作用</w:t>
      </w:r>
      <w:r>
        <w:t xml:space="preserve"> </w:t>
      </w:r>
      <w:r>
        <w:t>x</w:t>
      </w:r>
      <w:r>
        <w:t xml:space="preserve"> </w:t>
      </w:r>
      <w:r>
        <w:t>Fᵧ 用于构建强大的 SEI 并提供主体框架，以加速动力学并引导均匀成核以实现无枝晶沉积。同时，从实际应用的角度讨论了 LMB 的性能，特别是在 PO 中。</w:t>
      </w:r>
    </w:p>
    <w:p>
      <w:pPr>
        <w:spacing w:before="0" w:after="200" w:lineRule="auto" w:line="276"/>
      </w:pPr>
      <w:r>
        <w:rPr>
          <w:b/>
        </w:rPr>
        <w:t xml:space="preserve">Abstract (EN): </w:t>
      </w:r>
      <w:r>
        <w:t>High‐capacity lithium metal anodes are essential for high‐energy‐density batteries. However, their practical deployment is hindered by notorious dendritic growth, severe volume variation and an unstable solid electrolyte interphase (SEI), giving rise to poor cyclic stability and serious safety hazards. Much effort has been devoted to exploring interfacial functional layers to enable dendrite‐free and reversible plating/stripping. Metal fluorides (M</w:t>
      </w:r>
      <w:r>
        <w:t xml:space="preserve"> </w:t>
      </w:r>
      <w:r>
        <w:t>x</w:t>
      </w:r>
      <w:r>
        <w:t xml:space="preserve"> </w:t>
      </w:r>
      <w:r>
        <w:t>Fᵧ) are being actively exploited due to their high ionic conductivity, mechanical robustness and favorable reactivity with Li. Importantly, conversion and alloying reactions generate favorable interphases containing conductive LiF and alloying species, which effectively regulate Li</w:t>
      </w:r>
      <w:r>
        <w:t xml:space="preserve"> </w:t>
      </w:r>
      <w:r>
        <w:t>+</w:t>
      </w:r>
      <w:r>
        <w:t xml:space="preserve"> </w:t>
      </w:r>
      <w:r>
        <w:t>flux and facilitate fast ion migration and uniform deposition, thereby enhancing both cycle life and energy density of Li metal batteries (LMBs). This review systematically summarizes the applications of M</w:t>
      </w:r>
      <w:r>
        <w:t xml:space="preserve"> </w:t>
      </w:r>
      <w:r>
        <w:t>x</w:t>
      </w:r>
      <w:r>
        <w:t xml:space="preserve"> </w:t>
      </w:r>
      <w:r>
        <w:t>Fᵧ in LMBs, including artificial interphase layers, lithiophilic 3D hosts, separator modification layers and electrolyte additives. Particular emphasis is placed on clarifying the role of M</w:t>
      </w:r>
      <w:r>
        <w:t xml:space="preserve"> </w:t>
      </w:r>
      <w:r>
        <w:t>x</w:t>
      </w:r>
      <w:r>
        <w:t xml:space="preserve"> </w:t>
      </w:r>
      <w:r>
        <w:t>Fᵧ for building a robust SEI and providing host framework that accelerates kinetics and guides homogeneous nucleation for dendrite‐free deposition. Meanwhile, the performance of LMBs from a practical application viewpoint is discussed, especially in pouch cells. Finally, future directions and prospects for M</w:t>
      </w:r>
      <w:r>
        <w:t xml:space="preserve"> </w:t>
      </w:r>
      <w:r>
        <w:t>x</w:t>
      </w:r>
      <w:r>
        <w:t xml:space="preserve"> </w:t>
      </w:r>
      <w:r>
        <w:t>Fᵧ are presented to stimulate their commercialization and extension to other metal batteries.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285">
        <w:r>
          <w:rPr>
            <w:color w:val="1155CC"/>
            <w:u w:val="single"/>
          </w:rPr>
          <w:t>极端条件下的储能：MXene基超级电容器的挑战与策略</w:t>
        </w:r>
      </w:hyperlink>
    </w:p>
    <w:p>
      <w:pPr>
        <w:spacing w:before="0" w:after="80"/>
      </w:pPr>
      <w:r>
        <w:rPr>
          <w:i/>
          <w:sz w:val="20"/>
        </w:rPr>
        <w:t>EN: Energy storage under extreme conditions: challenges and strategies for MXene-based supercapacitors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286">
        <w:r>
          <w:rPr>
            <w:color w:val="1155CC"/>
            <w:u w:val="single"/>
          </w:rPr>
          <w:t>10.1016/j.apenergy.2026.128677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87">
        <w:r>
          <w:rPr>
            <w:color w:val="1155CC"/>
            <w:u w:val="single"/>
          </w:rPr>
          <w:t>双功能能量再生悬架支持 AIoT，用于能量收集和自我感知，以提高燃油动力和电池电动汽车的性能</w:t>
        </w:r>
      </w:hyperlink>
    </w:p>
    <w:p>
      <w:pPr>
        <w:spacing w:before="0" w:after="80"/>
      </w:pPr>
      <w:r>
        <w:rPr>
          <w:i/>
          <w:sz w:val="20"/>
        </w:rPr>
        <w:t>EN: A dual-function energy regenerative suspension supported AIoT for energy harvesting and self-sensing to enhance the performance of fuel-powered and battery electric vehicles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288">
        <w:r>
          <w:rPr>
            <w:color w:val="1155CC"/>
            <w:u w:val="single"/>
          </w:rPr>
          <w:t>10.1016/j.apenergy.2026.128630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89">
        <w:r>
          <w:rPr>
            <w:color w:val="1155CC"/>
            <w:u w:val="single"/>
          </w:rPr>
          <w:t>在刚性亚纳米通道中将离子传输与水流解耦，以实现高效的渗透能量收集</w:t>
        </w:r>
      </w:hyperlink>
    </w:p>
    <w:p>
      <w:pPr>
        <w:spacing w:before="0" w:after="80"/>
      </w:pPr>
      <w:r>
        <w:rPr>
          <w:i/>
          <w:sz w:val="20"/>
        </w:rPr>
        <w:t>EN: Decoupling Ion Transport from Water Flow in Rigid Subnanometer Channels for Efficient Osmotic Energy Harvesting</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290">
        <w:r>
          <w:rPr>
            <w:color w:val="1155CC"/>
            <w:u w:val="single"/>
          </w:rPr>
          <w:t>10.1021/jacs.6c03924</w:t>
        </w:r>
      </w:hyperlink>
    </w:p>
    <w:p>
      <w:pPr>
        <w:spacing w:before="0" w:after="120"/>
      </w:pPr>
      <w:r>
        <w:rPr>
          <w:b/>
        </w:rPr>
        <w:t xml:space="preserve">Notes: </w:t>
      </w:r>
      <w:r>
        <w:t>abstract_source=crossref</w:t>
      </w:r>
    </w:p>
    <w:p>
      <w:pPr>
        <w:spacing w:before="0" w:after="80" w:lineRule="auto" w:line="276"/>
      </w:pPr>
      <w:r>
        <w:rPr>
          <w:b/>
        </w:rPr>
        <w:t xml:space="preserve">摘要（ZH）: </w:t>
      </w:r>
      <w:r>
        <w:t>摘要 用于渗透能量收集的传统离子分离膜依赖于本质上促进水合离子传输的纳米或亚纳米级通道，这是一种将离子传输与寄生溶剂流耦合的机制，并从根本上限制了能量转换性能。在这里，我们通过构建具有刚性裸离子传输通道的连续 NASICON 型 Li1.5Al0.5Ge1.5(PO4)3 膜打破了这种范式。在这种亚纳米尺度上，通道不再容纳水合离子，而是强制完全脱水，从而实现裸离子传导机制。这种转变消除了水化壳，产生了两个变革性的结果：首先，通过未屏蔽的静电相互作用和精确的空间排斥，实现近乎理想的 Li+ 选择性（转移数 t+ ≈ 0.99）；其次，将离子传输与水渗透完全解耦，消除了能量耗散的主要来源，并在200倍Li+浓度梯度下实现了488.6 W·m–2渗透能的产生。值得注意的是，该设计独特地利用了复杂盐水中的杂质抗衡离子，在 10 倍的 Li+ 浓度梯度下将功率密度提高了 56 倍以上，达到 517 W·m–2。这项工作将裸离子传输确立为下一代离子交换膜的基础和范式转换设计原则，为高效渗透能转换等开辟了新途径。</w:t>
      </w:r>
    </w:p>
    <w:p>
      <w:pPr>
        <w:spacing w:before="0" w:after="200" w:lineRule="auto" w:line="276"/>
      </w:pPr>
      <w:r>
        <w:rPr>
          <w:b/>
        </w:rPr>
        <w:t xml:space="preserve">Abstract (EN): </w:t>
      </w:r>
      <w:r>
        <w:t>Conventional ion separation membranes employed for osmotic energy harvesting rely on nano- or subnanoscale channels that inherently facilitate the transport of hydrated ions, a mechanism that couples ion transport with parasitic solvent flow and fundamentally limits on energy conversion performance. Here, we break this paradigm by constructing continuous NASICON-type Li1.5Al0.5Ge1.5(PO4)3 membranes featuring rigid naked-ion transport channels. At this subnanometer scale, the channels no longer accommodate hydrated ions but enforce complete dehydration, enabling a naked-ion conduction mechanism. This shift eliminates the hydration shell, yielding two transformative outcomes: first, enabling near-ideal Li+ selectivity (transference number t+ ≈ 0.99) via unscreened electrostatic interactions and precise steric exclusion; second, completely decoupling ion transport from water permeation, eradicating the primary source of energy dissipation and achieving 488.6 W·m–2 osmotic energy generation under 200-fold Li+ concentration gradient. Remarkably, this design uniquely leverages impurity counterions in complex brines, boosting the power density over 56-fold to 517 W·m–2 under the 10-fold Li+ concentration gradients. This work establishes naked-ion transport as a foundational and paradigm-shifting design principle for next-generation ion-exchange membranes, opening new avenues for high-efficiency osmotic energy conversion and beyond.</w:t>
      </w:r>
    </w:p>
    <w:p>
      <w:pPr>
        <w:spacing w:before="120" w:after="120"/>
      </w:pPr>
      <w:r>
        <w:rPr>
          <w:sz w:val="18"/>
        </w:rPr>
        <w:t>——————————————————————————————————————————————————————————————————————</w:t>
      </w:r>
    </w:p>
    <w:p>
      <w:pPr>
        <w:spacing w:before="160" w:after="40" w:line="240" w:lineRule="auto"/>
      </w:pPr>
      <w:r>
        <w:rPr>
          <w:b/>
        </w:rPr>
        <w:t xml:space="preserve">[4] </w:t>
      </w:r>
      <w:hyperlink r:id="rId291">
        <w:r>
          <w:rPr>
            <w:color w:val="1155CC"/>
            <w:u w:val="single"/>
          </w:rPr>
          <w:t>KNN 基陶瓷的固有应变产生的巨大静电应变</w:t>
        </w:r>
      </w:hyperlink>
    </w:p>
    <w:p>
      <w:pPr>
        <w:spacing w:before="0" w:after="80"/>
      </w:pPr>
      <w:r>
        <w:rPr>
          <w:i/>
          <w:sz w:val="20"/>
        </w:rPr>
        <w:t>EN: Giant Electrostrain from Inherent Strain for KNN-Based Ceramics</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292">
        <w:r>
          <w:rPr>
            <w:color w:val="1155CC"/>
            <w:u w:val="single"/>
          </w:rPr>
          <w:t>10.1021/acsami.6c10714</w:t>
        </w:r>
      </w:hyperlink>
    </w:p>
    <w:p>
      <w:pPr>
        <w:spacing w:before="0" w:after="120"/>
      </w:pPr>
      <w:r>
        <w:rPr>
          <w:b/>
        </w:rPr>
        <w:t xml:space="preserve">Notes: </w:t>
      </w:r>
      <w:r>
        <w:t>abstract_source=crossref</w:t>
      </w:r>
    </w:p>
    <w:p>
      <w:pPr>
        <w:spacing w:before="0" w:after="80" w:lineRule="auto" w:line="276"/>
      </w:pPr>
      <w:r>
        <w:rPr>
          <w:b/>
        </w:rPr>
        <w:t xml:space="preserve">摘要（ZH）: </w:t>
      </w:r>
      <w:r>
        <w:t>摘要 在还原气氛中烧结制备了不同尺寸的无铅铌酸钾钠（KNN）基压电陶瓷。通过确定单极应变的频率依赖性，它为研究人员提供了区分弯曲变形和固有电应变的有效且方便的方法。提供了一种高度可操作的策略，通过减少薄样品的面积来增强固有的静电应变。多价锰离子与陶瓷的厚度变化之间存在显着的依赖性。随着厚度从400μm减小到200μm，A位空位中的Mn2+离子因再氧化而吸收空穴，成为Mn4+离子，然后这些价态升高的Mn4+离子取代B位中的Nb5+离子，形成缺陷（Mn'Nb）并增加缺陷（V'Na/K）浓度。在这项工作中，没有缺陷（V'Na/K–VO··）梯度分布的陶瓷（200μm）中的巨大电应变应该源于偶极子缺陷（Mn'Nb–VO··和V'Na/K–VO··）和条纹（100 nm）域的协同效应所产生的固有应变。薄 (200 μm) 陶瓷表现出显着的固有静电应变（15 kV/cm 时为 1068 pm/V）。我们的研究提供了一种设计在还原气氛中烧结的高性能无铅压电陶瓷的创新方法，该陶瓷有望用于与贱金属镍电极共烧的低成本多层压电执行器应用。</w:t>
      </w:r>
    </w:p>
    <w:p>
      <w:pPr>
        <w:spacing w:before="0" w:after="200" w:lineRule="auto" w:line="276"/>
      </w:pPr>
      <w:r>
        <w:rPr>
          <w:b/>
        </w:rPr>
        <w:t xml:space="preserve">Abstract (EN): </w:t>
      </w:r>
      <w:r>
        <w:t>Lead-free potassium sodium niobate (KNN)-based piezoelectric ceramics with different sizes sintered in a reducing atmosphere are prepared. By determining the frequency dependence of the unipolar strain, it provides researchers with an effective and convenient method to distinguish between bending deformation and inherent electrostrain. A highly operable strategy to enhance inherent electrostrain by reducing the area of thin samples has been provided. There is a significant dependence between multivalent manganese ions and thickness changes in ceramics. With decreasing thickness from 400 to 200 μm, the Mn2+ ions in A-site vacancies absorb holes due to re-oxidation to become Mn4+ ions, and then, these Mn4+ ions with increased valence states substitute for Nb5+ ions in the B-site to form a defect (Mn′Nb) and increase the defect (V′Na/K) concentration. In this work, giant electrostrain in ceramics (200 μm) without the defect (V′Na/K–VO··) gradient distribution should originate from the inherent strain due to the synergistic effect of dipole defects (Mn′Nb–VO·· and V′Na/K–VO··) and stripe (100 nm) domains. The thin (200 μm) ceramics show a significant inherent electrostrain (1068 pm/V at 15 kV/cm). Our research provides an innovative way of designing high-performance lead-free piezoelectric ceramics sintered in a reducing atmosphere that are promising for low-cost multilayer piezoelectric actuator applications co-fired with base metal nickel electrodes.</w:t>
      </w:r>
    </w:p>
    <w:p>
      <w:pPr>
        <w:spacing w:before="120" w:after="120"/>
      </w:pPr>
      <w:r>
        <w:rPr>
          <w:sz w:val="18"/>
        </w:rPr>
        <w:t>——————————————————————————————————————————————————————————————————————</w:t>
      </w:r>
    </w:p>
    <w:p>
      <w:pPr>
        <w:spacing w:before="160" w:after="40" w:line="240" w:lineRule="auto"/>
      </w:pPr>
      <w:r>
        <w:rPr>
          <w:b/>
        </w:rPr>
        <w:t xml:space="preserve">[5] </w:t>
      </w:r>
      <w:hyperlink r:id="rId293">
        <w:r>
          <w:rPr>
            <w:color w:val="1155CC"/>
            <w:u w:val="single"/>
          </w:rPr>
          <w:t>由纳米级虹彩磷实现的生物可吸收和光学可读摩擦电植入物</w:t>
        </w:r>
      </w:hyperlink>
    </w:p>
    <w:p>
      <w:pPr>
        <w:spacing w:before="0" w:after="80"/>
      </w:pPr>
      <w:r>
        <w:rPr>
          <w:i/>
          <w:sz w:val="20"/>
        </w:rPr>
        <w:t>EN: Bioresorbable and optically readable triboelectric implants enabled by nanoscale iridophosphors</w:t>
      </w:r>
    </w:p>
    <w:p>
      <w:pPr>
        <w:spacing w:before="0" w:after="120"/>
      </w:pPr>
      <w:r>
        <w:rPr>
          <w:b/>
        </w:rPr>
        <w:t xml:space="preserve">Source: </w:t>
      </w:r>
      <w:r>
        <w:t>Nature Nanotechnology</w:t>
      </w:r>
      <w:r>
        <w:t xml:space="preserve">    </w:t>
      </w:r>
      <w:r>
        <w:rPr>
          <w:b/>
        </w:rPr>
        <w:t xml:space="preserve">Pub date: </w:t>
      </w:r>
      <w:r>
        <w:t>2026-08-14 00:00:00+00:00</w:t>
      </w:r>
      <w:r>
        <w:t xml:space="preserve">    </w:t>
      </w:r>
      <w:r>
        <w:rPr>
          <w:b/>
        </w:rPr>
        <w:t xml:space="preserve">DOI: </w:t>
      </w:r>
      <w:hyperlink r:id="rId294">
        <w:r>
          <w:rPr>
            <w:color w:val="1155CC"/>
            <w:u w:val="single"/>
          </w:rPr>
          <w:t>10.1038/s41565-026-02256-4</w:t>
        </w:r>
      </w:hyperlink>
    </w:p>
    <w:p>
      <w:pPr>
        <w:spacing w:before="0" w:after="120"/>
      </w:pPr>
      <w:r>
        <w:rPr>
          <w:b/>
        </w:rPr>
        <w:t xml:space="preserve">Notes: </w:t>
      </w:r>
      <w:r>
        <w:t>abstract_source=pubmed</w:t>
      </w:r>
    </w:p>
    <w:p>
      <w:pPr>
        <w:spacing w:before="0" w:after="80" w:lineRule="auto" w:line="276"/>
      </w:pPr>
      <w:r>
        <w:rPr>
          <w:b/>
        </w:rPr>
        <w:t xml:space="preserve">摘要（ZH）: </w:t>
      </w:r>
      <w:r>
        <w:t>植入式生物电子设备一旦植入后通常无法接近，因此结构损伤、退化和功能丧失通常不会被发现，直到出现并发症。对电池的依赖会带来有限的使用寿命、泄漏危险和可能需要手术切除的不可吸收组件，进一步加剧了这些风险。在此，我们报告了一种无电池、可生物吸收的摩擦电植入物，可在产生电力输出的同时实现外部可读、按需可视化的设备状态。数据驱动的材料到设备的工作流程将机器学习辅助的光物理筛选与基于分子偶极矩的选择相结合，以识别针对光学报告和摩擦电荷生成进行优化的纳米级铱 (III) 复合物。由此产生的设备将经皮磷光读数与超声波驱动的能量收集相结合，在手持照明下产生肉眼可见的轮廓，并在 0.5Wcm-2 的超声波功率下产生高达 3.6Vpp 的超声波功率。小鼠体内研究表明，光学读数可跟踪植入物位置、形态和损伤，将结构缺陷与电输出损失相关联，并在 38 周内监测完整性和生物吸收。这项工作建立了一个瞬态体内动力平台，其形态报告结构完整性和能量收集功能，为可观察的生物电子植入物提供了一条途径并支持及时干预。</w:t>
      </w:r>
    </w:p>
    <w:p>
      <w:pPr>
        <w:spacing w:before="0" w:after="200" w:lineRule="auto" w:line="276"/>
      </w:pPr>
      <w:r>
        <w:rPr>
          <w:b/>
        </w:rPr>
        <w:t xml:space="preserve">Abstract (EN): </w:t>
      </w:r>
      <w:r>
        <w:t>Implantable bioelectronics are typically inaccessible once implanted, and therefore structural damage, degradation and functional loss often go undetected until complications arise. Reliance on batteries further exacerbates these risks by imposing limited lifetimes, leakage hazards and non-resorbable components that may require surgical removal. Here we report a battery-free, bioresorbable triboelectric implant that enables externally readable, on-demand visualization of device status while generating electrical output. A data-driven materials-to-device workflow combines machine-learning-assisted photophysical screening with molecular-dipole-moment-based selection to identify nanoscale iridium(III) complexes optimized for both optical reporting and triboelectric charge generation. The resulting devices integrate a transcutaneous phosphorescent readout with ultrasound-driven energy harvesting, producing outlines visible to the unaided eye under handheld illumination and generating up to 3.6 Vpp at 0.5 W cm-2 of ultrasound power. In vivo studies in mice demonstrate that optical readouts track implant position, morphology and damage, correlate structural defects with loss of electrical output, and monitor integrity and bioresorption over 38 weeks. This work establishes a transient in vivo power platform whose morphology reports on structural integrity and energy-harvesting function, offering a route to observable bioelectronic implants and supporting timely intervention.</w:t>
      </w:r>
    </w:p>
    <w:p>
      <w:pPr>
        <w:spacing w:before="120" w:after="120"/>
      </w:pPr>
      <w:r>
        <w:rPr>
          <w:sz w:val="18"/>
        </w:rPr>
        <w:t>——————————————————————————————————————————————————————————————————————</w:t>
      </w:r>
    </w:p>
    <w:p>
      <w:pPr>
        <w:spacing w:before="160" w:after="40" w:line="240" w:lineRule="auto"/>
      </w:pPr>
      <w:r>
        <w:rPr>
          <w:b/>
        </w:rPr>
        <w:t xml:space="preserve">[6] </w:t>
      </w:r>
      <w:hyperlink r:id="rId295">
        <w:r>
          <w:rPr>
            <w:color w:val="1155CC"/>
            <w:u w:val="single"/>
          </w:rPr>
          <w:t>含电低聚物的可充电铝有机电池</w:t>
        </w:r>
      </w:hyperlink>
    </w:p>
    <w:p>
      <w:pPr>
        <w:spacing w:before="0" w:after="80"/>
      </w:pPr>
      <w:r>
        <w:rPr>
          <w:i/>
          <w:sz w:val="20"/>
        </w:rPr>
        <w:t>EN: Rechargeable Aluminum-Organic Batteries with Electro-Oligomers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296">
        <w:r>
          <w:rPr>
            <w:color w:val="1155CC"/>
            <w:u w:val="single"/>
          </w:rPr>
          <w:t>10.1021/jacs.6c09549</w:t>
        </w:r>
      </w:hyperlink>
    </w:p>
    <w:p>
      <w:pPr>
        <w:spacing w:before="0" w:after="120"/>
      </w:pPr>
      <w:r>
        <w:rPr>
          <w:b/>
        </w:rPr>
        <w:t xml:space="preserve">Notes: </w:t>
      </w:r>
      <w:r>
        <w:t>abstract_source=crossref</w:t>
      </w:r>
    </w:p>
    <w:p>
      <w:pPr>
        <w:spacing w:before="0" w:after="80" w:lineRule="auto" w:line="276"/>
      </w:pPr>
      <w:r>
        <w:rPr>
          <w:b/>
        </w:rPr>
        <w:t xml:space="preserve">摘要（ZH）: </w:t>
      </w:r>
      <w:r>
        <w:t>摘要 使用铝金属阳极和有机阴极的可充电铝有机电池是有前途的下一代储能器件，具有高安全性，但存在极化大、低电压充放电曲线倾斜和容量衰减快等局限性。在这里，我们展示了基于源自新分子 1,4-双(3,7-二(9H-咔唑-9-基)-10H-吩噻嗪-10-基)苯（名为“MILES-1”）的非晶电低聚物的高性能有机铝电池。 MILES-1 在电池循环过程中通过末端咔唑基团进行原位电齐聚，形成在导电碳上具有独特电子结构的氧化还原活性低聚物。在我们的低成本且不易燃的三元离子液体电解质中，MILES-1 电低聚物由大约 7 个具有吩噻嗪基序的单体组成，可实现明确的充放电曲线和高达 2.04 V 的前所未有的高放电电压。亚苯基双（吩噻嗪）基序中 N 和 S 原子与芳基的比例高达 4:5，Al/MILES-1 电池可提供高容量137 mAh g–1，200 mA g–1 时的 CE 为 99.3%。 Al/MILES-1电池具有低自放电、优异的倍率性能和循环性能，并且可以在-20至60°C的宽温度范围内工作。我们的大型 Al/MILES-1 软包电池具有 25.8 mg cm-2 的高质量负载，可提供 0.8 Ah 的可逆容量和 2.5 mAh cm-2 的面积容量。集低成本、高安全性、高质量负载、宽温度范围、提高的能量密度和卓越的循环性能为一体</w:t>
      </w:r>
    </w:p>
    <w:p>
      <w:pPr>
        <w:spacing w:before="0" w:after="200" w:lineRule="auto" w:line="276"/>
      </w:pPr>
      <w:r>
        <w:rPr>
          <w:b/>
        </w:rPr>
        <w:t xml:space="preserve">Abstract (EN): </w:t>
      </w:r>
      <w:r>
        <w:t>Rechargeable Al-organic batteries using an Al metal anode and organic cathode are promising next-generation energy storage devices with high safety, but with limitations such as large polarization, sloping charge–discharge curves with low voltages, and fast capacity decay. Here, we demonstrate high-performance Al-organic batteries based on amorphous electro-oligomers derived from a new molecule, 1,4-bis(3,7-di(9H-carbazol-9-yl)-10H-phenothiazin-10-yl)benzene (named “MILES-1”). MILES-1 underwent in situ electro-oligomerization into redox-active oligomers with distinct electronic structures on conductive carbon during battery cycling via terminal carbazole groups. In our low-cost and nonflammable ternary ionic liquid electrolyte, MILES-1 electro-oligomers, consisting of approximately seven monomers with phenothiazine motifs, enabled well-defined charge–discharge curves and an unprecedentedly high discharge voltage of up to 2.04 V. With a high N and S atoms-to-aryl ratio of 4:5 in the phenylene bis(phenothiazine) motif, the Al/MILES-1 battery delivered a high capacity of 137 mAh g–1 with a CE of 99.3% at 200 mA g–1. Al/MILES-1 batteries presented low self-discharge, excellent rate performance, and cyclability, and they can operate over a wide temperature range from −20 to 60 °C. Our large Al/MILES-1 pouch cell, with a high mass loading of 25.8 mg cm–2 delivered a reversible capacity of 0.8 Ah and an areal capacity of 2.5 mAh cm–2. The combined low cost, high safety, high mass loading, wide temperature range, improved energy density, and superior cyclability highlight the potential of Al-organic batteries as future energy-storage systems.</w:t>
      </w:r>
    </w:p>
    <w:p>
      <w:pPr>
        <w:spacing w:before="120" w:after="120"/>
      </w:pPr>
      <w:r>
        <w:rPr>
          <w:sz w:val="18"/>
        </w:rPr>
        <w:t>——————————————————————————————————————————————————————————————————————</w:t>
      </w:r>
    </w:p>
    <w:p>
      <w:pPr>
        <w:spacing w:before="160" w:after="40" w:line="240" w:lineRule="auto"/>
      </w:pPr>
      <w:r>
        <w:rPr>
          <w:b/>
        </w:rPr>
        <w:t xml:space="preserve">[7] </w:t>
      </w:r>
      <w:hyperlink r:id="rId297">
        <w:r>
          <w:rPr>
            <w:color w:val="1155CC"/>
            <w:u w:val="single"/>
          </w:rPr>
          <w:t>碘功能化的 rGO/石墨毡界面可增强钒氧化还原液流电池中的质量传输和电荷转移动力学</w:t>
        </w:r>
      </w:hyperlink>
    </w:p>
    <w:p>
      <w:pPr>
        <w:spacing w:before="0" w:after="80"/>
      </w:pPr>
      <w:r>
        <w:rPr>
          <w:i/>
          <w:sz w:val="20"/>
        </w:rPr>
        <w:t>EN: Iodine-Functionalized rGO/Graphite Felt Interfaces for Enhanced Mass Transport and Charge-Transfer Kinetics in Vanadium Redox Flow Batteries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298">
        <w:r>
          <w:rPr>
            <w:color w:val="1155CC"/>
            <w:u w:val="single"/>
          </w:rPr>
          <w:t>10.1021/acsami.6c11538</w:t>
        </w:r>
      </w:hyperlink>
    </w:p>
    <w:p>
      <w:pPr>
        <w:spacing w:before="0" w:after="120"/>
      </w:pPr>
      <w:r>
        <w:rPr>
          <w:b/>
        </w:rPr>
        <w:t xml:space="preserve">Notes: </w:t>
      </w:r>
      <w:r>
        <w:t>abstract_source=crossref</w:t>
      </w:r>
    </w:p>
    <w:p>
      <w:pPr>
        <w:spacing w:before="0" w:after="80" w:lineRule="auto" w:line="276"/>
      </w:pPr>
      <w:r>
        <w:rPr>
          <w:b/>
        </w:rPr>
        <w:t xml:space="preserve">摘要（ZH）: </w:t>
      </w:r>
      <w:r>
        <w:t>摘要 全钒氧化还原液流电池（VRFB）的高功率运行仍然受到界面电荷转移缓慢、电解质润湿性不足以及多孔碳电极内浓差极化的限制。在此，通过氢碘酸蒸气处理制备了碘功能化的还原氧化石墨烯/石墨毡电极（GF@rGO-V），以调节石墨毡的固液界面，同时保留其三维多孔框架。结构和表面分析表明，HI 蒸气处理产生了一个不太致密的含碘 rGO 界面，并改善了电解质的可及性。电化学测量进一步揭示了 VO2+/VO2+ 和 V2+/V3+ 氧化还原电对的表观离子传输增强和电荷转移电阻降低。温度依赖性阻抗分析表明，正反应的表观活化能从原始石墨毡上的 40.2 kJ mol-1 降低到 GF@rGO-V 上的 23.7 kJ mol-1，这表明更有利的界面动力学环境。因此，组装的 VRFB 在 400 mA cm-2 下的能效为 82.2%，峰值功率密度为 1257.6 mW cm-2，并且在 400 mA cm-2 下稳定循环超过 1500 个周期。这项工作展示了一种碘辅助界面工程策略，用于改善高功率水液流电池中的质量传输和电荷转移动力学。</w:t>
      </w:r>
    </w:p>
    <w:p>
      <w:pPr>
        <w:spacing w:before="0" w:after="200" w:lineRule="auto" w:line="276"/>
      </w:pPr>
      <w:r>
        <w:rPr>
          <w:b/>
        </w:rPr>
        <w:t xml:space="preserve">Abstract (EN): </w:t>
      </w:r>
      <w:r>
        <w:t>High-power operation of vanadium redox flow batteries (VRFBs) is still limited by sluggish interfacial charge transfer, insufficient electrolyte wettability, and concentration polarization within porous carbon electrodes. Herein, an iodine-functionalized reduced graphene oxide/graphite felt electrode (GF@rGO-V) was prepared through hydroiodic acid vapor treatment to regulate the solid–liquid interface of graphite felt while retaining its three-dimensional porous framework. Structural and surface analyses indicate that HI vapor treatment produces a less compact iodine-containing rGO interface with improved electrolyte accessibility. Electrochemical measurements further reveal enhanced apparent ion transport and reduced charge-transfer resistance toward both VO2+/VO2+ and V2+/V3+ redox couples. Temperature-dependent impedance analysis shows that the apparent activation energy for the positive reaction decreases from 40.2 kJ mol–1 on pristine graphite felt to 23.7 kJ mol–1 on GF@rGO-V, suggesting a more favorable interfacial kinetic environment. As a result, the assembled VRFB delivers an energy efficiency of 82.2% at 400 mA cm–2, a peak power density of 1257.6 mW cm–2, and stable cycling over 1500 cycles at 400 mA cm–2. This work demonstrates an iodine-assisted interfacial engineering strategy for improving mass transport and charge-transfer kinetics in high-power aqueous flow batteries.</w:t>
      </w:r>
    </w:p>
    <w:p>
      <w:pPr>
        <w:spacing w:before="120" w:after="120"/>
      </w:pPr>
      <w:r>
        <w:rPr>
          <w:sz w:val="18"/>
        </w:rPr>
        <w:t>——————————————————————————————————————————————————————————————————————</w:t>
      </w:r>
    </w:p>
    <w:p>
      <w:pPr>
        <w:spacing w:before="160" w:after="40" w:line="240" w:lineRule="auto"/>
      </w:pPr>
      <w:r>
        <w:rPr>
          <w:b/>
        </w:rPr>
        <w:t xml:space="preserve">[8] </w:t>
      </w:r>
      <w:hyperlink r:id="rId299">
        <w:r>
          <w:rPr>
            <w:color w:val="1155CC"/>
            <w:u w:val="single"/>
          </w:rPr>
          <w:t>面向工业级氢电池的低成本、可扩展、集成氢电极</w:t>
        </w:r>
      </w:hyperlink>
    </w:p>
    <w:p>
      <w:pPr>
        <w:spacing w:before="0" w:after="80"/>
      </w:pPr>
      <w:r>
        <w:rPr>
          <w:i/>
          <w:sz w:val="20"/>
        </w:rPr>
        <w:t>EN: A Low‐Cost, Scalable, and Integrated Hydrogen Electrode Toward Industrial‐Grade Hydrogen Batteries</w:t>
      </w:r>
    </w:p>
    <w:p>
      <w:pPr>
        <w:spacing w:before="0" w:after="120"/>
      </w:pPr>
      <w:r>
        <w:rPr>
          <w:b/>
        </w:rPr>
        <w:t xml:space="preserve">Source: </w:t>
      </w:r>
      <w:r>
        <w:t>Wiley: Advanced Materials: Table of Contents</w:t>
      </w:r>
      <w:r>
        <w:t xml:space="preserve">    </w:t>
      </w:r>
      <w:r>
        <w:rPr>
          <w:b/>
        </w:rPr>
        <w:t xml:space="preserve">Pub date: </w:t>
      </w:r>
      <w:r>
        <w:t>2026-08-17 08:43:40+00:00</w:t>
      </w:r>
      <w:r>
        <w:t xml:space="preserve">    </w:t>
      </w:r>
      <w:r>
        <w:rPr>
          <w:b/>
        </w:rPr>
        <w:t xml:space="preserve">DOI: </w:t>
      </w:r>
      <w:hyperlink r:id="rId300">
        <w:r>
          <w:rPr>
            <w:color w:val="1155CC"/>
            <w:u w:val="single"/>
          </w:rPr>
          <w:t>10.1002/adma.74499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氢电池由于其高可靠性和长寿命而成为大规模储能的有希望的候选者。然而，它们的实际应用仍然受到氢电极催化活性不足、成本高和可扩展性有限的阻碍。在这里，我们通过将催化剂与米级超薄氢扩散层合理集成来开发集成氢电极（iHE）。以镍基催化剂为代表，将其纳入由超薄、多孔、疏水性镀镍膜组成的氢扩散层中，电极成本仅为 360 万美元</w:t>
      </w:r>
      <w:r>
        <w:t xml:space="preserve"> </w:t>
      </w:r>
      <w:r>
        <w:t>−2</w:t>
      </w:r>
      <w:r>
        <w:t xml:space="preserve"> </w:t>
      </w:r>
      <w:r>
        <w:t>，约为基于商用气体扩散层 (Pt@GDL) 上负载的 Pt 催化剂的传统氢电极的 5%。 iHE 在 5 mA cm 电流下表现出 26 mV 的低极化</w:t>
      </w:r>
      <w:r>
        <w:t xml:space="preserve"> </w:t>
      </w:r>
      <w:r>
        <w:t>−2</w:t>
      </w:r>
      <w:r>
        <w:t xml:space="preserve"> </w:t>
      </w:r>
      <w:r>
        <w:t>并稳定运行超过1600小时。镍氢</w:t>
      </w:r>
      <w:r>
        <w:rPr>
          <w:vertAlign w:val="subscript"/>
        </w:rPr>
        <w:t>2</w:t>
      </w:r>
      <w:r>
        <w:t>(iHE) 电池具有 3300 小时的长循环寿命，容量保持率约为 98%，库仑效率衰减率为 0.033% 小时，可忽略不计</w:t>
      </w:r>
      <w:r>
        <w:t xml:space="preserve"> </w:t>
      </w:r>
      <w:r>
        <w:t>−1</w:t>
      </w:r>
      <w:r>
        <w:t xml:space="preserve"> </w:t>
      </w:r>
      <w:r>
        <w:t>。此外，Ni-H</w:t>
      </w:r>
      <w:r>
        <w:rPr>
          <w:vertAlign w:val="subscript"/>
        </w:rPr>
        <w:t>2</w:t>
      </w:r>
      <w:r>
        <w:t>(iHE) 全电池的能源成本仅为 Ni-H 的六分之一</w:t>
      </w:r>
      <w:r>
        <w:rPr>
          <w:vertAlign w:val="subscript"/>
        </w:rPr>
        <w:t>2</w:t>
      </w:r>
      <w:r>
        <w:t>(Pt@GDL) 对应物，能量密度为 179.5 Wh kg</w:t>
      </w:r>
      <w:r>
        <w:t xml:space="preserve"> </w:t>
      </w:r>
      <w:r>
        <w:t>−1</w:t>
      </w:r>
      <w:r>
        <w:t xml:space="preserve"> </w:t>
      </w:r>
      <w:r>
        <w:t>。这些结果凸显了 iHE 的优势</w:t>
      </w:r>
    </w:p>
    <w:p>
      <w:pPr>
        <w:spacing w:before="0" w:after="200" w:lineRule="auto" w:line="276"/>
      </w:pPr>
      <w:r>
        <w:rPr>
          <w:b/>
        </w:rPr>
        <w:t xml:space="preserve">Abstract (EN): </w:t>
      </w:r>
      <w:r>
        <w:t>Aqueous hydrogen batteries are promising candidates for large‐scale energy storage because of their high reliability and long lifespan. However, their practical application remains hindered by hydrogen electrodes that suffer from insufficient catalytic activity, high cost, and limited scalability. Here, we develop an integrated hydrogen electrode (iHE) by rationally integrating a catalyst with a meter‐scale, ultrathin hydrogen diffusion layer. A Ni‐based catalyst is incorporated as a representative into the hydrogen diffusion layer composed of an ultrathin, porous, and hydrophobic nickel‐plated membrane, yielding an electrode cost of only $3.6 m</w:t>
      </w:r>
      <w:r>
        <w:t xml:space="preserve"> </w:t>
      </w:r>
      <w:r>
        <w:t>−2</w:t>
      </w:r>
      <w:r>
        <w:t xml:space="preserve"> </w:t>
      </w:r>
      <w:r>
        <w:t>, approximately 5% that of a conventional hydrogen electrode based on Pt catalyst supported on a commercial gas diffusion layer (Pt@GDL). The iHE exhibits a low polarization of 26 mV at 5 mA cm</w:t>
      </w:r>
      <w:r>
        <w:t xml:space="preserve"> </w:t>
      </w:r>
      <w:r>
        <w:t>−2</w:t>
      </w:r>
      <w:r>
        <w:t xml:space="preserve"> </w:t>
      </w:r>
      <w:r>
        <w:t>and stable operation over 1600 h. The Ni‐H</w:t>
      </w:r>
      <w:r>
        <w:rPr>
          <w:vertAlign w:val="subscript"/>
        </w:rPr>
        <w:t>2</w:t>
      </w:r>
      <w:r>
        <w:t>(iHE) battery delivers a long cycle life of 3300 h with ~98% capacity retention and a negligible Coulombic efficiency decay rate of 0.033% h</w:t>
      </w:r>
      <w:r>
        <w:t xml:space="preserve"> </w:t>
      </w:r>
      <w:r>
        <w:t>−1</w:t>
      </w:r>
      <w:r>
        <w:t xml:space="preserve"> </w:t>
      </w:r>
      <w:r>
        <w:t>. Furthermore, the Ni‐H</w:t>
      </w:r>
      <w:r>
        <w:rPr>
          <w:vertAlign w:val="subscript"/>
        </w:rPr>
        <w:t>2</w:t>
      </w:r>
      <w:r>
        <w:t>(iHE) full cell achieves an energy cost of only one‐sixth that of the Ni‐H</w:t>
      </w:r>
      <w:r>
        <w:rPr>
          <w:vertAlign w:val="subscript"/>
        </w:rPr>
        <w:t>2</w:t>
      </w:r>
      <w:r>
        <w:t>(Pt@GDL) counterpart,   together with an energy density of 179.5 Wh kg</w:t>
      </w:r>
      <w:r>
        <w:t xml:space="preserve"> </w:t>
      </w:r>
      <w:r>
        <w:t>−1</w:t>
      </w:r>
      <w:r>
        <w:t xml:space="preserve"> </w:t>
      </w:r>
      <w:r>
        <w:t>. These results highlight the advantages of the iHE in activity, stability, scalability, and cost, demonstrating its potential for grid‐scale energy storage.</w:t>
      </w:r>
    </w:p>
    <w:p>
      <w:pPr>
        <w:spacing w:before="120" w:after="120"/>
      </w:pPr>
      <w:r>
        <w:rPr>
          <w:sz w:val="18"/>
        </w:rPr>
        <w:t>——————————————————————————————————————————————————————————————————————</w:t>
      </w:r>
    </w:p>
    <w:p>
      <w:pPr>
        <w:spacing w:before="160" w:after="40" w:line="240" w:lineRule="auto"/>
      </w:pPr>
      <w:r>
        <w:rPr>
          <w:b/>
        </w:rPr>
        <w:t xml:space="preserve">[9] </w:t>
      </w:r>
      <w:hyperlink r:id="rId301">
        <w:r>
          <w:rPr>
            <w:color w:val="1155CC"/>
            <w:u w:val="single"/>
          </w:rPr>
          <w:t>通过动态硫辛酸盐交联的闭环可回收固体聚合物电解质</w:t>
        </w:r>
      </w:hyperlink>
    </w:p>
    <w:p>
      <w:pPr>
        <w:spacing w:before="0" w:after="80"/>
      </w:pPr>
      <w:r>
        <w:rPr>
          <w:i/>
          <w:sz w:val="20"/>
        </w:rPr>
        <w:t>EN: Closed‐Loop Recyclable Solid Polymer Electrolytes via Dynamic Lipoate Cross‐Linking</w:t>
      </w:r>
    </w:p>
    <w:p>
      <w:pPr>
        <w:spacing w:before="0" w:after="120"/>
      </w:pPr>
      <w:r>
        <w:rPr>
          <w:b/>
        </w:rPr>
        <w:t xml:space="preserve">Source: </w:t>
      </w:r>
      <w:r>
        <w:t>Wiley: Angewandte Chemie International Edition: Table of Contents</w:t>
      </w:r>
      <w:r>
        <w:t xml:space="preserve">    </w:t>
      </w:r>
      <w:r>
        <w:rPr>
          <w:b/>
        </w:rPr>
        <w:t xml:space="preserve">Pub date: </w:t>
      </w:r>
      <w:r>
        <w:t>2026-08-17 10:45:32+00:00</w:t>
      </w:r>
      <w:r>
        <w:t xml:space="preserve">    </w:t>
      </w:r>
      <w:r>
        <w:rPr>
          <w:b/>
        </w:rPr>
        <w:t xml:space="preserve">DOI: </w:t>
      </w:r>
      <w:hyperlink r:id="rId302">
        <w:r>
          <w:rPr>
            <w:color w:val="1155CC"/>
            <w:u w:val="single"/>
          </w:rPr>
          <w:t>10.1002/anie.3540036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电化学储能的需求不断增长，加剧了人们对电池报废处理的担忧，推动了对可回收电解质材料的迫切需求。在这里，我们报告了一种可光固化、可化学回收的固体聚合物电解质平台，该平台基于生物衍生的双功能交联剂聚乙二醇双硫辛酸（PEG-LP）</w:t>
      </w:r>
      <w:r>
        <w:rPr>
          <w:vertAlign w:val="subscript"/>
        </w:rPr>
        <w:t>2</w:t>
      </w:r>
      <w:r>
        <w:t>），由天然存在的α-硫辛酸制备。可见光驱动的 PEG-LP 共聚</w:t>
      </w:r>
      <w:r>
        <w:rPr>
          <w:vertAlign w:val="subscript"/>
        </w:rPr>
        <w:t>2</w:t>
      </w:r>
      <w:r>
        <w:t>在离子液体（BMITFSI，45 wt%）存在下与聚（乙二醇）甲醚丙烯酸酯一起生成柔性离子导电膜（1.30 mS cm</w:t>
      </w:r>
      <w:r>
        <w:t xml:space="preserve"> </w:t>
      </w:r>
      <w:r>
        <w:t>−1</w:t>
      </w:r>
      <w:r>
        <w:t xml:space="preserve"> </w:t>
      </w:r>
      <w:r>
        <w:t>在室温下）。动态二硫键交联网络赋予固体般的机械完整性和化学可回收性。当组装成对称超级电容器时，优化的 SPE-65 配方在 100 mA g-1 下经过 6000 次恒电流循环后仍保留了初始比电容的 70%</w:t>
      </w:r>
      <w:r>
        <w:t xml:space="preserve"> </w:t>
      </w:r>
      <w:r>
        <w:t>−1</w:t>
      </w:r>
      <w:r>
        <w:t xml:space="preserve"> </w:t>
      </w:r>
      <w:r>
        <w:t>。使用 1,8-二氮杂双环[5.4.0]十一碳烯-7-烯 (DBU) 在温和的环境条件下实现完全催化剂辅助解聚，随后的再聚合再生离子导电膜，保留约 70% 的原始电导率 (0.86 mS cm</w:t>
      </w:r>
      <w:r>
        <w:t xml:space="preserve"> </w:t>
      </w:r>
      <w:r>
        <w:t>−1</w:t>
      </w:r>
      <w:r>
        <w:t xml:space="preserve"> </w:t>
      </w:r>
      <w:r>
        <w:t>）。生物衍生的硫辛酸交联剂、催化辅助解聚和再生电化学性能共同构成了</w:t>
      </w:r>
    </w:p>
    <w:p>
      <w:pPr>
        <w:spacing w:before="0" w:after="200" w:lineRule="auto" w:line="276"/>
      </w:pPr>
      <w:r>
        <w:rPr>
          <w:b/>
        </w:rPr>
        <w:t xml:space="preserve">Abstract (EN): </w:t>
      </w:r>
      <w:r>
        <w:t>Growing demand for electrochemical energy storage has intensified concerns over battery end‐of‐life disposal, driving an urgent need for recyclable electrolyte materials. Here, we report a photo‐curable, chemically recyclable solid polymer electrolyte platform built on a bio‐derived difunctional cross‐linker, poly(ethylene glycol) bis(lipoate) (PEG‐LP</w:t>
      </w:r>
      <w:r>
        <w:rPr>
          <w:vertAlign w:val="subscript"/>
        </w:rPr>
        <w:t>2</w:t>
      </w:r>
      <w:r>
        <w:t>), prepared from naturally occurring α‐lipoic acid. Visible‐light‐driven copolymerization of PEG‐LP</w:t>
      </w:r>
      <w:r>
        <w:rPr>
          <w:vertAlign w:val="subscript"/>
        </w:rPr>
        <w:t>2</w:t>
      </w:r>
      <w:r>
        <w:t>with poly(ethylene glycol) methyl ether acrylate in the presence of an ionic liquid (BMITFSI, 45 wt%) yields flexible, ionically conductive membranes (1.30 mS cm</w:t>
      </w:r>
      <w:r>
        <w:t xml:space="preserve"> </w:t>
      </w:r>
      <w:r>
        <w:t>−1</w:t>
      </w:r>
      <w:r>
        <w:t xml:space="preserve"> </w:t>
      </w:r>
      <w:r>
        <w:t>at room temperature). The dynamic disulfide cross‐linked network imparts both solid‐like mechanical integrity and chemical recyclability. When assembled into symmetric supercapacitors, the optimized SPE‐65 formulation retains ∼70% of its initial specific capacitance after 6000 galvanostatic cycles at 100 mA g</w:t>
      </w:r>
      <w:r>
        <w:t xml:space="preserve"> </w:t>
      </w:r>
      <w:r>
        <w:t>−1</w:t>
      </w:r>
      <w:r>
        <w:t xml:space="preserve"> </w:t>
      </w:r>
      <w:r>
        <w:t>. Complete catalyst‐assisted depolymerization is achieved using 1,8‐diazabicyclo[5.4.0]undec‐7‐ene (DBU) under mild, ambient conditions, and subsequent repolymerization regenerates ionically conductive membranes retaining ∼70% of the original conductivity (0.86 mS cm</w:t>
      </w:r>
      <w:r>
        <w:t xml:space="preserve"> </w:t>
      </w:r>
      <w:r>
        <w:t>−1</w:t>
      </w:r>
      <w:r>
        <w:t xml:space="preserve"> </w:t>
      </w:r>
      <w:r>
        <w:t>). Together, the bio‐derived lipoate cross‐linker, catalytically assisted depolymerization, and regenerated electrochemical performance constitute a sustainable and recyclable SPE manufacture platform for next‐generation supercapacitor applications.</w:t>
      </w:r>
    </w:p>
    <w:p>
      <w:pPr>
        <w:spacing w:before="120" w:after="120"/>
      </w:pPr>
      <w:r>
        <w:rPr>
          <w:sz w:val="18"/>
        </w:rPr>
        <w:t>——————————————————————————————————————————————————————————————————————</w:t>
      </w:r>
    </w:p>
    <w:p>
      <w:pPr>
        <w:spacing w:before="160" w:after="40" w:line="240" w:lineRule="auto"/>
      </w:pPr>
      <w:r>
        <w:rPr>
          <w:b/>
        </w:rPr>
        <w:t xml:space="preserve">[10] </w:t>
      </w:r>
      <w:hyperlink r:id="rId303">
        <w:r>
          <w:rPr>
            <w:color w:val="1155CC"/>
            <w:u w:val="single"/>
          </w:rPr>
          <w:t>电化学滤波电容器超快离子电子协同的多尺度设计原理</w:t>
        </w:r>
      </w:hyperlink>
    </w:p>
    <w:p>
      <w:pPr>
        <w:spacing w:before="0" w:after="80"/>
      </w:pPr>
      <w:r>
        <w:rPr>
          <w:i/>
          <w:sz w:val="20"/>
        </w:rPr>
        <w:t>EN: Multiscale design principles for ultrafast ion-electron synergy in electrochemical filter capacitors</w:t>
      </w:r>
    </w:p>
    <w:p>
      <w:pPr>
        <w:spacing w:before="0" w:after="120"/>
      </w:pPr>
      <w:r>
        <w:rPr>
          <w:b/>
        </w:rPr>
        <w:t xml:space="preserve">Source: </w:t>
      </w:r>
      <w:r>
        <w:t>Joule</w:t>
      </w:r>
      <w:r>
        <w:t xml:space="preserve">    </w:t>
      </w:r>
      <w:r>
        <w:rPr>
          <w:b/>
        </w:rPr>
        <w:t xml:space="preserve">Pub date: </w:t>
      </w:r>
      <w:r>
        <w:t>2026-08-18 00:00:00+00:00</w:t>
      </w:r>
      <w:r>
        <w:t xml:space="preserve">    </w:t>
      </w:r>
      <w:r>
        <w:rPr>
          <w:b/>
        </w:rPr>
        <w:t xml:space="preserve">DOI: </w:t>
      </w:r>
      <w:hyperlink r:id="rId304">
        <w:r>
          <w:rPr>
            <w:color w:val="1155CC"/>
            <w:u w:val="single"/>
          </w:rPr>
          <w:t>10.1016/j.joule.2026.102622</w:t>
        </w:r>
      </w:hyperlink>
    </w:p>
    <w:p>
      <w:pPr>
        <w:spacing w:before="0" w:after="120"/>
      </w:pPr>
      <w:r>
        <w:rPr>
          <w:b/>
        </w:rPr>
        <w:t xml:space="preserve">Notes: </w:t>
      </w:r>
      <w:r>
        <w:t>abstract_source=rss_cell</w:t>
      </w:r>
    </w:p>
    <w:p>
      <w:pPr>
        <w:spacing w:before="0" w:after="80" w:lineRule="auto" w:line="276"/>
      </w:pPr>
      <w:r>
        <w:rPr>
          <w:b/>
        </w:rPr>
        <w:t xml:space="preserve">摘要（ZH）: </w:t>
      </w:r>
      <w:r>
        <w:t>电化学滤波电容器 (EFC) 为动态功率调节提供紧凑的能量缓冲组件，但其性能受到耦合离子和电子传输损耗的限制。本次审查建立了多尺度阻抗解耦框架和标准化 120 Hz 基准测试，以将材料、电极、设备和模块与实用的滤波指标连接起来，指导 EFC 从芯片级集成到可再生能源接口的开发。</w:t>
      </w:r>
    </w:p>
    <w:p>
      <w:pPr>
        <w:spacing w:before="0" w:after="200" w:lineRule="auto" w:line="276"/>
      </w:pPr>
      <w:r>
        <w:rPr>
          <w:b/>
        </w:rPr>
        <w:t xml:space="preserve">Abstract (EN): </w:t>
      </w:r>
      <w:r>
        <w:t>Electrochemical filter capacitors (EFCs) offer compact energy-buffering components for dynamic power conditioning, but their performance is limited by coupled ion- and electron transport losses. This review establishes a multiscale impedance-decoupling framework and standardized 120 Hz benchmarking to connect materials, electrodes, devices, and modules with practical filtering metrics, guiding EFC development from chip-level integration to renewable-energy interfaces.</w:t>
      </w:r>
    </w:p>
    <w:p>
      <w:pPr>
        <w:spacing w:before="120" w:after="120"/>
      </w:pPr>
      <w:r>
        <w:rPr>
          <w:sz w:val="18"/>
        </w:rPr>
        <w:t>——————————————————————————————————————————————————————————————————————</w:t>
      </w:r>
    </w:p>
    <w:p>
      <w:pPr>
        <w:spacing w:before="160" w:after="40" w:line="240" w:lineRule="auto"/>
      </w:pPr>
      <w:r>
        <w:rPr>
          <w:b/>
        </w:rPr>
        <w:t xml:space="preserve">[11] </w:t>
      </w:r>
      <w:hyperlink r:id="rId305">
        <w:r>
          <w:rPr>
            <w:color w:val="1155CC"/>
            <w:u w:val="single"/>
          </w:rPr>
          <w:t>高压不对称锌空气电池的氧空位驱动阴离子门控</w:t>
        </w:r>
      </w:hyperlink>
    </w:p>
    <w:p>
      <w:pPr>
        <w:spacing w:before="0" w:after="80"/>
      </w:pPr>
      <w:r>
        <w:rPr>
          <w:i/>
          <w:sz w:val="20"/>
        </w:rPr>
        <w:t>EN: Oxygen Vacancy-Driven Anion Gating for High-Voltage Asymmetric Zinc-Air Batteries</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306">
        <w:r>
          <w:rPr>
            <w:color w:val="1155CC"/>
            <w:u w:val="single"/>
          </w:rPr>
          <w:t>10.1021/acsami.6c11110</w:t>
        </w:r>
      </w:hyperlink>
    </w:p>
    <w:p>
      <w:pPr>
        <w:spacing w:before="0" w:after="120"/>
      </w:pPr>
      <w:r>
        <w:rPr>
          <w:b/>
        </w:rPr>
        <w:t xml:space="preserve">Notes: </w:t>
      </w:r>
      <w:r>
        <w:t>abstract_source=crossref</w:t>
      </w:r>
    </w:p>
    <w:p>
      <w:pPr>
        <w:spacing w:before="0" w:after="80" w:lineRule="auto" w:line="276"/>
      </w:pPr>
      <w:r>
        <w:rPr>
          <w:b/>
        </w:rPr>
        <w:t xml:space="preserve">摘要（ZH）: </w:t>
      </w:r>
      <w:r>
        <w:t>摘要 可充电锌空气电池（ZAB）有望成为下一代储能电池，但其输出电压受到传统电解质配置的强烈限制。尽管 pH 解耦的不对称系统可以扩大电化学窗口，但不受控制的 OH- 交叉会逐渐消散界面 pH 梯度并加速中和，导致性能快速衰减。在此，报道了一种针对不对称 ZAB 的氧空位驱动阴离子门控 (OVDAG) 策略，该策略使用用富氧空位 WO3 纳米填料改性的隔膜。富含氧空位的 WO3 引入了与缺陷相关的 W 位点，可调节与 OH- 的相互作用，并有效地延迟 OH- 穿过不对称界面。这种空位介导的阴离子调节抑制了界面中和，稳定了局部 pH 梯度，并将离子电导率提高了 72%，从而减轻了离子选择性和传输效率之间的权衡。因此，组装的非对称 ZAB 可提供 2.16 V（液体）和 2.22 V（凝胶）的开路电压、~1.7-1.8 V 的稳定放电平台以及高达 150 小时（液体）和 120 小时（凝胶）的循环耐久性。这项工作将氧空位驱动的阴离子门控建立为高电压和耐用 ZAB 的有效策略。</w:t>
      </w:r>
    </w:p>
    <w:p>
      <w:pPr>
        <w:spacing w:before="0" w:after="200" w:lineRule="auto" w:line="276"/>
      </w:pPr>
      <w:r>
        <w:rPr>
          <w:b/>
        </w:rPr>
        <w:t xml:space="preserve">Abstract (EN): </w:t>
      </w:r>
      <w:r>
        <w:t>Rechargeable zinc-air batteries (ZABs) are promising for next-generation energy storage, yet their output voltage is strongly constrained by conventional electrolyte configurations. Although pH-decoupled asymmetric systems can expand the electrochemical window, uncontrolled OH– crossover progressively dissipates the interfacial pH gradient and accelerates neutralization, leading to rapid performance decay. Here, an oxygen vacancy-driven anion gating (OVDAG) strategy is reported for asymmetric ZABs using a separator modified with oxygen-vacancy-rich WO3 nanofillers. The oxygen-vacancy-rich WO3 introduces defect-associated W sites that modulate the interaction with OH– and effectively retard OH– crossover across the asymmetric interface. This vacancy-mediated anion regulation suppresses interfacial neutralization, stabilizes the local pH gradient, and enhances ionic conductivity by 72%, thereby alleviating the trade-off between ion selectivity and transport efficiency. As a result, the assembled asymmetric ZABs deliver open-circuit voltages of 2.16 V (liquid) and 2.22 V (gel), stable discharge plateaus of ∼1.7–1.8 V and cycling durability of up to 150 h (liquid) and 120 h (gel). This work establishes oxygen-vacancy-driven anion gating as an effective strategy for high-voltage and durable ZABs.</w:t>
      </w:r>
    </w:p>
    <w:p>
      <w:pPr>
        <w:spacing w:before="120" w:after="120"/>
      </w:pPr>
      <w:r>
        <w:rPr>
          <w:sz w:val="18"/>
        </w:rPr>
        <w:t>——————————————————————————————————————————————————————————————————————</w:t>
      </w:r>
    </w:p>
    <w:p>
      <w:pPr>
        <w:spacing w:before="160" w:after="40" w:line="240" w:lineRule="auto"/>
      </w:pPr>
      <w:r>
        <w:rPr>
          <w:b/>
        </w:rPr>
        <w:t xml:space="preserve">[12] </w:t>
      </w:r>
      <w:hyperlink r:id="rId307">
        <w:r>
          <w:rPr>
            <w:color w:val="1155CC"/>
            <w:u w:val="single"/>
          </w:rPr>
          <w:t>先进混合超级电容器导电镍泡沫上氢氧化镍纳米结构成核和生长的动力学洞察</w:t>
        </w:r>
      </w:hyperlink>
    </w:p>
    <w:p>
      <w:pPr>
        <w:spacing w:before="0" w:after="80"/>
      </w:pPr>
      <w:r>
        <w:rPr>
          <w:i/>
          <w:sz w:val="20"/>
        </w:rPr>
        <w:t>EN: Kinetic Insight into the Nucleation and Growth of Nickel Hydroxide Nanostructures on Conductive Ni Foam toward Advanced Hybrid Supercapacitors</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308">
        <w:r>
          <w:rPr>
            <w:color w:val="1155CC"/>
            <w:u w:val="single"/>
          </w:rPr>
          <w:t>10.1021/acsami.6c09054</w:t>
        </w:r>
      </w:hyperlink>
    </w:p>
    <w:p>
      <w:pPr>
        <w:spacing w:before="0" w:after="120"/>
      </w:pPr>
      <w:r>
        <w:rPr>
          <w:b/>
        </w:rPr>
        <w:t xml:space="preserve">Notes: </w:t>
      </w:r>
      <w:r>
        <w:t>abstract_source=crossref</w:t>
      </w:r>
    </w:p>
    <w:p>
      <w:pPr>
        <w:spacing w:before="0" w:after="80" w:lineRule="auto" w:line="276"/>
      </w:pPr>
      <w:r>
        <w:rPr>
          <w:b/>
        </w:rPr>
        <w:t xml:space="preserve">摘要（ZH）: </w:t>
      </w:r>
      <w:r>
        <w:t>摘要 金属氢氧化物作为超级电容器电极的坚固材料，具有增强的电化学性能、所需的电活性结构和组成特性，引起了极大的关注。在这些氢氧化物中，氢氧化镍纳米结构由于其显着的导电性、有效的电荷传输和电活性位点的增加而比其他纳米材料具有优势。在这项工作中，采用电沉积技术在泡沫镍基底上制备氢氧化镍Ni(OH)2纳米结构，通过评估面积容量作为主要性能指标，系统地优化了pH、电解质浓度、电位和沉积时间等电极参数。为了阐明控制薄膜形成的基本机制，通过在恒定施加电位下记录的恒电位电流瞬变，彻底研究了镍泡沫上电化学沉积的 Ni(OH)2 薄膜的成核和生长动力学。实验获得的瞬态与 Scharifker−Hill (SH) 成核模型严格拟合，动力学分析表明 Ni(OH)2 薄膜生长受三维 (3D) 瞬时成核机制和扩散控制晶粒生长的控制，表明在沉积开始时同时激活有限数量的成核位点，随后进行半球形扩散限制的核生长。此外，采用各种表征技术来分析形态、结构和c</w:t>
      </w:r>
    </w:p>
    <w:p>
      <w:pPr>
        <w:spacing w:before="0" w:after="200" w:lineRule="auto" w:line="276"/>
      </w:pPr>
      <w:r>
        <w:rPr>
          <w:b/>
        </w:rPr>
        <w:t xml:space="preserve">Abstract (EN): </w:t>
      </w:r>
      <w:r>
        <w:t>Metal hydroxides have drawn immense attention as robust materials for supercapacitor electrodes with enhanced electrochemical performance, desired electroactive structural, and compositional properties. Among these hydroxides, nickel hydroxide nanostructures offer advantages over other nanomaterials due to their significant electrical conductivity, efficient charge transport, and increase in electroactive sites. In this work, the electrodeposition technique was adopted to fabricate nickel hydroxide Ni(OH)2 nanostructures over a nickel foam substrate, where the electrode parameters such as pH, electrolyte concentration, potential, and deposition time were systematically optimized by evaluating the areal capacity as the primary performance metric. To elucidate the fundamental mechanisms governing film formation, the nucleation and growth kinetics of the electrochemically deposited Ni(OH)2 films on Ni foam were thoroughly investigated through potentiostatic current transients recorded at a constant applied potential. The experimentally obtained transients were rigorously fitted with the Scharifker−Hill (SH) nucleation model, and the kinetic analysis revealed that the Ni(OH)2 film growth is governed by a three-dimensional (3D) instantaneous nucleation mechanism with diffusion-controlled grain growth, indicating the simultaneous activation of a finite number of nucleation sites at the onset of deposition followed by hemispherical diffusion-limited growth of the nuclei. Further, various characterization techniques were employed to analyze the morphology, structure, and composition of the electrode. Electrochemical studies for the electrodes were conducted in aqueous 6 M KOH electrolyte, and the electrodes showed considerable electrochemical properties. Among them, the well optimized electrode of Ni(OH)2 deposited over 60 min of duration (Ni(OH)2-60), identified through areal capacity optimization, demonstrated a remarkable 2.13 C cm−2 areal capacity at 2 mA cm−2 current density. Furthermore, a hybrid-supercapacitor (H-SC) device was fabricated using the Ni(OH)2-60 and the activated carbon (AC@Ni foam) as the positive and negative electrodes. The device showed a maximum specific capacitance of 97 F g−1 with a specific energy and power of 30 Wh kg−1 for 0.750 kW kg−1 and a retention of 97% after 10000 charge/discharge cycles. This enhancement can be directly attributed to the favorable nucleation kinetics achieved under the optimized deposition conditions, which promoted uniform nuclei distribution, improved electron and ion transport pathways, an increased number of electroactive sites, and the enhanced structural integrity of the Ni(OH)2 electrode, collectively making it a promising electrode material for energy storage applications.</w:t>
      </w:r>
    </w:p>
    <w:p>
      <w:pPr>
        <w:spacing w:before="120" w:after="120"/>
      </w:pPr>
      <w:r>
        <w:rPr>
          <w:sz w:val="18"/>
        </w:rPr>
        <w:t>——————————————————————————————————————————————————————————————————————</w:t>
      </w:r>
    </w:p>
    <w:p>
      <w:pPr>
        <w:spacing w:before="160" w:after="40" w:line="240" w:lineRule="auto"/>
      </w:pPr>
      <w:r>
        <w:rPr>
          <w:b/>
        </w:rPr>
        <w:t xml:space="preserve">[13] </w:t>
      </w:r>
      <w:hyperlink r:id="rId309">
        <w:r>
          <w:rPr>
            <w:color w:val="1155CC"/>
            <w:u w:val="single"/>
          </w:rPr>
          <w:t>掌握电催化微环境实现水氢电池超过200 Wh kg–1</w:t>
        </w:r>
      </w:hyperlink>
    </w:p>
    <w:p>
      <w:pPr>
        <w:spacing w:before="0" w:after="80"/>
      </w:pPr>
      <w:r>
        <w:rPr>
          <w:i/>
          <w:sz w:val="20"/>
        </w:rPr>
        <w:t>EN: Mastering Electrocatalytic Microenvironment Achieves Aqueous Hydrogen Batteries Exceeding 200 Wh kg–1</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310">
        <w:r>
          <w:rPr>
            <w:color w:val="1155CC"/>
            <w:u w:val="single"/>
          </w:rPr>
          <w:t>10.1021/jacs.6c05840</w:t>
        </w:r>
      </w:hyperlink>
    </w:p>
    <w:p>
      <w:pPr>
        <w:spacing w:before="0" w:after="120"/>
      </w:pPr>
      <w:r>
        <w:rPr>
          <w:b/>
        </w:rPr>
        <w:t xml:space="preserve">Notes: </w:t>
      </w:r>
      <w:r>
        <w:t>abstract_source=crossref</w:t>
      </w:r>
    </w:p>
    <w:p>
      <w:pPr>
        <w:spacing w:before="0" w:after="80" w:lineRule="auto" w:line="276"/>
      </w:pPr>
      <w:r>
        <w:rPr>
          <w:b/>
        </w:rPr>
        <w:t xml:space="preserve">摘要（ZH）: </w:t>
      </w:r>
      <w:r>
        <w:t>摘要：由氢电催化剂驱动的高安全性、低成本、长寿命的水系氢气电池（AHGB）被认为是用于大规模储能的先进水系电池中最可靠的系统之一。然而，低负载量和高活性电催化剂的合理设计仍然是双功能氢氧化和析出反应（HOR/HER）催化释放更高性能AHGB潜力的挑战。在这项研究中，我们提出了一种原子工程方法，可以精确定制 AHGB 催化界面的反应微环境。开发了一种高活性的偶联钌基催化剂作为示范。理论计算和原位光谱表明，Ru和Ni位点之间的协同作用有效加速了微环境水的解离过程，同时界面氢键网络显着优化，共同加速了反应动力学并促进了传质。组装的镍氢（Ni-H2）电池具有40.5 μgRu cm-2的低负载量，在30 mA cm-2的高电流密度下表现出超过3000次循环的稳定性，是使用Pt/C催化剂的电池的4倍以上。重要的是，在之前报道的AHGB中，5 Ah规模的Ni-H2电池实现了204.4 Wh kg-1的最高能量密度，甚至超过了大多数最先进的水性电池和传统的LiFePO4电池。这项工作强调了掌握反应微环境的原子级设计，提供了开发高效、低成本电催化剂的策略</w:t>
      </w:r>
    </w:p>
    <w:p>
      <w:pPr>
        <w:spacing w:before="0" w:after="200" w:lineRule="auto" w:line="276"/>
      </w:pPr>
      <w:r>
        <w:rPr>
          <w:b/>
        </w:rPr>
        <w:t xml:space="preserve">Abstract (EN): </w:t>
      </w:r>
      <w:r>
        <w:t>High-safety, low-cost, and long-life aqueous hydrogen gas batteries (AHGBs) driven by hydrogen electrocatalysts are considered one of the most reliable systems in advanced aqueous batteries for large-scale energy storage. However, the rational design of low-loading and high-activity electrocatalysts remains a challenge for bifunctional hydrogen oxidation and evolution reaction (HOR/HER) catalysis to unleash the potential for higher-performance AHGBs. In this study, we propose an atomic engineering approach that precisely tailors the reactive microenvironments for the catalytic interface in AHGBs. A coupling Ru-based catalyst with high activity is developed as a demonstration. Theoretical calculations and in situ spectroscopy reveal that the synergy between Ru and Ni sites effectively accelerates the microenvironmental water dissociation process, while the interfacial hydrogen bond network is significantly optimized, collectively accelerating reaction kinetics and facilitating mass transfer. The assembled nickel–hydrogen (Ni–H2) battery with a low loading of 40.5 μgRu cm–2 exhibits stability over 3000 cycles at a high current density of 30 mA cm–2, more than 4 times that of the battery with Pt/C catalyst. Importantly, a 5 Ah-scale Ni–H2 battery achieves the highest energy density of 204.4 Wh kg–1 among previously reported AHGBs, which even exceeds most state-of-the-art aqueous batteries and conventional LiFePO4 batteries. This work highlights atomic-level design for mastering reactive microenvironments, offering a strategy to develop efficient, low-cost electrocatalysts toward high-energy-density AHGBs in practical energy storage applications.</w:t>
      </w:r>
    </w:p>
    <w:p>
      <w:pPr>
        <w:spacing w:before="120" w:after="120"/>
      </w:pPr>
      <w:r>
        <w:rPr>
          <w:sz w:val="18"/>
        </w:rPr>
        <w:t>——————————————————————————————————————————————————————————————————————</w:t>
      </w:r>
    </w:p>
    <w:p>
      <w:pPr>
        <w:spacing w:before="160" w:after="40" w:line="240" w:lineRule="auto"/>
      </w:pPr>
      <w:r>
        <w:rPr>
          <w:b/>
        </w:rPr>
        <w:t xml:space="preserve">[14] </w:t>
      </w:r>
      <w:hyperlink r:id="rId311">
        <w:r>
          <w:rPr>
            <w:color w:val="1155CC"/>
            <w:u w:val="single"/>
          </w:rPr>
          <w:t>具有超低介电常数的原子薄非晶碳</w:t>
        </w:r>
      </w:hyperlink>
    </w:p>
    <w:p>
      <w:pPr>
        <w:spacing w:before="0" w:after="80"/>
      </w:pPr>
      <w:r>
        <w:rPr>
          <w:i/>
          <w:sz w:val="20"/>
        </w:rPr>
        <w:t>EN: Atomically thin amorphous carbon with an ultralow dielectric constant</w:t>
      </w:r>
    </w:p>
    <w:p>
      <w:pPr>
        <w:spacing w:before="0" w:after="120"/>
      </w:pPr>
      <w:r>
        <w:rPr>
          <w:b/>
        </w:rPr>
        <w:t xml:space="preserve">Source: </w:t>
      </w:r>
      <w:r>
        <w:t>Nature Electronics</w:t>
      </w:r>
      <w:r>
        <w:t xml:space="preserve">    </w:t>
      </w:r>
      <w:r>
        <w:rPr>
          <w:b/>
        </w:rPr>
        <w:t xml:space="preserve">Pub date: </w:t>
      </w:r>
      <w:r>
        <w:t>2026-08-18 00:00:00+00:00</w:t>
      </w:r>
      <w:r>
        <w:t xml:space="preserve">    </w:t>
      </w:r>
      <w:r>
        <w:rPr>
          <w:b/>
        </w:rPr>
        <w:t xml:space="preserve">DOI: </w:t>
      </w:r>
      <w:hyperlink r:id="rId312">
        <w:r>
          <w:rPr>
            <w:color w:val="1155CC"/>
            <w:u w:val="single"/>
          </w:rPr>
          <w:t>10.1038/s41928-026-01685-2</w:t>
        </w:r>
      </w:hyperlink>
    </w:p>
    <w:p>
      <w:pPr>
        <w:spacing w:before="0" w:after="120"/>
      </w:pPr>
      <w:r>
        <w:rPr>
          <w:b/>
        </w:rPr>
        <w:t xml:space="preserve">Notes: </w:t>
      </w:r>
      <w:r>
        <w:t>abstract_source=semanticscholar</w:t>
      </w:r>
    </w:p>
    <w:p>
      <w:pPr>
        <w:spacing w:before="0" w:after="80" w:lineRule="auto" w:line="276"/>
      </w:pPr>
      <w:r>
        <w:rPr>
          <w:b/>
        </w:rPr>
        <w:t xml:space="preserve">摘要（ZH）: </w:t>
      </w:r>
      <w:r>
        <w:t>二维（2D）材料在单层厚度下表现出优异的性能，并且随着尺寸逐渐接近原子极限，成为各种微电子元件的可行替代品。尽管正在进行的集成电路二维革命取得了重大进展，但一个关键的构建模块，即二维超低 k (ULK) 电介质，仍然没有报道。挑战在于实现小于 3 的介电常数，因为传统的低 k 电介质由于其非晶或多孔性质，在 2D 极限下本质上不稳定。还需要实现低 k 超薄电介质来解决当前集成电路尺寸缩小的瓶颈。具体来说，当导电元件之间的距离缩小到 10 nm 以下时，需要使用低 k 材料来最大限度地减少寄生电容。此外，诸如环栅场效应晶体管 (GAA FET) 等先进架构在厚度低于 3nm 时需要更低的介电常数 (k&lt;2)。在这里，我们证明了薄至 0.8 nm 的逐层生长的多层非晶碳 (ML-AC) 是一种机械坚固的 2D ULK 电介质，k 为 1.35，介电强度为 28-31 MV cm-1。缺乏任何长程有序、其固有的二维性质、sp2碳特征和低密度对于最小化介电常数都是至关重要的。此外，ML-AC 克服了现有电介质对离子扩散退化的脆弱性，即使单层金属离子扩散失效时间 (TTF) 也达到创纪录的 10^10 秒。因此，否则需要占用高达 3 nm 的附加层</w:t>
      </w:r>
    </w:p>
    <w:p>
      <w:pPr>
        <w:spacing w:before="0" w:after="200" w:lineRule="auto" w:line="276"/>
      </w:pPr>
      <w:r>
        <w:rPr>
          <w:b/>
        </w:rPr>
        <w:t xml:space="preserve">Abstract (EN): </w:t>
      </w:r>
      <w:r>
        <w:t>Two-dimensional (2D) materials exhibit excellent properties at monolayer thickness and are viable replacements for various microelectronic components as scaling gradually approaches the atomic limit. Despite significant advancements in the ongoing 2D revolution of integrated circuits, one crucial building block, namely a 2D ultralow-k (ULK) dielectric, remains unreported. The challenge lies in achieving a dielectric constant less than 3, as traditional low-k dielectrics are inherently unstable at the 2D limit due to their amorphous or porous nature. The realisation of ultrathin dielectrics with low-k is also needed to address current bottlenecks in integrated circuits scaling. Specifically, low-k materials are necessary to minimise parasitic capacitances as the distance between conductive elements shrinks below 10 nm. Moreover, advanced architectures like gate-all-around field effect transistors (GAA FET) require even lower dielectric constants (k&lt;2) at sub-3nm thickness. Here, we show that layer-by-layer grown multilayer amorphous carbon (ML-AC), as thin as 0.8 nm, is a mechanically robust 2D ULK dielectric with k of 1.35 and dielectric strength of 28-31 MV cm-1. The lack of any long-range order, its intrinsic 2D nature, sp2 carbon character and low density are all essential for minimising dielectric permittivity. Moreover, ML-AC overcomes the vulnerability of existing dielectrics to ion diffusion degradation with a record metal ion diffusion time to failure (TTF) of 10^10 s for even a single layer. Therefore, otherwise necessary additional layers occupying up to 3 nm can be eliminated, which is especially significant as metal line widths approach 10 nm. Combined with its low-temperature, direct and conformal growth even on a dielectric, these critical features enable substantial improvements in silicon-based semiconductor electronics and ensure compatibility with future 2D electronics.</w:t>
      </w:r>
    </w:p>
    <w:p>
      <w:pPr>
        <w:spacing w:before="120" w:after="120"/>
      </w:pPr>
      <w:r>
        <w:rPr>
          <w:sz w:val="18"/>
        </w:rPr>
        <w:t>——————————————————————————————————————————————————————————————————————</w:t>
      </w:r>
    </w:p>
    <w:p>
      <w:pPr>
        <w:spacing w:before="160" w:after="40" w:line="240" w:lineRule="auto"/>
      </w:pPr>
      <w:r>
        <w:rPr>
          <w:b/>
        </w:rPr>
        <w:t xml:space="preserve">[15] </w:t>
      </w:r>
      <w:hyperlink r:id="rId313">
        <w:r>
          <w:rPr>
            <w:color w:val="1155CC"/>
            <w:u w:val="single"/>
          </w:rPr>
          <w:t>超致密金属螯合纳米限制网络水凝胶具有坚韧、抗膨胀和低温电解质性能</w:t>
        </w:r>
      </w:hyperlink>
    </w:p>
    <w:p>
      <w:pPr>
        <w:spacing w:before="0" w:after="80"/>
      </w:pPr>
      <w:r>
        <w:rPr>
          <w:i/>
          <w:sz w:val="20"/>
        </w:rPr>
        <w:t>EN: Ultradense metal-chelated nanoconfined network hydrogels enable tough, anti-swelling, and cryogenic electrolyte performance</w:t>
      </w:r>
    </w:p>
    <w:p>
      <w:pPr>
        <w:spacing w:before="0" w:after="120"/>
      </w:pPr>
      <w:r>
        <w:rPr>
          <w:b/>
        </w:rPr>
        <w:t xml:space="preserve">Source: </w:t>
      </w:r>
      <w:r>
        <w:t>Matter</w:t>
      </w:r>
      <w:r>
        <w:t xml:space="preserve">    </w:t>
      </w:r>
      <w:r>
        <w:rPr>
          <w:b/>
        </w:rPr>
        <w:t xml:space="preserve">Pub date: </w:t>
      </w:r>
      <w:r>
        <w:t>2026-08-19 00:00:00+00:00</w:t>
      </w:r>
      <w:r>
        <w:t xml:space="preserve">    </w:t>
      </w:r>
      <w:r>
        <w:rPr>
          <w:b/>
        </w:rPr>
        <w:t xml:space="preserve">DOI: </w:t>
      </w:r>
      <w:hyperlink r:id="rId314">
        <w:r>
          <w:rPr>
            <w:color w:val="1155CC"/>
            <w:u w:val="single"/>
          </w:rPr>
          <w:t>10.1016/j.matt.2026.102968</w:t>
        </w:r>
      </w:hyperlink>
    </w:p>
    <w:p>
      <w:pPr>
        <w:spacing w:before="0" w:after="120"/>
      </w:pPr>
      <w:r>
        <w:rPr>
          <w:b/>
        </w:rPr>
        <w:t xml:space="preserve">Notes: </w:t>
      </w:r>
      <w:r>
        <w:t>abstract_source=rss_cell</w:t>
      </w:r>
    </w:p>
    <w:p>
      <w:pPr>
        <w:spacing w:before="0" w:after="80" w:lineRule="auto" w:line="276"/>
      </w:pPr>
      <w:r>
        <w:rPr>
          <w:b/>
        </w:rPr>
        <w:t xml:space="preserve">摘要（ZH）: </w:t>
      </w:r>
      <w:r>
        <w:t>具有亚 100 nm 孔的超致密金属螯合聚丙烯酸网络旨在结合韧性、尺寸稳定性和低温离子传输。均匀的拓扑结构最大限度地减少了结构缺陷，并将几乎所有自由水转化为结合水，形成纳米支架限制的水态。所得水凝胶在-65°C 下实现了 69 MPa 的压缩强度、接近零的膨胀和 24.15 mS·cm−1 的离子电导率。作为一种准固体电解质，它可以使锌空气电池在-65°C 下循环超过 20,000 次，而不会出现容量衰减。</w:t>
      </w:r>
    </w:p>
    <w:p>
      <w:pPr>
        <w:spacing w:before="0" w:after="200" w:lineRule="auto" w:line="276"/>
      </w:pPr>
      <w:r>
        <w:rPr>
          <w:b/>
        </w:rPr>
        <w:t xml:space="preserve">Abstract (EN): </w:t>
      </w:r>
      <w:r>
        <w:t>An ultradense metal-chelated poly(acrylic acid) network with sub-100 nm pores is designed to combine toughness, dimensional stability, and cryogenic ion transport. The homogeneous topology minimizes structural defects and converts nearly all free water to bound water, forming a nanoscaffold-confined aqueous state. The resulting hydrogel achieves 69 MPa compressive strength, near-zero swelling, and 24.15 mS·cm−1 ionic conductivity at −65°C. As a quasi-solid electrolyte, it sustains Zn–air batteries over 20,000 cycles at −65°C without capacity decay.</w:t>
      </w:r>
    </w:p>
    <w:p>
      <w:pPr>
        <w:spacing w:before="120" w:after="120"/>
      </w:pPr>
      <w:r>
        <w:rPr>
          <w:sz w:val="18"/>
        </w:rPr>
        <w:t>——————————————————————————————————————————————————————————————————————</w:t>
      </w:r>
    </w:p>
    <w:p>
      <w:pPr>
        <w:spacing w:before="160" w:after="40" w:line="240" w:lineRule="auto"/>
      </w:pPr>
      <w:r>
        <w:rPr>
          <w:b/>
        </w:rPr>
        <w:t xml:space="preserve">[16] </w:t>
      </w:r>
      <w:hyperlink r:id="rId315">
        <w:r>
          <w:rPr>
            <w:color w:val="1155CC"/>
            <w:u w:val="single"/>
          </w:rPr>
          <w:t>用于高效电容去离子装置的电子耦合六氰基铁酸钒/rGO 中的电容主导型离子存储</w:t>
        </w:r>
      </w:hyperlink>
    </w:p>
    <w:p>
      <w:pPr>
        <w:spacing w:before="0" w:after="80"/>
      </w:pPr>
      <w:r>
        <w:rPr>
          <w:i/>
          <w:sz w:val="20"/>
        </w:rPr>
        <w:t>EN: Capacitive-Dominant Ion Storage in Electronically Coupled Vanadium Hexacyanoferrate/rGO for Efficient Capacitive Deionization Devices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316">
        <w:r>
          <w:rPr>
            <w:color w:val="1155CC"/>
            <w:u w:val="single"/>
          </w:rPr>
          <w:t>10.1021/acsami.6c06854</w:t>
        </w:r>
      </w:hyperlink>
    </w:p>
    <w:p>
      <w:pPr>
        <w:spacing w:before="0" w:after="120"/>
      </w:pPr>
      <w:r>
        <w:rPr>
          <w:b/>
        </w:rPr>
        <w:t xml:space="preserve">Notes: </w:t>
      </w:r>
      <w:r>
        <w:t>abstract_source=crossref</w:t>
      </w:r>
    </w:p>
    <w:p>
      <w:pPr>
        <w:spacing w:before="0" w:after="80" w:lineRule="auto" w:line="276"/>
      </w:pPr>
      <w:r>
        <w:rPr>
          <w:b/>
        </w:rPr>
        <w:t xml:space="preserve">摘要（ZH）: </w:t>
      </w:r>
      <w:r>
        <w:t>摘要 具有分层互连孔隙度和丰富氧化还原活性通道的电极的合理设计对于高性能电容去离子（CDI）至关重要。在此，六氰基铁酸钒（VHCF）与还原氧化石墨烯（rGO）集成，展示了一种强耦合插层型混合电极，该电极表现出从致密聚集颗粒到玫瑰花状纳米片结构的显着形态演变，显着改善了电解质可及性、活性位点暴露和离子传输途径。 XPS 分析中结合能的变化以及混合价 V 和 Fe 态的稳定表明，rGO−VHCF 界面处的电子相互作用促进电荷重新分布。值得注意的是，XPS 显示 V3+ 结合能出现约 0.5 eV 的负移，证实了从 rGO 到 VHCF 的界面电子转移以及钒中心电子密度的增加。这种电子耦合激活了额外的氧化还原中心，降低了电荷转移电阻，并加速了反应动力学，提供了增强的电荷存储（1 A/g 时为 328.59 F/g），同时减少了极化，并揭示了主要的表面控制赝电容，表明界面电荷存储。电化学石英晶体微天平 (EQCM) 测量将电荷转移与可逆的 Na+ 相关质量变化直接关联起来，从而确认同步的电子离子传输和最小的离子捕获。在不对称CDI配置中，VHCF/rGO阴极和介孔碳作为阳极实现了高盐吸附帽</w:t>
      </w:r>
    </w:p>
    <w:p>
      <w:pPr>
        <w:spacing w:before="0" w:after="200" w:lineRule="auto" w:line="276"/>
      </w:pPr>
      <w:r>
        <w:rPr>
          <w:b/>
        </w:rPr>
        <w:t xml:space="preserve">Abstract (EN): </w:t>
      </w:r>
      <w:r>
        <w:t>The rational design of electrodes with hierarchically interconnected porosity and abundant redox-active channels is essential for high-performance capacitive deionization (CDI). Herein, vanadium hexacyanoferrate (VHCF) is integrated with reduced graphene oxide (rGO) to demonstrate a strongly coupled intercalation-type hybrid electrode that exhibits a pronounced morphological evolution from densely aggregated particles to a rosette-like nanosheet architecture, significantly improving electrolyte accessibility, active-site exposure, and ion-transport pathways. Electronic interaction at the rGO−VHCF interface facilitates charge redistribution, as indicated by binding-energy shifts and the stabilization of mixed-valence V and Fe states in XPS analysis. Notably, XPS reveals a ∼0.5 eV negative shift in the V3+ binding energy, confirming interfacial electron transfer from rGO to VHCF and increased electron density at vanadium centers. This electronic coupling activates additional redox centers, lowers charge-transfer resistance, and accelerates reaction kinetics, delivering enhanced charge storage (328.59 F/g at 1 A/g) with reduced polarization and reveals a dominant surface-controlled pseudocapacitance, indicating interfacial charge storage. Electrochemical quartz crystal microbalance (EQCM) measurements directly correlate charge transfer with reversible Na+-associated mass variations, confirming synchronized electron−ion transport and minimal ion trapping. In asymmetric CDI configuration, VHCF/rGO cathode and mesoporous carbon as anode achieve a high-salt adsorption capacity of 78.97 mg/g nearly double that of VHCF (37.40 mg/g). Additionally, the system demonstrates rapid electrosorption kinetic and low-energy consumption (0.65 kJ/mol) in Na2SO4. The synergistic integration of electronic coupling, defect-enriched active sites, and efficient ion-diffusion channels establishes VHCF/rGO as a robust, high-efficiency electrode for next-generation CDI systems.</w:t>
      </w:r>
    </w:p>
    <w:p>
      <w:pPr>
        <w:spacing w:before="120" w:after="120"/>
      </w:pPr>
      <w:r>
        <w:rPr>
          <w:sz w:val="18"/>
        </w:rPr>
        <w:t>——————————————————————————————————————————————————————————————————————</w:t>
      </w:r>
    </w:p>
    <w:p>
      <w:pPr>
        <w:spacing w:before="160" w:after="40" w:line="240" w:lineRule="auto"/>
      </w:pPr>
      <w:r>
        <w:rPr>
          <w:b/>
        </w:rPr>
        <w:t xml:space="preserve">[17] </w:t>
      </w:r>
      <w:hyperlink r:id="rId317">
        <w:r>
          <w:rPr>
            <w:color w:val="1155CC"/>
            <w:u w:val="single"/>
          </w:rPr>
          <w:t>宽稳定的动态特性可在用于自供电智能电网监控的紧凑型磁机电能量收集器中实现超高功率密度</w:t>
        </w:r>
      </w:hyperlink>
    </w:p>
    <w:p>
      <w:pPr>
        <w:spacing w:before="0" w:after="80"/>
      </w:pPr>
      <w:r>
        <w:rPr>
          <w:i/>
          <w:sz w:val="20"/>
        </w:rPr>
        <w:t>EN: Wide‐Stable Dynamics Enabling Ultra‐High Power Density in Compact Magneto‐Mechano‐Electric Energy Harvesters for Self‐Powered Smart Grid Monitoring</w:t>
      </w:r>
    </w:p>
    <w:p>
      <w:pPr>
        <w:spacing w:before="0" w:after="120"/>
      </w:pPr>
      <w:r>
        <w:rPr>
          <w:b/>
        </w:rPr>
        <w:t xml:space="preserve">Source: </w:t>
      </w:r>
      <w:r>
        <w:t>Wiley: Advanced Energy Materials: Table of Contents</w:t>
      </w:r>
      <w:r>
        <w:t xml:space="preserve">    </w:t>
      </w:r>
      <w:r>
        <w:rPr>
          <w:b/>
        </w:rPr>
        <w:t xml:space="preserve">Pub date: </w:t>
      </w:r>
      <w:r>
        <w:t>2026-08-19 06:47:47+00:00</w:t>
      </w:r>
      <w:r>
        <w:t xml:space="preserve">    </w:t>
      </w:r>
      <w:r>
        <w:rPr>
          <w:b/>
        </w:rPr>
        <w:t xml:space="preserve">DOI: </w:t>
      </w:r>
      <w:hyperlink r:id="rId318">
        <w:r>
          <w:rPr>
            <w:color w:val="1155CC"/>
            <w:u w:val="single"/>
          </w:rPr>
          <w:t>10.1002/aenm.71352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悬臂结构磁机电能量收集器（MME-EH）被认为是通过捕获环境磁场为物联网（IoT）设备供电的有前途的候选者之一。然而，传统的 MME-EH 的体积与纽扣电池相当（≤1 cm</w:t>
      </w:r>
      <w:r>
        <w:rPr>
          <w:vertAlign w:val="subscript"/>
        </w:rPr>
        <w:t>3</w:t>
      </w:r>
      <w:r>
        <w:t>）面临着克服输出功率密度瓶颈以满足弱激励下不断发展的物联网需求的关键挑战。在这项工作中，我们通过提出一种广泛稳定的能量收集策略来克服这一限制。与在弱激励下难以维持高能井间振荡的传统双稳态系统或受陡峭势阱限制的单稳态系统不同，我们的设计利用非线性动力学来设计加宽且平坦的势阱，即使在弱场下也能促进大振幅的井内运动。该策略显着提高了磁力耦合效率，实现了紧凑的 MME-EH（有效体积 0.968 cm</w:t>
      </w:r>
      <w:r>
        <w:rPr>
          <w:vertAlign w:val="subscript"/>
        </w:rPr>
        <w:t>3</w:t>
      </w:r>
      <w:r>
        <w:t>）在 50 Hz、1 Oe 的弱磁场下产生 0.89 mW 输出功率，比原始 MME-EH 增强了 89%。输出功率密度达到0.92 mW cm</w:t>
      </w:r>
      <w:r>
        <w:t xml:space="preserve"> </w:t>
      </w:r>
      <w:r>
        <w:t>−3</w:t>
      </w:r>
      <w:r>
        <w:t xml:space="preserve"> </w:t>
      </w:r>
      <w:r>
        <w:t>大江</w:t>
      </w:r>
      <w:r>
        <w:t xml:space="preserve"> </w:t>
      </w:r>
      <w:r>
        <w:t>−2</w:t>
      </w:r>
      <w:r>
        <w:t xml:space="preserve"> </w:t>
      </w:r>
      <w:r>
        <w:t>，与最先进的性能相比，性能提高了 26%。它的实际应用潜力通过用于电网监控和f的自供电无线传感器网络（WSN）得到验证。</w:t>
      </w:r>
    </w:p>
    <w:p>
      <w:pPr>
        <w:spacing w:before="0" w:after="200" w:lineRule="auto" w:line="276"/>
      </w:pPr>
      <w:r>
        <w:rPr>
          <w:b/>
        </w:rPr>
        <w:t xml:space="preserve">Abstract (EN): </w:t>
      </w:r>
      <w:r>
        <w:t>Cantilever‐structured magneto‐mechano‐electric energy harvesters (MME‐EHs) are considered as one of promising candidates for powering Internet of Things (IoT) devices by capturing ambient magnetic fields. However, conventional MME‐EHs with volumes comparable to button cell batteries (≤1 cm</w:t>
      </w:r>
      <w:r>
        <w:rPr>
          <w:vertAlign w:val="subscript"/>
        </w:rPr>
        <w:t>3</w:t>
      </w:r>
      <w:r>
        <w:t>) face a critical challenge in overcoming the output power density bottleneck to meet advancing IoT demands under weak excitations. In this work, we overcome this limitation by proposing a wide‐stable energy harvesting strategy. Unlike conventional bistable systems that struggle to sustain high‐energy interwell oscillations under weak excitations, or monostable systems restricted by steep potential wells, our design leverages nonlinear dynamics to engineer a broadened and flattened potential well that facilitates large‐amplitude intrawell motion even under weak fields. This strategy significantly enhances magneto‐mechanical coupling efficiency, enabling a compact MME‐EH (effective volume 0.968 cm</w:t>
      </w:r>
      <w:r>
        <w:rPr>
          <w:vertAlign w:val="subscript"/>
        </w:rPr>
        <w:t>3</w:t>
      </w:r>
      <w:r>
        <w:t>) to generate 0.89 mW output power under a weak magnetic field of 1 Oe at 50 Hz, representing an 89% enhancement over the original MME‐EH. The output power density reaches 0.92 mW cm</w:t>
      </w:r>
      <w:r>
        <w:t xml:space="preserve"> </w:t>
      </w:r>
      <w:r>
        <w:t>−3</w:t>
      </w:r>
      <w:r>
        <w:t xml:space="preserve"> </w:t>
      </w:r>
      <w:r>
        <w:t>Oe</w:t>
      </w:r>
      <w:r>
        <w:t xml:space="preserve"> </w:t>
      </w:r>
      <w:r>
        <w:t>−2</w:t>
      </w:r>
      <w:r>
        <w:t xml:space="preserve"> </w:t>
      </w:r>
      <w:r>
        <w:t>, revealing a 26% improvement compared to state‐of‐the‐art performance. Its potential for practical application is validated via a self‐powered wireless sensor network (WSN) for grid monitoring and fire alarms, paving the way for maintenance‐free, wide‐area distributed WSNs.</w:t>
      </w:r>
    </w:p>
    <w:p>
      <w:pPr>
        <w:spacing w:before="120" w:after="120"/>
      </w:pPr>
      <w:r>
        <w:rPr>
          <w:sz w:val="18"/>
        </w:rPr>
        <w:t>——————————————————————————————————————————————————————————————————————</w:t>
      </w:r>
    </w:p>
    <w:p>
      <w:pPr>
        <w:spacing w:before="160" w:after="40" w:line="240" w:lineRule="auto"/>
      </w:pPr>
      <w:r>
        <w:rPr>
          <w:b/>
        </w:rPr>
        <w:t xml:space="preserve">[18] </w:t>
      </w:r>
      <w:hyperlink r:id="rId319">
        <w:r>
          <w:rPr>
            <w:color w:val="1155CC"/>
            <w:u w:val="single"/>
          </w:rPr>
          <w:t>由摩擦纳米发电机驱动的自持式无引线心内起搏器</w:t>
        </w:r>
      </w:hyperlink>
    </w:p>
    <w:p>
      <w:pPr>
        <w:spacing w:before="0" w:after="80"/>
      </w:pPr>
      <w:r>
        <w:rPr>
          <w:i/>
          <w:sz w:val="20"/>
        </w:rPr>
        <w:t>EN: Self-sustaining leadless intracardiac pacemaker powered by triboelectric nanogenerator</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320">
        <w:r>
          <w:rPr>
            <w:color w:val="1155CC"/>
            <w:u w:val="single"/>
          </w:rPr>
          <w:t>10.1126/sciadv.aef8903</w:t>
        </w:r>
      </w:hyperlink>
    </w:p>
    <w:p>
      <w:pPr>
        <w:spacing w:before="0" w:after="120"/>
      </w:pPr>
      <w:r>
        <w:rPr>
          <w:b/>
        </w:rPr>
        <w:t xml:space="preserve">Notes: </w:t>
      </w:r>
      <w:r>
        <w:t>abstract_source=crossref</w:t>
      </w:r>
    </w:p>
    <w:p>
      <w:pPr>
        <w:spacing w:before="0" w:after="80" w:lineRule="auto" w:line="276"/>
      </w:pPr>
      <w:r>
        <w:rPr>
          <w:b/>
        </w:rPr>
        <w:t xml:space="preserve">摘要（ZH）: </w:t>
      </w:r>
      <w:r>
        <w:t>无引线心内起搏器 (LIP) 是一项技术突破，可为患者带来巨大益处，包括微创分娩、提高生活质量和减轻经济负担。然而，由于其尺寸和容量的限制，电池组件成为进一步推进 LIP 技术走向终身免维护植入的主要障碍，而无需检索或更换设备。在这里，我们提出了一种集成的、由纳米发电机驱动的 LIP，具有临床兼容的架构。 LIP 仅由双振荡摩擦纳米发电机 (TENG) 提供动力，能够产生 276.6 μW cc 的体积功率密度</w:t>
      </w:r>
      <w:r>
        <w:t xml:space="preserve"> </w:t>
      </w:r>
      <w:r>
        <w:t>−1</w:t>
      </w:r>
      <w:r>
        <w:t xml:space="preserve"> </w:t>
      </w:r>
      <w:r>
        <w:t>由心跳驱动。微型化 TENG 还可以安装在商用美敦力 Micra LIP 的电池舱内，从而允许通过商用导管进行标准股静脉输送。当植入猪模型的心脏时，该设备在体内提供稳定的、速率响应的电能，通过收集的能量可靠地支持心脏起搏功能，将心率控制在生理水平。长期心内植入进一步证实了完全集成装置的牢固固定、不受影响的心脏功能和最小的组织反应。这一进展为实现自我维持的心内电子系统提供了一条临床兼容的途径。</w:t>
      </w:r>
    </w:p>
    <w:p>
      <w:pPr>
        <w:spacing w:before="0" w:after="200" w:lineRule="auto" w:line="276"/>
      </w:pPr>
      <w:r>
        <w:rPr>
          <w:b/>
        </w:rPr>
        <w:t xml:space="preserve">Abstract (EN): </w:t>
      </w:r>
      <w:r>
        <w:t>Leadless intracardiac pacemakers (LIP) are a technological breakthrough that offer tremendous benefits to patients, including minimally invasive delivery, improved quality of life, and reduced financial burden. However, limited by its size and capacity, the battery component becomes a major roadblock to further advancing LIP technology toward lifelong, maintenance-free implants without the need for device retrieval or replacement. Here, we present an integrated, nanogenerator-powered LIP with a clinically compatible architecture. The LIP is solely powered by a double-oscillatory triboelectric nanogenerator (TENG) that is capable of generating a volumetric power density of 276.6 μW cc</w:t>
      </w:r>
      <w:r>
        <w:t xml:space="preserve"> </w:t>
      </w:r>
      <w:r>
        <w:t>−1</w:t>
      </w:r>
      <w:r>
        <w:t xml:space="preserve"> </w:t>
      </w:r>
      <w:r>
        <w:t>driven by heartbeats. The miniaturized TENG can also fit within the battery compartment of a commercial Medtronic Micra LIP, allowing standard femoral-venous delivery by commercial catheters. When implanted in the heart of a swine model, the device delivers stable, rate-responsive electrical energy in vivo, which reliably supports the cardiac pacing function for heart rates control at physiological levels through harvested energy. Long-term intracardiac implantation further confirmed secure fixation, unaffected cardiac function and minimal tissue reaction of the fully integrated device. This development suggests a clinically compatible path toward self-sustainable intracardiac electronic systems.</w:t>
      </w:r>
    </w:p>
    <w:p>
      <w:pPr>
        <w:spacing w:before="120" w:after="120"/>
      </w:pPr>
      <w:r>
        <w:rPr>
          <w:sz w:val="18"/>
        </w:rPr>
        <w:t>——————————————————————————————————————————————————————————————————————</w:t>
      </w:r>
    </w:p>
    <w:p>
      <w:pPr>
        <w:spacing w:before="160" w:after="40" w:line="240" w:lineRule="auto"/>
      </w:pPr>
      <w:r>
        <w:rPr>
          <w:b/>
        </w:rPr>
        <w:t xml:space="preserve">[19] </w:t>
      </w:r>
      <w:hyperlink r:id="rId321">
        <w:r>
          <w:rPr>
            <w:color w:val="1155CC"/>
            <w:u w:val="single"/>
          </w:rPr>
          <w:t>仿生、超低功耗、边缘人工智能驱动且自我维持的步态分析系统</w:t>
        </w:r>
      </w:hyperlink>
    </w:p>
    <w:p>
      <w:pPr>
        <w:spacing w:before="0" w:after="80"/>
      </w:pPr>
      <w:r>
        <w:rPr>
          <w:i/>
          <w:sz w:val="20"/>
        </w:rPr>
        <w:t>EN: A biomimetic, ultralow-power edge-AI-empowered and self-sustaining gait analysis system</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322">
        <w:r>
          <w:rPr>
            <w:color w:val="1155CC"/>
            <w:u w:val="single"/>
          </w:rPr>
          <w:t>10.1126/sciadv.aeh9625</w:t>
        </w:r>
      </w:hyperlink>
    </w:p>
    <w:p>
      <w:pPr>
        <w:spacing w:before="0" w:after="120"/>
      </w:pPr>
      <w:r>
        <w:rPr>
          <w:b/>
        </w:rPr>
        <w:t xml:space="preserve">Notes: </w:t>
      </w:r>
      <w:r>
        <w:t>abstract_source=crossref</w:t>
      </w:r>
    </w:p>
    <w:p>
      <w:pPr>
        <w:spacing w:before="0" w:after="80" w:lineRule="auto" w:line="276"/>
      </w:pPr>
      <w:r>
        <w:rPr>
          <w:b/>
        </w:rPr>
        <w:t xml:space="preserve">摘要（ZH）: </w:t>
      </w:r>
      <w:r>
        <w:t>智能数字健康重塑了患者监测，但它面临着设备智能与持续、节能监测之间的根本权衡。受自我维持的智能生物物种的启发，我们通过能量收集受限的整体协同设计，将超低功耗边缘人工智能赋能的传感器硬件与生物力学能量收集和冷启动电源管理相结合，开发了仿生、无电池和高精度边缘人工智能系统。我们的边缘人工智能运动传感器可以执行即时、上下文感知的设备内推理，并根据原始传感器数据及时更新结果，同时功耗仅为 86 μW。高输出能量采集器和定制的高效电源管理电路可维持超出系统要求的能量水平，消除与充电相关的停机时间，并实现真正的 24/7、无忧监控。这一突破建立了系统级、边缘人工智能赋能和自我维持传感的范例，证明智能和能源自主可以在单个可穿戴平台中共存，并指向下一代永远在线的个性化数字健康系统。</w:t>
      </w:r>
    </w:p>
    <w:p>
      <w:pPr>
        <w:spacing w:before="0" w:after="200" w:lineRule="auto" w:line="276"/>
      </w:pPr>
      <w:r>
        <w:rPr>
          <w:b/>
        </w:rPr>
        <w:t xml:space="preserve">Abstract (EN): </w:t>
      </w:r>
      <w:r>
        <w:t>Smart digital health has reshaped patient monitoring, but it faces a fundamental trade-off between device intelligence and continuous, energy-efficient monitoring. Inspired by self-sustaining intelligent biospecies, we develop a biomimetic, battery-free, and high-precision edge-AI system through a harvested-energy-constrained holistic co-design that couples ultralow-power edge-AI-empowered sensor hardware with biomechanical energy harvesting and cold-start power management. Our edge-AI-empowered motion sensor performs instantaneous, context-aware on-device inference and timely result updating from raw sensor data while consuming only 86 μW. A high-output energy harvester and tailored high-efficiency power management circuitry sustain energy levels exceeding system requirements, eliminating downtime associated with charging and enabling true 24/7, hassle-free monitoring. This breakthrough establishes a paradigm for system-level, edge-AI-empowered, and self-sustaining sensing, demonstrating that intelligence and energy autonomy can coexist within a single wearable platform and pointing to next-generation always-on, personalized digital health systems.</w:t>
      </w:r>
    </w:p>
    <w:p>
      <w:pPr>
        <w:spacing w:before="120" w:after="120"/>
      </w:pPr>
      <w:r>
        <w:rPr>
          <w:sz w:val="18"/>
        </w:rPr>
        <w:t>——————————————————————————————————————————————————————————————————————</w:t>
      </w:r>
    </w:p>
    <w:p>
      <w:pPr>
        <w:spacing w:before="160" w:after="40" w:line="240" w:lineRule="auto"/>
      </w:pPr>
      <w:r>
        <w:rPr>
          <w:b/>
        </w:rPr>
        <w:t xml:space="preserve">[20] </w:t>
      </w:r>
      <w:hyperlink r:id="rId323">
        <w:r>
          <w:rPr>
            <w:color w:val="1155CC"/>
            <w:u w:val="single"/>
          </w:rPr>
          <w:t>半电极缺失和不对称排列设计与屏蔽电极集成，可提高滑动摩擦纳米发电机的性能</w:t>
        </w:r>
      </w:hyperlink>
    </w:p>
    <w:p>
      <w:pPr>
        <w:spacing w:before="0" w:after="80"/>
      </w:pPr>
      <w:r>
        <w:rPr>
          <w:i/>
          <w:sz w:val="20"/>
        </w:rPr>
        <w:t>EN: Half‐Electrode Absence and Asymmetric Arrangement Design Integrated With Shielding Electrodes for Boosting Sliding Triboelectric Nanogenerator Performance</w:t>
      </w:r>
    </w:p>
    <w:p>
      <w:pPr>
        <w:spacing w:before="0" w:after="120"/>
      </w:pPr>
      <w:r>
        <w:rPr>
          <w:b/>
        </w:rPr>
        <w:t xml:space="preserve">Source: </w:t>
      </w:r>
      <w:r>
        <w:t>Wiley: Advanced Energy Materials: Table of Contents</w:t>
      </w:r>
      <w:r>
        <w:t xml:space="preserve">    </w:t>
      </w:r>
      <w:r>
        <w:rPr>
          <w:b/>
        </w:rPr>
        <w:t xml:space="preserve">Pub date: </w:t>
      </w:r>
      <w:r>
        <w:t>2026-08-19 07:40:32+00:00</w:t>
      </w:r>
      <w:r>
        <w:t xml:space="preserve">    </w:t>
      </w:r>
      <w:r>
        <w:rPr>
          <w:b/>
        </w:rPr>
        <w:t xml:space="preserve">DOI: </w:t>
      </w:r>
      <w:hyperlink r:id="rId324">
        <w:r>
          <w:rPr>
            <w:color w:val="1155CC"/>
            <w:u w:val="single"/>
          </w:rPr>
          <w:t>10.1002/aenm.71476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强滑模摩擦纳米发电机（TENG）的电荷传输性能是在构建自供电系统中实现高效能量收集的关键方法。然而，实际应用中的电荷传输效率仍然存在挑战，输出电流调节和控制仍然存在不足。在此，提出了半电极缺失和不对称排列设计与屏蔽电极（HAS）策略相结合，以解决滑动TENG的低电荷传输效率和输出电流损耗问题。通过这种独特的电极结构设计和不同材料之间的相互作用，HAS-TENG能够在介电层的整个表面上实现均匀的电荷积累，并防止输出电流失真。此外，还分析了HAS-TENG相应的等效电路模型和动态电荷转移机制。 HAS-TENG 输出的均方根电流为 3.86 µA，在同等尺寸下分别约为滑动 TENG 和电荷空间累积 TENG 的 3.3 倍和 2.2 倍。此外，基于电荷积累效应，旋转HAS-TENG不仅在10万次工作循环后保持稳定的电流，而且实现了53.94 mW的平均功率输出。这项工作提供了优化滑模 TENG 电荷积累和传输性能的设计策略，促进其走向实际应用。</w:t>
      </w:r>
    </w:p>
    <w:p>
      <w:pPr>
        <w:spacing w:before="0" w:after="200" w:lineRule="auto" w:line="276"/>
      </w:pPr>
      <w:r>
        <w:rPr>
          <w:b/>
        </w:rPr>
        <w:t xml:space="preserve">Abstract (EN): </w:t>
      </w:r>
      <w:r>
        <w:t>Enhance charge transmission performance of sliding mode triboelectric nanogenerators (TENG) is critical approach for achieving efficient energy harvesting in constructing self‐powered systems. However, the charge transmission efficiency in practical applications remains challenge, and the output current regulation and control are still deficiency. Herein, a half‐electrode absence and asymmetric arrangement design combined with shielding‐electrodes (HAS) strategy is proposed to address the low charge transmission efficiency and output current loss for sliding‐TENGs. Through this unique design of the electrode structure and the interaction between different materials, HAS‐TENG enables uniform charge accumulation across the entire surface of the dielectric layer and prevents output current distortion. Additionally, the corresponding equivalent circuit model and dynamic charge transfer mechanism of the HAS‐TENG are analyzed. The HAS‐TENG outputs a root‐mean‐square current of 3.86 µA, which is approximately 3.3 and 2.2 times that of the sliding‐TENG and the charge‐space accumulation TENG, respectively, under equivalent dimensions. Furthermore, based on the charge accumulation effect, the rotational HAS‐TENG not only maintains a stable current after 100 000 operating cycles but also achieves an average power output of 53.94 mW. This work offers design strategies for optimizing charge accumulation and transport performance in sliding‐mode TENG, facilitating its path toward practical application.</w:t>
      </w:r>
    </w:p>
    <w:p>
      <w:pPr>
        <w:spacing w:before="120" w:after="120"/>
      </w:pPr>
      <w:r>
        <w:rPr>
          <w:sz w:val="18"/>
        </w:rPr>
        <w:t>——————————————————————————————————————————————————————————————————————</w:t>
      </w:r>
    </w:p>
    <w:p>
      <w:pPr>
        <w:spacing w:before="160" w:after="40" w:line="240" w:lineRule="auto"/>
      </w:pPr>
      <w:r>
        <w:rPr>
          <w:b/>
        </w:rPr>
        <w:t xml:space="preserve">[21] </w:t>
      </w:r>
      <w:hyperlink r:id="rId325">
        <w:r>
          <w:rPr>
            <w:color w:val="1155CC"/>
            <w:u w:val="single"/>
          </w:rPr>
          <w:t>氧电催化中的劳动分工可视化：完全暴露的镍簇通过不对称原子桥实现双位点催化</w:t>
        </w:r>
      </w:hyperlink>
    </w:p>
    <w:p>
      <w:pPr>
        <w:spacing w:before="0" w:after="80"/>
      </w:pPr>
      <w:r>
        <w:rPr>
          <w:i/>
          <w:sz w:val="20"/>
        </w:rPr>
        <w:t>EN: Visualizing Labor Division in Oxygen Electrocatalysis: Fully Exposed Ni Clusters Enabling Dual‐Site Catalysis via Asymmetric Atomic Bridging</w:t>
      </w:r>
    </w:p>
    <w:p>
      <w:pPr>
        <w:spacing w:before="0" w:after="120"/>
      </w:pPr>
      <w:r>
        <w:rPr>
          <w:b/>
        </w:rPr>
        <w:t xml:space="preserve">Source: </w:t>
      </w:r>
      <w:r>
        <w:t>Wiley: Angewandte Chemie International Edition: Table of Contents</w:t>
      </w:r>
      <w:r>
        <w:t xml:space="preserve">    </w:t>
      </w:r>
      <w:r>
        <w:rPr>
          <w:b/>
        </w:rPr>
        <w:t xml:space="preserve">Pub date: </w:t>
      </w:r>
      <w:r>
        <w:t>2026-08-19 08:36:37+00:00</w:t>
      </w:r>
      <w:r>
        <w:t xml:space="preserve">    </w:t>
      </w:r>
      <w:r>
        <w:rPr>
          <w:b/>
        </w:rPr>
        <w:t xml:space="preserve">DOI: </w:t>
      </w:r>
      <w:hyperlink r:id="rId326">
        <w:r>
          <w:rPr>
            <w:color w:val="1155CC"/>
            <w:u w:val="single"/>
          </w:rPr>
          <w:t>10.1002/anie.8680687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完全暴露的金属簇催化剂结合了单原子催化剂的原子精度和纳米材料的多位点反应活性；然而，实现结构稳定性和位点特异性双功能仍然具有挑战性。在此，我们报道了一种Janus型双功能催化剂，包含锚定在Co上的完全暴露的原子层镍簇</w:t>
      </w:r>
      <w:r>
        <w:rPr>
          <w:vertAlign w:val="subscript"/>
        </w:rPr>
        <w:t>2</w:t>
      </w:r>
      <w:r>
        <w:t>P纳米晶（Ni</w:t>
      </w:r>
      <w:r>
        <w:t xml:space="preserve"> </w:t>
      </w:r>
      <w:r>
        <w:t>交流电</w:t>
      </w:r>
      <w:r>
        <w:t xml:space="preserve"> </w:t>
      </w:r>
      <w:r>
        <w:t>‐钴</w:t>
      </w:r>
      <w:r>
        <w:rPr>
          <w:vertAlign w:val="subscript"/>
        </w:rPr>
        <w:t>2</w:t>
      </w:r>
      <w:r>
        <w:t>P），表现出优异的氧还原/放出反应（ORR/OER）性能。利用电子金属-载体相互作用，界面电荷重新分布微调 d 带中心，优化中间吸附并促进双位点催化。理论计算表明，Ni-P-Co桥降低了ORR中*OOH的形成势垒（半波电位为0.90V），而Ni簇促进了OER中*O到*OOH的转化（过电位为260mV），通过空间解耦的双位点合作实现了高效的四电子动力学。 Operando X射线吸收光谱进一步证实了这一机制，揭示了Ni-P-Co桥上的Ni位点在ORR过程中经历了可逆的Ni-P配位调制和瞬时Ni-O键形成，而Ni-Ni簇转变为类NiOOH物质以驱动OER。重要的是，倪</w:t>
      </w:r>
      <w:r>
        <w:t xml:space="preserve"> </w:t>
      </w:r>
      <w:r>
        <w:t>交流电</w:t>
      </w:r>
      <w:r>
        <w:t xml:space="preserve"> </w:t>
      </w:r>
      <w:r>
        <w:t>‐钴</w:t>
      </w:r>
      <w:r>
        <w:rPr>
          <w:vertAlign w:val="subscript"/>
        </w:rPr>
        <w:t>2</w:t>
      </w:r>
      <w:r>
        <w:t>P组装锌空气电池的峰值功率密度为199.8 mW cm</w:t>
      </w:r>
    </w:p>
    <w:p>
      <w:pPr>
        <w:spacing w:before="0" w:after="200" w:lineRule="auto" w:line="276"/>
      </w:pPr>
      <w:r>
        <w:rPr>
          <w:b/>
        </w:rPr>
        <w:t xml:space="preserve">Abstract (EN): </w:t>
      </w:r>
      <w:r>
        <w:t>Fully exposed metal cluster catalysts combine the atomic precision of single‐atom catalysts with the multi‐site reactivity of nanomaterials; however, achieving both structural stability and site‐specific bifunctionality remains challenging. Herein, we report a Janus‐type bifunctional catalyst comprising fully exposed atomic‐layered nickel clusters anchored on Co</w:t>
      </w:r>
      <w:r>
        <w:rPr>
          <w:vertAlign w:val="subscript"/>
        </w:rPr>
        <w:t>2</w:t>
      </w:r>
      <w:r>
        <w:t>P nanocrystals (Ni</w:t>
      </w:r>
      <w:r>
        <w:t xml:space="preserve"> </w:t>
      </w:r>
      <w:r>
        <w:t>AC</w:t>
      </w:r>
      <w:r>
        <w:t xml:space="preserve"> </w:t>
      </w:r>
      <w:r>
        <w:t>‐Co</w:t>
      </w:r>
      <w:r>
        <w:rPr>
          <w:vertAlign w:val="subscript"/>
        </w:rPr>
        <w:t>2</w:t>
      </w:r>
      <w:r>
        <w:t>P), demonstrating excellent oxygen reduction/evolution reaction (ORR/OER) performance. Leveraging an electronic metal‐support interaction, interfacial charge redistribution fine‐tunes the d‐band centers, optimizes intermediate adsorption and promotes dual‐site catalysis. Theoretical calculations show the Ni‐P‐Co bridge lowers the *OOH formation barrier in ORR (half‐wave potential of 0.90 V), while Ni clusters facilitate *O to *OOH conversion in OER (overpotential of 260 mV), enabling efficient four‐electron kinetics via spatially decoupled dual‐site cooperation. Operando x‐ray absorption spectroscopy further confirms this mechanism, revealing Ni sites at the Ni‐P‐Co bridge undergo reversible Ni‐P coordination modulation and transient Ni‐O bond formation during ORR, whereas Ni‐Ni clusters transform into NiOOH‐like species to drive OER. Importantly, Ni</w:t>
      </w:r>
      <w:r>
        <w:t xml:space="preserve"> </w:t>
      </w:r>
      <w:r>
        <w:t>AC</w:t>
      </w:r>
      <w:r>
        <w:t xml:space="preserve"> </w:t>
      </w:r>
      <w:r>
        <w:t>‐Co</w:t>
      </w:r>
      <w:r>
        <w:rPr>
          <w:vertAlign w:val="subscript"/>
        </w:rPr>
        <w:t>2</w:t>
      </w:r>
      <w:r>
        <w:t>P‐assembled Zn‐air battery delivers a peak power density of 199.8 mW cm</w:t>
      </w:r>
      <w:r>
        <w:t xml:space="preserve"> </w:t>
      </w:r>
      <w:r>
        <w:t>−2</w:t>
      </w:r>
      <w:r>
        <w:t xml:space="preserve"> </w:t>
      </w:r>
      <w:r>
        <w:t>and stable cycling performance exceeding 1400 h (approximately 4200 cycles). This work introduces a dual‐site catalysis paradigm in transition metal phosphide‐supported, fully exposed cluster catalysts, providing a robust strategy for designing multifunctional catalysts for energy conversion.</w:t>
      </w:r>
    </w:p>
    <w:p>
      <w:pPr>
        <w:spacing w:before="120" w:after="120"/>
      </w:pPr>
      <w:r>
        <w:rPr>
          <w:sz w:val="18"/>
        </w:rPr>
        <w:t>——————————————————————————————————————————————————————————————————————</w:t>
      </w:r>
    </w:p>
    <w:p>
      <w:pPr>
        <w:spacing w:before="160" w:after="40" w:line="240" w:lineRule="auto"/>
      </w:pPr>
      <w:r>
        <w:rPr>
          <w:b/>
        </w:rPr>
        <w:t xml:space="preserve">[22] </w:t>
      </w:r>
      <w:hyperlink r:id="rId327">
        <w:r>
          <w:rPr>
            <w:color w:val="1155CC"/>
            <w:u w:val="single"/>
          </w:rPr>
          <w:t>重建 Zn2+ 存储路径可实现超稳定的高倍率锌空气液流电池</w:t>
        </w:r>
      </w:hyperlink>
    </w:p>
    <w:p>
      <w:pPr>
        <w:spacing w:before="0" w:after="80"/>
      </w:pPr>
      <w:r>
        <w:rPr>
          <w:i/>
          <w:sz w:val="20"/>
        </w:rPr>
        <w:t>EN: Reconstructing Zn2+ Storage Pathways Enables Ultrastable High‐Rate Zn‐Air Flow Batteries</w:t>
      </w:r>
    </w:p>
    <w:p>
      <w:pPr>
        <w:spacing w:before="0" w:after="120"/>
      </w:pPr>
      <w:r>
        <w:rPr>
          <w:b/>
        </w:rPr>
        <w:t xml:space="preserve">Source: </w:t>
      </w:r>
      <w:r>
        <w:t>Wiley: Advanced Materials: Table of Contents</w:t>
      </w:r>
      <w:r>
        <w:t xml:space="preserve">    </w:t>
      </w:r>
      <w:r>
        <w:rPr>
          <w:b/>
        </w:rPr>
        <w:t xml:space="preserve">Pub date: </w:t>
      </w:r>
      <w:r>
        <w:t>2026-08-19 09:15:54+00:00</w:t>
      </w:r>
      <w:r>
        <w:t xml:space="preserve">    </w:t>
      </w:r>
      <w:r>
        <w:rPr>
          <w:b/>
        </w:rPr>
        <w:t xml:space="preserve">DOI: </w:t>
      </w:r>
      <w:hyperlink r:id="rId328">
        <w:r>
          <w:rPr>
            <w:color w:val="1155CC"/>
            <w:u w:val="single"/>
          </w:rPr>
          <w:t>10.1002/adma.74713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尽管它们的理论能量密度很高（1086 Wh kg</w:t>
      </w:r>
      <w:r>
        <w:t xml:space="preserve"> </w:t>
      </w:r>
      <w:r>
        <w:t>−1</w:t>
      </w:r>
      <w:r>
        <w:t xml:space="preserve"> </w:t>
      </w:r>
      <w:r>
        <w:t>）和环境兼容性，水系锌-空气液流电池在高电流密度下受到关键的性能限制，包括加剧的浓差极化、不受控制的锌枝晶生长、析氢反应（HER）和腐蚀，这主要是由活性水分子和锌不足引起的</w:t>
      </w:r>
      <w:r>
        <w:t xml:space="preserve"> </w:t>
      </w:r>
      <w:r>
        <w:t>2+</w:t>
      </w:r>
      <w:r>
        <w:t xml:space="preserve"> </w:t>
      </w:r>
      <w:r>
        <w:t>常规电解质的调节。在这里，我们报告了一种贝叶斯优化引导的电解质设计，采用海藻酸（AA）作为双功能添加剂来调节界面和本体电解质化学。在碱性条件下，AA分子与Zn配位</w:t>
      </w:r>
      <w:r>
        <w:t xml:space="preserve"> </w:t>
      </w:r>
      <w:r>
        <w:t>2+</w:t>
      </w:r>
      <w:r>
        <w:t xml:space="preserve"> </w:t>
      </w:r>
      <w:r>
        <w:t>并进一步动态自组装，构建可逆的藻酸盐-Zn</w:t>
      </w:r>
      <w:r>
        <w:t xml:space="preserve"> </w:t>
      </w:r>
      <w:r>
        <w:t>2+</w:t>
      </w:r>
      <w:r>
        <w:t xml:space="preserve"> </w:t>
      </w:r>
      <w:r>
        <w:t>胶体储库而不是不可逆的氧化锌积累。同时，AA 优先吸附在 Zn 表面，调节局部离子通量和成核行为，促进均匀的 Zn 剥离/电镀，并减轻枝晶生长、腐蚀和析氢。该策略在 20 mA cm 下实现了 2400 小时的稳定循环</w:t>
      </w:r>
      <w:r>
        <w:t xml:space="preserve"> </w:t>
      </w:r>
      <w:r>
        <w:t>−2</w:t>
      </w:r>
      <w:r>
        <w:t xml:space="preserve"> </w:t>
      </w:r>
      <w:r>
        <w:t>，显着优于传统系统。更广泛地说，这项工作展示了数据驱动的电解质优化与生物衍生聚合物添加剂如何重塑锌</w:t>
      </w:r>
      <w:r>
        <w:t xml:space="preserve"> </w:t>
      </w:r>
      <w:r>
        <w:t>2+</w:t>
      </w:r>
      <w:r>
        <w:t xml:space="preserve"> </w:t>
      </w:r>
      <w:r>
        <w:t>储存化学与储存化学</w:t>
      </w:r>
    </w:p>
    <w:p>
      <w:pPr>
        <w:spacing w:before="0" w:after="200" w:lineRule="auto" w:line="276"/>
      </w:pPr>
      <w:r>
        <w:rPr>
          <w:b/>
        </w:rPr>
        <w:t xml:space="preserve">Abstract (EN): </w:t>
      </w:r>
      <w:r>
        <w:t>Despite their high theoretical energy density (1086 Wh kg</w:t>
      </w:r>
      <w:r>
        <w:t xml:space="preserve"> </w:t>
      </w:r>
      <w:r>
        <w:t>−1</w:t>
      </w:r>
      <w:r>
        <w:t xml:space="preserve"> </w:t>
      </w:r>
      <w:r>
        <w:t>) and environmental compatibility, aqueous Zn‐air flow batteries suffer from critical performance limitations at high current densities, including intensified concentration polarization, uncontrolled Zn dendrite growth, and hydrogen evolution reaction (HER) and corrosion, primarily driven by active water molecules and inadequate Zn</w:t>
      </w:r>
      <w:r>
        <w:t xml:space="preserve"> </w:t>
      </w:r>
      <w:r>
        <w:t>2+</w:t>
      </w:r>
      <w:r>
        <w:t xml:space="preserve"> </w:t>
      </w:r>
      <w:r>
        <w:t>regulation in conventional electrolytes. Here we report a Bayesian optimization‐guided electrolyte design employing alginic acid (AA) as a bifunctional additive to regulate both interfacial and bulk electrolyte chemistry. Under alkaline conditions, AA molecules coordinate with Zn</w:t>
      </w:r>
      <w:r>
        <w:t xml:space="preserve"> </w:t>
      </w:r>
      <w:r>
        <w:t>2+</w:t>
      </w:r>
      <w:r>
        <w:t xml:space="preserve"> </w:t>
      </w:r>
      <w:r>
        <w:t>and further dynamically self‐assemble, constructing reversible alginate‐Zn</w:t>
      </w:r>
      <w:r>
        <w:t xml:space="preserve"> </w:t>
      </w:r>
      <w:r>
        <w:t>2+</w:t>
      </w:r>
      <w:r>
        <w:t xml:space="preserve"> </w:t>
      </w:r>
      <w:r>
        <w:t>colloidal reservoirs instead of irreversible ZnO accumulation. Meanwhile, AA preferentially adsorbs on the Zn surface, modulating local ion flux and nucleation behavior to promote uniform Zn stripping/plating and mitigate dendrite growth, corrosion, and hydrogen evolution. This strategy achieves 2400 h of stable cycling at 20 mA cm</w:t>
      </w:r>
      <w:r>
        <w:t xml:space="preserve"> </w:t>
      </w:r>
      <w:r>
        <w:t>−2</w:t>
      </w:r>
      <w:r>
        <w:t xml:space="preserve"> </w:t>
      </w:r>
      <w:r>
        <w:t>, significantly outperforming conventional systems. More broadly, this work demonstrates how data‐driven electrolyte optimization combined with bio‐derived polymer additives can reshape Zn</w:t>
      </w:r>
      <w:r>
        <w:t xml:space="preserve"> </w:t>
      </w:r>
      <w:r>
        <w:t>2+</w:t>
      </w:r>
      <w:r>
        <w:t xml:space="preserve"> </w:t>
      </w:r>
      <w:r>
        <w:t>storage chemistry and mitigate the intrinsic current density‐stability trade‐off in Zn‐air batteries.</w:t>
      </w:r>
    </w:p>
    <w:p>
      <w:pPr>
        <w:spacing w:before="120" w:after="120"/>
      </w:pPr>
      <w:r>
        <w:rPr>
          <w:sz w:val="18"/>
        </w:rPr>
        <w:t>——————————————————————————————————————————————————————————————————————</w:t>
      </w:r>
    </w:p>
    <w:p>
      <w:pPr>
        <w:spacing w:before="160" w:after="40" w:line="240" w:lineRule="auto"/>
      </w:pPr>
      <w:r>
        <w:rPr>
          <w:b/>
        </w:rPr>
        <w:t xml:space="preserve">[23] </w:t>
      </w:r>
      <w:hyperlink r:id="rId329">
        <w:r>
          <w:rPr>
            <w:color w:val="1155CC"/>
            <w:u w:val="single"/>
          </w:rPr>
          <w:t>迈向体内能量收集器：单极域架构实现药物多晶型物的高压电响应</w:t>
        </w:r>
      </w:hyperlink>
    </w:p>
    <w:p>
      <w:pPr>
        <w:spacing w:before="0" w:after="80"/>
      </w:pPr>
      <w:r>
        <w:rPr>
          <w:i/>
          <w:sz w:val="20"/>
        </w:rPr>
        <w:t>EN: Toward In Vivo Energy Harvesters: High Piezoelectric Response in a Pharmaceutical Drug Polymorph Enabled by Monopolar Domain Architecture</w:t>
      </w:r>
    </w:p>
    <w:p>
      <w:pPr>
        <w:spacing w:before="0" w:after="120"/>
      </w:pPr>
      <w:r>
        <w:rPr>
          <w:b/>
        </w:rPr>
        <w:t xml:space="preserve">Source: </w:t>
      </w:r>
      <w:r>
        <w:t>Wiley: Advanced Energy Materials: Table of Contents</w:t>
      </w:r>
      <w:r>
        <w:t xml:space="preserve">    </w:t>
      </w:r>
      <w:r>
        <w:rPr>
          <w:b/>
        </w:rPr>
        <w:t xml:space="preserve">Pub date: </w:t>
      </w:r>
      <w:r>
        <w:t>2026-08-19 10:56:03+00:00</w:t>
      </w:r>
      <w:r>
        <w:t xml:space="preserve">    </w:t>
      </w:r>
      <w:r>
        <w:rPr>
          <w:b/>
        </w:rPr>
        <w:t xml:space="preserve">DOI: </w:t>
      </w:r>
      <w:hyperlink r:id="rId330">
        <w:r>
          <w:rPr>
            <w:color w:val="1155CC"/>
            <w:u w:val="single"/>
          </w:rPr>
          <w:t>10.1002/aenm.71458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有效地将机械能转换为电能的生物相容性压电材料对于植入式能量采集器和体内生物医学传感器的开发至关重要。在这里，我们报告了药物氢氯噻嗪（HCT）的多晶型物中异常高压的压电响应，该响应源自构象驱动的固态手性和不常见的单极域结构。与大多数极性分子晶体相比，微米到纳米级的取向无序抑制宏观偏振，HCT 形成以尾对尾极性配置排列的对映体孪晶域。这种固有的域组织消除了器件制造过程中对外部电极化的需要，为生物相容性应用提供了显着的技术优势。开尔文探针力显微镜 (KPFM) 表面电势映射和压电响应力显微镜 (PFM) 相差测量为该极性模型提供了令人信服的实验支持。 X 射线量子晶体学揭示了 10.2 µC cm 的增强自发极化</w:t>
      </w:r>
      <w:r>
        <w:t xml:space="preserve"> </w:t>
      </w:r>
      <w:r>
        <w:t>−2</w:t>
      </w:r>
      <w:r>
        <w:t xml:space="preserve"> </w:t>
      </w:r>
      <w:r>
        <w:t>，而小面解析 PFM 测量产生的有效压电系数为 ∼9.2 ± 0.13 pm V</w:t>
      </w:r>
      <w:r>
        <w:t xml:space="preserve"> </w:t>
      </w:r>
      <w:r>
        <w:t>−1</w:t>
      </w:r>
      <w:r>
        <w:t xml:space="preserve"> </w:t>
      </w:r>
      <w:r>
        <w:t>。借助单极域架构，所制造的器件在中等机械负载 (29–30 N) 下可产生 88 ± 5.2 V 的极高压电电压输出，使其成为最高电压输出之一</w:t>
      </w:r>
    </w:p>
    <w:p>
      <w:pPr>
        <w:spacing w:before="0" w:after="200" w:lineRule="auto" w:line="276"/>
      </w:pPr>
      <w:r>
        <w:rPr>
          <w:b/>
        </w:rPr>
        <w:t xml:space="preserve">Abstract (EN): </w:t>
      </w:r>
      <w:r>
        <w:t>Biocompatible piezoelectric materials capable of efficient mechanical‐to‐electrical energy conversion are critical for the development of implantable energy harvesters and in vivo biomedical sensors. Here, we report an unusually high piezoelectric response in a polymorph of the pharmaceutical drug hydrochlorothiazide (HCT), originating from conformationally driven solid‐state chirality and an uncommon monopolar domain architecture. In contrast to most polar molecular crystals, where micro‐ to nanoscale orientational disorder suppresses macroscopic polarization, HCT forms enantiomorphic twin domains arranged in a tail‐to‐tail polarity configuration. This intrinsic domain organization eliminates the need for external electric poling during device fabrication, providing a significant technological advantage for biocompatible applications. Kelvin probe force microscopy (KPFM) surface potential mapping and piezoresponse force microscopy (PFM) phase contrast measurements provide compelling experimental support for this polarity model. X‐ray quantum crystallography reveals an enhanced spontaneous polarization of 10.2 µC cm</w:t>
      </w:r>
      <w:r>
        <w:t xml:space="preserve"> </w:t>
      </w:r>
      <w:r>
        <w:t>−2</w:t>
      </w:r>
      <w:r>
        <w:t xml:space="preserve"> </w:t>
      </w:r>
      <w:r>
        <w:t>, while facet‐resolved PFM measurements yield an effective piezoelectric coefficient  of ∼9.2 ± 0.13 pm V</w:t>
      </w:r>
      <w:r>
        <w:t xml:space="preserve"> </w:t>
      </w:r>
      <w:r>
        <w:t>−1</w:t>
      </w:r>
      <w:r>
        <w:t xml:space="preserve"> </w:t>
      </w:r>
      <w:r>
        <w:t>. Enabled by the monopolar domain architecture, the fabricated devices generate a remarkably high piezoelectric voltage output of 88 ± 5.2 V under moderate mechanical loading (29–30 N), placing it among the highest voltage outputs reported to date for an organic material‐based energy harvesting device.</w:t>
      </w:r>
    </w:p>
    <w:p>
      <w:pPr>
        <w:spacing w:before="120" w:after="120"/>
      </w:pPr>
      <w:r>
        <w:rPr>
          <w:sz w:val="18"/>
        </w:rPr>
        <w:t>——————————————————————————————————————————————————————————————————————</w:t>
      </w:r>
    </w:p>
    <w:p>
      <w:pPr>
        <w:spacing w:before="160" w:after="40" w:line="240" w:lineRule="auto"/>
      </w:pPr>
      <w:r>
        <w:rPr>
          <w:b/>
        </w:rPr>
        <w:t xml:space="preserve">[24] </w:t>
      </w:r>
      <w:hyperlink r:id="rId331">
        <w:r>
          <w:rPr>
            <w:color w:val="1155CC"/>
            <w:u w:val="single"/>
          </w:rPr>
          <w:t>溶剂化重构通过氯化物活化实现双电子碘化学，用于高能锌碘液流电池</w:t>
        </w:r>
      </w:hyperlink>
    </w:p>
    <w:p>
      <w:pPr>
        <w:spacing w:before="0" w:after="80"/>
      </w:pPr>
      <w:r>
        <w:rPr>
          <w:i/>
          <w:sz w:val="20"/>
        </w:rPr>
        <w:t>EN: Solvation Reconfiguration Enables Two‐Electron Iodine Chemistry Through Chloride Activation for High‐Energy Zn–Iodine Flow Batteries</w:t>
      </w:r>
    </w:p>
    <w:p>
      <w:pPr>
        <w:spacing w:before="0" w:after="120"/>
      </w:pPr>
      <w:r>
        <w:rPr>
          <w:b/>
        </w:rPr>
        <w:t xml:space="preserve">Source: </w:t>
      </w:r>
      <w:r>
        <w:t>Wiley: Angewandte Chemie International Edition: Table of Contents</w:t>
      </w:r>
      <w:r>
        <w:t xml:space="preserve">    </w:t>
      </w:r>
      <w:r>
        <w:rPr>
          <w:b/>
        </w:rPr>
        <w:t xml:space="preserve">Pub date: </w:t>
      </w:r>
      <w:r>
        <w:t>2026-08-19 14:17:04+00:00</w:t>
      </w:r>
      <w:r>
        <w:t xml:space="preserve">    </w:t>
      </w:r>
      <w:r>
        <w:rPr>
          <w:b/>
        </w:rPr>
        <w:t xml:space="preserve">DOI: </w:t>
      </w:r>
      <w:hyperlink r:id="rId332">
        <w:r>
          <w:rPr>
            <w:color w:val="1155CC"/>
            <w:u w:val="single"/>
          </w:rPr>
          <w:t>10.1002/anie.4798889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激活我</w:t>
      </w:r>
      <w:r>
        <w:rPr>
          <w:vertAlign w:val="subscript"/>
        </w:rPr>
        <w:t>0</w:t>
      </w:r>
      <w:r>
        <w:t>/我</w:t>
      </w:r>
      <w:r>
        <w:t xml:space="preserve"> </w:t>
      </w:r>
      <w:r>
        <w:t>+</w:t>
      </w:r>
      <w:r>
        <w:t xml:space="preserve"> </w:t>
      </w:r>
      <w:r>
        <w:t>水性锌碘氧化还原液流电池（ZIRFB）中的氧化还原对为实现高电压和高能量密度的可扩展储能提供了一条有前途的途径。然而，I 的水解不稳定性</w:t>
      </w:r>
      <w:r>
        <w:t xml:space="preserve"> </w:t>
      </w:r>
      <w:r>
        <w:t>+</w:t>
      </w:r>
      <w:r>
        <w:t xml:space="preserve"> </w:t>
      </w:r>
      <w:r>
        <w:t>水中的物种严重限制了其实际实施。虽然氯化物可以稳定我</w:t>
      </w:r>
      <w:r>
        <w:t xml:space="preserve"> </w:t>
      </w:r>
      <w:r>
        <w:t>+</w:t>
      </w:r>
      <w:r>
        <w:t xml:space="preserve"> </w:t>
      </w:r>
      <w:r>
        <w:t>通过 ICl 进行物种</w:t>
      </w:r>
      <w:r>
        <w:rPr>
          <w:vertAlign w:val="subscript"/>
        </w:rPr>
        <w:t>2</w:t>
      </w:r>
      <w:r>
        <w:t>-</w:t>
      </w:r>
      <w:r>
        <w:t>由于 Cl 的形成，大量副反应在电解质水溶液中持续存在</w:t>
      </w:r>
      <w:r>
        <w:t xml:space="preserve"> </w:t>
      </w:r>
      <w:r>
        <w:t>-</w:t>
      </w:r>
      <w:r>
        <w:t>即使在高氯化物浓度下，活性仍然很低。在这里，我们报告了一种溶剂化重构策略，可调节氯微环境以增强 Cl</w:t>
      </w:r>
      <w:r>
        <w:t xml:space="preserve"> </w:t>
      </w:r>
      <w:r>
        <w:t>-</w:t>
      </w:r>
      <w:r>
        <w:t>活性，从而稳定我</w:t>
      </w:r>
      <w:r>
        <w:t xml:space="preserve"> </w:t>
      </w:r>
      <w:r>
        <w:t>+</w:t>
      </w:r>
      <w:r>
        <w:t xml:space="preserve"> </w:t>
      </w:r>
      <w:r>
        <w:t>种。在高供体数和低氢键酸性的溶剂描述符的指导下，N,N-二甲基甲酰胺（DMF）被确定为最佳共溶剂。 DMF 削弱 Zn</w:t>
      </w:r>
      <w:r>
        <w:t xml:space="preserve"> </w:t>
      </w:r>
      <w:r>
        <w:t>2+</w:t>
      </w:r>
      <w:r>
        <w:t xml:space="preserve"> </w:t>
      </w:r>
      <w:r>
        <w:t>–氯</w:t>
      </w:r>
      <w:r>
        <w:t xml:space="preserve"> </w:t>
      </w:r>
      <w:r>
        <w:t>-</w:t>
      </w:r>
      <w:r>
        <w:t>缔合并破坏氯离子水合作用，即使在低体积 Cl 的情况下也能显着增加氯离子活性</w:t>
      </w:r>
      <w:r>
        <w:t xml:space="preserve"> </w:t>
      </w:r>
      <w:r>
        <w:t>-</w:t>
      </w:r>
      <w:r>
        <w:t>浓度。因此，ZIRFB 可实现超过 1000 个循环（∼1600 h）的稳定循环，容量衰减可忽略不计，库仑效率创历史新高</w:t>
      </w:r>
    </w:p>
    <w:p>
      <w:pPr>
        <w:spacing w:before="0" w:after="200" w:lineRule="auto" w:line="276"/>
      </w:pPr>
      <w:r>
        <w:rPr>
          <w:b/>
        </w:rPr>
        <w:t xml:space="preserve">Abstract (EN): </w:t>
      </w:r>
      <w:r>
        <w:t>Activating the I</w:t>
      </w:r>
      <w:r>
        <w:rPr>
          <w:vertAlign w:val="subscript"/>
        </w:rPr>
        <w:t>0</w:t>
      </w:r>
      <w:r>
        <w:t>/I</w:t>
      </w:r>
      <w:r>
        <w:t xml:space="preserve"> </w:t>
      </w:r>
      <w:r>
        <w:t>+</w:t>
      </w:r>
      <w:r>
        <w:t xml:space="preserve"> </w:t>
      </w:r>
      <w:r>
        <w:t>redox couple in aqueous Zn–iodine redox flow batteries (ZIRFBs) offers a promising route toward scalable energy storage with high voltage and high energy density. However, the hydrolytic instability of I</w:t>
      </w:r>
      <w:r>
        <w:t xml:space="preserve"> </w:t>
      </w:r>
      <w:r>
        <w:t>+</w:t>
      </w:r>
      <w:r>
        <w:t xml:space="preserve"> </w:t>
      </w:r>
      <w:r>
        <w:t>species in water severely limits its practical implementation. Although chloride can stabilize I</w:t>
      </w:r>
      <w:r>
        <w:t xml:space="preserve"> </w:t>
      </w:r>
      <w:r>
        <w:t>+</w:t>
      </w:r>
      <w:r>
        <w:t xml:space="preserve"> </w:t>
      </w:r>
      <w:r>
        <w:t>species through ICl</w:t>
      </w:r>
      <w:r>
        <w:rPr>
          <w:vertAlign w:val="subscript"/>
        </w:rPr>
        <w:t>2</w:t>
      </w:r>
      <w:r>
        <w:t>−</w:t>
      </w:r>
      <w:r>
        <w:t>formation, substantial side reactions persist in aqueous electrolytes because Cl</w:t>
      </w:r>
      <w:r>
        <w:t xml:space="preserve"> </w:t>
      </w:r>
      <w:r>
        <w:t>−</w:t>
      </w:r>
      <w:r>
        <w:t>activity remains low even at high chloride concentrations. Here, we report a solvation‐reconfiguration strategy that regulates the chloride microenvironment to enhance Cl</w:t>
      </w:r>
      <w:r>
        <w:t xml:space="preserve"> </w:t>
      </w:r>
      <w:r>
        <w:t>−</w:t>
      </w:r>
      <w:r>
        <w:t>activity and thereby stabilize I</w:t>
      </w:r>
      <w:r>
        <w:t xml:space="preserve"> </w:t>
      </w:r>
      <w:r>
        <w:t>+</w:t>
      </w:r>
      <w:r>
        <w:t xml:space="preserve"> </w:t>
      </w:r>
      <w:r>
        <w:t>species. Guided by solvent descriptors of high donor number and low hydrogen‐bond acidity, N,N‐dimethylformamide (DMF) was identified as the optimal cosolvent. DMF weakens Zn</w:t>
      </w:r>
      <w:r>
        <w:t xml:space="preserve"> </w:t>
      </w:r>
      <w:r>
        <w:t>2+</w:t>
      </w:r>
      <w:r>
        <w:t xml:space="preserve"> </w:t>
      </w:r>
      <w:r>
        <w:t>–Cl</w:t>
      </w:r>
      <w:r>
        <w:t xml:space="preserve"> </w:t>
      </w:r>
      <w:r>
        <w:t>−</w:t>
      </w:r>
      <w:r>
        <w:t>association and disrupts chloride hydration, markedly increasing chloride activity even at low bulk Cl</w:t>
      </w:r>
      <w:r>
        <w:t xml:space="preserve"> </w:t>
      </w:r>
      <w:r>
        <w:t>−</w:t>
      </w:r>
      <w:r>
        <w:t>concentration. As a result, the ZIRFB delivers stable cycling over 1000 cycles (∼1600 h) with negligible capacity decay, a record‐high Coulombic efficiency of 99.9%, and a high discharge energy density of 72.88 Wh L</w:t>
      </w:r>
      <w:r>
        <w:t xml:space="preserve"> </w:t>
      </w:r>
      <w:r>
        <w:t>−1</w:t>
      </w:r>
      <w:r>
        <w:t xml:space="preserve"> </w:t>
      </w:r>
      <w:r>
        <w:t>based on the catholyte volume. This work establishes chloride‐activity regulation as an effective strategy for stabilizing reactive multielectron redox couples, opening new opportunities for safe, durable, and high‐energy aqueous flow batteries.</w:t>
      </w:r>
    </w:p>
    <w:p>
      <w:pPr>
        <w:spacing w:before="120" w:after="120"/>
      </w:pPr>
      <w:r>
        <w:rPr>
          <w:sz w:val="18"/>
        </w:rPr>
        <w:t>——————————————————————————————————————————————————————————————————————</w:t>
      </w:r>
    </w:p>
    <w:p>
      <w:pPr>
        <w:spacing w:before="160" w:after="40" w:line="240" w:lineRule="auto"/>
      </w:pPr>
      <w:r>
        <w:rPr>
          <w:b/>
        </w:rPr>
        <w:t xml:space="preserve">[25] </w:t>
      </w:r>
      <w:hyperlink r:id="rId333">
        <w:r>
          <w:rPr>
            <w:color w:val="1155CC"/>
            <w:u w:val="single"/>
          </w:rPr>
          <w:t>具有全对称摩擦层的 PTFE 基摩擦纳米发电机，可通过自激电荷注入实现高腐蚀环境</w:t>
        </w:r>
      </w:hyperlink>
    </w:p>
    <w:p>
      <w:pPr>
        <w:spacing w:before="0" w:after="80"/>
      </w:pPr>
      <w:r>
        <w:rPr>
          <w:i/>
          <w:sz w:val="20"/>
        </w:rPr>
        <w:t>EN: PTFE-Based Triboelectric Nanogenerator with All-Symmetric Tribolayers Enabled by Self-Excited Charge Injection for Highly Corrosive Environments</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334">
        <w:r>
          <w:rPr>
            <w:color w:val="1155CC"/>
            <w:u w:val="single"/>
          </w:rPr>
          <w:t>10.1021/acsami.6c09763</w:t>
        </w:r>
      </w:hyperlink>
    </w:p>
    <w:p>
      <w:pPr>
        <w:spacing w:before="0" w:after="120"/>
      </w:pPr>
      <w:r>
        <w:rPr>
          <w:b/>
        </w:rPr>
        <w:t xml:space="preserve">Notes: </w:t>
      </w:r>
      <w:r>
        <w:t>abstract_source=crossref</w:t>
      </w:r>
    </w:p>
    <w:p>
      <w:pPr>
        <w:spacing w:before="0" w:after="80" w:lineRule="auto" w:line="276"/>
      </w:pPr>
      <w:r>
        <w:rPr>
          <w:b/>
        </w:rPr>
        <w:t xml:space="preserve">摘要（ZH）: </w:t>
      </w:r>
      <w:r>
        <w:t>摘要 传统的摩擦纳米发电机（TENG）通常依赖于具有明显摩擦电极性差异的不对称接触对，例如聚合物/金属组合，这限制了设备在腐蚀环境中的稳定性和寿命。在此，我们提出了一种基于相同聚四氟乙烯（PTFE）摩擦层的全对称摩擦纳米发电机（AS-TENG）。 AS-TENG由两个相同的Cu/PTFE电极-介电单元组成，因此暴露的接触界面是PTFE/PTFE。为了克服同材料界面几乎为零的摩擦电极性对比度所造成的固有输出瓶颈，我们引入了电压倍增器电路（VMC）辅助自激策略来促进电荷注入。在相同的 PTFE 薄膜厚度和接触分离条件下，AS-TENG 的峰值电流为 71 μA，比传统 PTFE/Al TENG 高约 61%。这种全对称策略被进一步证明适用于其他聚合物系统。通过用化学性质相同的 PTFE/PTFE 界面替换暴露的异质接触界面，该装置表现出改进的腐蚀环境耐受性，同时保持稳定的机械输出；基于 PTFE 的 AS-TENG 在强酸和强碱溶液中浸泡 40 小时后仍保留约 70% 的输出。基于 AS-TENG 原理的自供电地板每周期传输 15 μC。这项工作为通过 VMC 辅助自激增强相同摩擦层 TENG 提供了一条实用途径，并扩展了结构</w:t>
      </w:r>
    </w:p>
    <w:p>
      <w:pPr>
        <w:spacing w:before="0" w:after="200" w:lineRule="auto" w:line="276"/>
      </w:pPr>
      <w:r>
        <w:rPr>
          <w:b/>
        </w:rPr>
        <w:t xml:space="preserve">Abstract (EN): </w:t>
      </w:r>
      <w:r>
        <w:t>Conventional triboelectric nanogenerators (TENGs) generally rely on asymmetric contact pairs with pronounced triboelectric-polarity differences, such as polymer/metal combinations, which limits device stability and lifetime in corrosive environments. Herein, we propose an all-symmetric triboelectric nanogenerator (AS-TENG) based on identical polytetrafluoroethylene (PTFE) tribolayers. The AS-TENG consists of two identical Cu/PTFE electrode-dielectric units, so the exposed contact interface is PTFE/PTFE. To overcome the intrinsic output bottleneck caused by the nearly zero triboelectric-polarity contrast of identical-material interfaces, we introduce a voltage multiplier circuit (VMC)-assisted self-excitation strategy to promote charge injection. Under the same PTFE film thickness and contact separation conditions, the AS-TENG achieves a peak current of 71 μA, which is approximately 61% higher than that of a conventional PTFE/Al TENG. This all-symmetric strategy is further shown to be applicable to other polymer systems. By replacing the exposed heterogeneous contact interface with a chemically identical PTFE/PTFE interface, the device exhibits improved corrosive environment tolerance while maintaining a stable mechanical output; the PTFE-based AS-TENG retains approximately 70% of its output after a 40 h immersion in strong acidic and alkaline solutions. A self-powered floor based on the AS-TENG principle transfers 15 μC per cycle. This work provides a practical route for enhancing identical tribolayer TENGs through VMC-assisted self-excitation and expands the structural design space of TENGs for energy harvesting under corrosive operating conditions.</w:t>
      </w:r>
    </w:p>
    <w:p>
      <w:pPr>
        <w:spacing w:before="120" w:after="120"/>
      </w:pPr>
      <w:r>
        <w:rPr>
          <w:sz w:val="18"/>
        </w:rPr>
        <w:t>——————————————————————————————————————————————————————————————————————</w:t>
      </w:r>
    </w:p>
    <w:p>
      <w:pPr>
        <w:spacing w:before="160" w:after="40" w:line="240" w:lineRule="auto"/>
      </w:pPr>
      <w:r>
        <w:rPr>
          <w:b/>
        </w:rPr>
        <w:t xml:space="preserve">[26] </w:t>
      </w:r>
      <w:hyperlink r:id="rId335">
        <w:r>
          <w:rPr>
            <w:color w:val="1155CC"/>
            <w:u w:val="single"/>
          </w:rPr>
          <w:t>用于智能机械抓取和可穿戴手势识别的柔性水凝胶双模态传感器系统</w:t>
        </w:r>
      </w:hyperlink>
    </w:p>
    <w:p>
      <w:pPr>
        <w:spacing w:before="0" w:after="80"/>
      </w:pPr>
      <w:r>
        <w:rPr>
          <w:i/>
          <w:sz w:val="20"/>
        </w:rPr>
        <w:t>EN: A Flexible Hydrogel-Based Dual-Modal Sensor System for Intelligent Mechanical Gripping and Wearable Gesture Recognition</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336">
        <w:r>
          <w:rPr>
            <w:color w:val="1155CC"/>
            <w:u w:val="single"/>
          </w:rPr>
          <w:t>10.1021/acsami.6c11003</w:t>
        </w:r>
      </w:hyperlink>
    </w:p>
    <w:p>
      <w:pPr>
        <w:spacing w:before="0" w:after="120"/>
      </w:pPr>
      <w:r>
        <w:rPr>
          <w:b/>
        </w:rPr>
        <w:t xml:space="preserve">Notes: </w:t>
      </w:r>
      <w:r>
        <w:t>abstract_source=crossref</w:t>
      </w:r>
    </w:p>
    <w:p>
      <w:pPr>
        <w:spacing w:before="0" w:after="80" w:lineRule="auto" w:line="276"/>
      </w:pPr>
      <w:r>
        <w:rPr>
          <w:b/>
        </w:rPr>
        <w:t xml:space="preserve">摘要（ZH）: </w:t>
      </w:r>
      <w:r>
        <w:t>摘要 摩擦纳米发电机（TENG）能够实现高效的机械能到电能的转换，为柔性电子和微型设备提供绿色自供电解决方案。然而，许多基于TENG的柔性传感器仅支持单信号采集，无法满足多模态传感要求。在这项工作中，开发了一种具有双传感机制的柔性传感器，采用PVA/CS水凝胶作为摩擦电层，PVA/CS/GL水凝胶作为电极层。采用掺TiO2的硅橡胶作为反摩擦起电层，有效提高了器件的输出性能。系统研究了TiO2的最佳掺入质量比和粒径，输出电压达到248 V。进一步引入电荷捕获层使输出信号增强了57%。在上述性能优化的基础上，制造了封装结构的TENG器件并将其集成到机械夹具中，通过结合摩擦电信号和水凝胶电极层的电阻变化来识别物体的表面材料和质量。此外，该设备还可用作手势监控的运动传感器。根据采集到的运动信号，基于机器学习的分类，识别准确率高达97.5%。这项研究为灵活传感、人机交互和智能可穿戴应用提供了一种有前途的策略。</w:t>
      </w:r>
    </w:p>
    <w:p>
      <w:pPr>
        <w:spacing w:before="0" w:after="200" w:lineRule="auto" w:line="276"/>
      </w:pPr>
      <w:r>
        <w:rPr>
          <w:b/>
        </w:rPr>
        <w:t xml:space="preserve">Abstract (EN): </w:t>
      </w:r>
      <w:r>
        <w:t>The triboelectric nanogenerator (TENG) enables efficient mechanical-to-electrical energy conversion, offering green self-powered solutions for flexible electronics and microdevices. However, many TENG-based flexible sensors only support single-signal acquisition, failing to satisfy multimodal sensing requirements. In this work, a flexible sensor with a dual-sensing mechanism is developed, employing PVA/CS hydrogel as the triboelectric layer and PVA/CS/GL hydrogel as the electrode layer. By using TiO2-incorporated silicone rubber as the counter triboelectric layer, the output performance of the device is effectively improved. The optimal incorporation mass ratio and particle size of TiO2 were systematically investigated, and the output voltage reached 248 V. Further introduction of a charge trapping layer enhanced the output signal by 57%. On the basis of the above performance optimization, an encapsulated structured TENG device was fabricated and integrated into a mechanical gripper, enabling the recognition of both the surface material and the mass of objects by combining triboelectric signals and resistance variation of the hydrogel electrode layer. Additionally, the device serves as a motion sensor for hand gesture monitoring. Based on the collected motion signals, machine learning-based classification achieves a recognition accuracy of up to 97.5%. This study provides a promising strategy for flexible sensing, human–machine interaction, and smart wearable applications.</w:t>
      </w:r>
    </w:p>
    <w:p>
      <w:pPr>
        <w:spacing w:before="120" w:after="120"/>
      </w:pPr>
      <w:r>
        <w:rPr>
          <w:sz w:val="18"/>
        </w:rPr>
        <w:t>——————————————————————————————————————————————————————————————————————</w:t>
      </w:r>
    </w:p>
    <w:p>
      <w:pPr>
        <w:spacing w:before="160" w:after="40" w:line="240" w:lineRule="auto"/>
      </w:pPr>
      <w:r>
        <w:rPr>
          <w:b/>
        </w:rPr>
        <w:t xml:space="preserve">[27] </w:t>
      </w:r>
      <w:hyperlink r:id="rId337">
        <w:r>
          <w:rPr>
            <w:color w:val="1155CC"/>
            <w:u w:val="single"/>
          </w:rPr>
          <w:t>使用纳米多孔石墨烯离子仿生触觉装置对神经感觉系统进行功能模仿</w:t>
        </w:r>
      </w:hyperlink>
    </w:p>
    <w:p>
      <w:pPr>
        <w:spacing w:before="0" w:after="80"/>
      </w:pPr>
      <w:r>
        <w:rPr>
          <w:i/>
          <w:sz w:val="20"/>
        </w:rPr>
        <w:t>EN: Functional Mimicry of Neural Sensory Systems Using Nanoporous Graphene-Based Ionic Biomimetic Tactile Devices</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338">
        <w:r>
          <w:rPr>
            <w:color w:val="1155CC"/>
            <w:u w:val="single"/>
          </w:rPr>
          <w:t>10.1021/acsami.6c05813</w:t>
        </w:r>
      </w:hyperlink>
    </w:p>
    <w:p>
      <w:pPr>
        <w:spacing w:before="0" w:after="120"/>
      </w:pPr>
      <w:r>
        <w:rPr>
          <w:b/>
        </w:rPr>
        <w:t xml:space="preserve">Notes: </w:t>
      </w:r>
      <w:r>
        <w:t>abstract_source=crossref</w:t>
      </w:r>
    </w:p>
    <w:p>
      <w:pPr>
        <w:spacing w:before="0" w:after="80" w:lineRule="auto" w:line="276"/>
      </w:pPr>
      <w:r>
        <w:rPr>
          <w:b/>
        </w:rPr>
        <w:t xml:space="preserve">摘要（ZH）: </w:t>
      </w:r>
      <w:r>
        <w:t>摘要 触觉感知对于人类与外部世界的交互至关重要，并且在机器人、可穿戴设备、假肢和医疗保健领域具有巨大的潜力。传统的仿生触觉设备依靠电子运动产生电信号，偏离了生物系统的离子传输机制，限制了它们与生物组织的兼容性。这项工作提出了一种基于离子传输机制的仿生触觉装置，利用动电能量转换（EKEC）技术通过离子选择性膜在压力下产生电信号。该器件是通过修饰悬浮在多孔聚碳酸酯径迹蚀刻聚合物上的纳米多孔石墨烯，然后封装在离子溶液中而制成的。实验结果验证了该装置的离子传输特性及其动电能量转换能力。理论模拟表明，电信号源于施加压力下的选择性离子传输。此外，该设备还展示了表征生物力学参数（例如脉冲、声音和运动）的能力，并在与水凝胶集成时表现出学习和遗忘功能。这项工作为神经感觉系统的仿生学提供了新颖的见解，并强调了在人工智能、人机交互和医疗保健方面的潜在应用。</w:t>
      </w:r>
    </w:p>
    <w:p>
      <w:pPr>
        <w:spacing w:before="0" w:after="200" w:lineRule="auto" w:line="276"/>
      </w:pPr>
      <w:r>
        <w:rPr>
          <w:b/>
        </w:rPr>
        <w:t xml:space="preserve">Abstract (EN): </w:t>
      </w:r>
      <w:r>
        <w:t>Tactile perception is essential for human interaction with the external world and holds significant potential in robotics, wearable devices, prosthetics, and healthcare. Conventional biomimetic tactile devices, which rely on electronic motion to generate electrical signals, deviate from the ionic transport mechanisms of biological systems, limiting their compatibility with biological tissues. This work proposed a biomimetic tactile device based on ionic transport mechanisms, leveraging electrokinetic energy conversion (EKEC) technology to generate electrical signals under pressure via an ion-selective membrane. The device was fabricated by modifying nanoporous graphene suspended on a porous polycarbonate track-etched polymer, followed by encapsulation in an ionic solution. Experimental results validated the device’s ionic transport properties and its capacity for electrokinetic energy conversion. Theoretical simulations revealed that the electrical signal stemmed from selective ion transport under applied pressure. Additionally, the device demonstrated the capability to characterize biomechanical parameters, such as pulse, sound, and motion, and exhibited learning and forgetting functionalities when integrated with a hydrogel. This work offers novel insights into the biomimicry of neural sensory systems and highlights potential applications in artificial intelligence, human-machine interaction, and healthcare.</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339">
        <w:r>
          <w:rPr>
            <w:color w:val="1155CC"/>
            <w:u w:val="single"/>
          </w:rPr>
          <w:t>总体积极，略有分歧：政治取向如何与季节性热能储存的早期看法联系起来</w:t>
        </w:r>
      </w:hyperlink>
    </w:p>
    <w:p>
      <w:pPr>
        <w:spacing w:before="0" w:after="80"/>
      </w:pPr>
      <w:r>
        <w:rPr>
          <w:i/>
          <w:sz w:val="20"/>
        </w:rPr>
        <w:t>EN: Broadly positive, slightly split: How political orientation links to early perceptions of seasonal thermal energy storage</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340">
        <w:r>
          <w:rPr>
            <w:color w:val="1155CC"/>
            <w:u w:val="single"/>
          </w:rPr>
          <w:t>10.1016/j.enpol.2026.115555</w:t>
        </w:r>
      </w:hyperlink>
    </w:p>
    <w:p>
      <w:pPr>
        <w:spacing w:before="0" w:after="120"/>
      </w:pPr>
      <w:r>
        <w:rPr>
          <w:b/>
        </w:rPr>
        <w:t xml:space="preserve">Notes: </w:t>
      </w:r>
      <w:r>
        <w:t>abstract_source=openalex</w:t>
      </w:r>
    </w:p>
    <w:p>
      <w:pPr>
        <w:spacing w:before="0" w:after="80" w:lineRule="auto" w:line="276"/>
      </w:pPr>
      <w:r>
        <w:rPr>
          <w:b/>
        </w:rPr>
        <w:t xml:space="preserve">摘要（ZH）: </w:t>
      </w:r>
      <w:r>
        <w:t>能源技术日益成为政治化的主题，最终影响其部署。现有的研究主要考察了围绕已建立的或广泛争论的能源技术的两极分化，例如与风能或核能相关的技术。基于这些文献和舆论研究，本研究调查了公众对新型储能技术的看法可能已经在多大程度上按照政治路线形成，甚至在其广泛部署或流行及其潜在的政治化之前。为此，它研究了瑞士公民个人的政治倾向和对季节性热能储存（STES）的看法之间的关系。本研究利用在瑞士收集的横断面调查数据（N = 1433），评估了 STES 的普遍重要性及其应对能源转型、气候变化、能源安全和能源独立相关挑战的潜力如何因左右意识形态和政党结盟而异。调查结果显示，虽然 STES 在意识形态领域和政党联盟方面总体上得到积极评价，但差异已经存在。一旦受访者在整个调查过程中稍微更多地参与 STES，这些差异在一般感知重要性方面更加细微，而在感知潜力方面则变得不那么显着。此外，结果表明，两极分化的可能性似乎主要是由意识形态和党派谱系中的右翼个人推动的。因此，本研究表明</w:t>
      </w:r>
    </w:p>
    <w:p>
      <w:pPr>
        <w:spacing w:before="0" w:after="200" w:lineRule="auto" w:line="276"/>
      </w:pPr>
      <w:r>
        <w:rPr>
          <w:b/>
        </w:rPr>
        <w:t xml:space="preserve">Abstract (EN): </w:t>
      </w:r>
      <w:r>
        <w:t>Energy technologies have increasingly become the subject of politicisation, which ultimately impacts their deployment. Existing research has primarily examined polarisation around established or widely debated energy technologies, such as in relation to wind or nuclear energy. Building on this literature and public opinion research, this study investigates to what extent public perceptions of a novel energy storage technology might already be shaped along political lines, even before its widespread deployment or popularity, and its potential politicisation. To do so, it examines the relationship between individuals’ political orientation and perceptions of seasonal thermal energy storage (STES) among Swiss citizens. Drawing on cross-sectional survey data collected in Switzerland (N = 1433), this study assesses how the perceived general importance of STES and its potential to address challenges related to the energy transition, climate change, energy security and energy independence varies by left-right ideology and party alignment. The findings reveal that, while STES is overall positively evaluated across the ideological spectrum and party alignment, differences already exist. These differences are more nuanced regarding general perceived importance and become less significant in terms of perceived potential, once respondents had slightly more engaged with STES throughout the survey. Moreover, the results suggest how the potential for polarisation seems mainly driven by individuals of the right-wing of the ideological and partisan spectrum. Therefore, this study demonstrates that political predispositions appear to inform perceptions of energy technology at an early stage of diffusion, implying that potential grounds for its polarisation are set prior to popularity and politicisation.</w:t>
      </w:r>
    </w:p>
    <w:p>
      <w:pPr>
        <w:spacing w:before="120" w:after="120"/>
      </w:pPr>
      <w:r>
        <w:rPr>
          <w:sz w:val="18"/>
        </w:rPr>
        <w:t>——————————————————————————————————————————————————————————————————————</w:t>
      </w:r>
    </w:p>
    <w:p>
      <w:pPr>
        <w:spacing w:before="160" w:after="40" w:line="240" w:lineRule="auto"/>
      </w:pPr>
      <w:r>
        <w:rPr>
          <w:b/>
        </w:rPr>
        <w:t xml:space="preserve">[2] </w:t>
      </w:r>
      <w:hyperlink r:id="rId341">
        <w:r>
          <w:rPr>
            <w:color w:val="1155CC"/>
            <w:u w:val="single"/>
          </w:rPr>
          <w:t>多功能热管理材料的集成策略：综述</w:t>
        </w:r>
      </w:hyperlink>
    </w:p>
    <w:p>
      <w:pPr>
        <w:spacing w:before="0" w:after="80"/>
      </w:pPr>
      <w:r>
        <w:rPr>
          <w:i/>
          <w:sz w:val="20"/>
        </w:rPr>
        <w:t>EN: Strategies for the Integration of Multifunctional Thermal Management Materials: A Review</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342">
        <w:r>
          <w:rPr>
            <w:color w:val="1155CC"/>
            <w:u w:val="single"/>
          </w:rPr>
          <w:t>10.1021/acsami.6c10266</w:t>
        </w:r>
      </w:hyperlink>
    </w:p>
    <w:p>
      <w:pPr>
        <w:spacing w:before="0" w:after="120"/>
      </w:pPr>
      <w:r>
        <w:rPr>
          <w:b/>
        </w:rPr>
        <w:t xml:space="preserve">Notes: </w:t>
      </w:r>
      <w:r>
        <w:t>abstract_source=crossref</w:t>
      </w:r>
    </w:p>
    <w:p>
      <w:pPr>
        <w:spacing w:before="0" w:after="80" w:lineRule="auto" w:line="276"/>
      </w:pPr>
      <w:r>
        <w:rPr>
          <w:b/>
        </w:rPr>
        <w:t xml:space="preserve">摘要（ZH）: </w:t>
      </w:r>
      <w:r>
        <w:t>摘要 高功率电子、柔性设备和先进能源系统的快速发展对热管理材料的需求不断增长，这些材料将散热与电气绝缘、电磁干扰屏蔽、阻燃、机械合规性和环境稳定性或其他特定应用功能等附加功能结合起来。多功能热管理材料 (MTMM) 的核心挑战不仅在于提高导热性，还在于将热管理与同一材料系统内的其他所需功能集成。从功能整合的角度来看，本综述将 MTMM 分为被动型和刺激响应型。无源 MTMM 依靠材料成分、填料设计和结构构造来形成热传导路径，同时支持其他功能。刺激响应 MTMM 通过电场或磁场、光或湿度引起的可逆变化来调节热传输和相关的功能性能。这种分类阐明了不同MTMM系统的设计逻辑、集成功能之间的关系以及适用性。还讨论了代表性应用，包括可穿戴电子产品和电池热管理，以将材料设计与实际要求联系起来。未来的研究方向包括可回收的 MTMM、长期热机械稳定性以及结构-功能关系的人工智能辅助分析。本综述为下一代的发展提供了系统的视角</w:t>
      </w:r>
    </w:p>
    <w:p>
      <w:pPr>
        <w:spacing w:before="0" w:after="200" w:lineRule="auto" w:line="276"/>
      </w:pPr>
      <w:r>
        <w:rPr>
          <w:b/>
        </w:rPr>
        <w:t xml:space="preserve">Abstract (EN): </w:t>
      </w:r>
      <w:r>
        <w:t>The rapid development of high-power electronics, flexible devices, and advanced energy systems has created a growing demand for thermal management materials that combine heat dissipation with additional functions such as electrical insulation, electromagnetic interference shielding, flame retardancy, mechanical compliance, and environmental stability or other application-specific functions. The central challenge in multifunctional thermal management materials (MTMMs) lies not simply in improving thermal conductivity but in integrating thermal management with other required functions within the same material system. From the perspective of functional integration, this review classifies MTMMs as passive or stimuli-responsive. Passive MTMMs rely on material composition, filler design, and structural construction to form heat-conduction pathways while supporting other functions. Stimuli-responsive MTMMs regulate heat transport and associated functional performance through reversible changes induced by electric or magnetic fields, light, or humidity. This classification clarifies the design logic, relationships among integrated functions, and applicability of different MTMM systems. Representative applications, including wearable electronics and battery thermal management, are also discussed to connect material design to practical requirements. Future research directions include recyclable MTMMs, long-term thermomechanical stability, and AI-assisted analysis of structure–function relationships. This review provides a systematic perspective for the development of next-generation thermal management materials.</w:t>
      </w:r>
    </w:p>
    <w:p>
      <w:pPr>
        <w:spacing w:before="120" w:after="120"/>
      </w:pPr>
      <w:r>
        <w:rPr>
          <w:sz w:val="18"/>
        </w:rPr>
        <w:t>——————————————————————————————————————————————————————————————————————</w:t>
      </w:r>
    </w:p>
    <w:p>
      <w:pPr>
        <w:spacing w:before="160" w:after="40" w:line="240" w:lineRule="auto"/>
      </w:pPr>
      <w:r>
        <w:rPr>
          <w:b/>
        </w:rPr>
        <w:t xml:space="preserve">[3] </w:t>
      </w:r>
      <w:hyperlink r:id="rId343">
        <w:r>
          <w:rPr>
            <w:color w:val="1155CC"/>
            <w:u w:val="single"/>
          </w:rPr>
          <w:t>具有物理一致神经常微分方程的异构恒温控制负载的分布式灵活调度</w:t>
        </w:r>
      </w:hyperlink>
    </w:p>
    <w:p>
      <w:pPr>
        <w:spacing w:before="0" w:after="80"/>
      </w:pPr>
      <w:r>
        <w:rPr>
          <w:i/>
          <w:sz w:val="20"/>
        </w:rPr>
        <w:t>EN: Distributed flexible dispatch of heterogeneous thermostatically controlled loads with physically consistent neural ODEs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344">
        <w:r>
          <w:rPr>
            <w:color w:val="1155CC"/>
            <w:u w:val="single"/>
          </w:rPr>
          <w:t>10.1016/j.apenergy.2026.128596</w:t>
        </w:r>
      </w:hyperlink>
    </w:p>
    <w:p>
      <w:pPr>
        <w:spacing w:before="0" w:after="120"/>
      </w:pPr>
      <w:r>
        <w:rPr>
          <w:b/>
        </w:rPr>
        <w:t xml:space="preserve">Notes: </w:t>
      </w:r>
      <w:r>
        <w:t>abstract_source=openalex</w:t>
      </w:r>
    </w:p>
    <w:p>
      <w:pPr>
        <w:spacing w:before="0" w:after="80" w:lineRule="auto" w:line="276"/>
      </w:pPr>
      <w:r>
        <w:rPr>
          <w:b/>
        </w:rPr>
        <w:t xml:space="preserve">摘要（ZH）: </w:t>
      </w:r>
      <w:r>
        <w:t>恒温控制负载（TCL）是建筑物中的主要能源，为电力系统提供灵活的负载调节。 TCL 的灵活调度需要对热动力学进行建模，以测量室内温度变化，并优化功耗，为电网提供灵活性，同时满足用户的舒适度偏好。然而，当在多个建筑物之间调度 TCL 时，异构的建筑结构和舒适度偏好可能会导致热动力学和温度调节区间的模型复杂性不同，这都会使传统方法不足以甚至无法解决问题。为了应对这一挑战，这项工作首先开发了一种新颖的物理一致神经常微分方程（PC-NODE）模型来表示热动力学，集成权重学习和物理信息损失函数以确保统一的模型结构和物理一致性。然后将开发的连续模型无缝转换为离散方程约束，以表示不同时间间隔的舒适度偏好。此外，提出了一种基于异步交替方向乘子法（ADMM）的分布式优化方法，通过根据时间间隔区分建筑物间局部变量更新的频率，来协调具有异构舒适度偏好的建筑物。 12栋大楼调度案例的仿真结果表明，PC-NODE训练的单区域模型显着提高了统计精度，而异步AD</w:t>
      </w:r>
    </w:p>
    <w:p>
      <w:pPr>
        <w:spacing w:before="0" w:after="200" w:lineRule="auto" w:line="276"/>
      </w:pPr>
      <w:r>
        <w:rPr>
          <w:b/>
        </w:rPr>
        <w:t xml:space="preserve">Abstract (EN): </w:t>
      </w:r>
      <w:r>
        <w:t>Thermostatically controlled loads (TCLs) are the major energy sources in buildings that provide flexible load adjustment in power systems. The flexible dispatch of TCLs requires modeling thermal dynamics to measure indoor temperature variations and optimizing power consumption to provide flexibility to power grids while satisfying occupant comfort preferences. However, when dispatching TCLs across multiple buildings, heterogeneous building structures and comfort preferences can lead to different model complexities in thermal dynamics and temperature regulation intervals, both of which can make traditional methods insufficient or even infeasible for problem-solving. To tackle this challenge, this work first develops a novel Physically Consistent Neural Ordinary Differential Equation (PC-NODE) model to represent thermal dynamics, integrating weight learning and physics-informed loss functions to ensure a unified model structure and physics consistency. The developed continuous model is then seamlessly transformed into discrete equation constraints to represent comfort preferences with different time intervals. Furthermore, an asynchronous Alternating Direction Method of Multipliers (ADMM)-based distributed optimization method is proposed to coordinate buildings with heterogeneous comfort preferences by differentiating the frequency of local variable updates across buildings based on the time interval. Simulation results for a 12-building dispatch case demonstrate that the single-zone model trained by PC-NODE significantly improves statistical accuracy, whereas asynchronous ADMM achieves near-optimal economic performance relative to ground-truth centralized optimization.</w:t>
      </w:r>
    </w:p>
    <w:p>
      <w:pPr>
        <w:spacing w:before="120" w:after="120"/>
      </w:pPr>
      <w:r>
        <w:rPr>
          <w:sz w:val="18"/>
        </w:rPr>
        <w:t>——————————————————————————————————————————————————————————————————————</w:t>
      </w:r>
    </w:p>
    <w:p>
      <w:pPr>
        <w:spacing w:before="160" w:after="40" w:line="240" w:lineRule="auto"/>
      </w:pPr>
      <w:r>
        <w:rPr>
          <w:b/>
        </w:rPr>
        <w:t xml:space="preserve">[4] </w:t>
      </w:r>
      <w:hyperlink r:id="rId345">
        <w:r>
          <w:rPr>
            <w:color w:val="1155CC"/>
            <w:u w:val="single"/>
          </w:rPr>
          <w:t>线性、混合整数线性、分段线性和非线性热潮流模型对区域供热管网设计的影响</w:t>
        </w:r>
      </w:hyperlink>
    </w:p>
    <w:p>
      <w:pPr>
        <w:spacing w:before="0" w:after="80"/>
      </w:pPr>
      <w:r>
        <w:rPr>
          <w:i/>
          <w:sz w:val="20"/>
        </w:rPr>
        <w:t>EN: Influence of linear, mixed-integer linear, piecewise-linear, and nonlinear thermal power flow models on district heating network design</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346">
        <w:r>
          <w:rPr>
            <w:color w:val="1155CC"/>
            <w:u w:val="single"/>
          </w:rPr>
          <w:t>10.1016/j.apenergy.2026.128578</w:t>
        </w:r>
      </w:hyperlink>
    </w:p>
    <w:p>
      <w:pPr>
        <w:spacing w:before="0" w:after="120"/>
      </w:pPr>
      <w:r>
        <w:rPr>
          <w:b/>
        </w:rPr>
        <w:t xml:space="preserve">Notes: </w:t>
      </w:r>
      <w:r>
        <w:t>abstract_source=openalex</w:t>
      </w:r>
    </w:p>
    <w:p>
      <w:pPr>
        <w:spacing w:before="0" w:after="80" w:lineRule="auto" w:line="276"/>
      </w:pPr>
      <w:r>
        <w:rPr>
          <w:b/>
        </w:rPr>
        <w:t xml:space="preserve">摘要（ZH）: </w:t>
      </w:r>
      <w:r>
        <w:t>优化可以实现具有成本效益的区域供热网络设计，但可扩展性限制限制了其在大城市地区的适用性。尽管许多混合整数线性规划模型依赖于线性热潮流模型，但没有研究系统地研究回归模型选择如何影响计算可扩展性和网络设计质量。现有的基准比较整个优化框架，而没有隔离底层热流模型的影响，因为所选的回归直接决定了可实现的区域大小和设计可靠性。因此，本文系统地比较了管道投资成本和热损失的六种回归模型。分段线性回归可实现最高精度的投资成本，而对数模型可实现最高精度的热损失。基于这些回归的 7 个线性、混合整数线性和非线性规划公式在 56 个现实世界区域（拥有多达 10,000 个散热器）进行了基准测试，涵盖强制设计和经济设计、单个和多个设计周期以及单个和多个热源。引入了一种新颖的混合热功率流模型，并实现了包含散热器经济连接决策的非线性功率流模型。结果表明，纯线性模型提供最短的求解时间，但通常会产生较差的网络设计。分段线性模型实现了最佳目标值，但区域可扩展性有限。仿射和混合模型提供接近最优的解决方案</w:t>
      </w:r>
    </w:p>
    <w:p>
      <w:pPr>
        <w:spacing w:before="0" w:after="200" w:lineRule="auto" w:line="276"/>
      </w:pPr>
      <w:r>
        <w:rPr>
          <w:b/>
        </w:rPr>
        <w:t xml:space="preserve">Abstract (EN): </w:t>
      </w:r>
      <w:r>
        <w:t>Optimization enables cost-effective district heating network design, but scalability constraints limit its applicability to large urban districts. Although many mixed-integer linear programming models rely on linearized thermal power flow models, no study has systematically investigated how regression model choices affect computational scalability and network design quality. Existing benchmarks compare entire optimization frameworks without isolating the impact of the underlying thermal flow model, since the chosen regression directly determines the achievable district size and the design reliability. Thus, this paper systematically compares six regression models for pipe investment costs and heat losses. Piecewise-linear regressions achieve the highest accuracy for investment costs, while logarithmic models achieve the highest accuracy for heat losses. Seven linear, mixed-integer linear, and nonlinear programming formulations based on these regressions are benchmarked across 56 real-world districts with up to 10,000 heat sinks, spanning forced and economic designs, single and multiple design periods, and single and multiple heat sources. A novel hybrid thermal power flow model is introduced, and a nonlinear power flow model incorporating economic connection decisions for heat sinks is implemented. Results reveal that purely linear models offer the shortest solving times but usually yield inferior network designs. Piecewise-linear models achieve the best objective values yet suffer from limited scalability for districts. Affine and hybrid models deliver near-optimal solutions with significantly improved scalability, while constant models sacrifice minimal optimality for substantial gains in solvable district size. For multi-period and economic optimizations, only linear formulations achieve optimal designs for large districts with more than 2250 heat sinks, whereas hybrid and constant models best balance solution quality and computational efficiency for medium-scale systems.</w:t>
      </w:r>
    </w:p>
    <w:p>
      <w:pPr>
        <w:spacing w:before="120" w:after="120"/>
      </w:pPr>
      <w:r>
        <w:rPr>
          <w:sz w:val="18"/>
        </w:rPr>
        <w:t>——————————————————————————————————————————————————————————————————————</w:t>
      </w:r>
    </w:p>
    <w:p>
      <w:pPr>
        <w:spacing w:before="160" w:after="40" w:line="240" w:lineRule="auto"/>
      </w:pPr>
      <w:r>
        <w:rPr>
          <w:b/>
        </w:rPr>
        <w:t xml:space="preserve">[5] </w:t>
      </w:r>
      <w:hyperlink r:id="rId347">
        <w:r>
          <w:rPr>
            <w:color w:val="1155CC"/>
            <w:u w:val="single"/>
          </w:rPr>
          <w:t>一种使用抗疲劳制冷剂的零退化弹热冷却装置</w:t>
        </w:r>
      </w:hyperlink>
    </w:p>
    <w:p>
      <w:pPr>
        <w:spacing w:before="0" w:after="80"/>
      </w:pPr>
      <w:r>
        <w:rPr>
          <w:i/>
          <w:sz w:val="20"/>
        </w:rPr>
        <w:t>EN: A zero-degradation elastocaloric cooling device using fatigue-resistant refrigerant</w:t>
      </w:r>
    </w:p>
    <w:p>
      <w:pPr>
        <w:spacing w:before="0" w:after="120"/>
      </w:pPr>
      <w:r>
        <w:rPr>
          <w:b/>
        </w:rPr>
        <w:t xml:space="preserve">Source: </w:t>
      </w:r>
      <w:r>
        <w:t>Joule</w:t>
      </w:r>
      <w:r>
        <w:t xml:space="preserve">    </w:t>
      </w:r>
      <w:r>
        <w:rPr>
          <w:b/>
        </w:rPr>
        <w:t xml:space="preserve">Pub date: </w:t>
      </w:r>
      <w:r>
        <w:t>2026-08-17 00:00:00+00:00</w:t>
      </w:r>
      <w:r>
        <w:t xml:space="preserve">    </w:t>
      </w:r>
      <w:r>
        <w:rPr>
          <w:b/>
        </w:rPr>
        <w:t xml:space="preserve">DOI: </w:t>
      </w:r>
      <w:hyperlink r:id="rId348">
        <w:r>
          <w:rPr>
            <w:color w:val="1155CC"/>
            <w:u w:val="single"/>
          </w:rPr>
          <w:t>10.1016/j.joule.2026.102627</w:t>
        </w:r>
      </w:hyperlink>
    </w:p>
    <w:p>
      <w:pPr>
        <w:spacing w:before="0" w:after="120"/>
      </w:pPr>
      <w:r>
        <w:rPr>
          <w:b/>
        </w:rPr>
        <w:t xml:space="preserve">Notes: </w:t>
      </w:r>
      <w:r>
        <w:t>abstract_source=rss_cell</w:t>
      </w:r>
    </w:p>
    <w:p>
      <w:pPr>
        <w:spacing w:before="0" w:after="80" w:lineRule="auto" w:line="276"/>
      </w:pPr>
      <w:r>
        <w:rPr>
          <w:b/>
        </w:rPr>
        <w:t xml:space="preserve">摘要（ZH）: </w:t>
      </w:r>
      <w:r>
        <w:t>抗疲劳形状记忆合金被集成到精心设计的弹性热量装置中，具有高机械可靠性。该设备可提供 400 瓦的冷却功率和 41 开尔文的温度跨度，运行次数超过一百万次，凸显了实现持久固态冷却的一条有前途的途径。</w:t>
      </w:r>
    </w:p>
    <w:p>
      <w:pPr>
        <w:spacing w:before="0" w:after="200" w:lineRule="auto" w:line="276"/>
      </w:pPr>
      <w:r>
        <w:rPr>
          <w:b/>
        </w:rPr>
        <w:t xml:space="preserve">Abstract (EN): </w:t>
      </w:r>
      <w:r>
        <w:t>A fatigue-resistant shape memory alloy was integrated into a carefully engineered elastocaloric device with high mechanical reliability. The device delivered 400 watts of cooling power and a 41 Kelvin temperature span over one million operation cycles, highlighting a promising route toward durable solid-state cooling.</w:t>
      </w:r>
    </w:p>
    <w:p>
      <w:pPr>
        <w:spacing w:before="120" w:after="120"/>
      </w:pPr>
      <w:r>
        <w:rPr>
          <w:sz w:val="18"/>
        </w:rPr>
        <w:t>——————————————————————————————————————————————————————————————————————</w:t>
      </w:r>
    </w:p>
    <w:p>
      <w:pPr>
        <w:spacing w:before="160" w:after="40" w:line="240" w:lineRule="auto"/>
      </w:pPr>
      <w:r>
        <w:rPr>
          <w:b/>
        </w:rPr>
        <w:t xml:space="preserve">[6] </w:t>
      </w:r>
      <w:hyperlink r:id="rId349">
        <w:r>
          <w:rPr>
            <w:color w:val="1155CC"/>
            <w:u w:val="single"/>
          </w:rPr>
          <w:t>基于纳米级悬浮钙钛矿氧化物的中红外视觉传感器</w:t>
        </w:r>
      </w:hyperlink>
    </w:p>
    <w:p>
      <w:pPr>
        <w:spacing w:before="0" w:after="80"/>
      </w:pPr>
      <w:r>
        <w:rPr>
          <w:i/>
          <w:sz w:val="20"/>
        </w:rPr>
        <w:t>EN: Mid-infrared vision sensor based on Suspended Perovskite Oxides Down to Nanometer Scale</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350">
        <w:r>
          <w:rPr>
            <w:color w:val="1155CC"/>
            <w:u w:val="single"/>
          </w:rPr>
          <w:t>10.1093/nsr/nwag499</w:t>
        </w:r>
      </w:hyperlink>
    </w:p>
    <w:p>
      <w:pPr>
        <w:spacing w:before="0" w:after="120"/>
      </w:pPr>
      <w:r>
        <w:rPr>
          <w:b/>
        </w:rPr>
        <w:t xml:space="preserve">Notes: </w:t>
      </w:r>
      <w:r>
        <w:t>abstract_source=rss_oup</w:t>
      </w:r>
    </w:p>
    <w:p>
      <w:pPr>
        <w:spacing w:before="0" w:after="80" w:lineRule="auto" w:line="276"/>
      </w:pPr>
      <w:r>
        <w:rPr>
          <w:b/>
        </w:rPr>
        <w:t xml:space="preserve">摘要（ZH）: </w:t>
      </w:r>
      <w:r>
        <w:t>智能中红外 (MIR) 成像集成了热信息的传感器内预处理，从而减少了数据冗余并提高了低能见度条件下目标识别的鲁棒性。然而，与可见光区域不同，MIR 中的光电导可编程性通常依赖于窄带隙材料，这本质上限制了稳定和可重构操作。在这里，我们报告了一种基于悬浮纳米厚 SrTiO3 膜的可编程光热电 (PTE) 探测器。热电通道的尺寸缩放提高了灵敏度，并使响应时间达到约 10 μs，比块状 SrTiO3 快 104 倍以上。通过塞贝克分布的双栅极静电调制，该器件表现出高达 50 V W−1 的双向可调光热电响应度，并支持 40 个实验观察到的可编程响应状态。通过利用具有器件间一致的门可编程光响应和可重复极性切换的 3 × 3 可编程器件阵列，在视觉退化的条件下可实现 83% 的识别准确度。此外，可编程阵列通过增强目标热特征同时抑制背景干扰来实现注意力引导热图像加权。这些结果表明，钙钛矿氧化物的尺寸缩放是实现自适应、低功耗机器视觉和神经形态红外电子学的有效途径。</w:t>
      </w:r>
    </w:p>
    <w:p>
      <w:pPr>
        <w:spacing w:before="0" w:after="200" w:lineRule="auto" w:line="276"/>
      </w:pPr>
      <w:r>
        <w:rPr>
          <w:b/>
        </w:rPr>
        <w:t xml:space="preserve">Abstract (EN): </w:t>
      </w:r>
      <w:r>
        <w:t>Intelligent mid-infrared (MIR) imaging integrates in-sensor preprocessing of thermal information, thereby reducing data redundancy and improving target-recognition robustness under low-visibility conditions. However, unlike in the visible regime, photoconductive programmability in the MIR typically relies on narrow-bandgap materials, which inherently limit stable and reconfigurable operation. Here, we report a programmable photothermoelectric (PTE) detector based on a suspended nanometer-thick SrTiO3 membrane. Dimensional scaling of the thermoelectric channel enhances sensitivity and enables a response time of ∼10 μs, over 104 times faster than bulk SrTiO3. Through dual-gate electrostatic modulation of the Seebeck profile, the device exhibits bidirectionally tunable photothermoelectric responsivity up to 50 V W−1 and supports 40 experimentally observed programmable response states. By leveraging a 3 × 3 programmable device array with device-to-device consistent gate-programmable photoresponse and reproducible polarity switching, a recognition accuracy of 83% is achieved under visually degraded conditions. Furthermore, the programmable array enables attention-guided thermal image weighting by enhancing target thermal signatures while suppressing background interference. These results demonstrate the dimensional scaling of perovskite oxides as an effective route toward adaptive, low-power machine vision and neuromorphic infrared electronics.</w:t>
      </w:r>
    </w:p>
    <w:p>
      <w:pPr>
        <w:spacing w:before="120" w:after="120"/>
      </w:pPr>
      <w:r>
        <w:rPr>
          <w:sz w:val="18"/>
        </w:rPr>
        <w:t>——————————————————————————————————————————————————————————————————————</w:t>
      </w:r>
    </w:p>
    <w:p>
      <w:pPr>
        <w:spacing w:before="160" w:after="40" w:line="240" w:lineRule="auto"/>
      </w:pPr>
      <w:r>
        <w:rPr>
          <w:b/>
        </w:rPr>
        <w:t xml:space="preserve">[7] </w:t>
      </w:r>
      <w:hyperlink r:id="rId351">
        <w:r>
          <w:rPr>
            <w:color w:val="1155CC"/>
            <w:u w:val="single"/>
          </w:rPr>
          <w:t>利用唐南效应实现高效太阳能界面蒸发和水净化的耐盐自浮式复合水凝胶泡沫蒸发器</w:t>
        </w:r>
      </w:hyperlink>
    </w:p>
    <w:p>
      <w:pPr>
        <w:spacing w:before="0" w:after="80"/>
      </w:pPr>
      <w:r>
        <w:rPr>
          <w:i/>
          <w:sz w:val="20"/>
        </w:rPr>
        <w:t>EN: Salt-Resistant Self-Floating Composite Hydrogel Foam Evaporator Enabled by Donnan Effect for Efficient Solar Interfacial Evaporation and Water Purification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352">
        <w:r>
          <w:rPr>
            <w:color w:val="1155CC"/>
            <w:u w:val="single"/>
          </w:rPr>
          <w:t>10.1021/acsami.6c11557</w:t>
        </w:r>
      </w:hyperlink>
    </w:p>
    <w:p>
      <w:pPr>
        <w:spacing w:before="0" w:after="120"/>
      </w:pPr>
      <w:r>
        <w:rPr>
          <w:b/>
        </w:rPr>
        <w:t xml:space="preserve">Notes: </w:t>
      </w:r>
      <w:r>
        <w:t>abstract_source=crossref</w:t>
      </w:r>
    </w:p>
    <w:p>
      <w:pPr>
        <w:spacing w:before="0" w:after="80" w:lineRule="auto" w:line="276"/>
      </w:pPr>
      <w:r>
        <w:rPr>
          <w:b/>
        </w:rPr>
        <w:t xml:space="preserve">摘要（ZH）: </w:t>
      </w:r>
      <w:r>
        <w:t>摘要 太阳能界面蒸发是一种有前景的海水淡化和废水处理方法，但实用的蒸发器仍然面临着有限的水传输、界面热损失和高盐度盐水中盐沉积的挑战。本文通过将电纺单宁酸-Fe3+光热膜与聚电解质双网络水凝胶泡沫相结合，开发了一种自浮式耐盐复合水凝胶泡沫蒸发器PTF@PGAS-Foam。上层光热膜具有较强的太阳能吸收和热定位能力，而下层泡沫层则提供浮力、低导热率和连续的三维水传输路径。水凝胶中的固定磺酸基团会产生唐南效应，抑制盐离子向蒸发界面迁移，并减轻连续蒸发过程中盐的结晶。在1个太阳照射下，PTF@PGAS-Foam在20 wt% NaCl溶液中的蒸发速率为2.61 kg·m–2·h–1，效率为92%，在连续和循环测试中表现稳定。蒸发器还吸附重金属离子，包括Pb2+和Cd2+，以及阳离子染料。在室外放大试验中，直径为 15 cm 的蒸发器每天产生 20.35 kg·m–2 的水。这种多功能蒸发器集太阳能吸收、热定位、自漂浮、抗盐和吸附于一体，显示出太阳能海水淡化和废水净化的潜力。</w:t>
      </w:r>
    </w:p>
    <w:p>
      <w:pPr>
        <w:spacing w:before="0" w:after="200" w:lineRule="auto" w:line="276"/>
      </w:pPr>
      <w:r>
        <w:rPr>
          <w:b/>
        </w:rPr>
        <w:t xml:space="preserve">Abstract (EN): </w:t>
      </w:r>
      <w:r>
        <w:t>Solar interfacial evaporation is a promising approach for desalination and wastewater treatment, yet practical evaporators remain challenged by limited water transport, interfacial heat loss, and salt deposition in high-salinity brines. Herein, a self-floating, salt-resistant composite hydrogel foam evaporator, PTF@PGAS-Foam, was developed by integrating an electrospun tannic acid–Fe3+ photothermal membrane with a polyelectrolyte double-network hydrogel foam. The upper photothermal membrane enables strong solar absorption and thermal localization, while the lower foam layer provides buoyancy, low thermal conductivity, and continuous three-dimensional water-transport pathways. Fixed sulfonate groups in the hydrogel induce the Donnan effect, suppressing salt-ion migration toward the evaporation interface and alleviating salt crystallization during continuous evaporation. Under 1 sun irradiation, PTF@PGAS-Foam achieved an evaporation rate of 2.61 kg·m–2·h–1 and an efficiency of 92% in a 20 wt % NaCl solution, with stable performance during continuous and cyclic tests. The evaporator also adsorbed heavy metal ions, including Pb2+ and Cd2+, and cationic dyes. In outdoor scaled-up tests, a 15 cm diameter evaporator produced 20.35 kg·m–2 of water per day. This multifunctional evaporator integrates solar absorption, heat localization, self-floating behavior, salt resistance, and adsorption, showing potential for solar desalination and wastewater purification.</w:t>
      </w:r>
    </w:p>
    <w:p>
      <w:pPr>
        <w:spacing w:before="120" w:after="120"/>
      </w:pPr>
      <w:r>
        <w:rPr>
          <w:sz w:val="18"/>
        </w:rPr>
        <w:t>——————————————————————————————————————————————————————————————————————</w:t>
      </w:r>
    </w:p>
    <w:p>
      <w:pPr>
        <w:spacing w:before="160" w:after="40" w:line="240" w:lineRule="auto"/>
      </w:pPr>
      <w:r>
        <w:rPr>
          <w:b/>
        </w:rPr>
        <w:t xml:space="preserve">[8] </w:t>
      </w:r>
      <w:hyperlink r:id="rId353">
        <w:r>
          <w:rPr>
            <w:color w:val="1155CC"/>
            <w:u w:val="single"/>
          </w:rPr>
          <w:t>通过结合 ReaxFF 建模和机器学习在 MgO 上局部化学引导分子束外延生长 SnSe</w:t>
        </w:r>
      </w:hyperlink>
    </w:p>
    <w:p>
      <w:pPr>
        <w:spacing w:before="0" w:after="80"/>
      </w:pPr>
      <w:r>
        <w:rPr>
          <w:i/>
          <w:sz w:val="20"/>
        </w:rPr>
        <w:t>EN: Local Chemistry-Guided Molecular Beam Epitaxy Growth of SnSe on MgO via Combined ReaxFF Modeling and Machine Learning</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354">
        <w:r>
          <w:rPr>
            <w:color w:val="1155CC"/>
            <w:u w:val="single"/>
          </w:rPr>
          <w:t>10.1021/acsami.6c08764</w:t>
        </w:r>
      </w:hyperlink>
    </w:p>
    <w:p>
      <w:pPr>
        <w:spacing w:before="0" w:after="120"/>
      </w:pPr>
      <w:r>
        <w:rPr>
          <w:b/>
        </w:rPr>
        <w:t xml:space="preserve">Notes: </w:t>
      </w:r>
      <w:r>
        <w:t>abstract_source=crossref</w:t>
      </w:r>
    </w:p>
    <w:p>
      <w:pPr>
        <w:spacing w:before="0" w:after="80" w:lineRule="auto" w:line="276"/>
      </w:pPr>
      <w:r>
        <w:rPr>
          <w:b/>
        </w:rPr>
        <w:t xml:space="preserve">摘要（ZH）: </w:t>
      </w:r>
      <w:r>
        <w:t>摘要 局部生长化学的细微变化可以从根本上改变层状硫族化物薄膜的形态，但这种敏感性背后的原子尺度机制仍然知之甚少。在这里，我们结合分子束外延 (MBE) 实验、反应分子动力学模拟和机器学习分析，建立了 MgO 上 SnSe 薄膜生长的化学结构关系。实验表明，改变 Sn/Se 通量比和沉积顺序可以促进三维岛形成和横向聚结光滑薄膜之间的转变，并伴随表面粗糙度的显着变化。反应分子动力学模拟表明，这种转变源于 Sn 和 Se 之间固有的化学不对称性，它改变了吸附原子在生长过程中的表面扩散和聚集行为。富硒环境稳定表面钝化并促进横向生长，而富锡条件则通过快速锡聚集有利于垂直聚集。为了在不强加物理假设的情况下评估形态趋势，我们将无监督的机器学习框架应用于从模拟快照渲染的图像。由此产生的表面形态的低维表示捕获了与实验和模拟中观察到的形态趋势一致的形态趋势，为化学形态关系提供了补充的数据驱动解释。因为纳米级粗糙度强烈影响 SnSe 基电子中的载流子散射、声子传输和域稳定性。</w:t>
      </w:r>
    </w:p>
    <w:p>
      <w:pPr>
        <w:spacing w:before="0" w:after="200" w:lineRule="auto" w:line="276"/>
      </w:pPr>
      <w:r>
        <w:rPr>
          <w:b/>
        </w:rPr>
        <w:t xml:space="preserve">Abstract (EN): </w:t>
      </w:r>
      <w:r>
        <w:t>Subtle variations in local growth chemistry can fundamentally alter the morphology of layered chalcogenide thin films, yet the atomic-scale mechanisms underlying this sensitivity remain poorly understood. Here, we combine molecular beam epitaxy (MBE) experiments, reactive molecular dynamics simulations, and machine learning analysis to establish a chemistry–structure relationship for SnSe thin film growth on MgO. Experimentally, we show that modifying the Sn/Se flux ratio and deposition sequence promotes a transition between three-dimensional island formation and laterally coalesced smooth films, accompanied by pronounced changes in surface roughness. Reactive molecular dynamics simulations reveal that this transition originates from an intrinsic chemical asymmetry between Sn and Se that alters adatom surface diffusion and aggregation behavior during growth. Se-rich environments stabilize surface passivation and promote lateral growth, whereas Sn-rich conditions favor vertical aggregation through rapid Sn clustering. To assess morphology trends without imposing physical assumptions, we apply an unsupervised machine learning framework to images rendered from the simulation snapshots. The resulting low-dimensional representation of the surface morphologies captures morphology trends consistent with those observed experimentally and those in simulations, providing a complementary data-driven interpretation of the chemistry–morphology relationship. Because nanoscale roughness strongly influences carrier scattering, phonon transport, and domain stability in SnSe-based electronic and energy devices, these results provide a chemistry-guided framework for morphology control in layered chalcogenide thin films.</w:t>
      </w:r>
    </w:p>
    <w:p>
      <w:pPr>
        <w:spacing w:before="120" w:after="120"/>
      </w:pPr>
      <w:r>
        <w:rPr>
          <w:sz w:val="18"/>
        </w:rPr>
        <w:t>——————————————————————————————————————————————————————————————————————</w:t>
      </w:r>
    </w:p>
    <w:p>
      <w:pPr>
        <w:spacing w:before="160" w:after="40" w:line="240" w:lineRule="auto"/>
      </w:pPr>
      <w:r>
        <w:rPr>
          <w:b/>
        </w:rPr>
        <w:t xml:space="preserve">[9] </w:t>
      </w:r>
      <w:hyperlink r:id="rId355">
        <w:r>
          <w:rPr>
            <w:color w:val="1155CC"/>
            <w:u w:val="single"/>
          </w:rPr>
          <w:t>考虑混合整数操作问题的多能源系统的鲁棒设计</w:t>
        </w:r>
      </w:hyperlink>
    </w:p>
    <w:p>
      <w:pPr>
        <w:spacing w:before="0" w:after="80"/>
      </w:pPr>
      <w:r>
        <w:rPr>
          <w:i/>
          <w:sz w:val="20"/>
        </w:rPr>
        <w:t>EN: Robust design of multi-energy systems accounting for mixed-integer operational problems</w:t>
      </w:r>
    </w:p>
    <w:p>
      <w:pPr>
        <w:spacing w:before="0" w:after="120"/>
      </w:pPr>
      <w:r>
        <w:rPr>
          <w:b/>
        </w:rPr>
        <w:t xml:space="preserve">Source: </w:t>
      </w:r>
      <w:r>
        <w:t>ScienceDirect Publication: Applied Energy</w:t>
      </w:r>
      <w:r>
        <w:t xml:space="preserve">    </w:t>
      </w:r>
      <w:r>
        <w:rPr>
          <w:b/>
        </w:rPr>
        <w:t xml:space="preserve">Pub date: </w:t>
      </w:r>
      <w:r>
        <w:t>2026-08-17 00:00:00+00:00</w:t>
      </w:r>
      <w:r>
        <w:t xml:space="preserve">    </w:t>
      </w:r>
      <w:r>
        <w:rPr>
          <w:b/>
        </w:rPr>
        <w:t xml:space="preserve">DOI: </w:t>
      </w:r>
      <w:hyperlink r:id="rId356">
        <w:r>
          <w:rPr>
            <w:color w:val="1155CC"/>
            <w:u w:val="single"/>
          </w:rPr>
          <w:t>10.1016/j.apenergy.2026.128684</w:t>
        </w:r>
      </w:hyperlink>
    </w:p>
    <w:p>
      <w:pPr>
        <w:spacing w:before="0" w:after="120"/>
      </w:pPr>
      <w:r>
        <w:rPr>
          <w:b/>
        </w:rPr>
        <w:t xml:space="preserve">Notes: </w:t>
      </w:r>
      <w:r>
        <w:t>abstract_source=semanticscholar</w:t>
      </w:r>
    </w:p>
    <w:p>
      <w:pPr>
        <w:spacing w:before="0" w:after="80" w:lineRule="auto" w:line="276"/>
      </w:pPr>
      <w:r>
        <w:rPr>
          <w:b/>
        </w:rPr>
        <w:t xml:space="preserve">摘要（ZH）: </w:t>
      </w:r>
      <w:r>
        <w:t>确定多能源系统的稳健设计在计算上具有挑战性。由于严格的方法通常在计算上难以处理，因此采用启发式方法来生成候选设计。具体来说，我们考虑一种启发式方法，迭代地识别极端场景并将其添加到设计问题中。我们从理论上研究了三种常见的非凸性，即分段线性能量流入-流出关系、最小部分负载和存储互补性，如何影响这种启发式识别的设计的稳健性。我们发现，如果不能减少剩余能量，任何这些非凸性都可能导致启发式失败。如果允许缩减，存储互补性不会损害鲁棒性，并且凸分段线性流入-流出关系可以线性地重新表述。然而，最小部分负载可能会导致启发式失败。此外，如果操作问题的最优值函数在不确定变量中是非凸的，则启发式可能会失败。我们使用说明性的多能源系统案例研究来证明这些发现，其中最小部分负载和目标函数对热泵效率的非凸依赖被确定为可能的故障模式。我们严格验证了使用启发式识别的设计的稳健性，并发现一种情况，在一个时间步长内，313.6 kW 电力需求中的 1.1 kW 无法得到满足。然而，当代表性场景的数量从 4 个增加到 6 个或 8 个时，最终的设计是稳健的。这表明</w:t>
      </w:r>
    </w:p>
    <w:p>
      <w:pPr>
        <w:spacing w:before="0" w:after="200" w:lineRule="auto" w:line="276"/>
      </w:pPr>
      <w:r>
        <w:rPr>
          <w:b/>
        </w:rPr>
        <w:t xml:space="preserve">Abstract (EN): </w:t>
      </w:r>
      <w:r>
        <w:t>Identifying robust designs for multi-energy systems is computationally challenging. As rigorous approaches are often computationally intractable, heuristics are employed to generate candidate designs. Specifically, we consider a heuristic that iteratively identifies and adds extreme scenarios to the design problem. We theoretically investigate how three common nonconvexities, i.e., piecewise-linear energy inflow-outflow relationships, minimum part-loads, and storage complementarity, affect the robustness of designs identified by this heuristic. We find that, if surplus energy cannot be curtailed, any of these nonconvexities may cause the heuristic to fail. If curtailment is allowed, storage complementarity does not compromise robustness, and convex piecewise-linear inflow-outflow relationships can be reformulated linearly. However, minimum part-loads may lead to failure of the heuristic. Furthermore, if the optimal value function of the operational problem is nonconvex in the uncertain variables, the heuristic may fail. We demonstrate these findings using an illustrative multi-energy system case study, in which minimum part-loads and nonconvex dependence of the objective function on heat-pump efficiency are identified as possible failure modes. We rigorously verify the robustness of a design identified using the heuristic and find a scenario where, in one time step, 1.1 kW of the 313.6 kW electricity demand could not be satisfied. However, when the number of representative scenarios is increased from 4 to 6 or 8, the resulting designs are robust. This demonstrates that the heuristic can serve as an effective first step in identifying robust designs. However, when robustness guarantees are required, a rigorous solution method must be employed.</w:t>
      </w:r>
    </w:p>
    <w:p>
      <w:pPr>
        <w:spacing w:before="120" w:after="120"/>
      </w:pPr>
      <w:r>
        <w:rPr>
          <w:sz w:val="18"/>
        </w:rPr>
        <w:t>——————————————————————————————————————————————————————————————————————</w:t>
      </w:r>
    </w:p>
    <w:p>
      <w:pPr>
        <w:spacing w:before="160" w:after="40" w:line="240" w:lineRule="auto"/>
      </w:pPr>
      <w:r>
        <w:rPr>
          <w:b/>
        </w:rPr>
        <w:t xml:space="preserve">[10] </w:t>
      </w:r>
      <w:hyperlink r:id="rId357">
        <w:r>
          <w:rPr>
            <w:color w:val="1155CC"/>
            <w:u w:val="single"/>
          </w:rPr>
          <w:t>用于强化沸腾的增材制造 316L 不锈钢和 CuCrZr 铜合金的化学工程微/纳米结构</w:t>
        </w:r>
      </w:hyperlink>
    </w:p>
    <w:p>
      <w:pPr>
        <w:spacing w:before="0" w:after="80"/>
      </w:pPr>
      <w:r>
        <w:rPr>
          <w:i/>
          <w:sz w:val="20"/>
        </w:rPr>
        <w:t>EN: Chemically Engineered Micro/Nanostructures on Additively Manufactured 316L Stainless Steel and CuCrZr Copper Alloys for Enhanced Boiling</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358">
        <w:r>
          <w:rPr>
            <w:color w:val="1155CC"/>
            <w:u w:val="single"/>
          </w:rPr>
          <w:t>10.1021/acsami.6c12075</w:t>
        </w:r>
      </w:hyperlink>
    </w:p>
    <w:p>
      <w:pPr>
        <w:spacing w:before="0" w:after="120"/>
      </w:pPr>
      <w:r>
        <w:rPr>
          <w:b/>
        </w:rPr>
        <w:t xml:space="preserve">Notes: </w:t>
      </w:r>
      <w:r>
        <w:t>abstract_source=crossref</w:t>
      </w:r>
    </w:p>
    <w:p>
      <w:pPr>
        <w:spacing w:before="0" w:after="80" w:lineRule="auto" w:line="276"/>
      </w:pPr>
      <w:r>
        <w:rPr>
          <w:b/>
        </w:rPr>
        <w:t xml:space="preserve">摘要（ZH）: </w:t>
      </w:r>
      <w:r>
        <w:t>摘要 表面微/纳米结构技术的最新进展已经实现了高效的两相冷却。 With the growing adoption of metal additive manufacturing (AM) in thermal hardware, it is critical to establish scalable micro/nanostructuring strategies tailored to AM alloys, whose altered surface chemistry, composition, and grain boundaries differ significantly from their conventional counterparts. In this study, by elucidating the interplay between bubble nucleation characteristics and microstructural length scales, we develop and optimize facile and highly scalable surface structuring techniques that enable the fabrication of micro/nanostructures on AM stainless steel (316L) and copper (CuCrZr) alloys, achieving substantial pool boiling enhancement with HFE-7100. For AM stainless steel, electrolytic etching in oxalic acid selectively amplifies sub-grain boundaries through localized anodic dissolution and oxide formation, yielding uniform microneedles (0.5–2 µm) with enhanced wickability. The optimized surface (AMSS-C(27)) exhibits a maximum heat transfer coefficient enhancement of 110.2 and 90.2% over plain and conventional microstructured stainless steel, respectively, attributed to favorable ∼5 µm cavity distributions. For AM copper, immersion etching in ferric-chloride/hydrochloric-acid solution promotes redox-driven dissolution of Cu and redeposition of Cu2O/CuO phases, forming 10–30 µm deep crevices, while post-heat treatment (AM-CuCrZr-H) achieves a maximum heat transfer coefficient enhancement of 85.6%. 0.5–2 µm 刀状的分层合并</w:t>
      </w:r>
    </w:p>
    <w:p>
      <w:pPr>
        <w:spacing w:before="0" w:after="200" w:lineRule="auto" w:line="276"/>
      </w:pPr>
      <w:r>
        <w:rPr>
          <w:b/>
        </w:rPr>
        <w:t xml:space="preserve">Abstract (EN): </w:t>
      </w:r>
      <w:r>
        <w:t>Recent advances in surface micro/nanostructuring techniques have enabled efficient two-phase cooling. With the growing adoption of metal additive manufacturing (AM) in thermal hardware, it is critical to establish scalable micro/nanostructuring strategies tailored to AM alloys, whose altered surface chemistry, composition, and grain boundaries differ significantly from their conventional counterparts. In this study, by elucidating the interplay between bubble nucleation characteristics and microstructural length scales, we develop and optimize facile and highly scalable surface structuring techniques that enable the fabrication of micro/nanostructures on AM stainless steel (316L) and copper (CuCrZr) alloys, achieving substantial pool boiling enhancement with HFE-7100. For AM stainless steel, electrolytic etching in oxalic acid selectively amplifies sub-grain boundaries through localized anodic dissolution and oxide formation, yielding uniform microneedles (0.5–2 µm) with enhanced wickability. The optimized surface (AMSS-C(27)) exhibits a maximum heat transfer coefficient enhancement of 110.2 and 90.2% over plain and conventional microstructured stainless steel, respectively, attributed to favorable ∼5 µm cavity distributions. For AM copper, immersion etching in ferric-chloride/hydrochloric-acid solution promotes redox-driven dissolution of Cu and redeposition of Cu2O/CuO phases, forming 10–30 µm deep crevices, while post-heat treatment (AM-CuCrZr-H) achieves a maximum heat transfer coefficient enhancement of 85.6%. Hierarchical incorporation of 0.5–2 µm knife-like CuO nanostructures further increases the maximum heat transfer coefficient by 15.7% compared to its single-tier etched counterpart through optimized cavity tuning and surface-energy modification. This work develops scalable structuring methods for AM 316L and CuCrZr with substantial boiling enhancements, establishing a class of chemically engineered, high-performance heat-transfer surfaces applicable to a broad range of engineering fluids, and suitable for next-generation energy and cooling systems.</w:t>
      </w:r>
    </w:p>
    <w:p>
      <w:pPr>
        <w:spacing w:before="120" w:after="120"/>
      </w:pPr>
      <w:r>
        <w:rPr>
          <w:sz w:val="18"/>
        </w:rPr>
        <w:t>——————————————————————————————————————————————————————————————————————</w:t>
      </w:r>
    </w:p>
    <w:p>
      <w:pPr>
        <w:spacing w:before="160" w:after="40" w:line="240" w:lineRule="auto"/>
      </w:pPr>
      <w:r>
        <w:rPr>
          <w:b/>
        </w:rPr>
        <w:t xml:space="preserve">[11] </w:t>
      </w:r>
      <w:hyperlink r:id="rId359">
        <w:r>
          <w:rPr>
            <w:color w:val="1155CC"/>
            <w:u w:val="single"/>
          </w:rPr>
          <w:t>双仿生微纳结构增强高性能微通道流动沸腾</w:t>
        </w:r>
      </w:hyperlink>
    </w:p>
    <w:p>
      <w:pPr>
        <w:spacing w:before="0" w:after="80"/>
      </w:pPr>
      <w:r>
        <w:rPr>
          <w:i/>
          <w:sz w:val="20"/>
        </w:rPr>
        <w:t>EN: High-Performance Microchannel Flow Boiling Enhanced by Dual-Bionic Micro/Nano-Structures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360">
        <w:r>
          <w:rPr>
            <w:color w:val="1155CC"/>
            <w:u w:val="single"/>
          </w:rPr>
          <w:t>10.1021/acsami.6c11140</w:t>
        </w:r>
      </w:hyperlink>
    </w:p>
    <w:p>
      <w:pPr>
        <w:spacing w:before="0" w:after="120"/>
      </w:pPr>
      <w:r>
        <w:rPr>
          <w:b/>
        </w:rPr>
        <w:t xml:space="preserve">Notes: </w:t>
      </w:r>
      <w:r>
        <w:t>abstract_source=crossref</w:t>
      </w:r>
    </w:p>
    <w:p>
      <w:pPr>
        <w:spacing w:before="0" w:after="80" w:lineRule="auto" w:line="276"/>
      </w:pPr>
      <w:r>
        <w:rPr>
          <w:b/>
        </w:rPr>
        <w:t xml:space="preserve">摘要（ZH）: </w:t>
      </w:r>
      <w:r>
        <w:t>摘要 微通道流动沸腾已成为一种极具前景的电子冷却技术。然而，其实际应用却缺乏对气泡动力学，尤其是气泡脱离过程的有效控制。在这里，我们从翼状猪笼草唇表面的微棘齿和瓣状猪笼草的楔状喙中汲取灵感，提出了一种双仿生微/纳米结构表面来介导气泡离开，以增强微通道中的流动沸腾性能。仿生微纳结构微通道散热器的热流体力学性能得到显着改善，在600 kg·m–2·s–1下的临界热通量为366.5 W·cm–2，传热系数为11.8 W·cm–2·K–1，与光滑散热器相比分别提高了82.5%和103.2%。这种增益源于双重机制，即仿生结构首先在界面能量梯度下使有核气泡能够从微棘轮根部自发迁移到尖端，然后通过浮力和阻力的净力促进气泡离开棘轮尖端。在全功率下从商用CPU散热方面，本策略比传统的基于空气/水的方法表现出优越的冷却能力。目前的双仿生设计在满足高功率电子设备苛刻的冷却要求方面具有巨大的潜力。</w:t>
      </w:r>
    </w:p>
    <w:p>
      <w:pPr>
        <w:spacing w:before="0" w:after="200" w:lineRule="auto" w:line="276"/>
      </w:pPr>
      <w:r>
        <w:rPr>
          <w:b/>
        </w:rPr>
        <w:t xml:space="preserve">Abstract (EN): </w:t>
      </w:r>
      <w:r>
        <w:t>Microchannel flow boiling has emerged as a highly promising electronic cooling technology. However, its practical application is suffering from the lack of effective control over bubble dynamics, especially bubble departure processes. Here, we have proposed a dual-bionic micro/nano-structured surface to mediate bubble departure for enhancement of flow boiling performance in microchannels, drawing inspiration from the micro-ratchets on the peristome surface of Nepenthes alata and the wedge-like beak of a phalarope. The microchannel heat sink with bionic micro/nano-structures demonstrates significant improvement in thermo-hydrodynamic performance, and achieves the critical heat flux of 366.5 W·cm–2 and heat transfer coefficient of 11.8 W·cm–2·K–1 at 600 kg·m–2·s–1, indicating respective increase of 82.5% and 103.2% compared to its smooth counterpart. This gain stems from a dual mechanism that the bionic architecture first enables spontaneous migration of nucleated bubbles from the micro-ratchet root to the tip under an interfacial energy gradient, and subsequently promotes bubble departure from the ratchet tip through the net force of buoyancy and drag. The present strategy exhibits superior cooling capacity over conventional air/water-based methods in dissipating heat from a commercial CPU under full power. The present dual-bionic design holds great potential for addressing the demanding cooling requirements of high-power electronics.</w:t>
      </w:r>
    </w:p>
    <w:p>
      <w:pPr>
        <w:spacing w:before="120" w:after="120"/>
      </w:pPr>
      <w:r>
        <w:rPr>
          <w:sz w:val="18"/>
        </w:rPr>
        <w:t>——————————————————————————————————————————————————————————————————————</w:t>
      </w:r>
    </w:p>
    <w:p>
      <w:pPr>
        <w:spacing w:before="160" w:after="40" w:line="240" w:lineRule="auto"/>
      </w:pPr>
      <w:r>
        <w:rPr>
          <w:b/>
        </w:rPr>
        <w:t xml:space="preserve">[12] </w:t>
      </w:r>
      <w:hyperlink r:id="rId361">
        <w:r>
          <w:rPr>
            <w:color w:val="1155CC"/>
            <w:u w:val="single"/>
          </w:rPr>
          <w:t>用于自主热管理的仿生相变逻辑门</w:t>
        </w:r>
      </w:hyperlink>
    </w:p>
    <w:p>
      <w:pPr>
        <w:spacing w:before="0" w:after="80"/>
      </w:pPr>
      <w:r>
        <w:rPr>
          <w:i/>
          <w:sz w:val="20"/>
        </w:rPr>
        <w:t>EN: Bio‐Inspired Phase‐Transition Logic Gates for Autonomous Thermal Management</w:t>
      </w:r>
    </w:p>
    <w:p>
      <w:pPr>
        <w:spacing w:before="0" w:after="120"/>
      </w:pPr>
      <w:r>
        <w:rPr>
          <w:b/>
        </w:rPr>
        <w:t xml:space="preserve">Source: </w:t>
      </w:r>
      <w:r>
        <w:t>Wiley: Advanced Materials: Table of Contents</w:t>
      </w:r>
      <w:r>
        <w:t xml:space="preserve">    </w:t>
      </w:r>
      <w:r>
        <w:rPr>
          <w:b/>
        </w:rPr>
        <w:t xml:space="preserve">Pub date: </w:t>
      </w:r>
      <w:r>
        <w:t>2026-08-17 12:02:42+00:00</w:t>
      </w:r>
      <w:r>
        <w:t xml:space="preserve">    </w:t>
      </w:r>
      <w:r>
        <w:rPr>
          <w:b/>
        </w:rPr>
        <w:t xml:space="preserve">DOI: </w:t>
      </w:r>
      <w:hyperlink r:id="rId362">
        <w:r>
          <w:rPr>
            <w:color w:val="1155CC"/>
            <w:u w:val="single"/>
          </w:rPr>
          <w:t>10.1002/adma.74685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热管理策略主要依赖于被动散热或开环外部控制，难以解决现代微纳米器件的瞬态和异构热负载。受生物汗液的感觉-感知-行为闭环反馈的启发，我们提出了一种自主热管理策略，将一阶固-液相变编码为分子逻辑门。在这个相变门控聚合物网络 (Perspire X) 中，聚乙二醇 (PEG) 的熔化充当物理阈值。超过这个临界温度会触发宏观网络排列，直接将热传感转化为加速的按需水释放。我们定义了 2.62 的逻辑门品质因数 (LG-FOM) 来量化这种行为，展示了耦合质量和热传输通道的离散化和可切换调节。因此，该材料表现出非线性冷却放大作用，与传统相变冷却材料相比，有效冷却时间延长了20.8倍，温降达13.5°C。此外，它还表现出强大的机械完整性以及卓越的热缓冲能力，可有效缓冲测试条件下的模拟脉冲热波动。这种相变门控传输机制超越了传统的被动散热器，为下一代电子和智能能源系统概述了可扩展的材料级热力学编程策略</w:t>
      </w:r>
    </w:p>
    <w:p>
      <w:pPr>
        <w:spacing w:before="0" w:after="200" w:lineRule="auto" w:line="276"/>
      </w:pPr>
      <w:r>
        <w:rPr>
          <w:b/>
        </w:rPr>
        <w:t xml:space="preserve">Abstract (EN): </w:t>
      </w:r>
      <w:r>
        <w:t>Conventional thermal management strategies rely predominantly on passive heat dissipation or open‐loop external control, struggling to address the transient and heterogeneous thermal loads of modern micro/nanodevices. Inspired by the sense‐perceive‐act closed‐loop feedback of biological perspiration, we propose an autonomous thermal management strategy that encodes a first‐order solid–liquid phase transition as a molecular logic gate. Within this phase‐change‐gated polymer network (Perspire X), the melting of polyethylene glycol (PEG) acts as a physical threshold. Surpassing this critical temperature triggers a macroscopic network arrangement, directly translating thermal sensing into an accelerated on‐demand water release. We define a logic‐gating figure of merit (LG‐FOM) of 2.62 to quantify this behavior, demonstrating the discretized and switchable regulation of coupled mass and heat transport channels. Consequently, the material exhibits non‐linear cooling amplification, achieving a 20.8‐fold extension in effective cooling duration and a 13.5°C temperature drop compared with traditional phase‐transition cooling materials. Furthermore, it demonstrates robust mechanical integrity alongside an exceptional thermal buffering capacity that effectively buffers the simulated pulsed thermal fluctuations under the tested conditions. Transcending traditional passive heat sinks, this phase‐transition‐gated transport mechanism outlines a scalable, materials‐level thermodynamic programming strategy for next‐generation electronics and intelligent energy systems.</w:t>
      </w:r>
    </w:p>
    <w:p>
      <w:pPr>
        <w:spacing w:before="120" w:after="120"/>
      </w:pPr>
      <w:r>
        <w:rPr>
          <w:sz w:val="18"/>
        </w:rPr>
        <w:t>——————————————————————————————————————————————————————————————————————</w:t>
      </w:r>
    </w:p>
    <w:p>
      <w:pPr>
        <w:spacing w:before="160" w:after="40" w:line="240" w:lineRule="auto"/>
      </w:pPr>
      <w:r>
        <w:rPr>
          <w:b/>
        </w:rPr>
        <w:t xml:space="preserve">[13] </w:t>
      </w:r>
      <w:hyperlink r:id="rId363">
        <w:r>
          <w:rPr>
            <w:color w:val="1155CC"/>
            <w:u w:val="single"/>
          </w:rPr>
          <w:t>具有热能储存功能的小型模块化反应堆在零碳电力系统中的作用：对 75 个国家的技术、经济和弹性分析</w:t>
        </w:r>
      </w:hyperlink>
    </w:p>
    <w:p>
      <w:pPr>
        <w:spacing w:before="0" w:after="80"/>
      </w:pPr>
      <w:r>
        <w:rPr>
          <w:i/>
          <w:sz w:val="20"/>
        </w:rPr>
        <w:t>EN: The role of small modular reactors with thermal energy storage in zero-carbon electricity systems: a technological, economic, and resilience analysis across 75 countries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364">
        <w:r>
          <w:rPr>
            <w:color w:val="1155CC"/>
            <w:u w:val="single"/>
          </w:rPr>
          <w:t>10.1016/j.apenergy.2026.128685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65">
        <w:r>
          <w:rPr>
            <w:color w:val="1155CC"/>
            <w:u w:val="single"/>
          </w:rPr>
          <w:t>用于全天候热管理的自适应温度调节涂层</w:t>
        </w:r>
      </w:hyperlink>
    </w:p>
    <w:p>
      <w:pPr>
        <w:spacing w:before="0" w:after="80"/>
      </w:pPr>
      <w:r>
        <w:rPr>
          <w:i/>
          <w:sz w:val="20"/>
        </w:rPr>
        <w:t>EN: Self-Adaptive Thermoregulating Coating for All-Weather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366">
        <w:r>
          <w:rPr>
            <w:color w:val="1155CC"/>
            <w:u w:val="single"/>
          </w:rPr>
          <w:t>10.1021/acsami.6c10892</w:t>
        </w:r>
      </w:hyperlink>
    </w:p>
    <w:p>
      <w:pPr>
        <w:spacing w:before="0" w:after="120"/>
      </w:pPr>
      <w:r>
        <w:rPr>
          <w:b/>
        </w:rPr>
        <w:t xml:space="preserve">Notes: </w:t>
      </w:r>
      <w:r>
        <w:t>abstract_source=crossref</w:t>
      </w:r>
    </w:p>
    <w:p>
      <w:pPr>
        <w:spacing w:before="0" w:after="80" w:lineRule="auto" w:line="276"/>
      </w:pPr>
      <w:r>
        <w:rPr>
          <w:b/>
        </w:rPr>
        <w:t xml:space="preserve">摘要（ZH）: </w:t>
      </w:r>
      <w:r>
        <w:t>摘要 功能界面的实际热管理通常需要在变化的环境条件下协调太阳能吸收和辐射散热。然而，传统的光热系统保持静态光谱响应，无法适应动态热需求。在这里，我们开发了一种自适应温度调节功能接口，可通过耦合光谱调制和热能存储实现双向热控制。通过将双功能填料集成到多孔支架中，在柔性基材上构建了聚偏二氟乙烯-六氟丙烯共聚复合涂层，该涂层由热致变色微胶囊（TM）和SiO2壳相变微胶囊（Pn@SiO2）组成。 TM 动态调节太阳能吸收，而 Pn@SiO2 通过潜热存储和释放来缓冲热波动，从而实现按需热管理。通过系统地调节 TM 含量，可以直接调节光学和热响应。在 TM 含量为 25 wt% 时，涂层的太阳光反射率为 88.18% (45 °C) 和 62.42% (20 °C) (ΔRsol = 25.76%)，在室外条件下产生~3 °C 制冷和~2.5 °C 加热，在真实环境中建立有效的温度调节。值得注意的是，该涂层还表现出疏水性、自清洁能力和机械耐久性，有助于下一代热管理应用的自适应热界面的实际部署。</w:t>
      </w:r>
    </w:p>
    <w:p>
      <w:pPr>
        <w:spacing w:before="0" w:after="200" w:lineRule="auto" w:line="276"/>
      </w:pPr>
      <w:r>
        <w:rPr>
          <w:b/>
        </w:rPr>
        <w:t xml:space="preserve">Abstract (EN): </w:t>
      </w:r>
      <w:r>
        <w:t>Practical thermal management of functional interfaces usually requires coordinated solar absorption and radiative heat dissipation under variable environmental conditions. Yet, conventional photothermal systems maintain static spectral responses and fail to adapt to dynamic thermal demands. Here, we develop a self-adaptive thermoregulating functional interface that enables bidirectional thermal control through coupled spectral modulation and thermal energy storage. By integrating dual functional fillers into a porous scaffold, a poly(vinylidene fluoride-co-hexafluoropropylene)-based composite coating is constructed on a flexible substrate, comprising thermochromic microcapsules (TM) and SiO2-shelled phase change microcapsules (Pn@SiO2). TM dynamically modulates solar absorption, while Pn@SiO2 buffers thermal fluctuations via latent heat storage and release, enabling on-demand thermal management. By systematically tuning the TM content, the optical and thermal responses are directly regulated. At 25 wt % TM, the coating exhibits a solar reflectance of 88.18% (45 °C) and 62.42% (20 °C) (ΔRsol = 25.76%), yielding ∼3 °C cooling and ∼2.5 °C heating under outdoor conditions, establishing effective temperature modulation in real environments. Notably, the coating further exhibits hydrophobicity, self-cleaning capability, and mechanical durability, facilitating the practical deployment of adaptive thermal interfaces for next-generation thermal management applications.</w:t>
      </w:r>
    </w:p>
    <w:p>
      <w:pPr>
        <w:spacing w:before="120" w:after="120"/>
      </w:pPr>
      <w:r>
        <w:rPr>
          <w:sz w:val="18"/>
        </w:rPr>
        <w:t>——————————————————————————————————————————————————————————————————————</w:t>
      </w:r>
    </w:p>
    <w:p>
      <w:pPr>
        <w:spacing w:before="160" w:after="40" w:line="240" w:lineRule="auto"/>
      </w:pPr>
      <w:r>
        <w:rPr>
          <w:b/>
        </w:rPr>
        <w:t xml:space="preserve">[15] </w:t>
      </w:r>
      <w:hyperlink r:id="rId367">
        <w:r>
          <w:rPr>
            <w:color w:val="1155CC"/>
            <w:u w:val="single"/>
          </w:rPr>
          <w:t>一种受珊瑚启发的光致发光相变材料，用于被动辐射冷却和余热收集</w:t>
        </w:r>
      </w:hyperlink>
    </w:p>
    <w:p>
      <w:pPr>
        <w:spacing w:before="0" w:after="80"/>
      </w:pPr>
      <w:r>
        <w:rPr>
          <w:i/>
          <w:sz w:val="20"/>
        </w:rPr>
        <w:t>EN: A Coral-Inspired Photoluminescent Phase-Change Material for Passive Radiative Cooling and Waste-Heat Harvesting</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368">
        <w:r>
          <w:rPr>
            <w:color w:val="1155CC"/>
            <w:u w:val="single"/>
          </w:rPr>
          <w:t>10.1021/acsami.6c10327</w:t>
        </w:r>
      </w:hyperlink>
    </w:p>
    <w:p>
      <w:pPr>
        <w:spacing w:before="0" w:after="120"/>
      </w:pPr>
      <w:r>
        <w:rPr>
          <w:b/>
        </w:rPr>
        <w:t xml:space="preserve">Notes: </w:t>
      </w:r>
      <w:r>
        <w:t>abstract_source=crossref</w:t>
      </w:r>
    </w:p>
    <w:p>
      <w:pPr>
        <w:spacing w:before="0" w:after="80" w:lineRule="auto" w:line="276"/>
      </w:pPr>
      <w:r>
        <w:rPr>
          <w:b/>
        </w:rPr>
        <w:t xml:space="preserve">摘要（ZH）: </w:t>
      </w:r>
      <w:r>
        <w:t>摘要 应对全球变暖带来的日益严峻的热挑战需要具有高冷却效率和能量回收能力的先进热管理材料。受珊瑚的分层多孔结构和可见发光外观的启发，开发了一种仿生被动辐射冷却材料（BPPM），可以同时利用环境光和热。 BPPM将多孔醋酸纤维素（CA）基质与光致发光相变微胶囊（PL-PC）相结合，在PL-PC光致发光和米氏散射的综合作用下，PL辅助的表观太阳反射率达到100.26％，通过CA的分子振动和CaWO4壳的晶格振动，在大气窗口内的红外发射率为97.71％。在定制的室外辐射冷却测试配置下，BPPM 相对于室内温度实现了 13.96 ± 1.25 °C 的平均白天冷却效果。 BPPM涂层还将模拟油枕表面温度降低了17.4°C，并降低了内部油温。与热电模块耦合可以将低品位热能转换为稳定的 0.6 V 输出，而加速老化测试显示 72 小时后性能保持率为 93%，288 小时后仍保持基本性能。建筑模拟进一步表明，当使用 BPPM 作为围护材料时，年冷却能耗可减少 20% 以上。这些结果表明 BPPM 作为零能耗热管理材料具有巨大的潜力，可用于节能</w:t>
      </w:r>
    </w:p>
    <w:p>
      <w:pPr>
        <w:spacing w:before="0" w:after="200" w:lineRule="auto" w:line="276"/>
      </w:pPr>
      <w:r>
        <w:rPr>
          <w:b/>
        </w:rPr>
        <w:t xml:space="preserve">Abstract (EN): </w:t>
      </w:r>
      <w:r>
        <w:t>Addressing the escalating heat challenges driven by global warming requires advanced thermal management materials with both high cooling efficiency and energy recovery capability. A biomimetic passive radiative cooling material (BPPM), inspired by the hierarchical porous structure and visible luminescent appearance of corals, is developed to simultaneously harness environmental light and heat. BPPM integrates a porous cellulose acetate (CA) matrix with photoluminescent phase-change microcapsules (PL-PCs), exhibiting a PL-assisted apparent solar reflectance of 100.26% arising from the combined effects of PL-PC photoluminescence and Mie scattering, and an infrared emissivity of 97.71% within the atmospheric window via the molecular vibrations of CA and lattice vibrations of the CaWO4 shell. Under a custom-built outdoor radiative-cooling test configuration, BPPM achieved an average daytime cooling effect of 13.96 ± 1.25 °C relative to the chamber temperature. The BPPM coating also lowered the simulated oil-pillow surface temperature by 17.4 °C and reduced the internal oil temperature. Coupling with a thermoelectric module enables the conversion of low-grade thermal energy into a stable 0.6 V output, while accelerated aging tests show 93% performance retention after 72 h, with substantial performance maintained after 288 h. Building simulations further reveal that annual cooling energy consumption can be reduced by over 20% when BPPM is used as an envelope material. These results in strong potential of BPPM as a zero-energy thermal management material for energy-efficient buildings and cooling applications.</w:t>
      </w:r>
    </w:p>
    <w:p>
      <w:pPr>
        <w:spacing w:before="120" w:after="120"/>
      </w:pPr>
      <w:r>
        <w:rPr>
          <w:sz w:val="18"/>
        </w:rPr>
        <w:t>——————————————————————————————————————————————————————————————————————</w:t>
      </w:r>
    </w:p>
    <w:p>
      <w:pPr>
        <w:spacing w:before="160" w:after="40" w:line="240" w:lineRule="auto"/>
      </w:pPr>
      <w:r>
        <w:rPr>
          <w:b/>
        </w:rPr>
        <w:t xml:space="preserve">[16] </w:t>
      </w:r>
      <w:hyperlink r:id="rId369">
        <w:r>
          <w:rPr>
            <w:color w:val="1155CC"/>
            <w:u w:val="single"/>
          </w:rPr>
          <w:t>室温制造的全无机辐射冷却材料</w:t>
        </w:r>
      </w:hyperlink>
    </w:p>
    <w:p>
      <w:pPr>
        <w:spacing w:before="0" w:after="80"/>
      </w:pPr>
      <w:r>
        <w:rPr>
          <w:i/>
          <w:sz w:val="20"/>
        </w:rPr>
        <w:t>EN: Room-Temperature-Fabricated All-Inorganic Radiative Cooling Materials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370">
        <w:r>
          <w:rPr>
            <w:color w:val="1155CC"/>
            <w:u w:val="single"/>
          </w:rPr>
          <w:t>10.1021/acsami.6c11169</w:t>
        </w:r>
      </w:hyperlink>
    </w:p>
    <w:p>
      <w:pPr>
        <w:spacing w:before="0" w:after="120"/>
      </w:pPr>
      <w:r>
        <w:rPr>
          <w:b/>
        </w:rPr>
        <w:t xml:space="preserve">Notes: </w:t>
      </w:r>
      <w:r>
        <w:t>abstract_source=crossref</w:t>
      </w:r>
    </w:p>
    <w:p>
      <w:pPr>
        <w:spacing w:before="0" w:after="80" w:lineRule="auto" w:line="276"/>
      </w:pPr>
      <w:r>
        <w:rPr>
          <w:b/>
        </w:rPr>
        <w:t xml:space="preserve">摘要（ZH）: </w:t>
      </w:r>
      <w:r>
        <w:t>摘要 被动日间辐射冷却是一种可持续的冷却技术，无需外部能量输入即可运行。现有的辐射冷却策略仍然受到可加工性和耐久性之间的权衡的限制：聚合物基涂层通常机械坚固性差和紫外线不稳定性，而无机涂层通常需要高温烧结。在这里，受墨鱼结构白色鳍斑的启发，我们报告了一种室温制造的光学解耦全无机辐射冷却涂层，其太阳反射率为 94.38%，红外发射率为 92.76%。由于其全无机成分，该涂层具有固有的不燃性、紫外线稳定性、附着力强、表面硬度高和耐磨性。在自然室外条件下，该涂层在测试室中实现了 13.21 °C 的冷却效果，并且在太阳辐照度为 900 W m−2 的定制建筑模型中仍可提供 1.52 °C 的低温冷却，同时还保持了可扩展的制造和节能潜力。此外，光学分析表明，太阳光反射率和红外发射率对氧化铝含量的响应不同，表明无机复合材料中存在不同的光学过程。这些结果为将室温可加工性与环境稳定性结合起来的无机辐射冷却涂层提供了一条实用途径。</w:t>
      </w:r>
    </w:p>
    <w:p>
      <w:pPr>
        <w:spacing w:before="0" w:after="200" w:lineRule="auto" w:line="276"/>
      </w:pPr>
      <w:r>
        <w:rPr>
          <w:b/>
        </w:rPr>
        <w:t xml:space="preserve">Abstract (EN): </w:t>
      </w:r>
      <w:r>
        <w:t>Passive daytime radiative cooling is a sustainable cooling technology that operates without external energy input. Existing radiative cooling strategies remain limited by the trade-off between processability and durability: polymer-based coatings often suffer from poor mechanical robustness and ultraviolet instability, whereas inorganic coatings typically require high-temperature sintering. Here, inspired by the structurally white fin spots of cuttlefish, we report a room-temperature-fabricated, optically decoupled, all-inorganic coating for radiative cooling with a solar reflectance of 94.38% and an infrared emissivity of 92.76%. Owing to its all-inorganic composition, the coating exhibits intrinsic nonflammability, ultraviolet stability, strong adhesion, high surface hardness, and wear resistance. Under natural outdoor conditions, the coating achieves a cooling effect of 13.21 °C in a test chamber and still delivers 1.52 °C subambient cooling in a custom-built building model at a solar irradiance of 900 W m−2, while also maintaining scalable fabrication and energy-saving potential. In addition, optical analysis reveals that solar reflectance and infrared emissivity respond differently to alumina content, indicating distinct optical processes within the inorganic composite. These results provide a practical route toward inorganic radiative cooling coatings that combine room-temperature processability with environmental stability.</w:t>
      </w:r>
    </w:p>
    <w:p>
      <w:pPr>
        <w:spacing w:before="120" w:after="120"/>
      </w:pPr>
      <w:r>
        <w:rPr>
          <w:sz w:val="18"/>
        </w:rPr>
        <w:t>——————————————————————————————————————————————————————————————————————</w:t>
      </w:r>
    </w:p>
    <w:p>
      <w:pPr>
        <w:spacing w:before="160" w:after="40" w:line="240" w:lineRule="auto"/>
      </w:pPr>
      <w:r>
        <w:rPr>
          <w:b/>
        </w:rPr>
        <w:t xml:space="preserve">[17] </w:t>
      </w:r>
      <w:hyperlink r:id="rId371">
        <w:r>
          <w:rPr>
            <w:color w:val="1155CC"/>
            <w:u w:val="single"/>
          </w:rPr>
          <w:t>可生物降解的 Janus 膜具有不对称润湿性和孔隙结构，可实现高效、耐盐的太阳能海水淡化</w:t>
        </w:r>
      </w:hyperlink>
    </w:p>
    <w:p>
      <w:pPr>
        <w:spacing w:before="0" w:after="80"/>
      </w:pPr>
      <w:r>
        <w:rPr>
          <w:i/>
          <w:sz w:val="20"/>
        </w:rPr>
        <w:t>EN: Biodegradable Janus Membrane Featuring Asymmetric Wettability and Pore Structures for Efficient and Salt-Resistant Solar Desalination</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372">
        <w:r>
          <w:rPr>
            <w:color w:val="1155CC"/>
            <w:u w:val="single"/>
          </w:rPr>
          <w:t>10.1021/acsami.6c11500</w:t>
        </w:r>
      </w:hyperlink>
    </w:p>
    <w:p>
      <w:pPr>
        <w:spacing w:before="0" w:after="120"/>
      </w:pPr>
      <w:r>
        <w:rPr>
          <w:b/>
        </w:rPr>
        <w:t xml:space="preserve">Notes: </w:t>
      </w:r>
      <w:r>
        <w:t>abstract_source=crossref</w:t>
      </w:r>
    </w:p>
    <w:p>
      <w:pPr>
        <w:spacing w:before="0" w:after="80" w:lineRule="auto" w:line="276"/>
      </w:pPr>
      <w:r>
        <w:rPr>
          <w:b/>
        </w:rPr>
        <w:t xml:space="preserve">摘要（ZH）: </w:t>
      </w:r>
      <w:r>
        <w:t>摘要 虽然太阳能驱动的界面蒸发对于解决淡水短缺问题具有广阔的前景，但其对不可降解合成聚合物的广泛依赖可能会引发二次微塑料污染的担忧。此外，平衡连续供水、热定位和防垢仍然是一个基本的界面挑战。在此，我们报道了一种可生物降解的Janus光热蒸发器，由亲水性羧化碳纳米管（CCNT）改性粘胶层和疏水性电纺聚乳酸（PLA）纳米纤维层组成。受益于其不对称润湿性和双层界面上独特的孔隙结构，Janus 结构表现出定向水传输行为。这种结构设计产生毛细管压力差，从而实现自泵、单向输水。因此，定向流体输送有助于维持蒸发界面处的水补充，改善界面加热并减少蒸发过程中的局部盐积累。当组装成 3D 圆锥形几何形状时，蒸发器可提供 1.89 kg·m–2·h–1 的表观蒸发速率，在 1 个太阳光照下，太阳能-蒸汽效率为 99.55%，同时在 3.5 wt% NaCl 溶液中保持稳定的蒸发性能超过 20 个循环。 PLA/粘胶膜具有可持续性，在堆肥条件下35天内降解率超过70%。这项工作深入了解了不对称润湿界面的作用，并提供了可生物降解的设计策略</w:t>
      </w:r>
    </w:p>
    <w:p>
      <w:pPr>
        <w:spacing w:before="0" w:after="200" w:lineRule="auto" w:line="276"/>
      </w:pPr>
      <w:r>
        <w:rPr>
          <w:b/>
        </w:rPr>
        <w:t xml:space="preserve">Abstract (EN): </w:t>
      </w:r>
      <w:r>
        <w:t>While solar-driven interfacial evaporation holds great promise for addressing freshwater scarcity, its widespread reliance on non-degradable synthetic polymers may raise concerns regarding secondary microplastic pollution. Furthermore, balancing continuous water supply, thermal localization, and anti-scaling remains a fundamental interfacial challenge. Herein, we report a biodegradable Janus photothermal evaporator composed of a hydrophilic carboxylated carbon nanotubes (CCNTs)-modified viscose layer and a hydrophobic electrospun polylactic acid (PLA) nanofibrous layer. Benefiting from its asymmetric wettability and distinct pore structures across the bilayer interface, the Janus architecture exhibits directional water transport behavior. This structural design generates a capillary pressure difference that enables self-pumping, unidirectional water transport. Consequently, the directional fluid delivery helps maintain water replenishment at the evaporation interface, improving interfacial heating and reducing local salt accumulation during evaporation. When assembled into a 3D conical geometry, the evaporator delivers an apparent evaporation rate of 1.89 kg·m–2·h–1 with solar-to-vapor efficiency of 99.55% under one-sun illumination, while maintaining stable evaporation performance over 20 cycles in 3.5 wt % NaCl solution. The PLA/viscose membrane exhibits sustainability, showing a degradation rate of over 70% within 35 days under composting conditions. This work provides insight into the role of asymmetric wetting interfaces and offers a biodegradable design strategy for solar interfacial evaporation systems.</w:t>
      </w:r>
    </w:p>
    <w:p>
      <w:pPr>
        <w:spacing w:before="120" w:after="120"/>
      </w:pPr>
      <w:r>
        <w:rPr>
          <w:sz w:val="18"/>
        </w:rPr>
        <w:t>——————————————————————————————————————————————————————————————————————</w:t>
      </w:r>
    </w:p>
    <w:p>
      <w:pPr>
        <w:spacing w:before="160" w:after="40" w:line="240" w:lineRule="auto"/>
      </w:pPr>
      <w:r>
        <w:rPr>
          <w:b/>
        </w:rPr>
        <w:t xml:space="preserve">[18] </w:t>
      </w:r>
      <w:hyperlink r:id="rId373">
        <w:r>
          <w:rPr>
            <w:color w:val="1155CC"/>
            <w:u w:val="single"/>
          </w:rPr>
          <w:t>通过热声子-电子相互作用跨 Pd/MXene 界面超快能量传输</w:t>
        </w:r>
      </w:hyperlink>
    </w:p>
    <w:p>
      <w:pPr>
        <w:spacing w:before="0" w:after="80"/>
      </w:pPr>
      <w:r>
        <w:rPr>
          <w:i/>
          <w:sz w:val="20"/>
        </w:rPr>
        <w:t>EN: Ultrafast energy transfer across Pd/MXene interface via hot phonon-electron interactions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374">
        <w:r>
          <w:rPr>
            <w:color w:val="1155CC"/>
            <w:u w:val="single"/>
          </w:rPr>
          <w:t>10.1126/sciadv.aee2017</w:t>
        </w:r>
      </w:hyperlink>
    </w:p>
    <w:p>
      <w:pPr>
        <w:spacing w:before="0" w:after="120"/>
      </w:pPr>
      <w:r>
        <w:rPr>
          <w:b/>
        </w:rPr>
        <w:t xml:space="preserve">Notes: </w:t>
      </w:r>
      <w:r>
        <w:t>abstract_source=crossref</w:t>
      </w:r>
    </w:p>
    <w:p>
      <w:pPr>
        <w:spacing w:before="0" w:after="80" w:lineRule="auto" w:line="276"/>
      </w:pPr>
      <w:r>
        <w:rPr>
          <w:b/>
        </w:rPr>
        <w:t xml:space="preserve">摘要（ZH）: </w:t>
      </w:r>
      <w:r>
        <w:t>异质结构中的界面结构和能量转移（ET）因其在热管理、催化和光电应用中日益重要而引起了极大的关注。然而，载流子-晶格相互作用在纳米尺度界面 ET 中的作用仍不清楚。在这里，我们通过原位化学生长构建金属/MXene异质结构作为研究界面能量流的平台。基于飞秒瞬态吸收光谱测量，在 Pd/MXene 中观察到~1.3 皮秒内的界面 ET，这无法用传统的声子-声子相互作用来解释。实验结果与密度泛函理论计算相结合，确定了一条超快 ET 路径，涉及强界面耦合和费米能级附近的高态密度电子，从而实现热声子驱动的电子激发。与传统的扩散声子过程不同，这种 ET 路径随着吸收光子能量和泵浦通量的增加而表现出更高的 ET 速率和效率。这些发现表明，界面化学键的调节有望实现跨纳米级界面的高效能量传输。</w:t>
      </w:r>
    </w:p>
    <w:p>
      <w:pPr>
        <w:spacing w:before="0" w:after="200" w:lineRule="auto" w:line="276"/>
      </w:pPr>
      <w:r>
        <w:rPr>
          <w:b/>
        </w:rPr>
        <w:t xml:space="preserve">Abstract (EN): </w:t>
      </w:r>
      <w:r>
        <w:t>The interfacial structure and energy transfer (ET) in heterostructures have attracted tremendous attention for their growing importance in thermal management, catalysis, and optoelectronic applications. However, the role of carrier-lattice interaction in interfacial ET at the nanoscale remains unclear. Here, we construct metal/MXene heterostructures via in situ chemical growth as platforms to study interfacial energy flow. On the basis of femtosecond transient absorption spectroscopic measurements, interfacial ET within ∼1.3 picoseconds is observed in Pd/MXene, which could not be explained by traditional phonon-phonon interaction. Experimental results combined with density functional theory calculations identify an ultrafast ET route involving strong interfacial coupling and high-density-of-state electrons near the Fermi level, enabling hot phonon–driven electron excitation. Distinct from conventional diffusive phonon processes, this ET route exhibits higher ET rate and efficiency with increasing absorbed photon energy and pump fluence. These findings reveal that the tuning of interfacial chemical bonds holds the promise to achieve high-efficiency energy transport across nanoscale interfaces.</w:t>
      </w:r>
    </w:p>
    <w:p>
      <w:pPr>
        <w:spacing w:before="120" w:after="120"/>
      </w:pPr>
      <w:r>
        <w:rPr>
          <w:sz w:val="18"/>
        </w:rPr>
        <w:t>——————————————————————————————————————————————————————————————————————</w:t>
      </w:r>
    </w:p>
    <w:p>
      <w:pPr>
        <w:spacing w:before="160" w:after="40" w:line="240" w:lineRule="auto"/>
      </w:pPr>
      <w:r>
        <w:rPr>
          <w:b/>
        </w:rPr>
        <w:t xml:space="preserve">[19] </w:t>
      </w:r>
      <w:hyperlink r:id="rId375">
        <w:r>
          <w:rPr>
            <w:color w:val="1155CC"/>
            <w:u w:val="single"/>
          </w:rPr>
          <w:t>主客体电荷转移共晶具有创纪录的高光热转换效率，用于太阳能驱动的界面水蒸发</w:t>
        </w:r>
      </w:hyperlink>
    </w:p>
    <w:p>
      <w:pPr>
        <w:spacing w:before="0" w:after="80"/>
      </w:pPr>
      <w:r>
        <w:rPr>
          <w:i/>
          <w:sz w:val="20"/>
        </w:rPr>
        <w:t>EN: Host–Guest Charge‐Transfer Co‐Crystals With Record‐High Photothermal Conversion Efficiency for Solar‐Driven Interfacial Water Evaporation</w:t>
      </w:r>
    </w:p>
    <w:p>
      <w:pPr>
        <w:spacing w:before="0" w:after="120"/>
      </w:pPr>
      <w:r>
        <w:rPr>
          <w:b/>
        </w:rPr>
        <w:t xml:space="preserve">Source: </w:t>
      </w:r>
      <w:r>
        <w:t>Wiley: Advanced Materials: Table of Contents</w:t>
      </w:r>
      <w:r>
        <w:t xml:space="preserve">    </w:t>
      </w:r>
      <w:r>
        <w:rPr>
          <w:b/>
        </w:rPr>
        <w:t xml:space="preserve">Pub date: </w:t>
      </w:r>
      <w:r>
        <w:t>2026-08-19 11:50:16+00:00</w:t>
      </w:r>
      <w:r>
        <w:t xml:space="preserve">    </w:t>
      </w:r>
      <w:r>
        <w:rPr>
          <w:b/>
        </w:rPr>
        <w:t xml:space="preserve">DOI: </w:t>
      </w:r>
      <w:hyperlink r:id="rId376">
        <w:r>
          <w:rPr>
            <w:color w:val="1155CC"/>
            <w:u w:val="single"/>
          </w:rPr>
          <w:t>10.1002/adma.74733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使用光热转换材料的太阳能驱动界面水蒸发对于解决全球淡水短缺至关重要。有机电荷转移 (CT) 共晶对于光热转换是有效的，但其效率通常受到次优 CT 相互作用的限制。在这里，我们在有机 CT 共晶中开发了一种主客体增强 CT 相互作用策略，以实现高效的光热转换。两个共晶，</w:t>
      </w:r>
      <w:r>
        <w:t xml:space="preserve"> </w:t>
      </w:r>
      <w:r>
        <w:t>TCNQ@An34C10</w:t>
      </w:r>
      <w:r>
        <w:t xml:space="preserve"> </w:t>
      </w:r>
      <w:r>
        <w:t>和</w:t>
      </w:r>
      <w:r>
        <w:t xml:space="preserve"> </w:t>
      </w:r>
      <w:r>
        <w:t>F</w:t>
      </w:r>
      <w:r>
        <w:rPr>
          <w:vertAlign w:val="subscript"/>
        </w:rPr>
        <w:t>4</w:t>
      </w:r>
      <w:r>
        <w:t>TCNQ@An34C10</w:t>
      </w:r>
      <w:r>
        <w:t xml:space="preserve"> </w:t>
      </w:r>
      <w:r>
        <w:t>，是通过使用含蒽的冠醚（</w:t>
      </w:r>
      <w:r>
        <w:t xml:space="preserve"> </w:t>
      </w:r>
      <w:r>
        <w:t>安34C10</w:t>
      </w:r>
      <w:r>
        <w:t xml:space="preserve"> </w:t>
      </w:r>
      <w:r>
        <w:t>）作为电子供体主体和两个电子受体客体，7,7,8,8-四氰基醌二甲烷（</w:t>
      </w:r>
      <w:r>
        <w:t xml:space="preserve"> </w:t>
      </w:r>
      <w:r>
        <w:t>TCNQ</w:t>
      </w:r>
      <w:r>
        <w:t xml:space="preserve"> </w:t>
      </w:r>
      <w:r>
        <w:t>）和 2,3,5,6-四氟-7,7,8,8-四氰基醌二甲烷（</w:t>
      </w:r>
      <w:r>
        <w:t xml:space="preserve"> </w:t>
      </w:r>
      <w:r>
        <w:t>F</w:t>
      </w:r>
      <w:r>
        <w:rPr>
          <w:vertAlign w:val="subscript"/>
        </w:rPr>
        <w:t>4</w:t>
      </w:r>
      <w:r>
        <w:t>TCNQ</w:t>
      </w:r>
      <w:r>
        <w:t xml:space="preserve"> </w:t>
      </w:r>
      <w:r>
        <w:t>）分别。受益于优异的电子亲和力</w:t>
      </w:r>
      <w:r>
        <w:t xml:space="preserve"> </w:t>
      </w:r>
      <w:r>
        <w:t>F</w:t>
      </w:r>
      <w:r>
        <w:rPr>
          <w:vertAlign w:val="subscript"/>
        </w:rPr>
        <w:t>4</w:t>
      </w:r>
      <w:r>
        <w:t>TCNQ</w:t>
      </w:r>
      <w:r>
        <w:t xml:space="preserve"> </w:t>
      </w:r>
      <w:r>
        <w:t>,</w:t>
      </w:r>
      <w:r>
        <w:t xml:space="preserve"> </w:t>
      </w:r>
      <w:r>
        <w:t>F</w:t>
      </w:r>
      <w:r>
        <w:rPr>
          <w:vertAlign w:val="subscript"/>
        </w:rPr>
        <w:t>4</w:t>
      </w:r>
      <w:r>
        <w:t>TCNQ@An34C10</w:t>
      </w:r>
      <w:r>
        <w:t xml:space="preserve"> </w:t>
      </w:r>
      <w:r>
        <w:t>在808 nm激光照射下实现创纪录的98.0%光热转换效率，远远超过</w:t>
      </w:r>
    </w:p>
    <w:p>
      <w:pPr>
        <w:spacing w:before="0" w:after="200" w:lineRule="auto" w:line="276"/>
      </w:pPr>
      <w:r>
        <w:rPr>
          <w:b/>
        </w:rPr>
        <w:t xml:space="preserve">Abstract (EN): </w:t>
      </w:r>
      <w:r>
        <w:t>Solar‐driven interfacial water evaporation using photothermal conversion materials is essential to address global freshwater scarcity. Organic charge‐transfer (CT) co‐crystals are effective for photothermal conversion, but their efficiency is often limited by suboptimal CT interactions. Here, we developed a host–guest‐enhanced CT interaction strategy in organic CT co‐crystals for efficient photothermal conversion. Two co‐crystals,</w:t>
      </w:r>
      <w:r>
        <w:t xml:space="preserve"> </w:t>
      </w:r>
      <w:r>
        <w:t>TCNQ@An34C10</w:t>
      </w:r>
      <w:r>
        <w:t xml:space="preserve"> </w:t>
      </w:r>
      <w:r>
        <w:t>and</w:t>
      </w:r>
      <w:r>
        <w:t xml:space="preserve"> </w:t>
      </w:r>
      <w:r>
        <w:t>F</w:t>
      </w:r>
      <w:r>
        <w:rPr>
          <w:vertAlign w:val="subscript"/>
        </w:rPr>
        <w:t>4</w:t>
      </w:r>
      <w:r>
        <w:t>TCNQ@An34C10</w:t>
      </w:r>
      <w:r>
        <w:t xml:space="preserve"> </w:t>
      </w:r>
      <w:r>
        <w:t>, are prepared by employing an anthracene‐containing crown ether (</w:t>
      </w:r>
      <w:r>
        <w:t xml:space="preserve"> </w:t>
      </w:r>
      <w:r>
        <w:t>An34C10</w:t>
      </w:r>
      <w:r>
        <w:t xml:space="preserve"> </w:t>
      </w:r>
      <w:r>
        <w:t>) as the electron donor host and two electron acceptor guests, 7,7,8,8‐tetracyanoquinodimethane (</w:t>
      </w:r>
      <w:r>
        <w:t xml:space="preserve"> </w:t>
      </w:r>
      <w:r>
        <w:t>TCNQ</w:t>
      </w:r>
      <w:r>
        <w:t xml:space="preserve"> </w:t>
      </w:r>
      <w:r>
        <w:t>) and 2,3,5,6‐tetrafluoro‐7,7,8,8‐tetracyanoquinodimethane (</w:t>
      </w:r>
      <w:r>
        <w:t xml:space="preserve"> </w:t>
      </w:r>
      <w:r>
        <w:t>F</w:t>
      </w:r>
      <w:r>
        <w:rPr>
          <w:vertAlign w:val="subscript"/>
        </w:rPr>
        <w:t>4</w:t>
      </w:r>
      <w:r>
        <w:t>TCNQ</w:t>
      </w:r>
      <w:r>
        <w:t xml:space="preserve"> </w:t>
      </w:r>
      <w:r>
        <w:t>), respectively. Benefiting from the superior electron affinity of</w:t>
      </w:r>
      <w:r>
        <w:t xml:space="preserve"> </w:t>
      </w:r>
      <w:r>
        <w:t>F</w:t>
      </w:r>
      <w:r>
        <w:rPr>
          <w:vertAlign w:val="subscript"/>
        </w:rPr>
        <w:t>4</w:t>
      </w:r>
      <w:r>
        <w:t>TCNQ</w:t>
      </w:r>
      <w:r>
        <w:t xml:space="preserve"> </w:t>
      </w:r>
      <w:r>
        <w:t>,</w:t>
      </w:r>
      <w:r>
        <w:t xml:space="preserve"> </w:t>
      </w:r>
      <w:r>
        <w:t>F</w:t>
      </w:r>
      <w:r>
        <w:rPr>
          <w:vertAlign w:val="subscript"/>
        </w:rPr>
        <w:t>4</w:t>
      </w:r>
      <w:r>
        <w:t>TCNQ@An34C10</w:t>
      </w:r>
      <w:r>
        <w:t xml:space="preserve"> </w:t>
      </w:r>
      <w:r>
        <w:t>achieves a record‐high photothermal conversion efficiency of 98.0% under 808 nm laser irradiation, far exceeding the 79.9% efficiency of</w:t>
      </w:r>
      <w:r>
        <w:t xml:space="preserve"> </w:t>
      </w:r>
      <w:r>
        <w:t>TCNQ@An34C10</w:t>
      </w:r>
      <w:r>
        <w:t xml:space="preserve"> </w:t>
      </w:r>
      <w:r>
        <w:t>. This performance disparity is attributed to the distinct intermolecular interactions within the host–guest complexes, as revealed by combined experimental and theoretical calculations. Based on the exceptional photothermal properties, a composite foam is fabricated for solar‐driven interfacial water evaporation by loading</w:t>
      </w:r>
      <w:r>
        <w:t xml:space="preserve"> </w:t>
      </w:r>
      <w:r>
        <w:t>F</w:t>
      </w:r>
      <w:r>
        <w:rPr>
          <w:vertAlign w:val="subscript"/>
        </w:rPr>
        <w:t>4</w:t>
      </w:r>
      <w:r>
        <w:t>TCNQ@An34C10</w:t>
      </w:r>
      <w:r>
        <w:t xml:space="preserve"> </w:t>
      </w:r>
      <w:r>
        <w:t>onto porous polyurethane, which achieves a high water evaporation rate of 1.343 kg m</w:t>
      </w:r>
      <w:r>
        <w:t xml:space="preserve"> </w:t>
      </w:r>
      <w:r>
        <w:t>−2</w:t>
      </w:r>
      <w:r>
        <w:t xml:space="preserve"> </w:t>
      </w:r>
      <w:r>
        <w:t>h</w:t>
      </w:r>
      <w:r>
        <w:t xml:space="preserve"> </w:t>
      </w:r>
      <w:r>
        <w:t>−1</w:t>
      </w:r>
      <w:r>
        <w:t xml:space="preserve"> </w:t>
      </w:r>
      <w:r>
        <w:t>and a solar‐to‐vapor efficiency of 91.1% under 1 sun irradiation. This work provides new avenues for developing advanced photothermal materials toward efficient solar energy utilization.</w:t>
      </w:r>
    </w:p>
    <w:p>
      <w:pPr>
        <w:spacing w:before="120" w:after="120"/>
      </w:pPr>
      <w:r>
        <w:rPr>
          <w:sz w:val="18"/>
        </w:rPr>
        <w:t>——————————————————————————————————————————————————————————————————————</w:t>
      </w:r>
    </w:p>
    <w:p>
      <w:pPr>
        <w:spacing w:before="160" w:after="40" w:line="240" w:lineRule="auto"/>
      </w:pPr>
      <w:r>
        <w:rPr>
          <w:b/>
        </w:rPr>
        <w:t xml:space="preserve">[20] </w:t>
      </w:r>
      <w:hyperlink r:id="rId377">
        <w:r>
          <w:rPr>
            <w:color w:val="1155CC"/>
            <w:u w:val="single"/>
          </w:rPr>
          <w:t>打破导热率-潜热权衡：用于高级热管理的分层核-壳相变石墨烯纤维框架</w:t>
        </w:r>
      </w:hyperlink>
    </w:p>
    <w:p>
      <w:pPr>
        <w:spacing w:before="0" w:after="80"/>
      </w:pPr>
      <w:r>
        <w:rPr>
          <w:i/>
          <w:sz w:val="20"/>
        </w:rPr>
        <w:t>EN: Breaking the Thermal Conductivity–Latent Heat Trade-Off: Hierarchical Core–Shell Phase-Change Graphene Fiber Frameworks for Advanced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378">
        <w:r>
          <w:rPr>
            <w:color w:val="1155CC"/>
            <w:u w:val="single"/>
          </w:rPr>
          <w:t>10.1021/acsami.6c10088</w:t>
        </w:r>
      </w:hyperlink>
    </w:p>
    <w:p>
      <w:pPr>
        <w:spacing w:before="0" w:after="120"/>
      </w:pPr>
      <w:r>
        <w:rPr>
          <w:b/>
        </w:rPr>
        <w:t xml:space="preserve">Notes: </w:t>
      </w:r>
      <w:r>
        <w:t>abstract_source=crossref</w:t>
      </w:r>
    </w:p>
    <w:p>
      <w:pPr>
        <w:spacing w:before="0" w:after="80" w:lineRule="auto" w:line="276"/>
      </w:pPr>
      <w:r>
        <w:rPr>
          <w:b/>
        </w:rPr>
        <w:t xml:space="preserve">摘要（ZH）: </w:t>
      </w:r>
      <w:r>
        <w:t>摘要 电子设备的快速小型化导致功率密度呈指数级增长，使得热量积累和瞬态热冲击成为主要瓶颈。相变热界面材料（PC-TIM）提供了一种有前景的解决方案，但其应用受到低固有热导率和液体泄漏的阻碍。此外，传统的由外向内浸渍策略在导热系数增强和潜热保温之间存在严重的权衡问题。在这项工作中，提出了一种分层的由内而外的结构工程策略来制造核-鞘相变石墨烯纤维框架（GFF@PEG）。同轴湿纺将聚乙二醇（PEG）核紧密封装在氧化石墨烯壳内。随后的真空浸渍和化学还原产生“热焊接”效应，桥接离散纤维，将电阻点对点接触转换为表面到表面互连，建立不间断的 3D 声子传输高速公路。因此，GFF@PEG复合材料实现了77.67 W m−1 K−1的出色导热率，同时保持了~90 J g−1的潜热容。同时，坚固的石墨烯外壳可确保 600 次热循环中的泄漏接近于零。在模拟芯片冷却系统 (20 W cm−2) 中，温度大幅降低了 60.7 °C。最终，这种完全封闭的范例规避了传统的界面热障，为高功率电子产品提供了高度稳健的双模式热管理解决方案。</w:t>
      </w:r>
    </w:p>
    <w:p>
      <w:pPr>
        <w:spacing w:before="0" w:after="200" w:lineRule="auto" w:line="276"/>
      </w:pPr>
      <w:r>
        <w:rPr>
          <w:b/>
        </w:rPr>
        <w:t xml:space="preserve">Abstract (EN): </w:t>
      </w:r>
      <w:r>
        <w:t>The rapid miniaturization of electronic devices has exponentially increased power densities, making heat accumulation and transient thermal shocks primary bottlenecks. Phase-change thermal interface materials (PC-TIMs) offer a promising solution, but their application is hindered by low intrinsic thermal conductivity and liquid leakage. Furthermore, traditional outside-in impregnation strategies suffer from a severe trade-off between thermal conductivity enhancement and latent heat preservation. In this work, a hierarchical inside-out structural engineering strategy is proposed to fabricate a core–sheath phase-change graphene fiber framework (GFF@PEG). Coaxial wet-spinning densely encapsulates a polyethylene glycol (PEG) core within a graphene oxide shell. Subsequent vacuum impregnation and chemical reduction create a “thermal soldering” effect, bridging discrete fibers to convert resistive point-to-point contacts into surface-to-surface interconnections, establishing an unbroken 3D phonon transport highway. Thus, the GFF@PEG composite achieves an exceptional thermal conductivity of 77.67 W m−1 K−1 while preserving a latent heat capacity of ∼90 J g−1. Meanwhile, the robust graphene shell ensures near-zero leakage over 600 thermal cycles. In a simulated chip cooling system (20 W cm−2), it delivered a dramatic 60.7 °C temperature reduction. Ultimately, this fully enveloped paradigm circumvents traditional interfacial thermal barriers, providing a highly robust dual-mode thermal management solution for high-power electronics.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379">
        <w:r>
          <w:rPr>
            <w:color w:val="1155CC"/>
            <w:u w:val="single"/>
          </w:rPr>
          <w:t>HL-3托卡马克核心杂质积累的电子回旋波控制集成建模</w:t>
        </w:r>
      </w:hyperlink>
    </w:p>
    <w:p>
      <w:pPr>
        <w:spacing w:before="0" w:after="80"/>
      </w:pPr>
      <w:r>
        <w:rPr>
          <w:i/>
          <w:sz w:val="20"/>
        </w:rPr>
        <w:t>EN: Integrated modeling of electron cyclotron wave control of core impurity accumulation in HL-3 tokamak</w:t>
      </w:r>
    </w:p>
    <w:p>
      <w:pPr>
        <w:spacing w:before="0" w:after="120"/>
      </w:pPr>
      <w:r>
        <w:rPr>
          <w:b/>
        </w:rPr>
        <w:t xml:space="preserve">Source: </w:t>
      </w:r>
      <w:r>
        <w:t>Nuclear Fusion - latest papers</w:t>
      </w:r>
      <w:r>
        <w:t xml:space="preserve">    </w:t>
      </w:r>
      <w:r>
        <w:rPr>
          <w:b/>
        </w:rPr>
        <w:t xml:space="preserve">Pub date: </w:t>
      </w:r>
      <w:r>
        <w:t>2026-08-16 23:00:00+00:00</w:t>
      </w:r>
      <w:r>
        <w:t xml:space="preserve">    </w:t>
      </w:r>
      <w:r>
        <w:rPr>
          <w:b/>
        </w:rPr>
        <w:t xml:space="preserve">DOI: </w:t>
      </w:r>
      <w:hyperlink r:id="rId380">
        <w:r>
          <w:rPr>
            <w:color w:val="1155CC"/>
            <w:u w:val="single"/>
          </w:rPr>
          <w:t>10.1088/1741-4326/ae9561</w:t>
        </w:r>
      </w:hyperlink>
    </w:p>
    <w:p>
      <w:pPr>
        <w:spacing w:before="0" w:after="120"/>
      </w:pPr>
      <w:r>
        <w:rPr>
          <w:b/>
        </w:rPr>
        <w:t xml:space="preserve">Notes: </w:t>
      </w:r>
      <w:r>
        <w:t>abstract_source=rss_description</w:t>
      </w:r>
    </w:p>
    <w:p>
      <w:pPr>
        <w:spacing w:before="0" w:after="80" w:lineRule="auto" w:line="276"/>
      </w:pPr>
      <w:r>
        <w:rPr>
          <w:b/>
        </w:rPr>
        <w:t xml:space="preserve">摘要（ZH）: </w:t>
      </w:r>
      <w:r>
        <w:t>核心杂质积累会严重降低等离子体限制，甚至可能导致中断；因此，缓解它对于托卡马克装置实现稳定的高性能运行至关重要。本工作基于OMFIT集成建模平台，研究了中性束注入（NBI）加热背景等离子体下HL-3托卡马克中电子回旋波（ECW）对核心钨杂质输运的影响。仿真结果表明，在纯 NBI 情况下，W 杂质密度分布表现出明显的中心峰值，而 ECW 注入可以有效减轻钨积累，控制效率很大程度上取决于功率沉积位置、注入 ECW 功率和电流驱动方案。 ρ ≈ 0.1 的近轴 ECW 沉积和 ρ ≈ 0.5 的离轴沉积被认为是有利的杂质控制方案，而 ρ ≈ 0.3 的中半径沉积提供了相对较弱的抑制效果。两个有效沉积区域对应于不同的主导机制：近轴ECW沉积主要通过增强核心湍流传输和减弱向内对流来减轻W峰化，而离轴沉积主要通过平坦化主离子密度分布从而减少密度梯度驱动的新古典向内收缩来抑制W积累。对于近轴 ECW 沉积，电流驱动方案对 W 传输有重大影响。在逆流驱动情况下，局部安全系数的增加伴随着新古典i的增强</w:t>
      </w:r>
    </w:p>
    <w:p>
      <w:pPr>
        <w:spacing w:before="0" w:after="200" w:lineRule="auto" w:line="276"/>
      </w:pPr>
      <w:r>
        <w:rPr>
          <w:b/>
        </w:rPr>
        <w:t xml:space="preserve">Abstract (EN): </w:t>
      </w:r>
      <w:r>
        <w:t>Core impurity accumulation can severely degrade plasma confinement and may even lead to disruptions; therefore, its mitigation is essential for achieving stable high-performance operation in tokamak devices. In this work, based on the OMFIT integrated modeling platform, the effects of electron cyclotron waves (ECWs) on core tungsten impurity transport are investigated in the HL-3 tokamak under an neutral beam injection (NBI)-heated background plasma. The simulation results show that, in the pure NBI case, the W impurity density profile exhibits pronounced central peaking, whereas ECW injection can effectively mitigate tungsten accumulation, with the control efficiency depending strongly on the power deposition location, injected ECW power, and current-drive scheme. Near-axis ECW deposition at ρ ≈ 0.1 and off-axis deposition at ρ ≈ 0.5 are found to be favorable impurity control schemes, whereas intermediate-radius deposition at ρ ≈ 0.3 provides a relatively weak suppression effect. The two effective deposition regions correspond to different dominant mechanisms: near-axis ECW deposition mainly alleviates W peaking by enhancing core turbulent transport and weakening inward convection, whereas off-axis deposition suppresses W accumulation primarily by flattening the main-ion density profile and thereby reducing the density-gradient-driven neoclassical inward pinch. For near-axis ECW deposition, the current-drive scheme has a significant influence on W transport. In the counter-current drive case, the increase in the local safety factor is accompanied by enhanced neoclassical inward convection, resulting in only limited mitigation of W peaking; by contrast, when ECW is deposited farther off axis, the W transport behavior is only weakly sensitive to the current-drive scheme. These results provide a physics basis for understanding impurity transport under high-power NBI heating and offer useful guidance for impurity control in the HL-3 tokamak.</w:t>
      </w:r>
    </w:p>
    <w:p>
      <w:pPr>
        <w:spacing w:before="120" w:after="120"/>
      </w:pPr>
      <w:r>
        <w:rPr>
          <w:sz w:val="18"/>
        </w:rPr>
        <w:t>——————————————————————————————————————————————————————————————————————</w:t>
      </w:r>
    </w:p>
    <w:p>
      <w:pPr>
        <w:spacing w:before="160" w:after="40" w:line="240" w:lineRule="auto"/>
      </w:pPr>
      <w:r>
        <w:rPr>
          <w:b/>
        </w:rPr>
        <w:t xml:space="preserve">[2] </w:t>
      </w:r>
      <w:hyperlink r:id="rId381">
        <w:r>
          <w:rPr>
            <w:color w:val="1155CC"/>
            <w:u w:val="single"/>
          </w:rPr>
          <w:t>量化直接驱动惯性约束聚变内爆压印灵敏度的理论模型</w:t>
        </w:r>
      </w:hyperlink>
    </w:p>
    <w:p>
      <w:pPr>
        <w:spacing w:before="0" w:after="80"/>
      </w:pPr>
      <w:r>
        <w:rPr>
          <w:i/>
          <w:sz w:val="20"/>
        </w:rPr>
        <w:t>EN: A theoretical model for quantifying the imprinting sensitivity of direct-drive inertial confinement fusion implosions</w:t>
      </w:r>
    </w:p>
    <w:p>
      <w:pPr>
        <w:spacing w:before="0" w:after="120"/>
      </w:pPr>
      <w:r>
        <w:rPr>
          <w:b/>
        </w:rPr>
        <w:t xml:space="preserve">Source: </w:t>
      </w:r>
      <w:r>
        <w:t>Nuclear Fusion - latest papers</w:t>
      </w:r>
      <w:r>
        <w:t xml:space="preserve">    </w:t>
      </w:r>
      <w:r>
        <w:rPr>
          <w:b/>
        </w:rPr>
        <w:t xml:space="preserve">Pub date: </w:t>
      </w:r>
      <w:r>
        <w:t>2026-08-16 23:00:00+00:00</w:t>
      </w:r>
      <w:r>
        <w:t xml:space="preserve">    </w:t>
      </w:r>
      <w:r>
        <w:rPr>
          <w:b/>
        </w:rPr>
        <w:t xml:space="preserve">DOI: </w:t>
      </w:r>
      <w:hyperlink r:id="rId382">
        <w:r>
          <w:rPr>
            <w:color w:val="1155CC"/>
            <w:u w:val="single"/>
          </w:rPr>
          <w:t>10.1088/1741-4326/ae9491</w:t>
        </w:r>
      </w:hyperlink>
    </w:p>
    <w:p>
      <w:pPr>
        <w:spacing w:before="0" w:after="120"/>
      </w:pPr>
      <w:r>
        <w:rPr>
          <w:b/>
        </w:rPr>
        <w:t xml:space="preserve">Notes: </w:t>
      </w:r>
      <w:r>
        <w:t>abstract_source=rss_description</w:t>
      </w:r>
    </w:p>
    <w:p>
      <w:pPr>
        <w:spacing w:before="0" w:after="80" w:lineRule="auto" w:line="276"/>
      </w:pPr>
      <w:r>
        <w:rPr>
          <w:b/>
        </w:rPr>
        <w:t xml:space="preserve">摘要（ZH）: </w:t>
      </w:r>
      <w:r>
        <w:t>为了量化不同内爆设计对激光压印的敏感性，我们开发了一个等效的扰动模型，将激光压印映射为初始目标表面扰动。通过纳入靶制造中的缺陷和等离子体中的热平滑，该模型显示出对激光压印的内爆敏感性降低，从而将分析扩展到几何辐射之外。压印灵敏度阈值定义为 ，其中 是压印幅度， 是初始目标扰动幅度。辐射流体动力学模拟证实，当 时，非线性起始时间和绝热的变化保持在单独使用时的 12% 以内。此外，印迹灵敏度得到了OMEGA实验的支持。总体而言，对于直接驱动中中高模式的线性扰动，该模型增强了我们对激光和目标扰动如何演变的物理理解，并作为优化内爆性能的简化工具。</w:t>
      </w:r>
    </w:p>
    <w:p>
      <w:pPr>
        <w:spacing w:before="0" w:after="200" w:lineRule="auto" w:line="276"/>
      </w:pPr>
      <w:r>
        <w:rPr>
          <w:b/>
        </w:rPr>
        <w:t xml:space="preserve">Abstract (EN): </w:t>
      </w:r>
      <w:r>
        <w:t>To quantify the sensitivity of diverse implosion designs to laser imprinting, we developed an equivalent perturbation model that maps laser imprinting as the initial target surface perturbation. By incorporating imperfections in target fabrication and thermal smoothing in the plasma, the model shows a reduced implosion sensitivity to laser imprinting, extending the analysis beyond geometric irradiation. The imprinting sensitivity threshold is defined as , where is the imprinting amplitude and is the initial target perturbation amplitude. Radiation-hydrodynamics simulations confirm that when , variations in nonlinear onset time and adiabat remain within 12% of that with alone. Moreover, the imprinting sensitivity is supported by OMEGA experiments. Overall, for linear perturbations of medium-to-high modes in direct-drive, the model enhances our physical understanding of how laser and target perturbations evolve and serves as a simplified tool to optimize implosion performance.</w:t>
      </w:r>
    </w:p>
    <w:p>
      <w:pPr>
        <w:spacing w:before="120" w:after="120"/>
      </w:pPr>
      <w:r>
        <w:rPr>
          <w:sz w:val="18"/>
        </w:rPr>
        <w:t>——————————————————————————————————————————————————————————————————————</w:t>
      </w:r>
    </w:p>
    <w:p>
      <w:pPr>
        <w:spacing w:before="160" w:after="40" w:line="240" w:lineRule="auto"/>
      </w:pPr>
      <w:r>
        <w:rPr>
          <w:b/>
        </w:rPr>
        <w:t xml:space="preserve">[3] </w:t>
      </w:r>
      <w:hyperlink r:id="rId383">
        <w:r>
          <w:rPr>
            <w:color w:val="1155CC"/>
            <w:u w:val="single"/>
          </w:rPr>
          <w:t>$^{240}\mathrm{Pu}、^{232}\mathrm{Th}$ 和 $^{264}\mathrm{Fm}$ 自发裂变中碎片壳效应的动态选择</w:t>
        </w:r>
      </w:hyperlink>
    </w:p>
    <w:p>
      <w:pPr>
        <w:spacing w:before="0" w:after="80"/>
      </w:pPr>
      <w:r>
        <w:rPr>
          <w:i/>
          <w:sz w:val="20"/>
        </w:rPr>
        <w:t>EN: Dynamical selection of fragment shell effects in spontaneous fission of $^{240}\mathrm{Pu}, ^{232}\mathrm{Th}$, and $^{264}\mathrm{Fm}$</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384">
        <w:r>
          <w:rPr>
            <w:color w:val="1155CC"/>
            <w:u w:val="single"/>
          </w:rPr>
          <w:t>10.1103/l2dq-9spg</w:t>
        </w:r>
      </w:hyperlink>
    </w:p>
    <w:p>
      <w:pPr>
        <w:spacing w:before="0" w:after="120"/>
      </w:pPr>
      <w:r>
        <w:rPr>
          <w:b/>
        </w:rPr>
        <w:t xml:space="preserve">Notes: </w:t>
      </w:r>
      <w:r>
        <w:t>abstract_source=rss_description</w:t>
      </w:r>
    </w:p>
    <w:p>
      <w:pPr>
        <w:spacing w:before="0" w:after="80" w:lineRule="auto" w:line="276"/>
      </w:pPr>
      <w:r>
        <w:rPr>
          <w:b/>
        </w:rPr>
        <w:t xml:space="preserve">摘要（ZH）: </w:t>
      </w:r>
      <w:r>
        <w:t>作者：Qiafeng Chen、Fuchang Gu、Yingge Huang、Erxi Shaw、Yinu Zhang 和 Jun Su 背景：碎片壳效应对于自发裂变（SF）质量产额的形成至关重要。然而，目前尚不清楚碎片壳效应所青睐的哪些配置是动态选择的，并最终在 SF 产量中显示为峰值。目的：为了澄清，通过比较 $^{24…[Phys. Rev. C 114, 024329] 于 2026 年 8 月 17 日星期一发布</w:t>
      </w:r>
    </w:p>
    <w:p>
      <w:pPr>
        <w:spacing w:before="0" w:after="200" w:lineRule="auto" w:line="276"/>
      </w:pPr>
      <w:r>
        <w:rPr>
          <w:b/>
        </w:rPr>
        <w:t xml:space="preserve">Abstract (EN): </w:t>
      </w:r>
      <w:r>
        <w:t>Author(s): Qiafeng Chen, Fuchang Gu, Yingge Huang, Erxi Xiao, Yinu Zhang, and Jun SuBackground: Fragment shell effects are central to the formation of spontaneous-fission (SF) mass yields. However, it remains unclear which configurations favored by fragment shell effects are dynamically selected and ultimately appear as peaks in the SF yields.Purpose: To clarify, by comparing $^{24…[Phys. Rev. C 114, 024329] Published Mon Aug 17, 2026</w:t>
      </w:r>
    </w:p>
    <w:p>
      <w:pPr>
        <w:spacing w:before="120" w:after="120"/>
      </w:pPr>
      <w:r>
        <w:rPr>
          <w:sz w:val="18"/>
        </w:rPr>
        <w:t>——————————————————————————————————————————————————————————————————————</w:t>
      </w:r>
    </w:p>
    <w:p>
      <w:pPr>
        <w:spacing w:before="160" w:after="40" w:line="240" w:lineRule="auto"/>
      </w:pPr>
      <w:r>
        <w:rPr>
          <w:b/>
        </w:rPr>
        <w:t xml:space="preserve">[4] </w:t>
      </w:r>
      <w:hyperlink r:id="rId385">
        <w:r>
          <w:rPr>
            <w:color w:val="1155CC"/>
            <w:u w:val="single"/>
          </w:rPr>
          <w:t>完成线性 IFMIF 原型加速器 (LIPAc) 在 5 MeV、125 mA D+ 下的高占空比光束调试</w:t>
        </w:r>
      </w:hyperlink>
    </w:p>
    <w:p>
      <w:pPr>
        <w:spacing w:before="0" w:after="80"/>
      </w:pPr>
      <w:r>
        <w:rPr>
          <w:i/>
          <w:sz w:val="20"/>
        </w:rPr>
        <w:t>EN: Accomplishment of high duty cycle beam commissioning of Linear IFMIF Prototype Accelerator (LIPAc) at 5 MeV, 125 mA D+</w:t>
      </w:r>
    </w:p>
    <w:p>
      <w:pPr>
        <w:spacing w:before="0" w:after="120"/>
      </w:pPr>
      <w:r>
        <w:rPr>
          <w:b/>
        </w:rPr>
        <w:t xml:space="preserve">Source: </w:t>
      </w:r>
      <w:r>
        <w:t>Nuclear Fusion - latest papers</w:t>
      </w:r>
      <w:r>
        <w:t xml:space="preserve">    </w:t>
      </w:r>
      <w:r>
        <w:rPr>
          <w:b/>
        </w:rPr>
        <w:t xml:space="preserve">Pub date: </w:t>
      </w:r>
      <w:r>
        <w:t>2026-08-17 23:00:00+00:00</w:t>
      </w:r>
      <w:r>
        <w:t xml:space="preserve">    </w:t>
      </w:r>
      <w:r>
        <w:rPr>
          <w:b/>
        </w:rPr>
        <w:t xml:space="preserve">DOI: </w:t>
      </w:r>
      <w:hyperlink r:id="rId386">
        <w:r>
          <w:rPr>
            <w:color w:val="1155CC"/>
            <w:u w:val="single"/>
          </w:rPr>
          <w:t>10.1088/1741-4326/ae8f56</w:t>
        </w:r>
      </w:hyperlink>
    </w:p>
    <w:p>
      <w:pPr>
        <w:spacing w:before="0" w:after="120"/>
      </w:pPr>
      <w:r>
        <w:rPr>
          <w:b/>
        </w:rPr>
        <w:t xml:space="preserve">Notes: </w:t>
      </w:r>
      <w:r>
        <w:t>abstract_source=rss_description</w:t>
      </w:r>
    </w:p>
    <w:p>
      <w:pPr>
        <w:spacing w:before="0" w:after="80" w:lineRule="auto" w:line="276"/>
      </w:pPr>
      <w:r>
        <w:rPr>
          <w:b/>
        </w:rPr>
        <w:t xml:space="preserve">摘要（ZH）: </w:t>
      </w:r>
      <w:r>
        <w:t>线性 IFMIF 原型加速器 (LIPAc) 正在根据欧洲和日本之间的更广泛方法协议进行调试，以验证国际聚变材料辐照设施 (IFMIF) 加速器的低能部分。 LIPAc 设计用于在连续波 (CW) 操作中将 125 mA 氘核束加速至 9 MeV。本文报告了使用 RFQ 在 B+ 阶段配置中以 5 MeV 进行高占空比光束调试的结果。实现了 8.75% 的最大占空比和 119 mA 的束电流，对应于 40-45 kW 的平均 RFQ 束功率，这是可操作 RFQ 实现的最高平均束功率之一。调试还确定了 RFQ 射频耦合器是占空比进一步增加的瓶颈，因此需要准备钎焊高占空比耦合器。这些成就为下一阶段的调试奠定了坚实的基础，包括 SRF 直线加速器集成以及 CW 操作以展示 IFMIF 加速器概念的路径。</w:t>
      </w:r>
    </w:p>
    <w:p>
      <w:pPr>
        <w:spacing w:before="0" w:after="200" w:lineRule="auto" w:line="276"/>
      </w:pPr>
      <w:r>
        <w:rPr>
          <w:b/>
        </w:rPr>
        <w:t xml:space="preserve">Abstract (EN): </w:t>
      </w:r>
      <w:r>
        <w:t>The Linear IFMIF Prototype Accelerator (LIPAc) is being commissioned under the Broader Approach agreement between Europe and Japan to validate the low-energy section of the accelerator for the International Fusion Materials Irradiation Facility (IFMIF). LIPAc is designed to accelerate a 125 mA deuteron beam up to 9 MeV in continuous-wave (CW) operation. This paper reports the results of high-duty cycle beam commissioning at 5 MeV in the Phase B+ configuration using the RFQ. A maximum duty cycle of 8.75% and a beam current of 119 mA were achieved, corresponding to an average RFQ beam power of 40–45 kW, which is among the highest average beam powers achieved by operational RFQs. The commissioning also identified the RFQ RF couplers as the bottleneck for further duty cycle increases, leading to the preparation of brazed high-duty cycle couplers. These achievements establish a solid foundation for the next commissioning phase, including SRF linac integration and a path toward CW operation to demonstrate the IFMIF accelerator concept.</w:t>
      </w:r>
    </w:p>
    <w:p>
      <w:pPr>
        <w:spacing w:before="120" w:after="120"/>
      </w:pPr>
      <w:r>
        <w:rPr>
          <w:sz w:val="18"/>
        </w:rPr>
        <w:t>——————————————————————————————————————————————————————————————————————</w:t>
      </w:r>
    </w:p>
    <w:p>
      <w:pPr>
        <w:spacing w:before="160" w:after="40" w:line="240" w:lineRule="auto"/>
      </w:pPr>
      <w:r>
        <w:rPr>
          <w:b/>
        </w:rPr>
        <w:t xml:space="preserve">[5] </w:t>
      </w:r>
      <w:hyperlink r:id="rId387">
        <w:r>
          <w:rPr>
            <w:color w:val="1155CC"/>
            <w:u w:val="single"/>
          </w:rPr>
          <w:t>关于 STEP 中电磁湍流回旋模拟中向大通量的过渡和获得第二稳定性</w:t>
        </w:r>
      </w:hyperlink>
    </w:p>
    <w:p>
      <w:pPr>
        <w:spacing w:before="0" w:after="80"/>
      </w:pPr>
      <w:r>
        <w:rPr>
          <w:i/>
          <w:sz w:val="20"/>
        </w:rPr>
        <w:t>EN: On the transition to large fluxes and access to second stability in gyrokinetic simulations of electromagnetic turbulence in STEP</w:t>
      </w:r>
    </w:p>
    <w:p>
      <w:pPr>
        <w:spacing w:before="0" w:after="120"/>
      </w:pPr>
      <w:r>
        <w:rPr>
          <w:b/>
        </w:rPr>
        <w:t xml:space="preserve">Source: </w:t>
      </w:r>
      <w:r>
        <w:t>Nuclear Fusion - latest papers</w:t>
      </w:r>
      <w:r>
        <w:t xml:space="preserve">    </w:t>
      </w:r>
      <w:r>
        <w:rPr>
          <w:b/>
        </w:rPr>
        <w:t xml:space="preserve">Pub date: </w:t>
      </w:r>
      <w:r>
        <w:t>2026-08-17 23:00:00+00:00</w:t>
      </w:r>
      <w:r>
        <w:t xml:space="preserve">    </w:t>
      </w:r>
      <w:r>
        <w:rPr>
          <w:b/>
        </w:rPr>
        <w:t xml:space="preserve">DOI: </w:t>
      </w:r>
      <w:hyperlink r:id="rId388">
        <w:r>
          <w:rPr>
            <w:color w:val="1155CC"/>
            <w:u w:val="single"/>
          </w:rPr>
          <w:t>10.1088/1741-4326/ae9323</w:t>
        </w:r>
      </w:hyperlink>
    </w:p>
    <w:p>
      <w:pPr>
        <w:spacing w:before="0" w:after="120"/>
      </w:pPr>
      <w:r>
        <w:rPr>
          <w:b/>
        </w:rPr>
        <w:t xml:space="preserve">Notes: </w:t>
      </w:r>
      <w:r>
        <w:t>abstract_source=rss_description</w:t>
      </w:r>
    </w:p>
    <w:p>
      <w:pPr>
        <w:spacing w:before="0" w:after="80" w:lineRule="auto" w:line="276"/>
      </w:pPr>
      <w:r>
        <w:rPr>
          <w:b/>
        </w:rPr>
        <w:t xml:space="preserve">摘要（ZH）: </w:t>
      </w:r>
      <w:r>
        <w:t>这项工作研究了 STEP 中电磁 (EM) 湍流的局部回旋 (GK) 模拟中观察到的向大热通量的非线性转变 (Meyer 2024 Phil. Trans. R. Soc.382 20230406)。使用（Zhang et al 2026 J. Plasma Phys.）的应力平衡框架，我们确认极端输运的开始与 的临界值相关，其中 是安全系数， 是电子热压与磁压之比，并将其与极向β的限制联系起来。至关重要的是，这个临界值低于空间中任何相关的线性稳定性极限（例如理想或动力学气球模式的开始）。使用一组广泛的非线性 GK 模拟，我们证明了 STEP 中向大通量的过渡是由静电应力和磁颤应力之间的平衡控制的。我们认为，并且还以数值方式表明，较大主半径托卡马克在较低的 下达到电磁非纬向区域，使得这种 MHD 控制的饱和极限在反应堆规模的装置中比在小型球形托卡马克中更容易达到。我们还证明，进入第二稳定状态可以在更大的值下重新饱和。我们进一步表明，理想气球模式（IBM）阈值可以作为描绘第二稳定区域的有用代理，并且还可以跟踪大通量的开始。这些结果提供了一个预测框架，用于识别本地 GK 的禁区预测，并为与 STEP 和其他高端设备相关的电磁饱和物理提供了新的见解。</w:t>
      </w:r>
    </w:p>
    <w:p>
      <w:pPr>
        <w:spacing w:before="0" w:after="200" w:lineRule="auto" w:line="276"/>
      </w:pPr>
      <w:r>
        <w:rPr>
          <w:b/>
        </w:rPr>
        <w:t xml:space="preserve">Abstract (EN): </w:t>
      </w:r>
      <w:r>
        <w:t>This work investigates the nonlinear transition to large heat fluxes observed in local gyrokinetic (GK) simulations of electromagnetic (EM) turbulence in STEP (Meyer 2024 Phil. Trans. R. Soc.382 20230406). Using the stress-balance framework of (Zhang et al 2026 J. Plasma Phys.) we confirm that the onset of extreme transport correlates with a critical value of , where is the safety factor and is the ratio of electron thermal pressure to magnetic pressure, and relate this to a limit on the poloidal beta . Crucially, this critical value lies below any relevant linear stability limit in the space (e.g. the onset of ideal or kinetic ballooning modes). Using an extensive set of nonlinear GK simulations, we demonstrate that the transition to large fluxes in STEP is governed by a balance between the electrostatic and magnetic-flutter stresses. We argue, and also show numerically, that larger-major-radius tokamaks reach the EM non-zonal regime at lower , making this MHD-controlled saturation limit more accessible in reactor-scale devices than in small spherical tokamaks. We also demonstrate that access to a second-stable regime enables re-saturation at larger values of . We further show that the ideal ballooning mode (IBM) threshold serves as a useful proxy for delineating this second-stable region and also tracks the onset of large fluxes. These results provide a predictive framework for identifying no-go zone predictions from local GKs and offer new insight into the EM saturation physics relevant to STEP and other high- devices.</w:t>
      </w:r>
    </w:p>
    <w:p>
      <w:pPr>
        <w:spacing w:before="120" w:after="120"/>
      </w:pPr>
      <w:r>
        <w:rPr>
          <w:sz w:val="18"/>
        </w:rPr>
        <w:t>——————————————————————————————————————————————————————————————————————</w:t>
      </w:r>
    </w:p>
    <w:p>
      <w:pPr>
        <w:spacing w:before="160" w:after="40" w:line="240" w:lineRule="auto"/>
      </w:pPr>
      <w:r>
        <w:rPr>
          <w:b/>
        </w:rPr>
        <w:t xml:space="preserve">[6] </w:t>
      </w:r>
      <w:hyperlink r:id="rId389">
        <w:r>
          <w:rPr>
            <w:color w:val="1155CC"/>
            <w:u w:val="single"/>
          </w:rPr>
          <w:t>ITER 水冷锂铅测试毯系统瞬态热工水力分析</w:t>
        </w:r>
      </w:hyperlink>
    </w:p>
    <w:p>
      <w:pPr>
        <w:spacing w:before="0" w:after="80"/>
      </w:pPr>
      <w:r>
        <w:rPr>
          <w:i/>
          <w:sz w:val="20"/>
        </w:rPr>
        <w:t>EN: ITER Water Cooled Lithium Lead Test Blanket System transient thermal-hydraulic analysis</w:t>
      </w:r>
    </w:p>
    <w:p>
      <w:pPr>
        <w:spacing w:before="0" w:after="120"/>
      </w:pPr>
      <w:r>
        <w:rPr>
          <w:b/>
        </w:rPr>
        <w:t xml:space="preserve">Source: </w:t>
      </w:r>
      <w:r>
        <w:t>Nuclear Fusion - latest papers</w:t>
      </w:r>
      <w:r>
        <w:t xml:space="preserve">    </w:t>
      </w:r>
      <w:r>
        <w:rPr>
          <w:b/>
        </w:rPr>
        <w:t xml:space="preserve">Pub date: </w:t>
      </w:r>
      <w:r>
        <w:t>2026-08-17 23:00:00+00:00</w:t>
      </w:r>
      <w:r>
        <w:t xml:space="preserve">    </w:t>
      </w:r>
      <w:r>
        <w:rPr>
          <w:b/>
        </w:rPr>
        <w:t xml:space="preserve">DOI: </w:t>
      </w:r>
      <w:hyperlink r:id="rId390">
        <w:r>
          <w:rPr>
            <w:color w:val="1155CC"/>
            <w:u w:val="single"/>
          </w:rPr>
          <w:t>10.1088/1741-4326/ae916c</w:t>
        </w:r>
      </w:hyperlink>
    </w:p>
    <w:p>
      <w:pPr>
        <w:spacing w:before="0" w:after="120"/>
      </w:pPr>
      <w:r>
        <w:rPr>
          <w:b/>
        </w:rPr>
        <w:t xml:space="preserve">Notes: </w:t>
      </w:r>
      <w:r>
        <w:t>abstract_source=rss_description</w:t>
      </w:r>
    </w:p>
    <w:p>
      <w:pPr>
        <w:spacing w:before="0" w:after="80" w:lineRule="auto" w:line="276"/>
      </w:pPr>
      <w:r>
        <w:rPr>
          <w:b/>
        </w:rPr>
        <w:t xml:space="preserve">摘要（ZH）: </w:t>
      </w:r>
      <w:r>
        <w:t>ITER测试毯模块（TBM）计划的实验活动将是了解氚增殖毯所需的物理和技术的关键一步，这对于在示范聚变反应堆中实现氚自给自足至关重要。 ITER TBM 计划预计将安装和运行不同的增殖毯概念，例如水冷锂铅和氦冷卵石床，以演示 ITER 条件下的氚增殖、高品位热提取和集成系统运行。本文的目的是概述在 EUROfusion 框架下对水冷锂铅 TBM 进行的热工水力分析，重点是代表性事故序列中发生的主要现象。主要优点是保留了限制屏障的结构完整性。使用 MELCOR 版本 1.8.6 分析融合应用的事故场景。通过广泛的故障模式和影响分析确定了所考虑的主要顺序，包括容器外冷却剂损失事故和散热器损失。结果凸显了当前设计的稳健性。</w:t>
      </w:r>
    </w:p>
    <w:p>
      <w:pPr>
        <w:spacing w:before="0" w:after="200" w:lineRule="auto" w:line="276"/>
      </w:pPr>
      <w:r>
        <w:rPr>
          <w:b/>
        </w:rPr>
        <w:t xml:space="preserve">Abstract (EN): </w:t>
      </w:r>
      <w:r>
        <w:t>The planned experimental activities of the ITER Test Blanket Module (TBM) program will be a key step in understanding the physics and technologies required for tritium breeding blankets, which are essential for achieving tritium self-sufficiency in a demonstration fusion power reactor. The ITER TBM program foresees the installation and operation of different breeding blanket concepts, such as the water-cooled lithium lead and the helium-cooled pebble bed, to demonstrate tritium breeding, high-grade heat extraction, and integrated system operation under ITER conditions. The objective of this paper is to provide an overview of the thermal-hydraulic analyses performed in the frame of EUROfusion, for the Water-Cooled Lithium Lead TBM, with emphasis on the main phenomena occurring during representative accident sequences. The main figure of merit is that the structural integrity of confinement barriers is preserved. Accident scenarios were analyzed using MELCOR version 1.8.6 for fusion applications. The main sequences considered, were identified through an extensive failure mode and effect analysis, include ex-vessel loss of coolant accident and loss of heat sink. The results highlight the robustness of the current design.</w:t>
      </w:r>
    </w:p>
    <w:p>
      <w:pPr>
        <w:spacing w:before="120" w:after="120"/>
      </w:pPr>
      <w:r>
        <w:rPr>
          <w:sz w:val="18"/>
        </w:rPr>
        <w:t>——————————————————————————————————————————————————————————————————————</w:t>
      </w:r>
    </w:p>
    <w:p>
      <w:pPr>
        <w:spacing w:before="160" w:after="40" w:line="240" w:lineRule="auto"/>
      </w:pPr>
      <w:r>
        <w:rPr>
          <w:b/>
        </w:rPr>
        <w:t xml:space="preserve">[7] </w:t>
      </w:r>
      <w:hyperlink r:id="rId363">
        <w:r>
          <w:rPr>
            <w:color w:val="1155CC"/>
            <w:u w:val="single"/>
          </w:rPr>
          <w:t>具有热能储存功能的小型模块化反应堆在零碳电力系统中的作用：对 75 个国家的技术、经济和弹性分析</w:t>
        </w:r>
      </w:hyperlink>
    </w:p>
    <w:p>
      <w:pPr>
        <w:spacing w:before="0" w:after="80"/>
      </w:pPr>
      <w:r>
        <w:rPr>
          <w:i/>
          <w:sz w:val="20"/>
        </w:rPr>
        <w:t>EN: The role of small modular reactors with thermal energy storage in zero-carbon electricity systems: a technological, economic, and resilience analysis across 75 countries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364">
        <w:r>
          <w:rPr>
            <w:color w:val="1155CC"/>
            <w:u w:val="single"/>
          </w:rPr>
          <w:t>10.1016/j.apenergy.2026.128685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391">
        <w:r>
          <w:rPr>
            <w:color w:val="1155CC"/>
            <w:u w:val="single"/>
          </w:rPr>
          <w:t>用于优化聚变材料测试的紧凑聚变原型中子源靶的预概念设计</w:t>
        </w:r>
      </w:hyperlink>
    </w:p>
    <w:p>
      <w:pPr>
        <w:spacing w:before="0" w:after="80"/>
      </w:pPr>
      <w:r>
        <w:rPr>
          <w:i/>
          <w:sz w:val="20"/>
        </w:rPr>
        <w:t>EN: Pre-conceptual design of compact-fusion prototypical neutron source target for optimized fusion materials testing</w:t>
      </w:r>
    </w:p>
    <w:p>
      <w:pPr>
        <w:spacing w:before="0" w:after="120"/>
      </w:pPr>
      <w:r>
        <w:rPr>
          <w:b/>
        </w:rPr>
        <w:t xml:space="preserve">Source: </w:t>
      </w:r>
      <w:r>
        <w:t>Nuclear Fusion - latest papers</w:t>
      </w:r>
      <w:r>
        <w:t xml:space="preserve">    </w:t>
      </w:r>
      <w:r>
        <w:rPr>
          <w:b/>
        </w:rPr>
        <w:t xml:space="preserve">Pub date: </w:t>
      </w:r>
      <w:r>
        <w:t>2026-08-18 23:00:00+00:00</w:t>
      </w:r>
      <w:r>
        <w:t xml:space="preserve">    </w:t>
      </w:r>
      <w:r>
        <w:rPr>
          <w:b/>
        </w:rPr>
        <w:t xml:space="preserve">DOI: </w:t>
      </w:r>
      <w:hyperlink r:id="rId392">
        <w:r>
          <w:rPr>
            <w:color w:val="1155CC"/>
            <w:u w:val="single"/>
          </w:rPr>
          <w:t>10.1088/1741-4326/ae9321</w:t>
        </w:r>
      </w:hyperlink>
    </w:p>
    <w:p>
      <w:pPr>
        <w:spacing w:before="0" w:after="120"/>
      </w:pPr>
      <w:r>
        <w:rPr>
          <w:b/>
        </w:rPr>
        <w:t xml:space="preserve">Notes: </w:t>
      </w:r>
      <w:r>
        <w:t>abstract_source=rss_description</w:t>
      </w:r>
    </w:p>
    <w:p>
      <w:pPr>
        <w:spacing w:before="0" w:after="80" w:lineRule="auto" w:line="276"/>
      </w:pPr>
      <w:r>
        <w:rPr>
          <w:b/>
        </w:rPr>
        <w:t xml:space="preserve">摘要（ZH）: </w:t>
      </w:r>
      <w:r>
        <w:t>这项工作描述了回旋加速器驱动的聚变原型中子源 (C-FPNS) 靶的设计研究，该靶经过优化以满足美国聚变材料辐照靶的规范。该分析支持使用多个紧凑型氘回旋加速器束，总电流低于 40 mA，范围为 35-60 MeV，会聚在样品目标周围的流动锂环上。样本目标区域被建模为位于环带中心区域内的小型拉伸和夏比弯杆样本。这项工作的一个具体重点是提供与聚变相关的中子的高度均匀的通量陷阱，最大限度地提高每单位束流的平均中子损伤。该设计实现了美国社区最近列举的目标，即样本体积 (&gt;50 cm3) 和损伤 (&gt;10 dpa yr−1) 指标，以及样本目标区域内的损伤梯度 (&lt;40%)。</w:t>
      </w:r>
    </w:p>
    <w:p>
      <w:pPr>
        <w:spacing w:before="0" w:after="200" w:lineRule="auto" w:line="276"/>
      </w:pPr>
      <w:r>
        <w:rPr>
          <w:b/>
        </w:rPr>
        <w:t xml:space="preserve">Abstract (EN): </w:t>
      </w:r>
      <w:r>
        <w:t>This work describes a design study of a cyclotron-driven Fusion Prototypic Neutron Source (C-FPNS) target optimized to meet US specifications for a fusion materials irradiation target. The analysis supports the use of multiple compact deuterium cyclotron beams at a total current under 40 mA in the range of 35–60 MeV converging on a flowing annulus of lithium surrounding the sample target. The sample target region is modeled as miniaturized tensile and Charpy bend-bar specimens located within the central region of the annulus. A specific focus of this work is to provide a highly uniform flux trap of fusion-relevant neutrons maximizing the average neutron damage per unit of beam current. This design achieves the goals recently enumerated by the US community of sample volume (&gt;50 cm3) and damage (&gt;10 dpa yr−1) metrics with damage gradient (&lt;40%) within the sample target region.</w:t>
      </w:r>
    </w:p>
    <w:p>
      <w:pPr>
        <w:spacing w:before="120" w:after="120"/>
      </w:pPr>
      <w:r>
        <w:rPr>
          <w:sz w:val="18"/>
        </w:rPr>
        <w:t>——————————————————————————————————————————————————————————————————————</w:t>
      </w:r>
    </w:p>
    <w:p>
      <w:pPr>
        <w:spacing w:before="160" w:after="40" w:line="240" w:lineRule="auto"/>
      </w:pPr>
      <w:r>
        <w:rPr>
          <w:b/>
        </w:rPr>
        <w:t xml:space="preserve">[9] </w:t>
      </w:r>
      <w:hyperlink r:id="rId393">
        <w:r>
          <w:rPr>
            <w:color w:val="1155CC"/>
            <w:u w:val="single"/>
          </w:rPr>
          <w:t>先进光束驱动 FRC 建模的混合 PIC 仿真验证</w:t>
        </w:r>
      </w:hyperlink>
    </w:p>
    <w:p>
      <w:pPr>
        <w:spacing w:before="0" w:after="80"/>
      </w:pPr>
      <w:r>
        <w:rPr>
          <w:i/>
          <w:sz w:val="20"/>
        </w:rPr>
        <w:t>EN: Validation of hybrid-PIC simulations for advanced beam-driven FRC modeling</w:t>
      </w:r>
    </w:p>
    <w:p>
      <w:pPr>
        <w:spacing w:before="0" w:after="120"/>
      </w:pPr>
      <w:r>
        <w:rPr>
          <w:b/>
        </w:rPr>
        <w:t xml:space="preserve">Source: </w:t>
      </w:r>
      <w:r>
        <w:t>Nuclear Fusion - latest papers</w:t>
      </w:r>
      <w:r>
        <w:t xml:space="preserve">    </w:t>
      </w:r>
      <w:r>
        <w:rPr>
          <w:b/>
        </w:rPr>
        <w:t xml:space="preserve">Pub date: </w:t>
      </w:r>
      <w:r>
        <w:t>2026-08-18 23:00:00+00:00</w:t>
      </w:r>
      <w:r>
        <w:t xml:space="preserve">    </w:t>
      </w:r>
      <w:r>
        <w:rPr>
          <w:b/>
        </w:rPr>
        <w:t xml:space="preserve">DOI: </w:t>
      </w:r>
      <w:hyperlink r:id="rId394">
        <w:r>
          <w:rPr>
            <w:color w:val="1155CC"/>
            <w:u w:val="single"/>
          </w:rPr>
          <w:t>10.1088/1741-4326/ae96c0</w:t>
        </w:r>
      </w:hyperlink>
    </w:p>
    <w:p>
      <w:pPr>
        <w:spacing w:before="0" w:after="120"/>
      </w:pPr>
      <w:r>
        <w:rPr>
          <w:b/>
        </w:rPr>
        <w:t xml:space="preserve">Notes: </w:t>
      </w:r>
      <w:r>
        <w:t>abstract_source=rss_description</w:t>
      </w:r>
    </w:p>
    <w:p>
      <w:pPr>
        <w:spacing w:before="0" w:after="80" w:lineRule="auto" w:line="276"/>
      </w:pPr>
      <w:r>
        <w:rPr>
          <w:b/>
        </w:rPr>
        <w:t xml:space="preserve">摘要（ZH）: </w:t>
      </w:r>
      <w:r>
        <w:t>TAE Technologies, Inc. 已成功演示了通过使用外部致动器（包括中性束注入、核心燃料供给和电极偏置）维持稳定的场反转配置等离子体。为了在模拟中重现这一结果，对开源粒子内细胞代码 WarpX 进行了各种添加，使得这些外部执行器的效果能够包含在模拟中。提出了扩展 WarpX 混合 PIC 模型的验证研究，其中将模拟结果与 TAE 的 C-2W 实验获得的实验结果进行了比较。模拟结果显示，可以准确地再现 C-2W 操作期间常规观察到的低振幅高能粒子驱动模式以及外部致动器终止后等离子体衰变的特征。模拟基础设施的验证提供了模型可用于解释实验观察结果的信心。</w:t>
      </w:r>
    </w:p>
    <w:p>
      <w:pPr>
        <w:spacing w:before="0" w:after="200" w:lineRule="auto" w:line="276"/>
      </w:pPr>
      <w:r>
        <w:rPr>
          <w:b/>
        </w:rPr>
        <w:t xml:space="preserve">Abstract (EN): </w:t>
      </w:r>
      <w:r>
        <w:t>TAE Technologies, Inc. has successfully demonstrated maintenance of a stable field-reversed configuration plasmas through the use of external actuators, which include neutral beam injection, core fueling, and electrode biasing. To reproduce this result in simulation, various additions have been made to the open-source particle-in-cell code, WarpX, that allow the effects of these external actuators to be included in simulation. A validation study of the extended WarpX hybrid-PIC model is presented in which simulations are compared against experimental results obtained on the C-2W experiment at TAE. The simulations are shown to accurately reproduce both low amplitude energetic particle driven modes routinely observed during C-2W operation and characteristics of the plasma decay after termination of external actuators. Validation of the simulation infrastructure provides confidence that the model can be used for interpretation of experimental observations.</w:t>
      </w:r>
    </w:p>
    <w:p>
      <w:pPr>
        <w:spacing w:before="120" w:after="120"/>
      </w:pPr>
      <w:r>
        <w:rPr>
          <w:sz w:val="18"/>
        </w:rPr>
        <w:t>——————————————————————————————————————————————————————————————————————</w:t>
      </w:r>
    </w:p>
    <w:p>
      <w:pPr>
        <w:spacing w:before="160" w:after="40" w:line="240" w:lineRule="auto"/>
      </w:pPr>
      <w:r>
        <w:rPr>
          <w:b/>
        </w:rPr>
        <w:t xml:space="preserve">[10] </w:t>
      </w:r>
      <w:hyperlink r:id="rId395">
        <w:r>
          <w:rPr>
            <w:color w:val="1155CC"/>
            <w:u w:val="single"/>
          </w:rPr>
          <w:t>用于核结构计算的自适应构型相互作用壳模型</w:t>
        </w:r>
      </w:hyperlink>
    </w:p>
    <w:p>
      <w:pPr>
        <w:spacing w:before="0" w:after="80"/>
      </w:pPr>
      <w:r>
        <w:rPr>
          <w:i/>
          <w:sz w:val="20"/>
        </w:rPr>
        <w:t>EN: Adaptive configuration interaction shell model for nuclear structure calculations</w:t>
      </w:r>
    </w:p>
    <w:p>
      <w:pPr>
        <w:spacing w:before="0" w:after="120"/>
      </w:pPr>
      <w:r>
        <w:rPr>
          <w:b/>
        </w:rPr>
        <w:t xml:space="preserve">Source: </w:t>
      </w:r>
      <w:r>
        <w:t>Recent Articles in Phys. Rev. C</w:t>
      </w:r>
      <w:r>
        <w:t xml:space="preserve">    </w:t>
      </w:r>
      <w:r>
        <w:rPr>
          <w:b/>
        </w:rPr>
        <w:t xml:space="preserve">Pub date: </w:t>
      </w:r>
      <w:r>
        <w:t>2026-08-19 10:00:00+00:00</w:t>
      </w:r>
      <w:r>
        <w:t xml:space="preserve">    </w:t>
      </w:r>
      <w:r>
        <w:rPr>
          <w:b/>
        </w:rPr>
        <w:t xml:space="preserve">DOI: </w:t>
      </w:r>
      <w:hyperlink r:id="rId396">
        <w:r>
          <w:rPr>
            <w:color w:val="1155CC"/>
            <w:u w:val="single"/>
          </w:rPr>
          <w:t>10.1103/gqpy-pmbf</w:t>
        </w:r>
      </w:hyperlink>
    </w:p>
    <w:p>
      <w:pPr>
        <w:spacing w:before="0" w:after="120"/>
      </w:pPr>
      <w:r>
        <w:rPr>
          <w:b/>
        </w:rPr>
        <w:t xml:space="preserve">Notes: </w:t>
      </w:r>
      <w:r>
        <w:t>abstract_source=rss_description</w:t>
      </w:r>
    </w:p>
    <w:p>
      <w:pPr>
        <w:spacing w:before="0" w:after="80" w:lineRule="auto" w:line="276"/>
      </w:pPr>
      <w:r>
        <w:rPr>
          <w:b/>
        </w:rPr>
        <w:t xml:space="preserve">摘要（ZH）: </w:t>
      </w:r>
      <w:r>
        <w:t>作者：K. H. Li、P. Y. Wang、Q. Yuan、W. Zuo、C. W. Ma 和 J. G. Li 模型空间的指数增长常常阻碍核结构的精确构型相互作用壳模型（CISM）计算。为了解决这个问题，我们开发了一种自适应 CISM (ACISM) 方法，该方法改编自量子化学中使用的自适应构型相互作用 (ACI) 方法……[Phys. Rev. C 114, 024330] 2026 年 8 月 19 日星期三发布</w:t>
      </w:r>
    </w:p>
    <w:p>
      <w:pPr>
        <w:spacing w:before="0" w:after="200" w:lineRule="auto" w:line="276"/>
      </w:pPr>
      <w:r>
        <w:rPr>
          <w:b/>
        </w:rPr>
        <w:t xml:space="preserve">Abstract (EN): </w:t>
      </w:r>
      <w:r>
        <w:t>Author(s): K. H. Li, P. Y. Wang, Q. Yuan, W. Zuo, C. W. Ma, and J. G. LiThe exponential growth of the model space often hinders accurate configuration interaction shell model (CISM) calculations for nuclear structure. To address this, we develop an adaptive CISM (ACISM) approach, adapted from the adaptive configuration interaction (ACI) approach used in quantum chemistr…[Phys. Rev. C 114, 024330] Published Wed Aug 19, 2026</w:t>
      </w:r>
    </w:p>
    <w:p>
      <w:pPr>
        <w:spacing w:before="120" w:after="120"/>
      </w:pPr>
      <w:r>
        <w:rPr>
          <w:sz w:val="18"/>
        </w:rPr>
        <w:t>——————————————————————————————————————————————————————————————————————</w:t>
      </w:r>
    </w:p>
    <w:p>
      <w:pPr>
        <w:spacing w:before="160" w:after="40" w:line="240" w:lineRule="auto"/>
      </w:pPr>
      <w:r>
        <w:rPr>
          <w:b/>
        </w:rPr>
        <w:t xml:space="preserve">[11] </w:t>
      </w:r>
      <w:hyperlink r:id="rId397">
        <w:r>
          <w:rPr>
            <w:color w:val="1155CC"/>
            <w:u w:val="single"/>
          </w:rPr>
          <w:t>无孔金属有机框架可实现创纪录的高铀提取率和完全降解二甘醇二甲醚</w:t>
        </w:r>
      </w:hyperlink>
    </w:p>
    <w:p>
      <w:pPr>
        <w:spacing w:before="0" w:after="80"/>
      </w:pPr>
      <w:r>
        <w:rPr>
          <w:i/>
          <w:sz w:val="20"/>
        </w:rPr>
        <w:t>EN: Nonporous Metal–Organic Framework Enables Record‑High Uranium Extraction and Complete Diglyme Degradation</w:t>
      </w:r>
    </w:p>
    <w:p>
      <w:pPr>
        <w:spacing w:before="0" w:after="120"/>
      </w:pPr>
      <w:r>
        <w:rPr>
          <w:b/>
        </w:rPr>
        <w:t xml:space="preserve">Source: </w:t>
      </w:r>
      <w:r>
        <w:t>Wiley: Advanced Materials: Table of Contents</w:t>
      </w:r>
      <w:r>
        <w:t xml:space="preserve">    </w:t>
      </w:r>
      <w:r>
        <w:rPr>
          <w:b/>
        </w:rPr>
        <w:t xml:space="preserve">Pub date: </w:t>
      </w:r>
      <w:r>
        <w:t>2026-08-19 12:49:34+00:00</w:t>
      </w:r>
      <w:r>
        <w:t xml:space="preserve">    </w:t>
      </w:r>
      <w:r>
        <w:rPr>
          <w:b/>
        </w:rPr>
        <w:t xml:space="preserve">DOI: </w:t>
      </w:r>
      <w:hyperlink r:id="rId398">
        <w:r>
          <w:rPr>
            <w:color w:val="1155CC"/>
            <w:u w:val="single"/>
          </w:rPr>
          <w:t>10.1002/adma.74708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核能满足了人工智能不断增长的能源需求，但也带来了环境风险，因此从废水中提取铀变得非常重要。我们在此报告了一种无孔金属有机框架 CuTTB-3 作为 H 型电解池（由阴离子交换膜分隔的两个隔室）中的阴极用于铀提取。与受二甘醇二甲醚诱导的铀沉积再溶解限制的单室电池不同，基于 CuTTB-3 的 H 型配置有助于在 1 小时内提取 99.8% 的铀并完全降解二甘醇二甲醚。该系统克服了 100 g L 的浓度限制</w:t>
      </w:r>
      <w:r>
        <w:t xml:space="preserve"> </w:t>
      </w:r>
      <w:r>
        <w:t>−1</w:t>
      </w:r>
      <w:r>
        <w:t xml:space="preserve"> </w:t>
      </w:r>
      <w:r>
        <w:t>二甘醇二甲醚和 100 mg L</w:t>
      </w:r>
      <w:r>
        <w:t xml:space="preserve"> </w:t>
      </w:r>
      <w:r>
        <w:t>−1</w:t>
      </w:r>
      <w:r>
        <w:t xml:space="preserve"> </w:t>
      </w:r>
      <w:r>
        <w:t>常规装置中的铀酰。在 15 个循环中，提取效率保持 &gt;96.4%，累积 U(VI) 提取量达到 28855 mg g</w:t>
      </w:r>
      <w:r>
        <w:t xml:space="preserve"> </w:t>
      </w:r>
      <w:r>
        <w:t>−1</w:t>
      </w:r>
      <w:r>
        <w:t xml:space="preserve"> </w:t>
      </w:r>
      <w:r>
        <w:t>10 小时内，提取率为 2886 mg g</w:t>
      </w:r>
      <w:r>
        <w:t xml:space="preserve"> </w:t>
      </w:r>
      <w:r>
        <w:t>−1</w:t>
      </w:r>
      <w:r>
        <w:t xml:space="preserve"> </w:t>
      </w:r>
      <w:r>
        <w:t>小时</w:t>
      </w:r>
      <w:r>
        <w:t xml:space="preserve"> </w:t>
      </w:r>
      <w:r>
        <w:t>−1</w:t>
      </w:r>
      <w:r>
        <w:t xml:space="preserve"> </w:t>
      </w:r>
      <w:r>
        <w:t>，两者均创报告材料中的历史新高值。流通池装置处理 1 L 模拟废水，提取效率为 96.8%，累积容量为 19360 mg g</w:t>
      </w:r>
      <w:r>
        <w:t xml:space="preserve"> </w:t>
      </w:r>
      <w:r>
        <w:t>−1</w:t>
      </w:r>
      <w:r>
        <w:t xml:space="preserve"> </w:t>
      </w:r>
      <w:r>
        <w:t>。与多孔类似物 CuTTB-4 的比较证实了结构稳健性和界面电荷转移动力学主导电化学铀提取。与传统吸附式提铀材料严重依赖孔隙度不同，该工作实现了高效</w:t>
      </w:r>
    </w:p>
    <w:p>
      <w:pPr>
        <w:spacing w:before="0" w:after="200" w:lineRule="auto" w:line="276"/>
      </w:pPr>
      <w:r>
        <w:rPr>
          <w:b/>
        </w:rPr>
        <w:t xml:space="preserve">Abstract (EN): </w:t>
      </w:r>
      <w:r>
        <w:t>Nuclear energy accommodates rising energy demand of artificial intelligence yet poses environmental risks, making uranium extraction from wastewater important. We herein report a nonporous metal–organic framework CuTTB‐3 as cathode in an H‐type electrolytic cell (two compartments separated by an anion‐exchange membrane) for uranium extraction. Unlike single‐chamber cell limited by diglyme‐induced redissolution of uranium deposits, CuTTB‐3‐based H‐type configuration facilitates 99.8% uranium extraction within 1 h and complete diglyme degradation. This system overcomes concentration limits of 100 g L</w:t>
      </w:r>
      <w:r>
        <w:t xml:space="preserve"> </w:t>
      </w:r>
      <w:r>
        <w:t>−1</w:t>
      </w:r>
      <w:r>
        <w:t xml:space="preserve"> </w:t>
      </w:r>
      <w:r>
        <w:t>diglyme and 100 mg L</w:t>
      </w:r>
      <w:r>
        <w:t xml:space="preserve"> </w:t>
      </w:r>
      <w:r>
        <w:t>−1</w:t>
      </w:r>
      <w:r>
        <w:t xml:space="preserve"> </w:t>
      </w:r>
      <w:r>
        <w:t>uranyl in conventional setups. It retains &amp;gt;96.4% extraction efficiency over 15 cycles, achieving a cumulative U(VI) extraction amount of 28855 mg g</w:t>
      </w:r>
      <w:r>
        <w:t xml:space="preserve"> </w:t>
      </w:r>
      <w:r>
        <w:t>−1</w:t>
      </w:r>
      <w:r>
        <w:t xml:space="preserve"> </w:t>
      </w:r>
      <w:r>
        <w:t>within 10 h and an extraction rate of 2886 mg g</w:t>
      </w:r>
      <w:r>
        <w:t xml:space="preserve"> </w:t>
      </w:r>
      <w:r>
        <w:t>−1</w:t>
      </w:r>
      <w:r>
        <w:t xml:space="preserve"> </w:t>
      </w:r>
      <w:r>
        <w:t>h</w:t>
      </w:r>
      <w:r>
        <w:t xml:space="preserve"> </w:t>
      </w:r>
      <w:r>
        <w:t>−1</w:t>
      </w:r>
      <w:r>
        <w:t xml:space="preserve"> </w:t>
      </w:r>
      <w:r>
        <w:t>, both record‐high values among reported materials. A flow‐cell setup treated 1 L simulated wastewater, delivering 96.8% extraction efficiency and cumulative capacity of 19360 mg g</w:t>
      </w:r>
      <w:r>
        <w:t xml:space="preserve"> </w:t>
      </w:r>
      <w:r>
        <w:t>−1</w:t>
      </w:r>
      <w:r>
        <w:t xml:space="preserve"> </w:t>
      </w:r>
      <w:r>
        <w:t>. Comparisons with porous analogue CuTTB‐4 confirm structural robustness and interfacial charge transfer kinetics dominate electrochemical uranium extraction. Different from traditional adsorption‐based uranium extraction materials that rely heavily on porostiy, this work realizes efficient uranium extraction via an electrochemical deposition route based on a nonporous MOF, which expands the application scenario of nonporous materials in radioactive wastewater treatment.</w:t>
      </w:r>
    </w:p>
    <w:p>
      <w:pPr>
        <w:spacing w:before="120" w:after="120"/>
      </w:pPr>
      <w:r>
        <w:rPr>
          <w:sz w:val="18"/>
        </w:rPr>
        <w:t>——————————————————————————————————————————————————————————————————————</w:t>
      </w:r>
    </w:p>
    <w:p>
      <w:pPr>
        <w:spacing w:before="160" w:after="40" w:line="240" w:lineRule="auto"/>
      </w:pPr>
      <w:r>
        <w:rPr>
          <w:b/>
        </w:rPr>
        <w:t xml:space="preserve">[12] </w:t>
      </w:r>
      <w:hyperlink r:id="rId399">
        <w:r>
          <w:rPr>
            <w:color w:val="1155CC"/>
            <w:u w:val="single"/>
          </w:rPr>
          <w:t>高性能、负三角无 ELM DIII-D 等离子体的多场湍流和传输势垒测量以及预测代码验证</w:t>
        </w:r>
      </w:hyperlink>
    </w:p>
    <w:p>
      <w:pPr>
        <w:spacing w:before="0" w:after="80"/>
      </w:pPr>
      <w:r>
        <w:rPr>
          <w:i/>
          <w:sz w:val="20"/>
        </w:rPr>
        <w:t>EN: Multi-field turbulence and transport barrier measurements and validation of predictive codes for high-performance, negative triangularity ELM-free DIII-D plasmas</w:t>
      </w:r>
    </w:p>
    <w:p>
      <w:pPr>
        <w:spacing w:before="0" w:after="120"/>
      </w:pPr>
      <w:r>
        <w:rPr>
          <w:b/>
        </w:rPr>
        <w:t xml:space="preserve">Source: </w:t>
      </w:r>
      <w:r>
        <w:t>Nuclear Fusion - latest papers</w:t>
      </w:r>
      <w:r>
        <w:t xml:space="preserve">    </w:t>
      </w:r>
      <w:r>
        <w:rPr>
          <w:b/>
        </w:rPr>
        <w:t xml:space="preserve">Pub date: </w:t>
      </w:r>
      <w:r>
        <w:t>2026-08-19 23:00:00+00:00</w:t>
      </w:r>
      <w:r>
        <w:t xml:space="preserve">    </w:t>
      </w:r>
      <w:r>
        <w:rPr>
          <w:b/>
        </w:rPr>
        <w:t xml:space="preserve">DOI: </w:t>
      </w:r>
      <w:hyperlink r:id="rId400">
        <w:r>
          <w:rPr>
            <w:color w:val="1155CC"/>
            <w:u w:val="single"/>
          </w:rPr>
          <w:t>10.1088/1741-4326/ae929b</w:t>
        </w:r>
      </w:hyperlink>
    </w:p>
    <w:p>
      <w:pPr>
        <w:spacing w:before="0" w:after="120"/>
      </w:pPr>
      <w:r>
        <w:rPr>
          <w:b/>
        </w:rPr>
        <w:t xml:space="preserve">Notes: </w:t>
      </w:r>
      <w:r>
        <w:t>abstract_source=rss_description</w:t>
      </w:r>
    </w:p>
    <w:p>
      <w:pPr>
        <w:spacing w:before="0" w:after="80" w:lineRule="auto" w:line="276"/>
      </w:pPr>
      <w:r>
        <w:rPr>
          <w:b/>
        </w:rPr>
        <w:t xml:space="preserve">摘要（ZH）: </w:t>
      </w:r>
      <w:r>
        <w:t>最近的 DIII-D 活动展示了强形状、转向负三角 (NT) 配置中的高约束、边缘局域无模等离子体。本文提出了边缘附近新的多场湍流和流动测量，以了解这些等离子体边缘传输的物理原理。相关电子回旋加速器发射和多普勒反向散射测量提供电子温度波动水平、密度波动水平、径向相关长度和极向湍流速度剖面。测量结果显示了适度的边缘电子温度/压力基座、基座顶部区域附近的局部极向速度井以及最小极向速度剪切区域附近的温度和密度波动水平的峰值，这与边缘传输势垒的形成一致。线性俘获陀螺朗道流体计算表明，从内部区域中主要的类 ITG 模式到基座顶部附近的类 TEM 模式的转变，与观察到的波动水平的增加大致一致。这些结果为测试高性能 NT 托卡马克等离子体中的湍流和输运预测模型提供了新的定量约束。</w:t>
      </w:r>
    </w:p>
    <w:p>
      <w:pPr>
        <w:spacing w:before="0" w:after="200" w:lineRule="auto" w:line="276"/>
      </w:pPr>
      <w:r>
        <w:rPr>
          <w:b/>
        </w:rPr>
        <w:t xml:space="preserve">Abstract (EN): </w:t>
      </w:r>
      <w:r>
        <w:t>A recent DIII-D campaign demonstrated high confinement, edge-localized mode-free plasmas in strongly shaped, diverted negative triangularity (NT) configurations. This paper presents new multi-field turbulence and flow measurements near the edge to understand the physics of edge transport of these plasmas. Correlation electron cyclotron emission and Doppler backscattering measurements provide electron-temperature fluctuation levels, density-fluctuation levels, radial correlation lengths, and poloidal turbulence velocity profiles. The measurements show a modest edge electron temperature/pressure pedestal, a localized poloidal-velocity well near the pedestal-top region, and the peaking of both temperature and density fluctuation levels near the region of minimum poloidal velocity shear, consistent with edge-transport-barrier formation. Linear trapped gyro-landau fluid calculations indicate a transition from predominantly ITG-like modes in the inner region to TEM-like modes near the pedestal top, approximately coincident with the observed increase in fluctuation levels. These results provide new quantitative constraints for testing predictive models of turbulence and transport in high-performance NT tokamak plasmas.</w:t>
      </w:r>
    </w:p>
    <w:p>
      <w:pPr>
        <w:spacing w:before="120" w:after="120"/>
      </w:pPr>
      <w:r>
        <w:rPr>
          <w:sz w:val="18"/>
        </w:rPr>
        <w:t>——————————————————————————————————————————————————————————————————————</w:t>
      </w:r>
    </w:p>
    <w:p>
      <w:pPr>
        <w:spacing w:before="160" w:after="40" w:line="240" w:lineRule="auto"/>
      </w:pPr>
      <w:r>
        <w:rPr>
          <w:b/>
        </w:rPr>
        <w:t xml:space="preserve">[13] </w:t>
      </w:r>
      <w:hyperlink r:id="rId401">
        <w:r>
          <w:rPr>
            <w:color w:val="1155CC"/>
            <w:u w:val="single"/>
          </w:rPr>
          <w:t>通过 Al2O3/FeAl 涂层中分散的 He 辐照诱导缺陷增强 H 渗透屏障</w:t>
        </w:r>
      </w:hyperlink>
    </w:p>
    <w:p>
      <w:pPr>
        <w:spacing w:before="0" w:after="80"/>
      </w:pPr>
      <w:r>
        <w:rPr>
          <w:i/>
          <w:sz w:val="20"/>
        </w:rPr>
        <w:t>EN: Enhanced H permeation barrier via dispersed He-irradiation-induced defects in Al2O3/FeAl coatings</w:t>
      </w:r>
    </w:p>
    <w:p>
      <w:pPr>
        <w:spacing w:before="0" w:after="120"/>
      </w:pPr>
      <w:r>
        <w:rPr>
          <w:b/>
        </w:rPr>
        <w:t xml:space="preserve">Source: </w:t>
      </w:r>
      <w:r>
        <w:t>Nuclear Fusion - latest papers</w:t>
      </w:r>
      <w:r>
        <w:t xml:space="preserve">    </w:t>
      </w:r>
      <w:r>
        <w:rPr>
          <w:b/>
        </w:rPr>
        <w:t xml:space="preserve">Pub date: </w:t>
      </w:r>
      <w:r>
        <w:t>2026-08-19 23:00:00+00:00</w:t>
      </w:r>
      <w:r>
        <w:t xml:space="preserve">    </w:t>
      </w:r>
      <w:r>
        <w:rPr>
          <w:b/>
        </w:rPr>
        <w:t xml:space="preserve">DOI: </w:t>
      </w:r>
      <w:hyperlink r:id="rId402">
        <w:r>
          <w:rPr>
            <w:color w:val="1155CC"/>
            <w:u w:val="single"/>
          </w:rPr>
          <w:t>10.1088/1741-4326/ae96c2</w:t>
        </w:r>
      </w:hyperlink>
    </w:p>
    <w:p>
      <w:pPr>
        <w:spacing w:before="0" w:after="120"/>
      </w:pPr>
      <w:r>
        <w:rPr>
          <w:b/>
        </w:rPr>
        <w:t xml:space="preserve">Notes: </w:t>
      </w:r>
      <w:r>
        <w:t>abstract_source=rss_description</w:t>
      </w:r>
    </w:p>
    <w:p>
      <w:pPr>
        <w:spacing w:before="0" w:after="80" w:lineRule="auto" w:line="276"/>
      </w:pPr>
      <w:r>
        <w:rPr>
          <w:b/>
        </w:rPr>
        <w:t xml:space="preserve">摘要（ZH）: </w:t>
      </w:r>
      <w:r>
        <w:t>氚渗透屏障（TPB）在氦辐照损伤下的使用性能对于聚变反应堆的安全运行至关重要。本研究对Al2O3/FeAl涂层进行了He辐照、退火和氘（D、H同位素）渗透实验。采用系统表征并结合DFT计算，阐明了He辐照抗性和辐照缺陷增强H渗透屏障的机制。某些 Al2O3 区域中显着的晶体取向各向异性可能有助于高密度晶界网络的形成。辐照退火处理后，分散的 He 分布可能与这些各向异性区域相关，导致辐照硬化响应降低。此外，Al2O3 的固有 H 渗透阻力源自 H 与晶格 O/Al 原子之间的强轨道杂化，而 He 注入引起的晶格畸变增强了 H 晶格键合强度。这使得高度分散的He缺陷簇能够形成丰富的H捕获位点，从而偏转H迁移路径并提高H扩散能垒。因此，在500℃~650℃的温度范围内，辐照涂层的抗D渗透性能优于未辐照涂层。在500℃下，辐照涂层的D渗透降低因子（PRF）高达3300，与未辐照样品相比提高了83%。在 He 辐照、退火和 D2 渗透条件下研究</w:t>
      </w:r>
    </w:p>
    <w:p>
      <w:pPr>
        <w:spacing w:before="0" w:after="200" w:lineRule="auto" w:line="276"/>
      </w:pPr>
      <w:r>
        <w:rPr>
          <w:b/>
        </w:rPr>
        <w:t xml:space="preserve">Abstract (EN): </w:t>
      </w:r>
      <w:r>
        <w:t>The service performance of tritium permeation barriers (TPB) under He irradiation damage is critical to the safe operation of fusion reactors. In this study, He irradiation, annealing, and deuterium (D, H isotope) permeation experiments were performed on Al2O3/FeAl coatings. Systematic characterizations, combined with DFT calculations, were employed to elucidate the mechanisms of He irradiation resistance and irradiation defect-enhanced H permeation barrier. The pronounced crystallographic orientation anisotropy in certain Al2O3 regions may contribute to the formation of high-density grain boundary networks. After irradiation-annealing treatment, the dispersed He distribution may be associated with these anisotropic regions, contributing to the reduced irradiation hardening response. Furthermore, the intrinsic H permeation resistance of Al2O3 originates from the strong orbital hybridization between H and lattice O/Al atoms, while He implantation-induced lattice distortion enhances the H-lattice bonding strength. This enables highly dispersed He-defect clusters to form abundant H-trapping sites, which deflect the H migration path and elevate the H diffusion energy barrier. Consequently, within the temperature range of 500 °C–650 °C, the D permeation resistance of irradiated coatings outperforms that of unirradiated counterparts. At 500 °C, the D permeation reduction factor (PRF) of the irradiated coating reaches as high as 3300, representing an 83% enhancement compared with the unirradiated sample. Under the He irradiation, annealing, and D2 permeation conditions investigated in this study, the coating exhibits certain potential for TPB applications. However, its long-term reliability under the complex service conditions of a fusion blanket remains to be further validated.</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403">
        <w:r>
          <w:rPr>
            <w:color w:val="1155CC"/>
            <w:u w:val="single"/>
          </w:rPr>
          <w:t>极端事件下氢能一体化多能源系统双层弹性规划框架</w:t>
        </w:r>
      </w:hyperlink>
    </w:p>
    <w:p>
      <w:pPr>
        <w:spacing w:before="0" w:after="80"/>
      </w:pPr>
      <w:r>
        <w:rPr>
          <w:i/>
          <w:sz w:val="20"/>
        </w:rPr>
        <w:t>EN: A bi-level resilience-oriented planning framework for hydrogen-integrated multi-energy systems under extreme events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404">
        <w:r>
          <w:rPr>
            <w:color w:val="1155CC"/>
            <w:u w:val="single"/>
          </w:rPr>
          <w:t>10.1016/j.apenergy.2026.128671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405">
        <w:r>
          <w:rPr>
            <w:color w:val="1155CC"/>
            <w:u w:val="single"/>
          </w:rPr>
          <w:t>考虑多周期动力学和物理化学降解的价格波动下可逆固体氧化物电池系统的技术经济优化</w:t>
        </w:r>
      </w:hyperlink>
    </w:p>
    <w:p>
      <w:pPr>
        <w:spacing w:before="0" w:after="80"/>
      </w:pPr>
      <w:r>
        <w:rPr>
          <w:i/>
          <w:sz w:val="20"/>
        </w:rPr>
        <w:t>EN: Techno-economic optimization of reversible solid oxide cell systems under price fluctuations considering multi-period dynamics and physical and chemical degradation</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406">
        <w:r>
          <w:rPr>
            <w:color w:val="1155CC"/>
            <w:u w:val="single"/>
          </w:rPr>
          <w:t>10.1016/j.apenergy.2026.128624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07">
        <w:r>
          <w:rPr>
            <w:color w:val="1155CC"/>
            <w:u w:val="single"/>
          </w:rPr>
          <w:t>风基氢的电力采购和时间匹配：市场和天气不确定性下平准化成本的多年优化和随机分析</w:t>
        </w:r>
      </w:hyperlink>
    </w:p>
    <w:p>
      <w:pPr>
        <w:spacing w:before="0" w:after="80"/>
      </w:pPr>
      <w:r>
        <w:rPr>
          <w:i/>
          <w:sz w:val="20"/>
        </w:rPr>
        <w:t>EN: Electricity procurement and temporal matching for wind-based hydrogen: multi-year optimization and stochastic analysis of levelized cost under market and weather uncertainty</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408">
        <w:r>
          <w:rPr>
            <w:color w:val="1155CC"/>
            <w:u w:val="single"/>
          </w:rPr>
          <w:t>10.1016/j.apenergy.2026.128637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09">
        <w:r>
          <w:rPr>
            <w:color w:val="1155CC"/>
            <w:u w:val="single"/>
          </w:rPr>
          <w:t>重整-电解耦合蓝绿氢生产与液化一体化的生命周期评估和优化</w:t>
        </w:r>
      </w:hyperlink>
    </w:p>
    <w:p>
      <w:pPr>
        <w:spacing w:before="0" w:after="80"/>
      </w:pPr>
      <w:r>
        <w:rPr>
          <w:i/>
          <w:sz w:val="20"/>
        </w:rPr>
        <w:t>EN: Lifecycle assessment and optimization of integrated blue-green hydrogen production and liquefaction with reforming-electrolysis coupling</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410">
        <w:r>
          <w:rPr>
            <w:color w:val="1155CC"/>
            <w:u w:val="single"/>
          </w:rPr>
          <w:t>10.1016/j.apenergy.2026.128669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411">
        <w:r>
          <w:rPr>
            <w:color w:val="1155CC"/>
            <w:u w:val="single"/>
          </w:rPr>
          <w:t>为固态储氢材料构建物理感知人工智能生态系统</w:t>
        </w:r>
      </w:hyperlink>
    </w:p>
    <w:p>
      <w:pPr>
        <w:spacing w:before="0" w:after="80"/>
      </w:pPr>
      <w:r>
        <w:rPr>
          <w:i/>
          <w:sz w:val="20"/>
        </w:rPr>
        <w:t>EN: Building a Physics-Aware AI Ecosystem for Solid-State Hydrogen Storage Materials</w:t>
      </w:r>
    </w:p>
    <w:p>
      <w:pPr>
        <w:spacing w:before="0" w:after="120"/>
      </w:pPr>
      <w:r>
        <w:rPr>
          <w:b/>
        </w:rPr>
        <w:t xml:space="preserve">Source: </w:t>
      </w:r>
      <w:r>
        <w:t>ACS Energy Letters: Latest Articles (ACS Publications)</w:t>
      </w:r>
      <w:r>
        <w:t xml:space="preserve">    </w:t>
      </w:r>
      <w:r>
        <w:rPr>
          <w:b/>
        </w:rPr>
        <w:t xml:space="preserve">Pub date: </w:t>
      </w:r>
      <w:r>
        <w:t>2026-08-14 00:00:00+00:00</w:t>
      </w:r>
      <w:r>
        <w:t xml:space="preserve">    </w:t>
      </w:r>
      <w:r>
        <w:rPr>
          <w:b/>
        </w:rPr>
        <w:t xml:space="preserve">DOI: </w:t>
      </w:r>
      <w:hyperlink r:id="rId412">
        <w:r>
          <w:rPr>
            <w:color w:val="1155CC"/>
            <w:u w:val="single"/>
          </w:rPr>
          <w:t>10.1021/acsenergylett.6c01856</w:t>
        </w:r>
      </w:hyperlink>
    </w:p>
    <w:p>
      <w:pPr>
        <w:spacing w:before="0" w:after="120"/>
      </w:pPr>
      <w:r>
        <w:rPr>
          <w:b/>
        </w:rPr>
        <w:t xml:space="preserve">Notes: </w:t>
      </w:r>
      <w:r>
        <w:t>abstract_source=crossref</w:t>
      </w:r>
    </w:p>
    <w:p>
      <w:pPr>
        <w:spacing w:before="0" w:after="80" w:lineRule="auto" w:line="276"/>
      </w:pPr>
      <w:r>
        <w:rPr>
          <w:b/>
        </w:rPr>
        <w:t xml:space="preserve">摘要（ZH）: </w:t>
      </w:r>
      <w:r>
        <w:t>摘要 由于储氢材料（HSM）的热力学、动力学和微观结构演化的多尺度和耦合性质，储氢仍然是可扩展氢能系统的中心瓶颈。尽管人工智能 (AI) 加速了材料的发现，但当前的方法仍然受到数据分散、物理一致性有限以及与实验验证集成薄弱的限制。在这里，我们提出了一个统一的框架，在闭环发现范式中集成了连贯的数据基础设施、基于物理的建模和人工智能驱动的逆向设计。通过利用热力学、动力学、不确定性、来源和实验反馈来约束优化，该方法可以实现自适应、物理一致的优化，从而建立一条通往自主的、支持数字孪生的 HSM 发现的途径。</w:t>
      </w:r>
    </w:p>
    <w:p>
      <w:pPr>
        <w:spacing w:before="0" w:after="200" w:lineRule="auto" w:line="276"/>
      </w:pPr>
      <w:r>
        <w:rPr>
          <w:b/>
        </w:rPr>
        <w:t xml:space="preserve">Abstract (EN): </w:t>
      </w:r>
      <w:r>
        <w:t>Hydrogen storage remains a central bottleneck for scalable hydrogen energy systems due to the multiscale and coupled nature of the thermodynamics, kinetics, and microstructural evolution of hydrogen storage materials (HSMs). Although artificial intelligence (AI) has accelerated materials discovery, current approaches remain constrained by fragmented data, limited physical consistency, and weak integration with experimental validation. Here, we propose a unified framework that integrates coherent data infrastructure, physics-grounded modeling, and AI-driven inverse design within a closed-loop discovery paradigm. By constraining optimization with thermodynamics, kinetics, uncertainty, provenance, and experimental feedback, this approach enables adaptive, physically consistent optimization, thereby establishing a pathway toward autonomous, digital-twin-enabled discovery of HSMs.</w:t>
      </w:r>
    </w:p>
    <w:p>
      <w:pPr>
        <w:spacing w:before="120" w:after="120"/>
      </w:pPr>
      <w:r>
        <w:rPr>
          <w:sz w:val="18"/>
        </w:rPr>
        <w:t>——————————————————————————————————————————————————————————————————————</w:t>
      </w:r>
    </w:p>
    <w:p>
      <w:pPr>
        <w:spacing w:before="160" w:after="40" w:line="240" w:lineRule="auto"/>
      </w:pPr>
      <w:r>
        <w:rPr>
          <w:b/>
        </w:rPr>
        <w:t xml:space="preserve">[6] </w:t>
      </w:r>
      <w:hyperlink r:id="rId413">
        <w:r>
          <w:rPr>
            <w:color w:val="1155CC"/>
            <w:u w:val="single"/>
          </w:rPr>
          <w:t>羟基表面富集策略实现克服析氧反应活性与稳定性权衡的双机制途径</w:t>
        </w:r>
      </w:hyperlink>
    </w:p>
    <w:p>
      <w:pPr>
        <w:spacing w:before="0" w:after="80"/>
      </w:pPr>
      <w:r>
        <w:rPr>
          <w:i/>
          <w:sz w:val="20"/>
        </w:rPr>
        <w:t>EN: Hydroxyl Surface Enrichment Strategy to Achieve Dual‐Mechanism Pathway for Overcoming the Activity–Stability Trade‐Off of Oxygen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2026-08-14 16:51:59+00:00</w:t>
      </w:r>
      <w:r>
        <w:t xml:space="preserve">    </w:t>
      </w:r>
      <w:r>
        <w:rPr>
          <w:b/>
        </w:rPr>
        <w:t xml:space="preserve">DOI: </w:t>
      </w:r>
      <w:hyperlink r:id="rId414">
        <w:r>
          <w:rPr>
            <w:color w:val="1155CC"/>
            <w:u w:val="single"/>
          </w:rPr>
          <w:t>10.1002/anie.7969121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构建吸附演化（AEM）和晶格氧介导机制（LOM）之间的耦合途径可能是打破析氧反应（OER）活性与稳定性权衡的一个有前途的解决方案，这仍然是一个关键的科学挑战。在此，我们提出了通过引入硬路易斯酸（ZrO</w:t>
      </w:r>
      <w:r>
        <w:rPr>
          <w:vertAlign w:val="subscript"/>
        </w:rPr>
        <w:t>2</w:t>
      </w:r>
      <w:r>
        <w:t>）进入NiFeP基质中，不仅促进了关键含氧中间体的形成并加速AEM反应动力学，而且还诱导高价Ni活性相的快速生成，从而激活晶格氧并促进LOM过程。 AEM和LOM双机制的实现成功克服了OER过程中活性与稳定性之间的传统权衡，因为动态氢键网络的形成和晶格氧的快速可逆再生有效地保证了OER过程中的结构稳定性，这一点已被电化学探针、原位光谱和理论计算所证实。受益于优化的界面动力学和双反应途径，合成的催化剂（ZrO</w:t>
      </w:r>
      <w:r>
        <w:rPr>
          <w:vertAlign w:val="subscript"/>
        </w:rPr>
        <w:t>2</w:t>
      </w:r>
      <w:r>
        <w:t>‐NiFeP) 可在 1.0 A cm 下稳定工作超过 1100 小时</w:t>
      </w:r>
      <w:r>
        <w:t xml:space="preserve"> </w:t>
      </w:r>
      <w:r>
        <w:t>−2</w:t>
      </w:r>
      <w:r>
        <w:t xml:space="preserve"> </w:t>
      </w:r>
      <w:r>
        <w:t>在碱性水电解槽中。总之，这里提出的 AEM 和 LOM 双机制可能提供一种新的范例来提高 OER 电催化剂的活性和稳定性。</w:t>
      </w:r>
    </w:p>
    <w:p>
      <w:pPr>
        <w:spacing w:before="0" w:after="200" w:lineRule="auto" w:line="276"/>
      </w:pPr>
      <w:r>
        <w:rPr>
          <w:b/>
        </w:rPr>
        <w:t xml:space="preserve">Abstract (EN): </w:t>
      </w:r>
      <w:r>
        <w:t>Constructing a coupling pathway between the adsorption evolution (AEM) and lattice oxygen‐mediated mechanisms (LOM) may be a promising solution to break the activity–stability trade‐off in oxygen evolution reaction (OER), which still remains a critical scientific challenge. Herein, we propose a hydroxyl enrichment strategy by introducing a hard Lewis acid (ZrO</w:t>
      </w:r>
      <w:r>
        <w:rPr>
          <w:vertAlign w:val="subscript"/>
        </w:rPr>
        <w:t>2</w:t>
      </w:r>
      <w:r>
        <w:t>) into NiFeP matrix, which not only promotes the formation of key oxygen‐containing intermediates and accelerates AEM reaction kinetics but also induces the rapid generation of a high‐valent Ni active phase, thereby activating lattice oxygen and facilitating the LOM process. The implementation of AEM and LOM dual‐mechanism successfully overcomes the traditional trade‐off between activity and stability in the OER process, because the formation of a dynamic hydrogen‐bond network and the rapid reversible regeneration of lattice oxygen effectively ensure structural stability during the OER process, which have been confirmed by electrochemical probes, in situ spectroscopies and theoretical calculations. Benefiting from optimized interfacial dynamics and dual‐reaction pathways, the as‐synthesized catalyst (ZrO</w:t>
      </w:r>
      <w:r>
        <w:rPr>
          <w:vertAlign w:val="subscript"/>
        </w:rPr>
        <w:t>2</w:t>
      </w:r>
      <w:r>
        <w:t>‐NiFeP) can stably operate over 1100 h @ 1.0 A cm</w:t>
      </w:r>
      <w:r>
        <w:t xml:space="preserve"> </w:t>
      </w:r>
      <w:r>
        <w:t>−2</w:t>
      </w:r>
      <w:r>
        <w:t xml:space="preserve"> </w:t>
      </w:r>
      <w:r>
        <w:t>in alkaline water electrolyzer. In summary, the AEM and LOM dual‐mechanism proposed here may provide a novel paradigm to boost both activity and stability of OER electrocatalysts.</w:t>
      </w:r>
    </w:p>
    <w:p>
      <w:pPr>
        <w:spacing w:before="120" w:after="120"/>
      </w:pPr>
      <w:r>
        <w:rPr>
          <w:sz w:val="18"/>
        </w:rPr>
        <w:t>——————————————————————————————————————————————————————————————————————</w:t>
      </w:r>
    </w:p>
    <w:p>
      <w:pPr>
        <w:spacing w:before="160" w:after="40" w:line="240" w:lineRule="auto"/>
      </w:pPr>
      <w:r>
        <w:rPr>
          <w:b/>
        </w:rPr>
        <w:t xml:space="preserve">[7] </w:t>
      </w:r>
      <w:hyperlink r:id="rId415">
        <w:r>
          <w:rPr>
            <w:color w:val="1155CC"/>
            <w:u w:val="single"/>
          </w:rPr>
          <w:t>氢电船舶电力系统的物理-经济-健康协调：三层统一框架</w:t>
        </w:r>
      </w:hyperlink>
    </w:p>
    <w:p>
      <w:pPr>
        <w:spacing w:before="0" w:after="80"/>
      </w:pPr>
      <w:r>
        <w:rPr>
          <w:i/>
          <w:sz w:val="20"/>
        </w:rPr>
        <w:t>EN: Physical-economic-health coordination for hydrogen-electrified ship power systems: A triple-layer unified framework</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416">
        <w:r>
          <w:rPr>
            <w:color w:val="1155CC"/>
            <w:u w:val="single"/>
          </w:rPr>
          <w:t>10.1016/j.apenergy.2026.128672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417">
        <w:r>
          <w:rPr>
            <w:color w:val="1155CC"/>
            <w:u w:val="single"/>
          </w:rPr>
          <w:t>氢驱动低碳钢产业园生产与能源系统协同优化</w:t>
        </w:r>
      </w:hyperlink>
    </w:p>
    <w:p>
      <w:pPr>
        <w:spacing w:before="0" w:after="80"/>
      </w:pPr>
      <w:r>
        <w:rPr>
          <w:i/>
          <w:sz w:val="20"/>
        </w:rPr>
        <w:t>EN: Hydrogen-driven co-optimization of production and energy systems for low-carbon steel industrial parks</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418">
        <w:r>
          <w:rPr>
            <w:color w:val="1155CC"/>
            <w:u w:val="single"/>
          </w:rPr>
          <w:t>10.1016/j.apenergy.2026.128687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419">
        <w:r>
          <w:rPr>
            <w:color w:val="1155CC"/>
            <w:u w:val="single"/>
          </w:rPr>
          <w:t>重型燃料电池汽车在货运脱碳中的未来作用</w:t>
        </w:r>
      </w:hyperlink>
    </w:p>
    <w:p>
      <w:pPr>
        <w:spacing w:before="0" w:after="80"/>
      </w:pPr>
      <w:r>
        <w:rPr>
          <w:i/>
          <w:sz w:val="20"/>
        </w:rPr>
        <w:t>EN: Future role of heavy-duty fuel cell vehicles in the decarbonization of the freight transport</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420">
        <w:r>
          <w:rPr>
            <w:color w:val="1155CC"/>
            <w:u w:val="single"/>
          </w:rPr>
          <w:t>10.1016/j.apenergy.2026.128632</w:t>
        </w:r>
      </w:hyperlink>
    </w:p>
    <w:p>
      <w:pPr>
        <w:spacing w:before="0" w:after="120"/>
      </w:pPr>
      <w:r>
        <w:rPr>
          <w:b/>
        </w:rPr>
        <w:t xml:space="preserve">Notes: </w:t>
      </w:r>
      <w:r>
        <w:t>abstract_source=openalex</w:t>
      </w:r>
    </w:p>
    <w:p>
      <w:pPr>
        <w:spacing w:before="0" w:after="80" w:lineRule="auto" w:line="276"/>
      </w:pPr>
      <w:r>
        <w:rPr>
          <w:b/>
        </w:rPr>
        <w:t xml:space="preserve">摘要（ZH）: </w:t>
      </w:r>
      <w:r>
        <w:t>随着世界转向更清洁、更可持续的交通解决方案，了解氢燃料电池技术在重型车辆中的要求和影响对于为行业发展和政策决策提供信息至关重要。本文的目的是研究各种车辆领域和动力系统设计中重型燃料电池汽车 (HDFCV) 的氢消耗和动力系统效率。为了实现这一目标，采用了综合方法，包括将参考 HDFCV 模型集成到 VECTO 平台中，使用 MATLAB Simulink 模拟不同动力总成架构，以及估计重型车队当前和未来的氢气需求。这项研究的主要结果表明，所提出的设计空间可以作为行业利益相关者选择最佳电池尺寸、燃料电池系统功率和氢罐尺寸的基准，从而加速车辆开发。此外，政策制定者可以利用氢消耗和动力系统效率的数据来定义关键性能指标，估计未来的氢需求，并将 HDFCV 与其他推进系统的环境影响进行比较。就 HDFCV 车队的 H 2 需求而言，解决本工作中提出的所有不确定性，每年 H 2 量可能在 1.6 至 2.8 吨之间变化，这意味着高达当前 H 2 产量的 3%。因此，H 2 生产基础设施能够适应HDV领域更雄心勃勃的H 2 相关场景。最后，每个车型的 H 2 消耗范围</w:t>
      </w:r>
    </w:p>
    <w:p>
      <w:pPr>
        <w:spacing w:before="0" w:after="200" w:lineRule="auto" w:line="276"/>
      </w:pPr>
      <w:r>
        <w:rPr>
          <w:b/>
        </w:rPr>
        <w:t xml:space="preserve">Abstract (EN): </w:t>
      </w:r>
      <w:r>
        <w:t>As the world shifts towards cleaner and more sustainable transportation solutions, understanding the requirements and implications of hydrogen fuel cell technology in heavy-duty vehicles is crucial for informing industry developments and policy decisions. The objective of this paper is to investigate the hydrogen consumption and powertrain efficiency of heavy-duty fuel cell vehicles (HDFCVs) in various vehicle segments and powertrain designs. To achieve this, a comprehensive methodology was employed, involving the integration of reference HDFCV models into the VECTO platform, simulation of different powertrain architectures using MATLAB Simulink, and estimation of current and future hydrogen demand for the heavy-duty vehicle fleet. The key results of this study indicate that the design spaces presented can serve as a baseline for industry stakeholders to select optimal battery sizes, fuel cell system powers, and hydrogen tank sizes, thereby accelerating vehicle development. Furthermore, policymakers can utilize the data on hydrogen consumption and powertrain efficiency to define key performance indicators, estimate future hydrogen demands, and compare the environmental impact of HDFCVs with other propulsion systems. In terms of HDFCV fleet H 2 demand, addressing all the uncertainties raised in this work, it may vary from 1.6 to 2.8 Mt of H 2 yearly, implying up to 3% of the current H 2 production. Therefore, the H 2 production infrastructure is able to accommodate more ambitious H 2 -related scenarios for the HDV sector. Finally, the H 2 consumption ranges per vehicle class and powertrain design, together with the H 2 tank capacity values sized on the basis of official VECTO cycles, constitute an original reference dataset—grounded in a mathematically guaranteed minimum consumption via an optimal energy management strategy—that can be directly used by vehicle manufacturers as a baseline for preliminary powertrain and hydrogen storage system design.</w:t>
      </w:r>
    </w:p>
    <w:p>
      <w:pPr>
        <w:spacing w:before="120" w:after="120"/>
      </w:pPr>
      <w:r>
        <w:rPr>
          <w:sz w:val="18"/>
        </w:rPr>
        <w:t>——————————————————————————————————————————————————————————————————————</w:t>
      </w:r>
    </w:p>
    <w:p>
      <w:pPr>
        <w:spacing w:before="160" w:after="40" w:line="240" w:lineRule="auto"/>
      </w:pPr>
      <w:r>
        <w:rPr>
          <w:b/>
        </w:rPr>
        <w:t xml:space="preserve">[10] </w:t>
      </w:r>
      <w:hyperlink r:id="rId421">
        <w:r>
          <w:rPr>
            <w:color w:val="1155CC"/>
            <w:u w:val="single"/>
          </w:rPr>
          <w:t>通过金属支撑相互作用操纵价态-异质 Pt 双位点以实现高效碱性析氢</w:t>
        </w:r>
      </w:hyperlink>
    </w:p>
    <w:p>
      <w:pPr>
        <w:spacing w:before="0" w:after="80"/>
      </w:pPr>
      <w:r>
        <w:rPr>
          <w:i/>
          <w:sz w:val="20"/>
        </w:rPr>
        <w:t>EN: Manipulating Valence‐Heterogeneous Pt Dual Sites via Metal‐Support Interactions for Highly Efficient Alkaline Hydrogen Evolution</w:t>
      </w:r>
    </w:p>
    <w:p>
      <w:pPr>
        <w:spacing w:before="0" w:after="120"/>
      </w:pPr>
      <w:r>
        <w:rPr>
          <w:b/>
        </w:rPr>
        <w:t xml:space="preserve">Source: </w:t>
      </w:r>
      <w:r>
        <w:t>Wiley: Advanced Energy Materials: Table of Contents</w:t>
      </w:r>
      <w:r>
        <w:t xml:space="preserve">    </w:t>
      </w:r>
      <w:r>
        <w:rPr>
          <w:b/>
        </w:rPr>
        <w:t xml:space="preserve">Pub date: </w:t>
      </w:r>
      <w:r>
        <w:t>2026-08-15 14:37:34+00:00</w:t>
      </w:r>
      <w:r>
        <w:t xml:space="preserve">    </w:t>
      </w:r>
      <w:r>
        <w:rPr>
          <w:b/>
        </w:rPr>
        <w:t xml:space="preserve">DOI: </w:t>
      </w:r>
      <w:hyperlink r:id="rId422">
        <w:r>
          <w:rPr>
            <w:color w:val="1155CC"/>
            <w:u w:val="single"/>
          </w:rPr>
          <w:t>10.1002/aenm.71456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碱性水电解对于可持续的绿色氢气生产至关重要，但受到缓慢的水离解动力学和高电流密度下催化剂降解的瓶颈。在此，通过触发强金属-载体相互作用（SMSI）的自发还原方法，将低负载量的 Pt 纳米团簇（4.2 wt.%）锚定在多壁碳纳米管（Pt-MWCNT）上。揭示了价态异质 Pt 物种介导的双位点耦合机制，其中亲电子 Pt</w:t>
      </w:r>
      <w:r>
        <w:t xml:space="preserve"> </w:t>
      </w:r>
      <w:r>
        <w:t>2+</w:t>
      </w:r>
      <w:r>
        <w:t xml:space="preserve"> </w:t>
      </w:r>
      <w:r>
        <w:t>位点加速 H-OH 键断裂，而相邻的 Pt</w:t>
      </w:r>
      <w:r>
        <w:t xml:space="preserve"> </w:t>
      </w:r>
      <w:r>
        <w:t>4+</w:t>
      </w:r>
      <w:r>
        <w:t xml:space="preserve"> </w:t>
      </w:r>
      <w:r>
        <w:t>中心优化 *H 吸附-解吸强度以实现高效 H</w:t>
      </w:r>
      <w:r>
        <w:rPr>
          <w:vertAlign w:val="subscript"/>
        </w:rPr>
        <w:t>2</w:t>
      </w:r>
      <w:r>
        <w:t>进化。更重要的是，这种协同作用可以通过利用碳支持的工作功能作为 Pt 的监管旋钮来精确定制。</w:t>
      </w:r>
      <w:r>
        <w:t xml:space="preserve"> </w:t>
      </w:r>
      <w:r>
        <w:t>2+</w:t>
      </w:r>
      <w:r>
        <w:t xml:space="preserve"> </w:t>
      </w:r>
      <w:r>
        <w:t>/铂</w:t>
      </w:r>
      <w:r>
        <w:t xml:space="preserve"> </w:t>
      </w:r>
      <w:r>
        <w:t>4+</w:t>
      </w:r>
      <w:r>
        <w:t xml:space="preserve"> </w:t>
      </w:r>
      <w:r>
        <w:t>比率。通过氮掺杂，所得 Pt-N-MWCNT 电催化剂具有最佳的 Pt</w:t>
      </w:r>
      <w:r>
        <w:t xml:space="preserve"> </w:t>
      </w:r>
      <w:r>
        <w:t>2+</w:t>
      </w:r>
      <w:r>
        <w:t xml:space="preserve"> </w:t>
      </w:r>
      <w:r>
        <w:t>/铂</w:t>
      </w:r>
      <w:r>
        <w:t xml:space="preserve"> </w:t>
      </w:r>
      <w:r>
        <w:t>4+</w:t>
      </w:r>
      <w:r>
        <w:t xml:space="preserve"> </w:t>
      </w:r>
      <w:r>
        <w:t>比率为 1.04，实现了水解离和氢解吸之间的动力学平衡，在 10 mA cm 下实现 28 mV 的低过电势</w:t>
      </w:r>
      <w:r>
        <w:t xml:space="preserve"> </w:t>
      </w:r>
      <w:r>
        <w:t>−2</w:t>
      </w:r>
      <w:r>
        <w:t xml:space="preserve"> </w:t>
      </w:r>
      <w:r>
        <w:t>500 mA cm 下的耐久性超过 500 小时</w:t>
      </w:r>
      <w:r>
        <w:t xml:space="preserve"> </w:t>
      </w:r>
      <w:r>
        <w:t>−2</w:t>
      </w:r>
      <w:r>
        <w:t xml:space="preserve"> </w:t>
      </w:r>
      <w:r>
        <w:t>。这项工作为 SMSI 介导的电子技术提供了重要的见解</w:t>
      </w:r>
    </w:p>
    <w:p>
      <w:pPr>
        <w:spacing w:before="0" w:after="200" w:lineRule="auto" w:line="276"/>
      </w:pPr>
      <w:r>
        <w:rPr>
          <w:b/>
        </w:rPr>
        <w:t xml:space="preserve">Abstract (EN): </w:t>
      </w:r>
      <w:r>
        <w:t>Alkaline water electrolysis is essential for sustainable green hydrogen production but is bottlenecked by sluggish water dissociation kinetics and catalyst degradation at high current densities. Herein, a low loading of Pt nanoclusters (4.2 wt.%) was anchored on multiwalled carbon nanotubes (Pt‐MWCNT) through a spontaneous reduction approach that triggers strong metal–support interaction (SMSI). A dual‐site coupled mechanism mediated by the valence‐heterogeneous Pt species was uncovered, where the electrophilic Pt</w:t>
      </w:r>
      <w:r>
        <w:t xml:space="preserve"> </w:t>
      </w:r>
      <w:r>
        <w:t>2+</w:t>
      </w:r>
      <w:r>
        <w:t xml:space="preserve"> </w:t>
      </w:r>
      <w:r>
        <w:t>sites accelerate H‐OH bond cleavage, while the adjacent Pt</w:t>
      </w:r>
      <w:r>
        <w:t xml:space="preserve"> </w:t>
      </w:r>
      <w:r>
        <w:t>4+</w:t>
      </w:r>
      <w:r>
        <w:t xml:space="preserve"> </w:t>
      </w:r>
      <w:r>
        <w:t>centers optimize the *H adsorption‐desorption strength for high‐efficiency H</w:t>
      </w:r>
      <w:r>
        <w:rPr>
          <w:vertAlign w:val="subscript"/>
        </w:rPr>
        <w:t>2</w:t>
      </w:r>
      <w:r>
        <w:t>evolution. More importantly, this synergy could be precisely tailored by leveraging the carbon support's work function as a regulatory dial for the Pt</w:t>
      </w:r>
      <w:r>
        <w:t xml:space="preserve"> </w:t>
      </w:r>
      <w:r>
        <w:t>2+</w:t>
      </w:r>
      <w:r>
        <w:t xml:space="preserve"> </w:t>
      </w:r>
      <w:r>
        <w:t>/Pt</w:t>
      </w:r>
      <w:r>
        <w:t xml:space="preserve"> </w:t>
      </w:r>
      <w:r>
        <w:t>4+</w:t>
      </w:r>
      <w:r>
        <w:t xml:space="preserve"> </w:t>
      </w:r>
      <w:r>
        <w:t>ratio. Through nitrogen doping, the resulting Pt‑N‑MWCNT electrocatalyst with an optimal Pt</w:t>
      </w:r>
      <w:r>
        <w:t xml:space="preserve"> </w:t>
      </w:r>
      <w:r>
        <w:t>2+</w:t>
      </w:r>
      <w:r>
        <w:t xml:space="preserve"> </w:t>
      </w:r>
      <w:r>
        <w:t>/Pt</w:t>
      </w:r>
      <w:r>
        <w:t xml:space="preserve"> </w:t>
      </w:r>
      <w:r>
        <w:t>4+</w:t>
      </w:r>
      <w:r>
        <w:t xml:space="preserve"> </w:t>
      </w:r>
      <w:r>
        <w:t>ratio of 1.04, achieved a kinetic equilibrium between water dissociation and hydrogen desorption, enabling a low overpotential of 28 mV at 10 mA cm</w:t>
      </w:r>
      <w:r>
        <w:t xml:space="preserve"> </w:t>
      </w:r>
      <w:r>
        <w:t>−2</w:t>
      </w:r>
      <w:r>
        <w:t xml:space="preserve"> </w:t>
      </w:r>
      <w:r>
        <w:t>and a durability of over 500 h at 500 mA cm</w:t>
      </w:r>
      <w:r>
        <w:t xml:space="preserve"> </w:t>
      </w:r>
      <w:r>
        <w:t>−2</w:t>
      </w:r>
      <w:r>
        <w:t xml:space="preserve"> </w:t>
      </w:r>
      <w:r>
        <w:t>. This work delivers critical insights into SMSI‐mediated electronic modulation, charting a pathway toward designing low‐loading noble metal catalysts for sustainable hydrogen technologies.</w:t>
      </w:r>
    </w:p>
    <w:p>
      <w:pPr>
        <w:spacing w:before="120" w:after="120"/>
      </w:pPr>
      <w:r>
        <w:rPr>
          <w:sz w:val="18"/>
        </w:rPr>
        <w:t>——————————————————————————————————————————————————————————————————————</w:t>
      </w:r>
    </w:p>
    <w:p>
      <w:pPr>
        <w:spacing w:before="160" w:after="40" w:line="240" w:lineRule="auto"/>
      </w:pPr>
      <w:r>
        <w:rPr>
          <w:b/>
        </w:rPr>
        <w:t xml:space="preserve">[11] </w:t>
      </w:r>
      <w:hyperlink r:id="rId423">
        <w:r>
          <w:rPr>
            <w:color w:val="1155CC"/>
            <w:u w:val="single"/>
          </w:rPr>
          <w:t>调节质子交换膜水电解析氧催化剂层的传输过程</w:t>
        </w:r>
      </w:hyperlink>
    </w:p>
    <w:p>
      <w:pPr>
        <w:spacing w:before="0" w:after="80"/>
      </w:pPr>
      <w:r>
        <w:rPr>
          <w:i/>
          <w:sz w:val="20"/>
        </w:rPr>
        <w:t>EN: Regulating transport processes in oxygen evolution catalyst layers for proton exchange membrane water electrolysis</w:t>
      </w:r>
    </w:p>
    <w:p>
      <w:pPr>
        <w:spacing w:before="0" w:after="120"/>
      </w:pPr>
      <w:r>
        <w:rPr>
          <w:b/>
        </w:rPr>
        <w:t xml:space="preserve">Source: </w:t>
      </w:r>
      <w:r>
        <w:t>Chem</w:t>
      </w:r>
      <w:r>
        <w:t xml:space="preserve">    </w:t>
      </w:r>
      <w:r>
        <w:rPr>
          <w:b/>
        </w:rPr>
        <w:t xml:space="preserve">Pub date: </w:t>
      </w:r>
      <w:r>
        <w:t>2026-08-17 00:00:00+00:00</w:t>
      </w:r>
      <w:r>
        <w:t xml:space="preserve">    </w:t>
      </w:r>
      <w:r>
        <w:rPr>
          <w:b/>
        </w:rPr>
        <w:t xml:space="preserve">DOI: </w:t>
      </w:r>
      <w:hyperlink r:id="rId424">
        <w:r>
          <w:rPr>
            <w:color w:val="1155CC"/>
            <w:u w:val="single"/>
          </w:rPr>
          <w:t>10.1016/j.chempr.2026.103198</w:t>
        </w:r>
      </w:hyperlink>
    </w:p>
    <w:p>
      <w:pPr>
        <w:spacing w:before="0" w:after="120"/>
      </w:pPr>
      <w:r>
        <w:rPr>
          <w:b/>
        </w:rPr>
        <w:t xml:space="preserve">Notes: </w:t>
      </w:r>
      <w:r>
        <w:t>abstract_source=rss_cell</w:t>
      </w:r>
    </w:p>
    <w:p>
      <w:pPr>
        <w:spacing w:before="0" w:after="80" w:lineRule="auto" w:line="276"/>
      </w:pPr>
      <w:r>
        <w:rPr>
          <w:b/>
        </w:rPr>
        <w:t xml:space="preserve">摘要（ZH）: </w:t>
      </w:r>
      <w:r>
        <w:t>高效的质子交换膜水电解需要的不仅仅是高活性的催化剂。它还取决于阳极催化剂层内的有效传输。本综述重点介绍了催化剂结构、离聚物工程、分级孔设计和界面工程如何共同调节水输送、除氧、质子传导和电子传输，为酸性水电解中高效传输的超低 Ir 析氧催化剂层提供设计原则，以实现可持续制氢。</w:t>
      </w:r>
    </w:p>
    <w:p>
      <w:pPr>
        <w:spacing w:before="0" w:after="200" w:lineRule="auto" w:line="276"/>
      </w:pPr>
      <w:r>
        <w:rPr>
          <w:b/>
        </w:rPr>
        <w:t xml:space="preserve">Abstract (EN): </w:t>
      </w:r>
      <w:r>
        <w:t>Efficient proton exchange membrane water electrolysis requires more than highly active catalysts. It also depends on effective transport within the anode catalyst layer. This review highlights how catalyst architecture, ionomer engineering, hierarchical pore design, and interface engineering collectively regulate water delivery, oxygen removal, proton conduction, and electron transport, providing design principles for transport-efficient, ultralow-Ir oxygen evolution catalyst layers in acidic water electrolysis for sustainable hydrogen production.</w:t>
      </w:r>
    </w:p>
    <w:p>
      <w:pPr>
        <w:spacing w:before="120" w:after="120"/>
      </w:pPr>
      <w:r>
        <w:rPr>
          <w:sz w:val="18"/>
        </w:rPr>
        <w:t>——————————————————————————————————————————————————————————————————————</w:t>
      </w:r>
    </w:p>
    <w:p>
      <w:pPr>
        <w:spacing w:before="160" w:after="40" w:line="240" w:lineRule="auto"/>
      </w:pPr>
      <w:r>
        <w:rPr>
          <w:b/>
        </w:rPr>
        <w:t xml:space="preserve">[12] </w:t>
      </w:r>
      <w:hyperlink r:id="rId425">
        <w:r>
          <w:rPr>
            <w:color w:val="1155CC"/>
            <w:u w:val="single"/>
          </w:rPr>
          <w:t>高自旋活性中心实现磁场增强光催化整体水分解</w:t>
        </w:r>
      </w:hyperlink>
    </w:p>
    <w:p>
      <w:pPr>
        <w:spacing w:before="0" w:after="80"/>
      </w:pPr>
      <w:r>
        <w:rPr>
          <w:i/>
          <w:sz w:val="20"/>
        </w:rPr>
        <w:t>EN: High-spin active center enables magnetic-field-enhanced photocatalytic overall water splitting</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426">
        <w:r>
          <w:rPr>
            <w:color w:val="1155CC"/>
            <w:u w:val="single"/>
          </w:rPr>
          <w:t>10.1093/nsr/nwag495</w:t>
        </w:r>
      </w:hyperlink>
    </w:p>
    <w:p>
      <w:pPr>
        <w:spacing w:before="0" w:after="120"/>
      </w:pPr>
      <w:r>
        <w:rPr>
          <w:b/>
        </w:rPr>
        <w:t xml:space="preserve">Notes: </w:t>
      </w:r>
      <w:r>
        <w:t>abstract_source=rss_oup</w:t>
      </w:r>
    </w:p>
    <w:p>
      <w:pPr>
        <w:spacing w:before="0" w:after="80" w:lineRule="auto" w:line="276"/>
      </w:pPr>
      <w:r>
        <w:rPr>
          <w:b/>
        </w:rPr>
        <w:t xml:space="preserve">摘要（ZH）: </w:t>
      </w:r>
      <w:r>
        <w:t>光催化反应效率由活性中心和反应中间体的自旋状态决定，因为它允许通过自旋相关的反应途径选择性地形成所需的产物。作为一个代表性过程，光催化整体水分解仍然受到水氧化反应的限制，其中三线态 O2 的自旋依赖性形成在热力学和动力学上都是不利的。该工作描述了一种原子特异性自旋调制策略，通过选择性地用尖晶石Co3O4中的Ni2+取代四面体Co2+形成NiCo2O4，重构了八面体Co3+的局域配位环境和电荷分布，构建了e增加的高自旋构型。</w:t>
      </w:r>
    </w:p>
    <w:p>
      <w:pPr>
        <w:spacing w:before="0" w:after="200" w:lineRule="auto" w:line="276"/>
      </w:pPr>
      <w:r>
        <w:rPr>
          <w:b/>
        </w:rPr>
        <w:t xml:space="preserve">Abstract (EN): </w:t>
      </w:r>
      <w:r>
        <w:t>Photocatalytic reaction efficiency is governed by the spin states of active center and reaction intermediates, as it allows selective formation of desired products through spin-dependent reaction pathways. As a representative process, photocatalytic overall water splitting remains limited by water oxidation reaction, where spin-dependent formation of triplet-state O2 is thermodynamically and kinetically unfavorable. This work describes an atom-specific spin modulation strategy by selectively substituting tetrahedral Co2+ with Ni2+ in spinel Co3O4 to form NiCo2O4, which reconstructs the local coordination environment and charge distribution of octahedral Co3+, constructing a high-spin configuration with increased e</w:t>
      </w:r>
    </w:p>
    <w:p>
      <w:pPr>
        <w:spacing w:before="120" w:after="120"/>
      </w:pPr>
      <w:r>
        <w:rPr>
          <w:sz w:val="18"/>
        </w:rPr>
        <w:t>——————————————————————————————————————————————————————————————————————</w:t>
      </w:r>
    </w:p>
    <w:p>
      <w:pPr>
        <w:spacing w:before="160" w:after="40" w:line="240" w:lineRule="auto"/>
      </w:pPr>
      <w:r>
        <w:rPr>
          <w:b/>
        </w:rPr>
        <w:t xml:space="preserve">[13] </w:t>
      </w:r>
      <w:hyperlink r:id="rId427">
        <w:r>
          <w:rPr>
            <w:color w:val="1155CC"/>
            <w:u w:val="single"/>
          </w:rPr>
          <w:t>揭示低温电催化氨氧化反应的动力学特征</w:t>
        </w:r>
      </w:hyperlink>
    </w:p>
    <w:p>
      <w:pPr>
        <w:spacing w:before="0" w:after="80"/>
      </w:pPr>
      <w:r>
        <w:rPr>
          <w:i/>
          <w:sz w:val="20"/>
        </w:rPr>
        <w:t>EN: Revealing the kinetics characteristics of low-temperature electrocatalytic ammonia oxidation reaction</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428">
        <w:r>
          <w:rPr>
            <w:color w:val="1155CC"/>
            <w:u w:val="single"/>
          </w:rPr>
          <w:t>10.1093/nsr/nwag493</w:t>
        </w:r>
      </w:hyperlink>
    </w:p>
    <w:p>
      <w:pPr>
        <w:spacing w:before="0" w:after="120"/>
      </w:pPr>
      <w:r>
        <w:rPr>
          <w:b/>
        </w:rPr>
        <w:t xml:space="preserve">Notes: </w:t>
      </w:r>
      <w:r>
        <w:t>abstract_source=rss_oup</w:t>
      </w:r>
    </w:p>
    <w:p>
      <w:pPr>
        <w:spacing w:before="0" w:after="80" w:lineRule="auto" w:line="276"/>
      </w:pPr>
      <w:r>
        <w:rPr>
          <w:b/>
        </w:rPr>
        <w:t xml:space="preserve">摘要（ZH）: </w:t>
      </w:r>
      <w:r>
        <w:t>电催化氨氧化反应（AOR）是低温下直接利用氨能的关键途径。然而，其反应动力学机理复杂，多种操作条件下的定量表征仍然不足。在本研究中，电化学测试与原位测试相结合</w:t>
      </w:r>
    </w:p>
    <w:p>
      <w:pPr>
        <w:spacing w:before="0" w:after="200" w:lineRule="auto" w:line="276"/>
      </w:pPr>
      <w:r>
        <w:rPr>
          <w:b/>
        </w:rPr>
        <w:t xml:space="preserve">Abstract (EN): </w:t>
      </w:r>
      <w:r>
        <w:t>Electrocatalytic ammonia oxidation reaction (AOR) serves as a critical pathway for the direct utilization of ammonia energy at low-temperature. However, its reaction kinetic mechanism is complicated, and quantitative characterization under multiple operating conditions remains insufficient. In this study, electrochemical tests combined with in situ</w:t>
      </w:r>
    </w:p>
    <w:p>
      <w:pPr>
        <w:spacing w:before="120" w:after="120"/>
      </w:pPr>
      <w:r>
        <w:rPr>
          <w:sz w:val="18"/>
        </w:rPr>
        <w:t>——————————————————————————————————————————————————————————————————————</w:t>
      </w:r>
    </w:p>
    <w:p>
      <w:pPr>
        <w:spacing w:before="160" w:after="40" w:line="240" w:lineRule="auto"/>
      </w:pPr>
      <w:r>
        <w:rPr>
          <w:b/>
        </w:rPr>
        <w:t xml:space="preserve">[14] </w:t>
      </w:r>
      <w:hyperlink r:id="rId429">
        <w:r>
          <w:rPr>
            <w:color w:val="1155CC"/>
            <w:u w:val="single"/>
          </w:rPr>
          <w:t>解耦阴极 Pt 表面功能化对 PEMFC 动力学和传质的影响</w:t>
        </w:r>
      </w:hyperlink>
    </w:p>
    <w:p>
      <w:pPr>
        <w:spacing w:before="0" w:after="80"/>
      </w:pPr>
      <w:r>
        <w:rPr>
          <w:i/>
          <w:sz w:val="20"/>
        </w:rPr>
        <w:t>EN: Decoupling the Impact of Surface Functionalization over Pt at the Cathode on Kinetics and Mass Transport in PEMFCs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430">
        <w:r>
          <w:rPr>
            <w:color w:val="1155CC"/>
            <w:u w:val="single"/>
          </w:rPr>
          <w:t>10.1021/jacs.6c11994</w:t>
        </w:r>
      </w:hyperlink>
    </w:p>
    <w:p>
      <w:pPr>
        <w:spacing w:before="0" w:after="120"/>
      </w:pPr>
      <w:r>
        <w:rPr>
          <w:b/>
        </w:rPr>
        <w:t xml:space="preserve">Notes: </w:t>
      </w:r>
      <w:r>
        <w:t>abstract_source=crossref</w:t>
      </w:r>
    </w:p>
    <w:p>
      <w:pPr>
        <w:spacing w:before="0" w:after="80" w:lineRule="auto" w:line="276"/>
      </w:pPr>
      <w:r>
        <w:rPr>
          <w:b/>
        </w:rPr>
        <w:t xml:space="preserve">摘要（ZH）: </w:t>
      </w:r>
      <w:r>
        <w:t>摘要 质子交换膜燃料电池 (PEMFC) 对于清洁能源转换至关重要，但其性能往往受到阴极 Pt-离聚物界面的限制。 Nafion（最广泛使用的离聚物）中的磺酸基会毒害 Pt 活性位点，并形成阻碍氧传输的致密层。在这里，我们提出了一种使用 7-乙基茶碱 (ETP) 的界面特异性分子调制策略来解决这两个限制。 “ETP优先”的制备方法确保在添加离聚物之前ETP优先吸附在Pt上，从而实现受控的表面功能化。我们证明 ETP 竞争性地取代中毒的磺酸盐基团，同时内在地激活 Pt 位点。至关重要的是，我们发现了反应动力学和质量传递之间的脱钩：峰值质量活性（0.33 A mgPt-1，~50%增强）发生在低ETP负载（0.15%）时，而与压力无关的氧传递阻力（RNP）随着ETP负载增加至1.0%而单调下降。这种差异导致了 H2-O2 与 H2-空气性能的明显优化——前者主要由动力学控制，后者由高电压下的动力学和高电流密度下的质量传输控制。这些发现表明，分子改性剂可以独立调节 Pt-离聚物界面的动力学和传输，为 PEMFC 优化提供超越传统催化剂设计的新维度。</w:t>
      </w:r>
    </w:p>
    <w:p>
      <w:pPr>
        <w:spacing w:before="0" w:after="200" w:lineRule="auto" w:line="276"/>
      </w:pPr>
      <w:r>
        <w:rPr>
          <w:b/>
        </w:rPr>
        <w:t xml:space="preserve">Abstract (EN): </w:t>
      </w:r>
      <w:r>
        <w:t>Proton exchange membrane fuel cells (PEMFCs) are critical for clean energy conversion, yet their performance is often constrained by the Pt–ionomer interface at the cathode. The sulfonate groups in Nafion, the most widely used ionomer, poison Pt active sites and form a dense layer that impedes oxygen transport. Here, we present an interface-specific molecular modulation strategy using 7-ethyltheophylline (ETP) to address both limitations. An “ETP-first” preparation method ensures preferential ETP adsorption on Pt before ionomer addition, enabling controlled surface functionalization. We demonstrate that ETP competitively displaces poisoning sulfonate groups while intrinsically activating Pt sites. Crucially, we uncover a decoupling between reaction kinetics and mass transport: peak mass activity (0.33 A mgPt–1, ∼50% enhancement) occurs at low ETP loadings (0.15%), whereas pressure-independent oxygen transport resistance (RNP) decreases monotonically with increasing ETP loading up to 1.0%. This divergence leads to distinct optima for H2–O2 versus H2–air performance─the former primarily governed by kinetics, the latter by kinetics at high voltages and by mass transport at high current densities. These findings reveal that molecular modifiers can independently tune kinetics and transport at the Pt–ionomer interface, offering a new dimension for PEMFC optimization beyond conventional catalyst design.</w:t>
      </w:r>
    </w:p>
    <w:p>
      <w:pPr>
        <w:spacing w:before="120" w:after="120"/>
      </w:pPr>
      <w:r>
        <w:rPr>
          <w:sz w:val="18"/>
        </w:rPr>
        <w:t>——————————————————————————————————————————————————————————————————————</w:t>
      </w:r>
    </w:p>
    <w:p>
      <w:pPr>
        <w:spacing w:before="160" w:after="40" w:line="240" w:lineRule="auto"/>
      </w:pPr>
      <w:r>
        <w:rPr>
          <w:b/>
        </w:rPr>
        <w:t xml:space="preserve">[15] </w:t>
      </w:r>
      <w:hyperlink r:id="rId431">
        <w:r>
          <w:rPr>
            <w:color w:val="1155CC"/>
            <w:u w:val="single"/>
          </w:rPr>
          <w:t>多孔固体中氨 (NH3) 吸附的研究进展</w:t>
        </w:r>
      </w:hyperlink>
    </w:p>
    <w:p>
      <w:pPr>
        <w:spacing w:before="0" w:after="80"/>
      </w:pPr>
      <w:r>
        <w:rPr>
          <w:i/>
          <w:sz w:val="20"/>
        </w:rPr>
        <w:t>EN: A Review of Ammonia (NH3) Adsorption in Porous Solids</w:t>
      </w:r>
    </w:p>
    <w:p>
      <w:pPr>
        <w:spacing w:before="0" w:after="120"/>
      </w:pPr>
      <w:r>
        <w:rPr>
          <w:b/>
        </w:rPr>
        <w:t xml:space="preserve">Source: </w:t>
      </w:r>
      <w:r>
        <w:t>Chemical Reviews: Latest Articles (ACS Publications)</w:t>
      </w:r>
      <w:r>
        <w:t xml:space="preserve">    </w:t>
      </w:r>
      <w:r>
        <w:rPr>
          <w:b/>
        </w:rPr>
        <w:t xml:space="preserve">Pub date: </w:t>
      </w:r>
      <w:r>
        <w:t>2026-08-17 00:00:00+00:00</w:t>
      </w:r>
      <w:r>
        <w:t xml:space="preserve">    </w:t>
      </w:r>
      <w:r>
        <w:rPr>
          <w:b/>
        </w:rPr>
        <w:t xml:space="preserve">DOI: </w:t>
      </w:r>
      <w:hyperlink r:id="rId432">
        <w:r>
          <w:rPr>
            <w:color w:val="1155CC"/>
            <w:u w:val="single"/>
          </w:rPr>
          <w:t>10.1021/acs.chemrev.6c00035</w:t>
        </w:r>
      </w:hyperlink>
    </w:p>
    <w:p>
      <w:pPr>
        <w:spacing w:before="0" w:after="120"/>
      </w:pPr>
      <w:r>
        <w:rPr>
          <w:b/>
        </w:rPr>
        <w:t xml:space="preserve">Notes: </w:t>
      </w:r>
      <w:r>
        <w:t>abstract_source=crossref</w:t>
      </w:r>
    </w:p>
    <w:p>
      <w:pPr>
        <w:spacing w:before="0" w:after="80" w:lineRule="auto" w:line="276"/>
      </w:pPr>
      <w:r>
        <w:rPr>
          <w:b/>
        </w:rPr>
        <w:t xml:space="preserve">摘要（ZH）: </w:t>
      </w:r>
      <w:r>
        <w:t>摘要 氨 (NH3) 作为肥料在农业领域发挥着至关重要的作用，并且是一种致密的氢载体，可提供潜在的可再生和无碳能源。这些显着的优势需要开发高效的 NH3 合成和分离系统。传统上，哈伯-博世 (HB) 工艺涉及高温（&gt;673 K，100-200 bar）合成，并通过低温冷凝从平衡限制反应混合物中分离 NH3。在各种替代的 NH3 分离技术中，多孔固体吸附方法已被研究为一种潜在的更节能的方法。然而，确定具有高 NH3 容量的可逆 NH3 分离的最佳多孔材料仍然具有挑战性。本综述讨论了多孔固体吸附剂（例如沸石、金属有机骨架（MOF）、共价有机骨架（COF）、氢键有机骨架（HOF）、多孔有机聚合物（POP）、碳及其与离子液体和金属卤化物等NH3吸收剂的复合材料）在NH3分离和存储和传感等其他潜在用途中的潜力。该综述还讨论了吸附活性位点以及吸附剂结构和机械性能。它还强调 NH3 相对于 N2 和 H2 的选择性，强调固体吸附剂的可逆性、稳定性和再生条件。强调了 NH3 吸附研究的未来方向。</w:t>
      </w:r>
    </w:p>
    <w:p>
      <w:pPr>
        <w:spacing w:before="0" w:after="200" w:lineRule="auto" w:line="276"/>
      </w:pPr>
      <w:r>
        <w:rPr>
          <w:b/>
        </w:rPr>
        <w:t xml:space="preserve">Abstract (EN): </w:t>
      </w:r>
      <w:r>
        <w:t>Ammonia (NH3) plays a crucial role in the agricultural sector as a fertilizer and is a dense hydrogen carrier that offers a potential renewable and carbon-free energy source. These significant advantages necessitate the development of efficient NH3 synthesis and separation systems. Conventionally, the Haber–Bosch (HB) process involves synthesis at high temperature (&amp;gt;673 K, 100–200 bar) and separation of NH3 from the equilibrium-limited reaction mixture through condensation at low temperatures. Among various alternative NH3 separation techniques, adsorption approaches in porous solids have been investigated as a potentially more energy-efficient method. However, identifying the optimal porous materials for reversible NH3 separation with high NH3 capacity remains challenging. This review discusses the potential of porous solid adsorbents, such as zeolites, metal–organic frameworks (MOFs), covalent organic frameworks (COFs), hydrogen-bonded organic frameworks (HOFs), porous organic polymers (POPs), carbons, and their composite materials with NH3 absorbents like ionic liquids and metal halides, for NH3 separation and other potential uses like storage and sensing. The review also discusses active sites for adsorption, and adsorbent structural and mechanical properties. It also emphasizes NH3 selectivity over N2 and H2, highlighting the solid sorbent’s reversibility, stability, and regeneration conditions. Future directions for NH3 adsorption research are highlighted.</w:t>
      </w:r>
    </w:p>
    <w:p>
      <w:pPr>
        <w:spacing w:before="120" w:after="120"/>
      </w:pPr>
      <w:r>
        <w:rPr>
          <w:sz w:val="18"/>
        </w:rPr>
        <w:t>——————————————————————————————————————————————————————————————————————</w:t>
      </w:r>
    </w:p>
    <w:p>
      <w:pPr>
        <w:spacing w:before="160" w:after="40" w:line="240" w:lineRule="auto"/>
      </w:pPr>
      <w:r>
        <w:rPr>
          <w:b/>
        </w:rPr>
        <w:t xml:space="preserve">[16] </w:t>
      </w:r>
      <w:hyperlink r:id="rId433">
        <w:r>
          <w:rPr>
            <w:color w:val="1155CC"/>
            <w:u w:val="single"/>
          </w:rPr>
          <w:t>基于 NiTiO3 光催化剂的氧空位和碱离子辅助固氮以及高效太阳能制氨</w:t>
        </w:r>
      </w:hyperlink>
    </w:p>
    <w:p>
      <w:pPr>
        <w:spacing w:before="0" w:after="80"/>
      </w:pPr>
      <w:r>
        <w:rPr>
          <w:i/>
          <w:sz w:val="20"/>
        </w:rPr>
        <w:t>EN: Oxygen Vacancy and Alkali Ion-Assisted Nitrogen Fixation with Efficient Solar Ammonia Production over NiTiO3 Based Photocatalysts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434">
        <w:r>
          <w:rPr>
            <w:color w:val="1155CC"/>
            <w:u w:val="single"/>
          </w:rPr>
          <w:t>10.1021/acsami.6c09068</w:t>
        </w:r>
      </w:hyperlink>
    </w:p>
    <w:p>
      <w:pPr>
        <w:spacing w:before="0" w:after="120"/>
      </w:pPr>
      <w:r>
        <w:rPr>
          <w:b/>
        </w:rPr>
        <w:t xml:space="preserve">Notes: </w:t>
      </w:r>
      <w:r>
        <w:t>abstract_source=crossref</w:t>
      </w:r>
    </w:p>
    <w:p>
      <w:pPr>
        <w:spacing w:before="0" w:after="80" w:lineRule="auto" w:line="276"/>
      </w:pPr>
      <w:r>
        <w:rPr>
          <w:b/>
        </w:rPr>
        <w:t xml:space="preserve">摘要（ZH）: </w:t>
      </w:r>
      <w:r>
        <w:t>摘要 在人工固氮途径中，光催化固氮提供了一种可持续且环境友好的方法，在环境条件下利用丰富的太阳能和水。尽管光催化材料合成取得了重大进展，但主要瓶颈如氮气在水介质中的溶解度低、扩散有限和吸附位点不足导致反应动力学缓慢，需要解决这些瓶颈才能实现高氮气固定效率。在这项工作中，我们证明了钙钛矿氧化物光催化剂 NiTiO3 中的策略性氧空位纳米结构显着提高了其光催化 NH3 生产的效率。因此，具有充足氧空位的优化 NiTiO3 样品可显着提高 NH3 生产率，达到 100.51 μmol g–1 h–1。此外，在反应介质中添加从Li+到Cs+的碱金属离子，提高了NH3的产量，反映了它们强大的电子和界面相互作用。在 K+ 离子的情况下观察到最明显的增加，与纯水反应介质相比增加了约两倍（197.56 μmol g–1 h–1），这与其在哈伯-博世过程中作为电子促进剂的既定作用一致。添加由氧空位支持的碱金属离子，可调节电子结构并产生电场，通过削弱 N−N 键进一步加速反应物向界面活性位点的传输，从而加速太阳能 NH3 的产生。密度</w:t>
      </w:r>
    </w:p>
    <w:p>
      <w:pPr>
        <w:spacing w:before="0" w:after="200" w:lineRule="auto" w:line="276"/>
      </w:pPr>
      <w:r>
        <w:rPr>
          <w:b/>
        </w:rPr>
        <w:t xml:space="preserve">Abstract (EN): </w:t>
      </w:r>
      <w:r>
        <w:t>Among the artificial nitrogen fixation routes, photocatalytic N2 fixation offers a sustainable and environmentally benign approach using abundant solar energy and water at ambient conditions. Despite significant advancements in photocatalytic material synthesis, major bottlenecks such as low solubility of N2 in aqueous medium, limited diffusion, and insufficient adsorption sites contribute to the sluggish reaction kinetics and need to be addressed for achieving high N2 fixation efficiency. In this work, we demonstrate that strategic oxygen vacancy nanoarchitectonics in a perovskite oxide photocatalyst, NiTiO3, significantly amplifies its efficiency towards photocatalytic NH3 production. As a result, the optimized NiTiO3 sample with ample oxygen vacancies delivered a significantly higher NH3 production rate of 100.51 μmol g–1 h–1. Furthermore, the addition of alkali metal ions in the reaction medium, ranging from Li+ to Cs+, improved the NH3 production, reflecting their strong electronic and interfacial interactions. The most pronounced increase was observed in the case of K+ ions, resulting in about a two-fold increase (197.56 μmol g–1 h–1) in comparison to the pure water reaction medium, consistent with its established role as an electron promoter in the case of the Haber–Bosch process. The addition of alkali metal ions, supported by oxygen vacancies, tunes the electronic structure and generates an electric field that further accelerates reactant transport to interfacial active sites by weakening the N≡N bond, thereby accelerating solar NH3 production. The density functional theory calculations revealed that oxygen vacancies act as dual-function sites that facilitate N2 chemisorption and activation and provide atomic channels for hydrogenation to NH3, with experimental results preferentially supporting the associative distal pathway for NH3 generation. These findings establish a clear and definite strategy to achieve high-efficiency solar-driven NH3 production with the synergy of defect-modulation in perovskite oxides and the presence of alkali ions in the reaction mixture.</w:t>
      </w:r>
    </w:p>
    <w:p>
      <w:pPr>
        <w:spacing w:before="120" w:after="120"/>
      </w:pPr>
      <w:r>
        <w:rPr>
          <w:sz w:val="18"/>
        </w:rPr>
        <w:t>——————————————————————————————————————————————————————————————————————</w:t>
      </w:r>
    </w:p>
    <w:p>
      <w:pPr>
        <w:spacing w:before="160" w:after="40" w:line="240" w:lineRule="auto"/>
      </w:pPr>
      <w:r>
        <w:rPr>
          <w:b/>
        </w:rPr>
        <w:t xml:space="preserve">[17] </w:t>
      </w:r>
      <w:hyperlink r:id="rId435">
        <w:r>
          <w:rPr>
            <w:color w:val="1155CC"/>
            <w:u w:val="single"/>
          </w:rPr>
          <w:t>通过控制氧化物簇上的原子组装来调节反应路径</w:t>
        </w:r>
      </w:hyperlink>
    </w:p>
    <w:p>
      <w:pPr>
        <w:spacing w:before="0" w:after="80"/>
      </w:pPr>
      <w:r>
        <w:rPr>
          <w:i/>
          <w:sz w:val="20"/>
        </w:rPr>
        <w:t>EN: Tuning Reaction Pathways by Controlling Atomic Assembly on Oxide Clusters</w:t>
      </w:r>
    </w:p>
    <w:p>
      <w:pPr>
        <w:spacing w:before="0" w:after="120"/>
      </w:pPr>
      <w:r>
        <w:rPr>
          <w:b/>
        </w:rPr>
        <w:t xml:space="preserve">Source: </w:t>
      </w:r>
      <w:r>
        <w:t>Wiley: Angewandte Chemie International Edition: Table of Contents</w:t>
      </w:r>
      <w:r>
        <w:t xml:space="preserve">    </w:t>
      </w:r>
      <w:r>
        <w:rPr>
          <w:b/>
        </w:rPr>
        <w:t xml:space="preserve">Pub date: </w:t>
      </w:r>
      <w:r>
        <w:t>2026-08-17 11:00:32+00:00</w:t>
      </w:r>
      <w:r>
        <w:t xml:space="preserve">    </w:t>
      </w:r>
      <w:r>
        <w:rPr>
          <w:b/>
        </w:rPr>
        <w:t xml:space="preserve">DOI: </w:t>
      </w:r>
      <w:hyperlink r:id="rId436">
        <w:r>
          <w:rPr>
            <w:color w:val="1155CC"/>
            <w:u w:val="single"/>
          </w:rPr>
          <w:t>10.1002/anie.4503768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精确控制氧化物簇（&lt; 1 nm）上原子位点的组装代表了一种调整催化性能的扩展但具有挑战性的策略。在这里，我们构建了两种明确的模型催化剂，即 CuO 上的单原子 Pt</w:t>
      </w:r>
      <w:r>
        <w:t xml:space="preserve"> </w:t>
      </w:r>
      <w:r>
        <w:t>x</w:t>
      </w:r>
      <w:r>
        <w:t xml:space="preserve"> </w:t>
      </w:r>
      <w:r>
        <w:t>簇（Pt</w:t>
      </w:r>
      <w:r>
        <w:rPr>
          <w:vertAlign w:val="subscript"/>
        </w:rPr>
        <w:t>1</w:t>
      </w:r>
      <w:r>
        <w:t>‐氧化铜</w:t>
      </w:r>
      <w:r>
        <w:t xml:space="preserve"> </w:t>
      </w:r>
      <w:r>
        <w:t>x</w:t>
      </w:r>
      <w:r>
        <w:t xml:space="preserve"> </w:t>
      </w:r>
      <w:r>
        <w:t>/CN) 和 CuO 上的三原子 Pt</w:t>
      </w:r>
      <w:r>
        <w:t xml:space="preserve"> </w:t>
      </w:r>
      <w:r>
        <w:t>x</w:t>
      </w:r>
      <w:r>
        <w:t xml:space="preserve"> </w:t>
      </w:r>
      <w:r>
        <w:t>簇（Pt</w:t>
      </w:r>
      <w:r>
        <w:rPr>
          <w:vertAlign w:val="subscript"/>
        </w:rPr>
        <w:t>3</w:t>
      </w:r>
      <w:r>
        <w:t>‐氧化铜</w:t>
      </w:r>
      <w:r>
        <w:t xml:space="preserve"> </w:t>
      </w:r>
      <w:r>
        <w:t>x</w:t>
      </w:r>
      <w:r>
        <w:t xml:space="preserve"> </w:t>
      </w:r>
      <w:r>
        <w:t>/CN），并采用甲醇氧化反应（MOR）作为探针来揭示原子组装在控制催化机制中的作用。铂</w:t>
      </w:r>
      <w:r>
        <w:rPr>
          <w:vertAlign w:val="subscript"/>
        </w:rPr>
        <w:t>1</w:t>
      </w:r>
      <w:r>
        <w:t>‐氧化铜</w:t>
      </w:r>
      <w:r>
        <w:t xml:space="preserve"> </w:t>
      </w:r>
      <w:r>
        <w:t>x</w:t>
      </w:r>
      <w:r>
        <w:t xml:space="preserve"> </w:t>
      </w:r>
      <w:r>
        <w:t>/CN 实现了无 CO 途径，在宽电位窗口（0.6–1.0 V 与 RHE）内实现了 80%–99% 的超高甲酸盐选择性。相比之下，铂</w:t>
      </w:r>
      <w:r>
        <w:rPr>
          <w:vertAlign w:val="subscript"/>
        </w:rPr>
        <w:t>3</w:t>
      </w:r>
      <w:r>
        <w:t>‐氧化铜</w:t>
      </w:r>
      <w:r>
        <w:t xml:space="preserve"> </w:t>
      </w:r>
      <w:r>
        <w:t>x</w:t>
      </w:r>
      <w:r>
        <w:t xml:space="preserve"> </w:t>
      </w:r>
      <w:r>
        <w:t>/CN 遵循涉及甲酸盐和 CO 途径的混合途径，提供比 Pt 显着更高的质量活性</w:t>
      </w:r>
      <w:r>
        <w:rPr>
          <w:vertAlign w:val="subscript"/>
        </w:rPr>
        <w:t>1</w:t>
      </w:r>
      <w:r>
        <w:t>‐氧化铜</w:t>
      </w:r>
      <w:r>
        <w:t xml:space="preserve"> </w:t>
      </w:r>
      <w:r>
        <w:t>x</w:t>
      </w:r>
      <w:r>
        <w:t xml:space="preserve"> </w:t>
      </w:r>
      <w:r>
        <w:t>/CN 和商业 Pt/C，以及对 CO 中毒的高抵抗力。 Pt 中的孤立 Pt 位点</w:t>
      </w:r>
      <w:r>
        <w:rPr>
          <w:vertAlign w:val="subscript"/>
        </w:rPr>
        <w:t>1</w:t>
      </w:r>
      <w:r>
        <w:t>‐氧化铜</w:t>
      </w:r>
      <w:r>
        <w:t xml:space="preserve"> </w:t>
      </w:r>
      <w:r>
        <w:t>x</w:t>
      </w:r>
      <w:r>
        <w:t xml:space="preserve"> </w:t>
      </w:r>
      <w:r>
        <w:t>/CN 对关键的 *COH 中间体 (2.15 eV) 施加令人望而却步的自由能变化，有效抑制 CO</w:t>
      </w:r>
    </w:p>
    <w:p>
      <w:pPr>
        <w:spacing w:before="0" w:after="200" w:lineRule="auto" w:line="276"/>
      </w:pPr>
      <w:r>
        <w:rPr>
          <w:b/>
        </w:rPr>
        <w:t xml:space="preserve">Abstract (EN): </w:t>
      </w:r>
      <w:r>
        <w:t>Precisely controlling the assembly of atomic sites on oxide clusters (&amp;lt; 1 nm) represents an expanded yet challenging strategy for tuning catalytic performance. Here, we construct two well‐defined model catalysts, single‐atomic Pt on CuO</w:t>
      </w:r>
      <w:r>
        <w:t xml:space="preserve"> </w:t>
      </w:r>
      <w:r>
        <w:t>x</w:t>
      </w:r>
      <w:r>
        <w:t xml:space="preserve"> </w:t>
      </w:r>
      <w:r>
        <w:t>clusters (Pt</w:t>
      </w:r>
      <w:r>
        <w:rPr>
          <w:vertAlign w:val="subscript"/>
        </w:rPr>
        <w:t>1</w:t>
      </w:r>
      <w:r>
        <w:t>‐CuO</w:t>
      </w:r>
      <w:r>
        <w:t xml:space="preserve"> </w:t>
      </w:r>
      <w:r>
        <w:t>x</w:t>
      </w:r>
      <w:r>
        <w:t xml:space="preserve"> </w:t>
      </w:r>
      <w:r>
        <w:t>/CN) and triple‐atomic Pt on CuO</w:t>
      </w:r>
      <w:r>
        <w:t xml:space="preserve"> </w:t>
      </w:r>
      <w:r>
        <w:t>x</w:t>
      </w:r>
      <w:r>
        <w:t xml:space="preserve"> </w:t>
      </w:r>
      <w:r>
        <w:t>clusters (Pt</w:t>
      </w:r>
      <w:r>
        <w:rPr>
          <w:vertAlign w:val="subscript"/>
        </w:rPr>
        <w:t>3</w:t>
      </w:r>
      <w:r>
        <w:t>‐CuO</w:t>
      </w:r>
      <w:r>
        <w:t xml:space="preserve"> </w:t>
      </w:r>
      <w:r>
        <w:t>x</w:t>
      </w:r>
      <w:r>
        <w:t xml:space="preserve"> </w:t>
      </w:r>
      <w:r>
        <w:t>/CN), and employ methanol oxidation reaction (MOR) as a probe to unravel the role of atomic assembly in governing catalytic mechanisms. Pt</w:t>
      </w:r>
      <w:r>
        <w:rPr>
          <w:vertAlign w:val="subscript"/>
        </w:rPr>
        <w:t>1</w:t>
      </w:r>
      <w:r>
        <w:t>‐CuO</w:t>
      </w:r>
      <w:r>
        <w:t xml:space="preserve"> </w:t>
      </w:r>
      <w:r>
        <w:t>x</w:t>
      </w:r>
      <w:r>
        <w:t xml:space="preserve"> </w:t>
      </w:r>
      <w:r>
        <w:t>/CN enables a CO‐free pathway, achieving an ultrahigh formate selectivity of 80%–99% over a wide potential window (0.6–1.0 V vs. RHE). In contrast, Pt</w:t>
      </w:r>
      <w:r>
        <w:rPr>
          <w:vertAlign w:val="subscript"/>
        </w:rPr>
        <w:t>3</w:t>
      </w:r>
      <w:r>
        <w:t>‐CuO</w:t>
      </w:r>
      <w:r>
        <w:t xml:space="preserve"> </w:t>
      </w:r>
      <w:r>
        <w:t>x</w:t>
      </w:r>
      <w:r>
        <w:t xml:space="preserve"> </w:t>
      </w:r>
      <w:r>
        <w:t>/CN follows a hybrid pathway involving both formate and CO routes, delivering significantly higher mass activity than that of Pt</w:t>
      </w:r>
      <w:r>
        <w:rPr>
          <w:vertAlign w:val="subscript"/>
        </w:rPr>
        <w:t>1</w:t>
      </w:r>
      <w:r>
        <w:t>‐CuO</w:t>
      </w:r>
      <w:r>
        <w:t xml:space="preserve"> </w:t>
      </w:r>
      <w:r>
        <w:t>x</w:t>
      </w:r>
      <w:r>
        <w:t xml:space="preserve"> </w:t>
      </w:r>
      <w:r>
        <w:t>/CN and the commercial Pt/C, alongside high resistance to CO poisoning. Isolated Pt sites in Pt</w:t>
      </w:r>
      <w:r>
        <w:rPr>
          <w:vertAlign w:val="subscript"/>
        </w:rPr>
        <w:t>1</w:t>
      </w:r>
      <w:r>
        <w:t>‐CuO</w:t>
      </w:r>
      <w:r>
        <w:t xml:space="preserve"> </w:t>
      </w:r>
      <w:r>
        <w:t>x</w:t>
      </w:r>
      <w:r>
        <w:t xml:space="preserve"> </w:t>
      </w:r>
      <w:r>
        <w:t>/CN impose a prohibitively uphill free‐energy change for the key *COH intermediate (2.15 eV), effectively suppressing CO generation. Conversely, triangular Pt sites in Pt</w:t>
      </w:r>
      <w:r>
        <w:rPr>
          <w:vertAlign w:val="subscript"/>
        </w:rPr>
        <w:t>3</w:t>
      </w:r>
      <w:r>
        <w:t>‐CuO</w:t>
      </w:r>
      <w:r>
        <w:t xml:space="preserve"> </w:t>
      </w:r>
      <w:r>
        <w:t>x</w:t>
      </w:r>
      <w:r>
        <w:t xml:space="preserve"> </w:t>
      </w:r>
      <w:r>
        <w:t>/CN form a robust electronic localization center via deep 5d orbital hybridization, facilitating d→π* electron back‐donation and stabilizing *COH adsorption in a triple hollow‐site configuration, lowering the limiting free‐energy requirement for the CO pathway. This work reveals the role of atomic‐scale assembly on oxide clusters in dictating catalytic mechanism and performance, opening new avenues for precise design of advanced electrocatalysts.</w:t>
      </w:r>
    </w:p>
    <w:p>
      <w:pPr>
        <w:spacing w:before="120" w:after="120"/>
      </w:pPr>
      <w:r>
        <w:rPr>
          <w:sz w:val="18"/>
        </w:rPr>
        <w:t>——————————————————————————————————————————————————————————————————————</w:t>
      </w:r>
    </w:p>
    <w:p>
      <w:pPr>
        <w:spacing w:before="160" w:after="40" w:line="240" w:lineRule="auto"/>
      </w:pPr>
      <w:r>
        <w:rPr>
          <w:b/>
        </w:rPr>
        <w:t xml:space="preserve">[18] </w:t>
      </w:r>
      <w:hyperlink r:id="rId437">
        <w:r>
          <w:rPr>
            <w:color w:val="1155CC"/>
            <w:u w:val="single"/>
          </w:rPr>
          <w:t>可解释的强化学习能源调度与系统规模共同优化，以实现稳定高效的离网绿色氢系统</w:t>
        </w:r>
      </w:hyperlink>
    </w:p>
    <w:p>
      <w:pPr>
        <w:spacing w:before="0" w:after="80"/>
      </w:pPr>
      <w:r>
        <w:rPr>
          <w:i/>
          <w:sz w:val="20"/>
        </w:rPr>
        <w:t>EN: Interpretable reinforcement-learning energy dispatch co-optimized with system sizing for stable and efficient off-grid green‑hydrogen systems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438">
        <w:r>
          <w:rPr>
            <w:color w:val="1155CC"/>
            <w:u w:val="single"/>
          </w:rPr>
          <w:t>10.1016/j.apenergy.2026.128682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439">
        <w:r>
          <w:rPr>
            <w:color w:val="1155CC"/>
            <w:u w:val="single"/>
          </w:rPr>
          <w:t>氢基远程微电网的稳健容量规划与共同优化的日常服务窗口</w:t>
        </w:r>
      </w:hyperlink>
    </w:p>
    <w:p>
      <w:pPr>
        <w:spacing w:before="0" w:after="80"/>
      </w:pPr>
      <w:r>
        <w:rPr>
          <w:i/>
          <w:sz w:val="20"/>
        </w:rPr>
        <w:t>EN: Robust capacity planning of hydrogen-based remote microgrids with a co-optimized daily service window</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440">
        <w:r>
          <w:rPr>
            <w:color w:val="1155CC"/>
            <w:u w:val="single"/>
          </w:rPr>
          <w:t>10.1016/j.apenergy.2026.128686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441">
        <w:r>
          <w:rPr>
            <w:color w:val="1155CC"/>
            <w:u w:val="single"/>
          </w:rPr>
          <w:t>中东如何成为可持续航空燃料的中心</w:t>
        </w:r>
      </w:hyperlink>
    </w:p>
    <w:p>
      <w:pPr>
        <w:spacing w:before="0" w:after="80"/>
      </w:pPr>
      <w:r>
        <w:rPr>
          <w:i/>
          <w:sz w:val="20"/>
        </w:rPr>
        <w:t>EN: How the Middle East can become a hub for sustainable aviation fuels</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442">
        <w:r>
          <w:rPr>
            <w:color w:val="1155CC"/>
            <w:u w:val="single"/>
          </w:rPr>
          <w:t>10.1038/d41586-026-02531-3</w:t>
        </w:r>
      </w:hyperlink>
    </w:p>
    <w:p>
      <w:pPr>
        <w:spacing w:before="0" w:after="120"/>
      </w:pPr>
      <w:r>
        <w:rPr>
          <w:b/>
        </w:rPr>
        <w:t xml:space="preserve">Notes: </w:t>
      </w:r>
      <w:r>
        <w:t>abstract_source=rss_nature</w:t>
      </w:r>
    </w:p>
    <w:p>
      <w:pPr>
        <w:spacing w:before="0" w:after="80" w:lineRule="auto" w:line="276"/>
      </w:pPr>
      <w:r>
        <w:rPr>
          <w:b/>
        </w:rPr>
        <w:t xml:space="preserve">摘要（ZH）: </w:t>
      </w:r>
      <w:r>
        <w:t>凭借该地区的石油基础设施、投资基金和航运走廊，海湾国家可以在清洁能源经济中蓬勃发展。</w:t>
      </w:r>
    </w:p>
    <w:p>
      <w:pPr>
        <w:spacing w:before="0" w:after="200" w:lineRule="auto" w:line="276"/>
      </w:pPr>
      <w:r>
        <w:rPr>
          <w:b/>
        </w:rPr>
        <w:t xml:space="preserve">Abstract (EN): </w:t>
      </w:r>
      <w:r>
        <w:t>Building on the region’s oil infrastructure, investment funds and shipping corridors, Gulf nations can thrive in the clean-energy economy.</w:t>
      </w:r>
    </w:p>
    <w:p>
      <w:pPr>
        <w:spacing w:before="120" w:after="120"/>
      </w:pPr>
      <w:r>
        <w:rPr>
          <w:sz w:val="18"/>
        </w:rPr>
        <w:t>——————————————————————————————————————————————————————————————————————</w:t>
      </w:r>
    </w:p>
    <w:p>
      <w:pPr>
        <w:spacing w:before="160" w:after="40" w:line="240" w:lineRule="auto"/>
      </w:pPr>
      <w:r>
        <w:rPr>
          <w:b/>
        </w:rPr>
        <w:t xml:space="preserve">[21] </w:t>
      </w:r>
      <w:hyperlink r:id="rId443">
        <w:r>
          <w:rPr>
            <w:color w:val="1155CC"/>
            <w:u w:val="single"/>
          </w:rPr>
          <w:t>产品氨积累限制了电催化一氧化氮还原</w:t>
        </w:r>
      </w:hyperlink>
    </w:p>
    <w:p>
      <w:pPr>
        <w:spacing w:before="0" w:after="80"/>
      </w:pPr>
      <w:r>
        <w:rPr>
          <w:i/>
          <w:sz w:val="20"/>
        </w:rPr>
        <w:t>EN: Product ammonia accumulation limits electrocatalytic nitric oxide reduction</w:t>
      </w:r>
    </w:p>
    <w:p>
      <w:pPr>
        <w:spacing w:before="0" w:after="120"/>
      </w:pPr>
      <w:r>
        <w:rPr>
          <w:b/>
        </w:rPr>
        <w:t xml:space="preserve">Source: </w:t>
      </w:r>
      <w:r>
        <w:t>National Science Review Advance Access</w:t>
      </w:r>
      <w:r>
        <w:t xml:space="preserve">    </w:t>
      </w:r>
      <w:r>
        <w:rPr>
          <w:b/>
        </w:rPr>
        <w:t xml:space="preserve">Pub date: </w:t>
      </w:r>
      <w:r>
        <w:t>2026-08-18 00:00:00+00:00</w:t>
      </w:r>
      <w:r>
        <w:t xml:space="preserve">    </w:t>
      </w:r>
      <w:r>
        <w:rPr>
          <w:b/>
        </w:rPr>
        <w:t xml:space="preserve">DOI: </w:t>
      </w:r>
      <w:hyperlink r:id="rId444">
        <w:r>
          <w:rPr>
            <w:color w:val="1155CC"/>
            <w:u w:val="single"/>
          </w:rPr>
          <w:t>10.1093/nsr/nwag507</w:t>
        </w:r>
      </w:hyperlink>
    </w:p>
    <w:p>
      <w:pPr>
        <w:spacing w:before="0" w:after="120"/>
      </w:pPr>
      <w:r>
        <w:rPr>
          <w:b/>
        </w:rPr>
        <w:t xml:space="preserve">Notes: </w:t>
      </w:r>
      <w:r>
        <w:t>abstract_source=rss_oup</w:t>
      </w:r>
    </w:p>
    <w:p>
      <w:pPr>
        <w:spacing w:before="0" w:after="80" w:lineRule="auto" w:line="276"/>
      </w:pPr>
      <w:r>
        <w:rPr>
          <w:b/>
        </w:rPr>
        <w:t xml:space="preserve">摘要（ZH）: </w:t>
      </w:r>
      <w:r>
        <w:t>电催化一氧化氮还原反应（eNORR）已成为在环境条件下可持续合成氨的有前途的途径。然而，其实际效率和长期稳定性往往受到电极-电解质界面动态反应微环境的限制。实际操作系统中一个关键但经常被忽视的因素是氨的局部积累及其不利的界面影响。这里我们使用的是原位</w:t>
      </w:r>
    </w:p>
    <w:p>
      <w:pPr>
        <w:spacing w:before="0" w:after="200" w:lineRule="auto" w:line="276"/>
      </w:pPr>
      <w:r>
        <w:rPr>
          <w:b/>
        </w:rPr>
        <w:t xml:space="preserve">Abstract (EN): </w:t>
      </w:r>
      <w:r>
        <w:t>The electrocatalytic nitric oxide reduction reaction (eNORR) has emerged as a promising route for sustainable ammonia synthesis under ambient conditions. However, its practical efficiency and long-term stability are often constrained by the dynamic reaction microenvironment at the electrode-electrolyte interface. A critical yet frequently overlooked factor in real operating systems is the local accumulation of the ammonia and its adverse interfacial effects. Here, we use in situ</w:t>
      </w:r>
    </w:p>
    <w:p>
      <w:pPr>
        <w:spacing w:before="120" w:after="120"/>
      </w:pPr>
      <w:r>
        <w:rPr>
          <w:sz w:val="18"/>
        </w:rPr>
        <w:t>——————————————————————————————————————————————————————————————————————</w:t>
      </w:r>
    </w:p>
    <w:p>
      <w:pPr>
        <w:spacing w:before="160" w:after="40" w:line="240" w:lineRule="auto"/>
      </w:pPr>
      <w:r>
        <w:rPr>
          <w:b/>
        </w:rPr>
        <w:t xml:space="preserve">[22] </w:t>
      </w:r>
      <w:hyperlink r:id="rId445">
        <w:r>
          <w:rPr>
            <w:color w:val="1155CC"/>
            <w:u w:val="single"/>
          </w:rPr>
          <w:t>亚欧绿色航运走廊脱碳分阶段燃料转型</w:t>
        </w:r>
      </w:hyperlink>
    </w:p>
    <w:p>
      <w:pPr>
        <w:spacing w:before="0" w:after="80"/>
      </w:pPr>
      <w:r>
        <w:rPr>
          <w:i/>
          <w:sz w:val="20"/>
        </w:rPr>
        <w:t>EN: Phased fuel transitions for decarbonizing the Asia–Europe Green Shipping Corridor</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446">
        <w:r>
          <w:rPr>
            <w:color w:val="1155CC"/>
            <w:u w:val="single"/>
          </w:rPr>
          <w:t>10.1038/s41893-026-01878-9</w:t>
        </w:r>
      </w:hyperlink>
    </w:p>
    <w:p>
      <w:pPr>
        <w:spacing w:before="0" w:after="120"/>
      </w:pPr>
      <w:r>
        <w:rPr>
          <w:b/>
        </w:rPr>
        <w:t xml:space="preserve">Notes: </w:t>
      </w:r>
      <w:r>
        <w:t>abstract_source=semanticscholar</w:t>
      </w:r>
    </w:p>
    <w:p>
      <w:pPr>
        <w:spacing w:before="0" w:after="80" w:lineRule="auto" w:line="276"/>
      </w:pPr>
      <w:r>
        <w:rPr>
          <w:b/>
        </w:rPr>
        <w:t xml:space="preserve">摘要（ZH）: </w:t>
      </w:r>
      <w:r>
        <w:t>国际航运正处于脱碳努力的关键时刻，但对可行燃料转型途径的全面评估仍然很少。在这里，我们开发了一个与系统动力学相结合的动态生命周期评估框架，以评估到2050年亚欧绿色航运走廊的13种替代海洋燃料（例如氨、甲醇、氢气和大豆基生物柴油）。该框架涵盖了气候影响、环境可持续性、能源效率和经济可行性。在三种情景（一切照常、最经济和最大限度碳减排）下，本研究考虑了关键动态参数，包括技术学习曲线。结果表明，这是一个阶段性转变：大豆生物柴油提供了短期解决方案，而电燃料在 2040 年之后将占据主导地位。国际海事组织的净零框架逐步缩小区域成本与排放差距，而欧盟的 FuelEU 海事法规则引入了高达 7.6% 的成本溢价。这些结果表明，政策设计和监管严格程度在很大程度上影响了海上脱碳的燃料转型轨迹。航运业仍然几乎完全依赖化石燃料，在不断变化的法规下确定可行的燃料过渡途径是一个关键挑战。目前，一项研究评估了亚欧走廊的 13 种替代海洋燃料，揭示了由政策设计和时机决定的分阶段过渡。</w:t>
      </w:r>
    </w:p>
    <w:p>
      <w:pPr>
        <w:spacing w:before="0" w:after="200" w:lineRule="auto" w:line="276"/>
      </w:pPr>
      <w:r>
        <w:rPr>
          <w:b/>
        </w:rPr>
        <w:t xml:space="preserve">Abstract (EN): </w:t>
      </w:r>
      <w:r>
        <w:t>International shipping stands at a pivotal juncture in its decarbonization efforts, yet a comprehensive assessment of viable fuel transition pathways remains scarce. Here we develop a dynamic life cycle assessment framework integrated with system dynamics to evaluate 13 alternative marine fuels (for example, ammonia, methanol, hydrogen and soybean-based biodiesel) for the Asia–Europe Green Shipping Corridor through 2050. The framework incorporates climate impacts, environmental sustainability, energy efficiency and economic feasibility. Under three scenarios (Business as Usual, Most Economical and Maximum Carbon Reduction), this study accounts for key dynamic parameters, including technology learning curves. Results indicate a phased transition: soybean-based biodiesel offers a near-term solution, while electrofuels dominate after 2040. The International Maritime Organization’s Net-Zero Framework progressively narrows regional cost–emission gaps, whereas the European Union’s FuelEU Maritime regulation introduces a cost premium of up to 7.6%. These results indicate that policy design and regulatory stringency substantially shape fuel transition trajectories for maritime decarbonization. Shipping remains almost entirely reliant on fossil fuels, and identifying viable fuel transition pathways under evolving regulations is a key challenge. A study now evaluates 13 alternative marine fuels for the Asia–Europe corridor, revealing phased transitions shaped by policy design and timing.</w:t>
      </w:r>
    </w:p>
    <w:p>
      <w:pPr>
        <w:spacing w:before="120" w:after="120"/>
      </w:pPr>
      <w:r>
        <w:rPr>
          <w:sz w:val="18"/>
        </w:rPr>
        <w:t>——————————————————————————————————————————————————————————————————————</w:t>
      </w:r>
    </w:p>
    <w:p>
      <w:pPr>
        <w:spacing w:before="160" w:after="40" w:line="240" w:lineRule="auto"/>
      </w:pPr>
      <w:r>
        <w:rPr>
          <w:b/>
        </w:rPr>
        <w:t xml:space="preserve">[23] </w:t>
      </w:r>
      <w:hyperlink r:id="rId447">
        <w:r>
          <w:rPr>
            <w:color w:val="1155CC"/>
            <w:u w:val="single"/>
          </w:rPr>
          <w:t>低碳航运的分阶段燃料转型</w:t>
        </w:r>
      </w:hyperlink>
    </w:p>
    <w:p>
      <w:pPr>
        <w:spacing w:before="0" w:after="80"/>
      </w:pPr>
      <w:r>
        <w:rPr>
          <w:i/>
          <w:sz w:val="20"/>
        </w:rPr>
        <w:t>EN: Phased fuel transition for low-carbon shipping</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448">
        <w:r>
          <w:rPr>
            <w:color w:val="1155CC"/>
            <w:u w:val="single"/>
          </w:rPr>
          <w:t>10.1038/s41893-026-01907-7</w:t>
        </w:r>
      </w:hyperlink>
    </w:p>
    <w:p>
      <w:pPr>
        <w:spacing w:before="0" w:after="120"/>
      </w:pPr>
      <w:r>
        <w:rPr>
          <w:b/>
        </w:rPr>
        <w:t xml:space="preserve">Notes: </w:t>
      </w:r>
      <w:r>
        <w:t>abstract_source=semanticscholar</w:t>
      </w:r>
    </w:p>
    <w:p>
      <w:pPr>
        <w:spacing w:before="0" w:after="80" w:lineRule="auto" w:line="276"/>
      </w:pPr>
      <w:r>
        <w:rPr>
          <w:b/>
        </w:rPr>
        <w:t xml:space="preserve">摘要（ZH）: </w:t>
      </w:r>
      <w:r>
        <w:t>在亚欧航运走廊沿线，生物燃料提供了最有力的近期选择，有可能将温室气体排放量减少 31-47%，而根据国际海事组织净零框架，2040 年后电燃料将变得更具竞争力。因此，政策制定者可以采取分阶段战略，即现在优先考虑生物燃料，并为 2040 年后的电燃料基础设施做好准备，以避免航运业锁定过渡化石燃料。优先考虑可持续生物燃料以减少近期温室气体排放。扩大可再生电力供应，充分发挥电燃料的气候效益。将区域碳强度目标与当地电力结构保持一致。将监管设计纳入 IMO 净零框架，以实现长期投资稳定性。优先考虑可持续生物燃料以减少近期温室气体排放。扩大可再生电力供应，充分发挥电燃料的气候效益。将区域碳强度目标与当地电力结构保持一致。将监管设计纳入 IMO 净零框架，以实现长期投资稳定性。</w:t>
      </w:r>
    </w:p>
    <w:p>
      <w:pPr>
        <w:spacing w:before="0" w:after="200" w:lineRule="auto" w:line="276"/>
      </w:pPr>
      <w:r>
        <w:rPr>
          <w:b/>
        </w:rPr>
        <w:t xml:space="preserve">Abstract (EN): </w:t>
      </w:r>
      <w:r>
        <w:t>Along the Asia–Europe shipping corridor, biofuels offer the strongest near-term option, potentially cutting greenhouse gas emissions by 31–47%, while electrofuels become more competitive after 2040 under the International Maritime Organization Net-Zero Framework. Policymakers could therefore adopt a phased strategy that prioritizes biofuels now and prepares infrastructure for electrofuels after 2040, to avoid locking shipping into transitional fossil fuels. Prioritize sustainable biofuels for near-term cuts in greenhouse gas emissions. Expand renewable electricity supply to unlock the full climate benefits of electrofuels. Align regional carbon intensity targets with local electricity mixes. Anchor regulatory design in the IMO Net-Zero Framework for long-term investment stability. Prioritize sustainable biofuels for near-term cuts in greenhouse gas emissions. Expand renewable electricity supply to unlock the full climate benefits of electrofuels. Align regional carbon intensity targets with local electricity mixes. Anchor regulatory design in the IMO Net-Zero Framework for long-term investment stability.</w:t>
      </w:r>
    </w:p>
    <w:p>
      <w:pPr>
        <w:spacing w:before="120" w:after="120"/>
      </w:pPr>
      <w:r>
        <w:rPr>
          <w:sz w:val="18"/>
        </w:rPr>
        <w:t>——————————————————————————————————————————————————————————————————————</w:t>
      </w:r>
    </w:p>
    <w:p>
      <w:pPr>
        <w:spacing w:before="160" w:after="40" w:line="240" w:lineRule="auto"/>
      </w:pPr>
      <w:r>
        <w:rPr>
          <w:b/>
        </w:rPr>
        <w:t xml:space="preserve">[24] </w:t>
      </w:r>
      <w:hyperlink r:id="rId449">
        <w:r>
          <w:rPr>
            <w:color w:val="1155CC"/>
            <w:u w:val="single"/>
          </w:rPr>
          <w:t>中空纳米反应器调节传质和双物质溢出以促进实际废水中硝酸盐到氨的还原</w:t>
        </w:r>
      </w:hyperlink>
    </w:p>
    <w:p>
      <w:pPr>
        <w:spacing w:before="0" w:after="80"/>
      </w:pPr>
      <w:r>
        <w:rPr>
          <w:i/>
          <w:sz w:val="20"/>
        </w:rPr>
        <w:t>EN: Hollow Nanoreactors Modulate Mass Transfer and Dual‐Species Spillover to Boost Nitrate‐to‐Ammonia Reduction in Real Wastewater</w:t>
      </w:r>
    </w:p>
    <w:p>
      <w:pPr>
        <w:spacing w:before="0" w:after="120"/>
      </w:pPr>
      <w:r>
        <w:rPr>
          <w:b/>
        </w:rPr>
        <w:t xml:space="preserve">Source: </w:t>
      </w:r>
      <w:r>
        <w:t>Wiley: Advanced Materials: Table of Contents</w:t>
      </w:r>
      <w:r>
        <w:t xml:space="preserve">    </w:t>
      </w:r>
      <w:r>
        <w:rPr>
          <w:b/>
        </w:rPr>
        <w:t xml:space="preserve">Pub date: </w:t>
      </w:r>
      <w:r>
        <w:t>2026-08-18 08:06:16+00:00</w:t>
      </w:r>
      <w:r>
        <w:t xml:space="preserve">    </w:t>
      </w:r>
      <w:r>
        <w:rPr>
          <w:b/>
        </w:rPr>
        <w:t xml:space="preserve">DOI: </w:t>
      </w:r>
      <w:hyperlink r:id="rId450">
        <w:r>
          <w:rPr>
            <w:color w:val="1155CC"/>
            <w:u w:val="single"/>
          </w:rPr>
          <w:t>10.1002/adma.74714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铜基材料是电催化硝酸盐还原成氨（NH</w:t>
      </w:r>
      <w:r>
        <w:rPr>
          <w:vertAlign w:val="subscript"/>
        </w:rPr>
        <w:t>3</w:t>
      </w:r>
      <w:r>
        <w:t>），而它们在低硝酸盐浓度的实际废水中的使用受到传质不良和高能垒的阻碍。为了克服这些限制，我们设计了空心 Cu/MoS</w:t>
      </w:r>
      <w:r>
        <w:rPr>
          <w:vertAlign w:val="subscript"/>
        </w:rPr>
        <w:t>2</w:t>
      </w:r>
      <w:r>
        <w:t>‐550 纳米反应器，由空心 MoS2 组成</w:t>
      </w:r>
      <w:r>
        <w:rPr>
          <w:vertAlign w:val="subscript"/>
        </w:rPr>
        <w:t>2</w:t>
      </w:r>
      <w:r>
        <w:t>支持负载Cu单原子和簇。在介观尺度上，中空的 MoS2</w:t>
      </w:r>
      <w:r>
        <w:rPr>
          <w:vertAlign w:val="subscript"/>
        </w:rPr>
        <w:t>2</w:t>
      </w:r>
      <w:r>
        <w:t>支架具有热交换器翅片状结构，可加速传质，从而促进 NO 的局部富集</w:t>
      </w:r>
      <w:r>
        <w:rPr>
          <w:vertAlign w:val="subscript"/>
        </w:rPr>
        <w:t>3</w:t>
      </w:r>
      <w:r>
        <w:t>-</w:t>
      </w:r>
      <w:r>
        <w:t>。在微尺度上，精确调节MoS2中的硫空位浓度</w:t>
      </w:r>
      <w:r>
        <w:rPr>
          <w:vertAlign w:val="subscript"/>
        </w:rPr>
        <w:t>2</w:t>
      </w:r>
      <w:r>
        <w:t>触发双物种溢出，即从Cu单原子到Cu簇的反向氢溢出和*NO溢出，从而降低了深度氢化步骤的能垒。因此，Cu/MoS</w:t>
      </w:r>
      <w:r>
        <w:rPr>
          <w:vertAlign w:val="subscript"/>
        </w:rPr>
        <w:t>2</w:t>
      </w:r>
      <w:r>
        <w:t>‐550纳米反应器实现了NH</w:t>
      </w:r>
      <w:r>
        <w:rPr>
          <w:vertAlign w:val="subscript"/>
        </w:rPr>
        <w:t>3</w:t>
      </w:r>
      <w:r>
        <w:t>法拉第效率 (FE) 为 98.14%，产率为 27.46 mg h</w:t>
      </w:r>
      <w:r>
        <w:t xml:space="preserve"> </w:t>
      </w:r>
      <w:r>
        <w:t>−1</w:t>
      </w:r>
      <w:r>
        <w:t xml:space="preserve"> </w:t>
      </w:r>
      <w:r>
        <w:t>毫克</w:t>
      </w:r>
      <w:r>
        <w:t xml:space="preserve"> </w:t>
      </w:r>
      <w:r>
        <w:t>猫</w:t>
      </w:r>
      <w:r>
        <w:t xml:space="preserve"> </w:t>
      </w:r>
      <w:r>
        <w:t>−1</w:t>
      </w:r>
      <w:r>
        <w:t xml:space="preserve"> </w:t>
      </w:r>
      <w:r>
        <w:t>。此外，当组装成 Al-NO</w:t>
      </w:r>
      <w:r>
        <w:rPr>
          <w:vertAlign w:val="subscript"/>
        </w:rPr>
        <w:t>3</w:t>
      </w:r>
      <w:r>
        <w:t>-</w:t>
      </w:r>
      <w:r>
        <w:t>电池在真实废水中运行，仅含有</w:t>
      </w:r>
    </w:p>
    <w:p>
      <w:pPr>
        <w:spacing w:before="0" w:after="200" w:lineRule="auto" w:line="276"/>
      </w:pPr>
      <w:r>
        <w:rPr>
          <w:b/>
        </w:rPr>
        <w:t xml:space="preserve">Abstract (EN): </w:t>
      </w:r>
      <w:r>
        <w:t>Copper‐based materials are promising catalysts for electrocatalytic nitrate reduction to ammonia (NH</w:t>
      </w:r>
      <w:r>
        <w:rPr>
          <w:vertAlign w:val="subscript"/>
        </w:rPr>
        <w:t>3</w:t>
      </w:r>
      <w:r>
        <w:t>), while their use in real wastewater with low nitrate concentrations is hindered by poor mass transfer and high energy barrier. To overcome these limitations, we design a hollow Cu/MoS</w:t>
      </w:r>
      <w:r>
        <w:rPr>
          <w:vertAlign w:val="subscript"/>
        </w:rPr>
        <w:t>2</w:t>
      </w:r>
      <w:r>
        <w:t>‐550 nanoreactor, consisting of hollow MoS</w:t>
      </w:r>
      <w:r>
        <w:rPr>
          <w:vertAlign w:val="subscript"/>
        </w:rPr>
        <w:t>2</w:t>
      </w:r>
      <w:r>
        <w:t>support loaded with Cu single atoms and clusters. At the mesoscale, the hollow MoS</w:t>
      </w:r>
      <w:r>
        <w:rPr>
          <w:vertAlign w:val="subscript"/>
        </w:rPr>
        <w:t>2</w:t>
      </w:r>
      <w:r>
        <w:t>support features a heat‐exchanger‐fin‐like structure that accelerates mass transfer, thereby promoting local enrichment of NO</w:t>
      </w:r>
      <w:r>
        <w:rPr>
          <w:vertAlign w:val="subscript"/>
        </w:rPr>
        <w:t>3</w:t>
      </w:r>
      <w:r>
        <w:t>−</w:t>
      </w:r>
      <w:r>
        <w:t>. At the microscale, precise modulation of sulfur vacancy concentration in MoS</w:t>
      </w:r>
      <w:r>
        <w:rPr>
          <w:vertAlign w:val="subscript"/>
        </w:rPr>
        <w:t>2</w:t>
      </w:r>
      <w:r>
        <w:t>triggers dual‐species spillover, namely reverse hydrogen spillover and *NO spillover from Cu single atoms to Cu clusters, which lowers the energy barrier of deep hydrogenation step. As a result, the Cu/MoS</w:t>
      </w:r>
      <w:r>
        <w:rPr>
          <w:vertAlign w:val="subscript"/>
        </w:rPr>
        <w:t>2</w:t>
      </w:r>
      <w:r>
        <w:t>‐550 nanoreactor achieves an NH</w:t>
      </w:r>
      <w:r>
        <w:rPr>
          <w:vertAlign w:val="subscript"/>
        </w:rPr>
        <w:t>3</w:t>
      </w:r>
      <w:r>
        <w:t>Faradaic efficiency (FE) of 98.14% and a yield rate of 27.46 mg h</w:t>
      </w:r>
      <w:r>
        <w:t xml:space="preserve"> </w:t>
      </w:r>
      <w:r>
        <w:t>−1</w:t>
      </w:r>
      <w:r>
        <w:t xml:space="preserve"> </w:t>
      </w:r>
      <w:r>
        <w:t>mg</w:t>
      </w:r>
      <w:r>
        <w:t xml:space="preserve"> </w:t>
      </w:r>
      <w:r>
        <w:t>cat</w:t>
      </w:r>
      <w:r>
        <w:t xml:space="preserve"> </w:t>
      </w:r>
      <w:r>
        <w:t>−1</w:t>
      </w:r>
      <w:r>
        <w:t xml:space="preserve"> </w:t>
      </w:r>
      <w:r>
        <w:t>. Furthermore, when assembled into an Al‐NO</w:t>
      </w:r>
      <w:r>
        <w:rPr>
          <w:vertAlign w:val="subscript"/>
        </w:rPr>
        <w:t>3</w:t>
      </w:r>
      <w:r>
        <w:t>−</w:t>
      </w:r>
      <w:r>
        <w:t>battery operating in real wastewater containing only ∼ 0.76 mM NO</w:t>
      </w:r>
      <w:r>
        <w:rPr>
          <w:vertAlign w:val="subscript"/>
        </w:rPr>
        <w:t>3</w:t>
      </w:r>
      <w:r>
        <w:t>−</w:t>
      </w:r>
      <w:r>
        <w:t>, the battery runs stably for 120 h, delivers an NH</w:t>
      </w:r>
      <w:r>
        <w:rPr>
          <w:vertAlign w:val="subscript"/>
        </w:rPr>
        <w:t>3</w:t>
      </w:r>
      <w:r>
        <w:t>FE of 53.20%, and maintains a nitrate removal rate of 91.17%. This work provides cross‐scale modulation strategies to overcome mass‐transfer bottlenecks and energy barriers in multi‐electron transfer reactions, offering a potential pathway for environmental applications.</w:t>
      </w:r>
    </w:p>
    <w:p>
      <w:pPr>
        <w:spacing w:before="120" w:after="120"/>
      </w:pPr>
      <w:r>
        <w:rPr>
          <w:sz w:val="18"/>
        </w:rPr>
        <w:t>——————————————————————————————————————————————————————————————————————</w:t>
      </w:r>
    </w:p>
    <w:p>
      <w:pPr>
        <w:spacing w:before="160" w:after="40" w:line="240" w:lineRule="auto"/>
      </w:pPr>
      <w:r>
        <w:rPr>
          <w:b/>
        </w:rPr>
        <w:t xml:space="preserve">[25] </w:t>
      </w:r>
      <w:hyperlink r:id="rId451">
        <w:r>
          <w:rPr>
            <w:color w:val="1155CC"/>
            <w:u w:val="single"/>
          </w:rPr>
          <w:t>碳化钨钛 MXene 上的亚纳米钴 (W2TiC2TX)：一种在工业规模电流密度下高效稳定碱性析氢的电催化剂</w:t>
        </w:r>
      </w:hyperlink>
    </w:p>
    <w:p>
      <w:pPr>
        <w:spacing w:before="0" w:after="80"/>
      </w:pPr>
      <w:r>
        <w:rPr>
          <w:i/>
          <w:sz w:val="20"/>
        </w:rPr>
        <w:t>EN: Sub‐Nanometer Cobalt on Tungsten Titanium Carbide MXene (W2TiC2Tx): An Electrocatalyst for Highly Efficient and Stable Alkaline Hydrogen Evolution at Industrial‐Scale Current Density</w:t>
      </w:r>
    </w:p>
    <w:p>
      <w:pPr>
        <w:spacing w:before="0" w:after="120"/>
      </w:pPr>
      <w:r>
        <w:rPr>
          <w:b/>
        </w:rPr>
        <w:t xml:space="preserve">Source: </w:t>
      </w:r>
      <w:r>
        <w:t>Wiley: Advanced Materials: Table of Contents</w:t>
      </w:r>
      <w:r>
        <w:t xml:space="preserve">    </w:t>
      </w:r>
      <w:r>
        <w:rPr>
          <w:b/>
        </w:rPr>
        <w:t xml:space="preserve">Pub date: </w:t>
      </w:r>
      <w:r>
        <w:t>2026-08-18 10:07:50+00:00</w:t>
      </w:r>
      <w:r>
        <w:t xml:space="preserve">    </w:t>
      </w:r>
      <w:r>
        <w:rPr>
          <w:b/>
        </w:rPr>
        <w:t xml:space="preserve">DOI: </w:t>
      </w:r>
      <w:hyperlink r:id="rId452">
        <w:r>
          <w:rPr>
            <w:color w:val="1155CC"/>
            <w:u w:val="single"/>
          </w:rPr>
          <w:t>10.1002/adma.74654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开发同时具有高活性、长期耐用性和工业可操作性的非贵重电催化剂仍然是碱性析氢反应（HER）的关键挑战。在此，结构明确的二维金属碳化物MXene，碳化钨钛（W</w:t>
      </w:r>
      <w:r>
        <w:rPr>
          <w:vertAlign w:val="subscript"/>
        </w:rPr>
        <w:t>2</w:t>
      </w:r>
      <w:r>
        <w:t>碳化钛</w:t>
      </w:r>
      <w:r>
        <w:rPr>
          <w:vertAlign w:val="subscript"/>
        </w:rPr>
        <w:t>2</w:t>
      </w:r>
      <w:r>
        <w:t>时间</w:t>
      </w:r>
      <w:r>
        <w:t xml:space="preserve"> </w:t>
      </w:r>
      <w:r>
        <w:t>x</w:t>
      </w:r>
      <w:r>
        <w:t xml:space="preserve"> </w:t>
      </w:r>
      <w:r>
        <w:t>），通过 W 首次合成</w:t>
      </w:r>
      <w:r>
        <w:rPr>
          <w:vertAlign w:val="subscript"/>
        </w:rPr>
        <w:t>2</w:t>
      </w:r>
      <w:r>
        <w:t>钛铝碳</w:t>
      </w:r>
      <w:r>
        <w:rPr>
          <w:vertAlign w:val="subscript"/>
        </w:rPr>
        <w:t>2</w:t>
      </w:r>
      <w:r>
        <w:t>MAX相前体。钴负载与局部原子构型和金属-载体相互作用（MSI）的合理调节相结合，能够构建高活性和坚固的Co/W</w:t>
      </w:r>
      <w:r>
        <w:rPr>
          <w:vertAlign w:val="subscript"/>
        </w:rPr>
        <w:t>2</w:t>
      </w:r>
      <w:r>
        <w:t>碳化钛</w:t>
      </w:r>
      <w:r>
        <w:rPr>
          <w:vertAlign w:val="subscript"/>
        </w:rPr>
        <w:t>2</w:t>
      </w:r>
      <w:r>
        <w:t>她的催化剂。优化的 Co/W</w:t>
      </w:r>
      <w:r>
        <w:rPr>
          <w:vertAlign w:val="subscript"/>
        </w:rPr>
        <w:t>2</w:t>
      </w:r>
      <w:r>
        <w:t>碳化钛</w:t>
      </w:r>
      <w:r>
        <w:rPr>
          <w:vertAlign w:val="subscript"/>
        </w:rPr>
        <w:t>2</w:t>
      </w:r>
      <w:r>
        <w:t>‐700 在 10 和 100 mA cm 时表现出 63 和 191 mV 的小过电势</w:t>
      </w:r>
      <w:r>
        <w:t xml:space="preserve"> </w:t>
      </w:r>
      <w:r>
        <w:t>-</w:t>
      </w:r>
      <w:r>
        <w:rPr>
          <w:vertAlign w:val="subscript"/>
        </w:rPr>
        <w:t>2</w:t>
      </w:r>
      <w:r>
        <w:t>，以及在 4000 mA cm 电流下稳定产氢超过 1000 小时的出色长期耐久性</w:t>
      </w:r>
      <w:r>
        <w:t xml:space="preserve"> </w:t>
      </w:r>
      <w:r>
        <w:t>-</w:t>
      </w:r>
      <w:r>
        <w:rPr>
          <w:vertAlign w:val="subscript"/>
        </w:rPr>
        <w:t>2</w:t>
      </w:r>
      <w:r>
        <w:t>。在流通池 MEA 电解槽中，Co/W</w:t>
      </w:r>
      <w:r>
        <w:rPr>
          <w:vertAlign w:val="subscript"/>
        </w:rPr>
        <w:t>2</w:t>
      </w:r>
      <w:r>
        <w:t>碳化钛</w:t>
      </w:r>
      <w:r>
        <w:rPr>
          <w:vertAlign w:val="subscript"/>
        </w:rPr>
        <w:t>2</w:t>
      </w:r>
      <w:r>
        <w:t>在宽电流范围（50–400 mA cm</w:t>
      </w:r>
      <w:r>
        <w:t xml:space="preserve"> </w:t>
      </w:r>
      <w:r>
        <w:t>-</w:t>
      </w:r>
      <w:r>
        <w:rPr>
          <w:vertAlign w:val="subscript"/>
        </w:rPr>
        <w:t>2</w:t>
      </w:r>
    </w:p>
    <w:p>
      <w:pPr>
        <w:spacing w:before="0" w:after="200" w:lineRule="auto" w:line="276"/>
      </w:pPr>
      <w:r>
        <w:rPr>
          <w:b/>
        </w:rPr>
        <w:t xml:space="preserve">Abstract (EN): </w:t>
      </w:r>
      <w:r>
        <w:t>Developing non‐precious electrocatalysts that simultaneously deliver high activity, long‐term durability, and industrial operability remains the critical challenge for the alkaline hydrogen evolution reaction (HER). Herein, a structurally well‐defined two‐dimensional metal carbide MXene, tungsten titanium carbide (W</w:t>
      </w:r>
      <w:r>
        <w:rPr>
          <w:vertAlign w:val="subscript"/>
        </w:rPr>
        <w:t>2</w:t>
      </w:r>
      <w:r>
        <w:t>TiC</w:t>
      </w:r>
      <w:r>
        <w:rPr>
          <w:vertAlign w:val="subscript"/>
        </w:rPr>
        <w:t>2</w:t>
      </w:r>
      <w:r>
        <w:t>T</w:t>
      </w:r>
      <w:r>
        <w:t xml:space="preserve"> </w:t>
      </w:r>
      <w:r>
        <w:t>x</w:t>
      </w:r>
      <w:r>
        <w:t xml:space="preserve"> </w:t>
      </w:r>
      <w:r>
        <w:t>), is synthesized for the first time via the W</w:t>
      </w:r>
      <w:r>
        <w:rPr>
          <w:vertAlign w:val="subscript"/>
        </w:rPr>
        <w:t>2</w:t>
      </w:r>
      <w:r>
        <w:t>TiAlC</w:t>
      </w:r>
      <w:r>
        <w:rPr>
          <w:vertAlign w:val="subscript"/>
        </w:rPr>
        <w:t>2</w:t>
      </w:r>
      <w:r>
        <w:t>MAX‐phase precursor. Cobalt loading combined with rational modulation of local atomic configurations and metal–support interactions (MSI) enables the construction of a highly active and robust Co/W</w:t>
      </w:r>
      <w:r>
        <w:rPr>
          <w:vertAlign w:val="subscript"/>
        </w:rPr>
        <w:t>2</w:t>
      </w:r>
      <w:r>
        <w:t>TiC</w:t>
      </w:r>
      <w:r>
        <w:rPr>
          <w:vertAlign w:val="subscript"/>
        </w:rPr>
        <w:t>2</w:t>
      </w:r>
      <w:r>
        <w:t>HER catalyst. The optimized Co/W</w:t>
      </w:r>
      <w:r>
        <w:rPr>
          <w:vertAlign w:val="subscript"/>
        </w:rPr>
        <w:t>2</w:t>
      </w:r>
      <w:r>
        <w:t>TiC</w:t>
      </w:r>
      <w:r>
        <w:rPr>
          <w:vertAlign w:val="subscript"/>
        </w:rPr>
        <w:t>2</w:t>
      </w:r>
      <w:r>
        <w:t>‐700 exhibits small overpotentials of 63 and 191 mV at 10 and 100 mA cm</w:t>
      </w:r>
      <w:r>
        <w:t xml:space="preserve"> </w:t>
      </w:r>
      <w:r>
        <w:t>−</w:t>
      </w:r>
      <w:r>
        <w:rPr>
          <w:vertAlign w:val="subscript"/>
        </w:rPr>
        <w:t>2</w:t>
      </w:r>
      <w:r>
        <w:t>, and outstanding long‐term durability of over 1000 h stable hydrogen production at 4000 mA cm</w:t>
      </w:r>
      <w:r>
        <w:t xml:space="preserve"> </w:t>
      </w:r>
      <w:r>
        <w:t>−</w:t>
      </w:r>
      <w:r>
        <w:rPr>
          <w:vertAlign w:val="subscript"/>
        </w:rPr>
        <w:t>2</w:t>
      </w:r>
      <w:r>
        <w:t>. In a flow‐cell MEA electrolyzer, Co/W</w:t>
      </w:r>
      <w:r>
        <w:rPr>
          <w:vertAlign w:val="subscript"/>
        </w:rPr>
        <w:t>2</w:t>
      </w:r>
      <w:r>
        <w:t>TiC</w:t>
      </w:r>
      <w:r>
        <w:rPr>
          <w:vertAlign w:val="subscript"/>
        </w:rPr>
        <w:t>2</w:t>
      </w:r>
      <w:r>
        <w:t>delivers near‐unity hydrogen Faradaic efficiency across a wide current range (50–400 mA cm</w:t>
      </w:r>
      <w:r>
        <w:t xml:space="preserve"> </w:t>
      </w:r>
      <w:r>
        <w:t>−</w:t>
      </w:r>
      <w:r>
        <w:rPr>
          <w:vertAlign w:val="subscript"/>
        </w:rPr>
        <w:t>2</w:t>
      </w:r>
      <w:r>
        <w:t>) while requiring significantly lower cell voltages than commercial Pt/C. Quasi‐in‐situ XPS, XANES, and EXAFS analyses reveal that thermal modulation induces the transformation of Co from isolated atoms and large nanoparticles into uniform sub‐nanometer particles anchored on the outer tungsten layers. DFT calculations identify Co–W interfacial sites as the primary active centers. This work highlights the critical role of rational design and utilization of MSI in MXene‐supported catalysts for electrochemical water splitting.</w:t>
      </w:r>
    </w:p>
    <w:p>
      <w:pPr>
        <w:spacing w:before="120" w:after="120"/>
      </w:pPr>
      <w:r>
        <w:rPr>
          <w:sz w:val="18"/>
        </w:rPr>
        <w:t>——————————————————————————————————————————————————————————————————————</w:t>
      </w:r>
    </w:p>
    <w:p>
      <w:pPr>
        <w:spacing w:before="160" w:after="40" w:line="240" w:lineRule="auto"/>
      </w:pPr>
      <w:r>
        <w:rPr>
          <w:b/>
        </w:rPr>
        <w:t xml:space="preserve">[26] </w:t>
      </w:r>
      <w:hyperlink r:id="rId453">
        <w:r>
          <w:rPr>
            <w:color w:val="1155CC"/>
            <w:u w:val="single"/>
          </w:rPr>
          <w:t>异质结引导重建钌钴桥接双位点以实现高效氧化路径水电解</w:t>
        </w:r>
      </w:hyperlink>
    </w:p>
    <w:p>
      <w:pPr>
        <w:spacing w:before="0" w:after="80"/>
      </w:pPr>
      <w:r>
        <w:rPr>
          <w:i/>
          <w:sz w:val="20"/>
        </w:rPr>
        <w:t>EN: Heterojunction‐Guided Reconstruction Toward Ru‐Co Bridged Dual Sites for Efficient Oxide‐Path Water Electrolysis</w:t>
      </w:r>
    </w:p>
    <w:p>
      <w:pPr>
        <w:spacing w:before="0" w:after="120"/>
      </w:pPr>
      <w:r>
        <w:rPr>
          <w:b/>
        </w:rPr>
        <w:t xml:space="preserve">Source: </w:t>
      </w:r>
      <w:r>
        <w:t>Wiley: Advanced Materials: Table of Contents</w:t>
      </w:r>
      <w:r>
        <w:t xml:space="preserve">    </w:t>
      </w:r>
      <w:r>
        <w:rPr>
          <w:b/>
        </w:rPr>
        <w:t xml:space="preserve">Pub date: </w:t>
      </w:r>
      <w:r>
        <w:t>2026-08-18 13:31:52+00:00</w:t>
      </w:r>
      <w:r>
        <w:t xml:space="preserve">    </w:t>
      </w:r>
      <w:r>
        <w:rPr>
          <w:b/>
        </w:rPr>
        <w:t xml:space="preserve">DOI: </w:t>
      </w:r>
      <w:hyperlink r:id="rId454">
        <w:r>
          <w:rPr>
            <w:color w:val="1155CC"/>
            <w:u w:val="single"/>
          </w:rPr>
          <w:t>10.1002/adma.74676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物路径机制（OPM）提供了一条令人信服的途径来绕过传统析氧催化的活性与稳定性权衡。然而，其有意的激活在很大程度上依赖于掺杂策略来创建异金属双位点，其电子可调性有限。在这里，我们展示了一种根本不同的方法，将异质结工程与引导原位重建相结合。通过将氧化钌与碲化物钴镍异质结构相结合，我们利用碲化物在阳极电位下明显的表面重构来原位生成亚稳态 CoO</w:t>
      </w:r>
      <w:r>
        <w:rPr>
          <w:vertAlign w:val="subscript"/>
        </w:rPr>
        <w:t>2</w:t>
      </w:r>
      <w:r>
        <w:t>以高价钴为特征的相。该重构相与邻近的 RuO 紧密耦合</w:t>
      </w:r>
      <w:r>
        <w:rPr>
          <w:vertAlign w:val="subscript"/>
        </w:rPr>
        <w:t>2</w:t>
      </w:r>
      <w:r>
        <w:t>形成明确的 Co-O-Ru 桥接双位点，这些位点被提议作为 OPM 启用的 O─O 耦合的关键中心。碲化物框架进一步充当电子调制器，稳定钌，同时促进高价钴的形成。这种协同作用产生了在 100 mA cm 电流下过电势为 213 mV 的催化剂</w:t>
      </w:r>
      <w:r>
        <w:t xml:space="preserve"> </w:t>
      </w:r>
      <w:r>
        <w:t>−2</w:t>
      </w:r>
      <w:r>
        <w:t xml:space="preserve"> </w:t>
      </w:r>
      <w:r>
        <w:t>质量活性是商业RuO的103倍</w:t>
      </w:r>
      <w:r>
        <w:rPr>
          <w:vertAlign w:val="subscript"/>
        </w:rPr>
        <w:t>2</w:t>
      </w:r>
      <w:r>
        <w:t>。当部署在阴离子交换膜电解槽中时，它的工作电流为 1 A cm</w:t>
      </w:r>
      <w:r>
        <w:t xml:space="preserve"> </w:t>
      </w:r>
      <w:r>
        <w:t>−2</w:t>
      </w:r>
      <w:r>
        <w:t xml:space="preserve"> </w:t>
      </w:r>
      <w:r>
        <w:t>电池电压为 1.78 V，持续时间超过 800 小时。我们的工作将异质结诱导重建作为一种强有力的策略来解决</w:t>
      </w:r>
    </w:p>
    <w:p>
      <w:pPr>
        <w:spacing w:before="0" w:after="200" w:lineRule="auto" w:line="276"/>
      </w:pPr>
      <w:r>
        <w:rPr>
          <w:b/>
        </w:rPr>
        <w:t xml:space="preserve">Abstract (EN): </w:t>
      </w:r>
      <w:r>
        <w:t>The oxide path mechanism (OPM) offers a compelling route to bypass the activity–stability trade‐off of conventional oxygen evolution catalysis. However, its deliberate activation has largely relied on doping strategies to create heterometallic dual sites, which suffer from limited electronic tunability. Here, we demonstrate a fundamentally different approach that combines heterojunction engineering with guided in situ reconstruction. By integrating ruthenium oxide with a cobalt–nickel telluride heterostructure, we exploit the pronounced surface reconstruction of tellurides under anodic potentials to in situ generate a metastable CoO</w:t>
      </w:r>
      <w:r>
        <w:rPr>
          <w:vertAlign w:val="subscript"/>
        </w:rPr>
        <w:t>2</w:t>
      </w:r>
      <w:r>
        <w:t>phase featuring high‐valent cobalt. This reconstructed phase intimately couples with neighboring RuO</w:t>
      </w:r>
      <w:r>
        <w:rPr>
          <w:vertAlign w:val="subscript"/>
        </w:rPr>
        <w:t>2</w:t>
      </w:r>
      <w:r>
        <w:t>to form well‐defined Co–O–Ru bridged dual sites, which are proposed as the pivotal centers for OPM‐enabled O─O coupling. The telluride framework further acts as an electronic modulator, stabilizing ruthenium while promoting high‐valent cobalt formation. This synergy yields a catalyst with an overpotential of 213 mV at 100 mA cm</w:t>
      </w:r>
      <w:r>
        <w:t xml:space="preserve"> </w:t>
      </w:r>
      <w:r>
        <w:t>−2</w:t>
      </w:r>
      <w:r>
        <w:t xml:space="preserve"> </w:t>
      </w:r>
      <w:r>
        <w:t>and a mass activity 103 times that of commercial RuO</w:t>
      </w:r>
      <w:r>
        <w:rPr>
          <w:vertAlign w:val="subscript"/>
        </w:rPr>
        <w:t>2</w:t>
      </w:r>
      <w:r>
        <w:t>. When deployed in an anion‐exchange membrane electrolyzer, it operates at 1 A cm</w:t>
      </w:r>
      <w:r>
        <w:t xml:space="preserve"> </w:t>
      </w:r>
      <w:r>
        <w:t>−2</w:t>
      </w:r>
      <w:r>
        <w:t xml:space="preserve"> </w:t>
      </w:r>
      <w:r>
        <w:t>with a cell voltage of 1.78 V for over 800 h. Our work establishes heterojunction‐induced reconstruction as a powerful strategy to unlock OPM catalysis, moving beyond conventional doping toward dynamically assembled active interfaces.</w:t>
      </w:r>
    </w:p>
    <w:p>
      <w:pPr>
        <w:spacing w:before="120" w:after="120"/>
      </w:pPr>
      <w:r>
        <w:rPr>
          <w:sz w:val="18"/>
        </w:rPr>
        <w:t>——————————————————————————————————————————————————————————————————————</w:t>
      </w:r>
    </w:p>
    <w:p>
      <w:pPr>
        <w:spacing w:before="160" w:after="40" w:line="240" w:lineRule="auto"/>
      </w:pPr>
      <w:r>
        <w:rPr>
          <w:b/>
        </w:rPr>
        <w:t xml:space="preserve">[27] </w:t>
      </w:r>
      <w:hyperlink r:id="rId455">
        <w:r>
          <w:rPr>
            <w:color w:val="1155CC"/>
            <w:u w:val="single"/>
          </w:rPr>
          <w:t>太阳能驱动聚合物催化剂的活性可产生潜在的绿色燃料</w:t>
        </w:r>
      </w:hyperlink>
    </w:p>
    <w:p>
      <w:pPr>
        <w:spacing w:before="0" w:after="80"/>
      </w:pPr>
      <w:r>
        <w:rPr>
          <w:i/>
          <w:sz w:val="20"/>
        </w:rPr>
        <w:t>EN: Activity of solar-driven polymer catalysts unleashed to produce a potential green fuel</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456">
        <w:r>
          <w:rPr>
            <w:color w:val="1155CC"/>
            <w:u w:val="single"/>
          </w:rPr>
          <w:t>10.1038/d41586-026-02373-z</w:t>
        </w:r>
      </w:hyperlink>
    </w:p>
    <w:p>
      <w:pPr>
        <w:spacing w:before="0" w:after="120"/>
      </w:pPr>
      <w:r>
        <w:rPr>
          <w:b/>
        </w:rPr>
        <w:t xml:space="preserve">Notes: </w:t>
      </w:r>
      <w:r>
        <w:t>abstract_source=rss_nature</w:t>
      </w:r>
    </w:p>
    <w:p>
      <w:pPr>
        <w:spacing w:before="0" w:after="80" w:lineRule="auto" w:line="276"/>
      </w:pPr>
      <w:r>
        <w:rPr>
          <w:b/>
        </w:rPr>
        <w:t xml:space="preserve">摘要（ZH）: </w:t>
      </w:r>
      <w:r>
        <w:t>聚合物晶体的工程极大地提高了这些材料作为仅利用阳光从水中生产氢燃料的催化剂的活性。</w:t>
      </w:r>
    </w:p>
    <w:p>
      <w:pPr>
        <w:spacing w:before="0" w:after="200" w:lineRule="auto" w:line="276"/>
      </w:pPr>
      <w:r>
        <w:rPr>
          <w:b/>
        </w:rPr>
        <w:t xml:space="preserve">Abstract (EN): </w:t>
      </w:r>
      <w:r>
        <w:t>Engineering of polymer crystals has vastly increased the activity of these materials as catalysts for producing hydrogen fuel from water, using only sunlight.</w:t>
      </w:r>
    </w:p>
    <w:p>
      <w:pPr>
        <w:spacing w:before="120" w:after="120"/>
      </w:pPr>
      <w:r>
        <w:rPr>
          <w:sz w:val="18"/>
        </w:rPr>
        <w:t>——————————————————————————————————————————————————————————————————————</w:t>
      </w:r>
    </w:p>
    <w:p>
      <w:pPr>
        <w:spacing w:before="160" w:after="40" w:line="240" w:lineRule="auto"/>
      </w:pPr>
      <w:r>
        <w:rPr>
          <w:b/>
        </w:rPr>
        <w:t xml:space="preserve">[28] </w:t>
      </w:r>
      <w:hyperlink r:id="rId457">
        <w:r>
          <w:rPr>
            <w:color w:val="1155CC"/>
            <w:u w:val="single"/>
          </w:rPr>
          <w:t>杂原子调制 NiFe-MOF 中的顺序自适应电子转移用于高效阴离子交换膜水/海水电解</w:t>
        </w:r>
      </w:hyperlink>
    </w:p>
    <w:p>
      <w:pPr>
        <w:spacing w:before="0" w:after="80"/>
      </w:pPr>
      <w:r>
        <w:rPr>
          <w:i/>
          <w:sz w:val="20"/>
        </w:rPr>
        <w:t>EN: Sequentially adaptive electron transfer in heteroatom-modulated NiFe-MOFs for efficient anion exchange membrane water/seawater electrolysis</w:t>
      </w:r>
    </w:p>
    <w:p>
      <w:pPr>
        <w:spacing w:before="0" w:after="120"/>
      </w:pPr>
      <w:r>
        <w:rPr>
          <w:b/>
        </w:rPr>
        <w:t xml:space="preserve">Source: </w:t>
      </w:r>
      <w:r>
        <w:t>Joule</w:t>
      </w:r>
      <w:r>
        <w:t xml:space="preserve">    </w:t>
      </w:r>
      <w:r>
        <w:rPr>
          <w:b/>
        </w:rPr>
        <w:t xml:space="preserve">Pub date: </w:t>
      </w:r>
      <w:r>
        <w:t>2026-08-19 00:00:00+00:00</w:t>
      </w:r>
      <w:r>
        <w:t xml:space="preserve">    </w:t>
      </w:r>
      <w:r>
        <w:rPr>
          <w:b/>
        </w:rPr>
        <w:t xml:space="preserve">DOI: </w:t>
      </w:r>
      <w:hyperlink r:id="rId458">
        <w:r>
          <w:rPr>
            <w:color w:val="1155CC"/>
            <w:u w:val="single"/>
          </w:rPr>
          <w:t>10.1016/j.joule.2026.102630</w:t>
        </w:r>
      </w:hyperlink>
    </w:p>
    <w:p>
      <w:pPr>
        <w:spacing w:before="0" w:after="120"/>
      </w:pPr>
      <w:r>
        <w:rPr>
          <w:b/>
        </w:rPr>
        <w:t xml:space="preserve">Notes: </w:t>
      </w:r>
      <w:r>
        <w:t>abstract_source=rss_cell</w:t>
      </w:r>
    </w:p>
    <w:p>
      <w:pPr>
        <w:spacing w:before="0" w:after="80" w:lineRule="auto" w:line="276"/>
      </w:pPr>
      <w:r>
        <w:rPr>
          <w:b/>
        </w:rPr>
        <w:t xml:space="preserve">摘要（ZH）: </w:t>
      </w:r>
      <w:r>
        <w:t>NiFe-MOF 中的顺序自适应电子转移可实现高性能 AEM 水电解，在工业级电流密度下具有超低电池电压，在恶劣的操作条件下具有出色的稳定性，并在自然阳光照射下高效地由太阳能驱动制氢。</w:t>
      </w:r>
    </w:p>
    <w:p>
      <w:pPr>
        <w:spacing w:before="0" w:after="200" w:lineRule="auto" w:line="276"/>
      </w:pPr>
      <w:r>
        <w:rPr>
          <w:b/>
        </w:rPr>
        <w:t xml:space="preserve">Abstract (EN): </w:t>
      </w:r>
      <w:r>
        <w:t>Sequentially adaptive electron transfer in NiFe-MOFs enables high-performance AEM water electrolysis with ultralow cell voltage at industrial-level current densities, excellent stability under harsh operating conditions, and efficient solar-driven hydrogen production under natural sunlight irradiation.</w:t>
      </w:r>
    </w:p>
    <w:p>
      <w:pPr>
        <w:spacing w:before="120" w:after="120"/>
      </w:pPr>
      <w:r>
        <w:rPr>
          <w:sz w:val="18"/>
        </w:rPr>
        <w:t>——————————————————————————————————————————————————————————————————————</w:t>
      </w:r>
    </w:p>
    <w:p>
      <w:pPr>
        <w:spacing w:before="160" w:after="40" w:line="240" w:lineRule="auto"/>
      </w:pPr>
      <w:r>
        <w:rPr>
          <w:b/>
        </w:rPr>
        <w:t xml:space="preserve">[29] </w:t>
      </w:r>
      <w:hyperlink r:id="rId459">
        <w:r>
          <w:rPr>
            <w:color w:val="1155CC"/>
            <w:u w:val="single"/>
          </w:rPr>
          <w:t>NHS 支持的 g-C3N4/石墨碳面内异质结分子缝合可激活 n →π * 跃迁，实现高效可见光光催化制氢</w:t>
        </w:r>
      </w:hyperlink>
    </w:p>
    <w:p>
      <w:pPr>
        <w:spacing w:before="0" w:after="80"/>
      </w:pPr>
      <w:r>
        <w:rPr>
          <w:i/>
          <w:sz w:val="20"/>
        </w:rPr>
        <w:t>EN: NHS-Enabled Molecular Stitching of g-C3N4/Graphitic-Carbon In-Plane Heterojunctions Activates n →π * Transitions for Efficient Visible-Light Photocatalytic Hydrogen Production</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460">
        <w:r>
          <w:rPr>
            <w:color w:val="1155CC"/>
            <w:u w:val="single"/>
          </w:rPr>
          <w:t>10.1021/acsami.6c11658</w:t>
        </w:r>
      </w:hyperlink>
    </w:p>
    <w:p>
      <w:pPr>
        <w:spacing w:before="0" w:after="120"/>
      </w:pPr>
      <w:r>
        <w:rPr>
          <w:b/>
        </w:rPr>
        <w:t xml:space="preserve">Notes: </w:t>
      </w:r>
      <w:r>
        <w:t>abstract_source=crossref</w:t>
      </w:r>
    </w:p>
    <w:p>
      <w:pPr>
        <w:spacing w:before="0" w:after="80" w:lineRule="auto" w:line="276"/>
      </w:pPr>
      <w:r>
        <w:rPr>
          <w:b/>
        </w:rPr>
        <w:t xml:space="preserve">摘要（ZH）: </w:t>
      </w:r>
      <w:r>
        <w:t>摘要：提出了一种 NHS 辅助的分子自组装（“分子缝合”）路线，用于构建具有可调 n→π* 跃迁的 g-C3N4/石墨碳 (g-C3N4/Cg) 面内异质结纳米片。使用 N-羟基琥珀酰亚胺和三聚氰胺作为前体，与导电 sp2-碳网络的共价耦合扰乱七嗪对称性，激活 n→π* 吸收，并形成电子耦合的 2D/2D 界面。通过调整 NHS：三聚氰胺进料比，可以调节电子结构，光学响应从 400 纳米延伸到 660 纳米，从而增强可见光捕获。片状介孔结构提供了丰富的可接近位点，而面内结和有利的能带排列促进了电荷分离和传输。在以TEOA为牺牲剂的可见光照射下，优化的复合材料（g-C3N4/Cg-1.5）的析氢速率达到10.35 mmol·g−1·h−1，约为原始g-C3N4的47倍，这归因于高表面积/介孔性和跨共价集成界面的n→π*活化之间的协同作用。这种 NHS 支持的“分子拼接”策略为制造具有可调光学跃迁和电荷传输特性的面内氮化碳/碳异质结构提供了一个通用平台，为从水中高效、可见光光催化制氢提供了一条可行的途径。</w:t>
      </w:r>
    </w:p>
    <w:p>
      <w:pPr>
        <w:spacing w:before="0" w:after="200" w:lineRule="auto" w:line="276"/>
      </w:pPr>
      <w:r>
        <w:rPr>
          <w:b/>
        </w:rPr>
        <w:t xml:space="preserve">Abstract (EN): </w:t>
      </w:r>
      <w:r>
        <w:t>An NHS-assisted molecular self-assembly (“molecular stitching”) route is presented for constructing g-C3N4/graphitic-carbon (g-C3N4/Cg) in-plane heterojunction nanosheets with tunable n→π* transitions. Using N-hydroxysuccinimide and melamine as precursors, covalent coupling to a conductive sp2-carbon network perturbs heptazine symmetry, activates n→π* absorption, and forms electronically coupled 2D/2D interfaces. By adjusting the NHS:melamine feed ratio, the electronic structure is modulated, and the optical response extends from 400 to 660 nm, enhancing visible-light harvesting. The sheet-like, mesoporous architecture affords abundant accessible sites, while the in-plane junction and favorable band alignment promote charge separation and transport. Under visible irradiation with TEOA as sacrificial agent, the optimized composite (g-C3N4/Cg-1.5) achieves a hydrogen evolution rate of 10.35 mmol·g−1·h−1, approximately 47 times that of pristine g-C3N4, attributed to the synergy between high surface area/mesoporosity and n→π* activation across the covalently integrated interface. This NHS-enabled “molecular stitching” strategy provides a general platform for fabricating in-plane carbon nitride/carbon heterostructures with tunable optical transitions and charge–transport properties, offering a viable path to high-efficiency, visible-light photocatalytic hydrogen production from water.</w:t>
      </w:r>
    </w:p>
    <w:p>
      <w:pPr>
        <w:spacing w:before="120" w:after="120"/>
      </w:pPr>
      <w:r>
        <w:rPr>
          <w:sz w:val="18"/>
        </w:rPr>
        <w:t>——————————————————————————————————————————————————————————————————————</w:t>
      </w:r>
    </w:p>
    <w:p>
      <w:pPr>
        <w:spacing w:before="160" w:after="40" w:line="240" w:lineRule="auto"/>
      </w:pPr>
      <w:r>
        <w:rPr>
          <w:b/>
        </w:rPr>
        <w:t xml:space="preserve">[30] </w:t>
      </w:r>
      <w:hyperlink r:id="rId461">
        <w:r>
          <w:rPr>
            <w:color w:val="1155CC"/>
            <w:u w:val="single"/>
          </w:rPr>
          <w:t>通过 PdPtNiBiCo 网络中的多金属协同作用促进高效乙醇氧化</w:t>
        </w:r>
      </w:hyperlink>
    </w:p>
    <w:p>
      <w:pPr>
        <w:spacing w:before="0" w:after="80"/>
      </w:pPr>
      <w:r>
        <w:rPr>
          <w:i/>
          <w:sz w:val="20"/>
        </w:rPr>
        <w:t>EN: Promoting Efficient Ethanol Oxidation via Multimetallic Synergy in PdPtNiBiCo Networks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462">
        <w:r>
          <w:rPr>
            <w:color w:val="1155CC"/>
            <w:u w:val="single"/>
          </w:rPr>
          <w:t>10.1021/acsami.6c10878</w:t>
        </w:r>
      </w:hyperlink>
    </w:p>
    <w:p>
      <w:pPr>
        <w:spacing w:before="0" w:after="120"/>
      </w:pPr>
      <w:r>
        <w:rPr>
          <w:b/>
        </w:rPr>
        <w:t xml:space="preserve">Notes: </w:t>
      </w:r>
      <w:r>
        <w:t>abstract_source=crossref</w:t>
      </w:r>
    </w:p>
    <w:p>
      <w:pPr>
        <w:spacing w:before="0" w:after="80" w:lineRule="auto" w:line="276"/>
      </w:pPr>
      <w:r>
        <w:rPr>
          <w:b/>
        </w:rPr>
        <w:t xml:space="preserve">摘要（ZH）: </w:t>
      </w:r>
      <w:r>
        <w:t>摘要 直接醇燃料电池（DAFC）的商业化受到缓慢的阳极醇氧化反应动力学和催化剂失活的高敏感性的严重阻碍。传统的 Pd/Pt 基催化剂存在 C−C 键断裂困难和严重的 CO 中毒问题。为了解决这些问题，我们通过简单的一锅油相法合成了由互连纳米颗粒组成的五金属 PdPtNiBiCo 合金，旨在最大限度地提高电化学可接近的表面位点并引发强大的多金属协同作用。该架构提供了 16.64 A mg−1Pd+Pt 的出色碱性乙醇氧化活性，分别比商业 Pd/C 和 Pt/C 高 12 倍和 19 倍。此外，该催化剂表现出超过 4000 次循环的强大抗中毒耐久性以及对甲醇和乙二醇氧化的广泛活性。密度泛函理论计算表明，多金属协同作用有效调节活性位点的 d 带中心。密度泛函理论计算表明，多金属协同调节活性位点的电子结构，优化关键中间体的吸附，降低C−C键断裂和CO氧化的热力学能量需求，从而促进乙醇氧化的C1和C2途径。这项工作解决了传统 Pd/Pt 基催化剂的关键局限性，并为设计高性能通用 DAFC 阳极提供了有效策略。</w:t>
      </w:r>
    </w:p>
    <w:p>
      <w:pPr>
        <w:spacing w:before="0" w:after="200" w:lineRule="auto" w:line="276"/>
      </w:pPr>
      <w:r>
        <w:rPr>
          <w:b/>
        </w:rPr>
        <w:t xml:space="preserve">Abstract (EN): </w:t>
      </w:r>
      <w:r>
        <w:t>The commercialization of direct alcohol fuel cells (DAFCs) is severely hindered by sluggish anodic alcohol oxidation reaction kinetics and the high susceptibility of catalysts to deactivation. Traditional Pd/Pt-based catalysts suffer from difficult C−C bond cleavage and severe CO poisoning. To address these issues, we synthesize a pentametallic PdPtNiBiCo alloy consisting of interconnected nanoparticles via a facile one-pot oil-phase method, aiming to maximize electrochemically accessible surface sites and trigger robust multimetallic synergy. This architecture delivers an exceptional alkaline ethanol oxidation activity of 16.64 A mg−1Pd+Pt, 12 and 19 times higher than those of commercial Pd/C and Pt/C, respectively. Furthermore, the catalyst exhibits robust antipoisoning durability over 4000 cycles and broad activity for methanol and ethylene glycol oxidation. Density functional theory calculations reveal that multimetallic synergy effectively modulates the d-band center of the active sites. Density functional theory calculations reveal that multimetallic synergy tunes the electronic structure of the active sites, optimizes the adsorption of key intermediates, and lowers the thermodynamic energy requirements for C−C bond cleavage and CO oxidation, thereby facilitating both the C1 and C2 pathways of ethanol oxidation. This work addresses the key limitation of traditional Pd/Pt-based catalysts and provides an effective strategy for designing high-performance universal DAFC anodes.</w:t>
      </w:r>
    </w:p>
    <w:p>
      <w:pPr>
        <w:spacing w:before="120" w:after="120"/>
      </w:pPr>
      <w:r>
        <w:rPr>
          <w:sz w:val="18"/>
        </w:rPr>
        <w:t>——————————————————————————————————————————————————————————————————————</w:t>
      </w:r>
    </w:p>
    <w:p>
      <w:pPr>
        <w:spacing w:before="160" w:after="40" w:line="240" w:lineRule="auto"/>
      </w:pPr>
      <w:r>
        <w:rPr>
          <w:b/>
        </w:rPr>
        <w:t xml:space="preserve">[31] </w:t>
      </w:r>
      <w:hyperlink r:id="rId463">
        <w:r>
          <w:rPr>
            <w:color w:val="1155CC"/>
            <w:u w:val="single"/>
          </w:rPr>
          <w:t>用于酸性水氧化的拉普拉斯压力稳定金红石固溶体催化剂：实现 DSA 启发的组合物（Adv. Mater. 46/2026）</w:t>
        </w:r>
      </w:hyperlink>
    </w:p>
    <w:p>
      <w:pPr>
        <w:spacing w:before="0" w:after="80"/>
      </w:pPr>
      <w:r>
        <w:rPr>
          <w:i/>
          <w:sz w:val="20"/>
        </w:rPr>
        <w:t>EN: Laplace‐Pressure‐Stabilized Rutile Solid‐Solution Catalysts for Acidic Water Oxidation: Enabling DSA‐Inspired Compositions (Adv. Mater. 46/2026)</w:t>
      </w:r>
    </w:p>
    <w:p>
      <w:pPr>
        <w:spacing w:before="0" w:after="120"/>
      </w:pPr>
      <w:r>
        <w:rPr>
          <w:b/>
        </w:rPr>
        <w:t xml:space="preserve">Source: </w:t>
      </w:r>
      <w:r>
        <w:t>Wiley: Advanced Materials: Table of Contents</w:t>
      </w:r>
      <w:r>
        <w:t xml:space="preserve">    </w:t>
      </w:r>
      <w:r>
        <w:rPr>
          <w:b/>
        </w:rPr>
        <w:t xml:space="preserve">Pub date: </w:t>
      </w:r>
      <w:r>
        <w:t>2026-08-19 02:51:35+00:00</w:t>
      </w:r>
      <w:r>
        <w:t xml:space="preserve">    </w:t>
      </w:r>
      <w:r>
        <w:rPr>
          <w:b/>
        </w:rPr>
        <w:t xml:space="preserve">DOI: </w:t>
      </w:r>
      <w:hyperlink r:id="rId464">
        <w:r>
          <w:rPr>
            <w:color w:val="1155CC"/>
            <w:u w:val="single"/>
          </w:rPr>
          <w:t>10.1002/adma.74554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465">
        <w:r>
          <w:rPr>
            <w:color w:val="1155CC"/>
            <w:u w:val="single"/>
          </w:rPr>
          <w:t>氢就绪基础设施面临新的碳锁定风险</w:t>
        </w:r>
      </w:hyperlink>
    </w:p>
    <w:p>
      <w:pPr>
        <w:spacing w:before="0" w:after="80"/>
      </w:pPr>
      <w:r>
        <w:rPr>
          <w:i/>
          <w:sz w:val="20"/>
        </w:rPr>
        <w:t>EN: Hydrogen-ready infrastructure risks new carbon lock-in</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466">
        <w:r>
          <w:rPr>
            <w:color w:val="1155CC"/>
            <w:u w:val="single"/>
          </w:rPr>
          <w:t>10.1073/pnas.2601685123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67">
        <w:r>
          <w:rPr>
            <w:color w:val="1155CC"/>
            <w:u w:val="single"/>
          </w:rPr>
          <w:t>AFM 量化的粘附能描述了气体演化电极上气泡介导的质量传递</w:t>
        </w:r>
      </w:hyperlink>
    </w:p>
    <w:p>
      <w:pPr>
        <w:spacing w:before="0" w:after="80"/>
      </w:pPr>
      <w:r>
        <w:rPr>
          <w:i/>
          <w:sz w:val="20"/>
        </w:rPr>
        <w:t>EN: AFM‐Quantified Adhesion Energy Describes Bubble‐Mediated Mass Transport on Gas‐Evolving Electrodes</w:t>
      </w:r>
    </w:p>
    <w:p>
      <w:pPr>
        <w:spacing w:before="0" w:after="120"/>
      </w:pPr>
      <w:r>
        <w:rPr>
          <w:b/>
        </w:rPr>
        <w:t xml:space="preserve">Source: </w:t>
      </w:r>
      <w:r>
        <w:t>Wiley: Advanced Materials: Table of Contents</w:t>
      </w:r>
      <w:r>
        <w:t xml:space="preserve">    </w:t>
      </w:r>
      <w:r>
        <w:rPr>
          <w:b/>
        </w:rPr>
        <w:t xml:space="preserve">Pub date: </w:t>
      </w:r>
      <w:r>
        <w:t>2026-08-19 08:08:07+00:00</w:t>
      </w:r>
      <w:r>
        <w:t xml:space="preserve">    </w:t>
      </w:r>
      <w:r>
        <w:rPr>
          <w:b/>
        </w:rPr>
        <w:t xml:space="preserve">DOI: </w:t>
      </w:r>
      <w:hyperlink r:id="rId468">
        <w:r>
          <w:rPr>
            <w:color w:val="1155CC"/>
            <w:u w:val="single"/>
          </w:rPr>
          <w:t>10.1002/adma.74725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由于严重的气泡覆盖和液体更新受到抑制，三相界面的质量传输是工业气体释放电极的主要瓶颈。在这里，我们建立了界面粘附功（Δ</w:t>
      </w:r>
      <w:r>
        <w:t xml:space="preserve"> </w:t>
      </w:r>
      <w:r>
        <w:t>G</w:t>
      </w:r>
      <w:r>
        <w:t xml:space="preserve"> </w:t>
      </w:r>
      <w:r>
        <w:t>广告</w:t>
      </w:r>
      <w:r>
        <w:t xml:space="preserve"> </w:t>
      </w:r>
      <w:r>
        <w:t>）——通过球形尖端 AFM 纳米压痕进行量化——作为环境条件下表面能量的预测纳米级描述符。 Δ</w:t>
      </w:r>
      <w:r>
        <w:t xml:space="preserve"> </w:t>
      </w:r>
      <w:r>
        <w:t>G</w:t>
      </w:r>
      <w:r>
        <w:t xml:space="preserve"> </w:t>
      </w:r>
      <w:r>
        <w:t>广告</w:t>
      </w:r>
      <w:r>
        <w:t xml:space="preserve"> </w:t>
      </w:r>
      <w:r>
        <w:t>捕捉固体表面电解质润湿和气体粘附之间的热力学竞争，从而控制气泡介导的质量传递。使用 MoS2 模型</w:t>
      </w:r>
      <w:r>
        <w:rPr>
          <w:vertAlign w:val="subscript"/>
        </w:rPr>
        <w:t>2</w:t>
      </w:r>
      <w:r>
        <w:t>电极，我们展示了垂直结构和相工程（V</w:t>
      </w:r>
      <w:r>
        <w:t xml:space="preserve"> </w:t>
      </w:r>
      <w:r>
        <w:t>异性恋</w:t>
      </w:r>
      <w:r>
        <w:t xml:space="preserve"> </w:t>
      </w:r>
      <w:r>
        <w:t>‐MoS2</w:t>
      </w:r>
      <w:r>
        <w:rPr>
          <w:vertAlign w:val="subscript"/>
        </w:rPr>
        <w:t>2</w:t>
      </w:r>
      <w:r>
        <w:t>）显着增加 AFM 量化的 Δ</w:t>
      </w:r>
      <w:r>
        <w:t xml:space="preserve"> </w:t>
      </w:r>
      <w:r>
        <w:t>G</w:t>
      </w:r>
      <w:r>
        <w:t xml:space="preserve"> </w:t>
      </w:r>
      <w:r>
        <w:t>广告</w:t>
      </w:r>
      <w:r>
        <w:t xml:space="preserve"> </w:t>
      </w:r>
      <w:r>
        <w:t>。这增加了 Δ</w:t>
      </w:r>
      <w:r>
        <w:t xml:space="preserve"> </w:t>
      </w:r>
      <w:r>
        <w:t>G</w:t>
      </w:r>
      <w:r>
        <w:t xml:space="preserve"> </w:t>
      </w:r>
      <w:r>
        <w:t>广告</w:t>
      </w:r>
      <w:r>
        <w:t xml:space="preserve"> </w:t>
      </w:r>
      <w:r>
        <w:t>增强固体电解质亲和力，有效抑制气体粘附，减少气泡堵塞。原位粒子图像测速 (PIV) 和赝势模拟一致表明，具有较高 Δ 的表面</w:t>
      </w:r>
      <w:r>
        <w:t xml:space="preserve"> </w:t>
      </w:r>
      <w:r>
        <w:t>G</w:t>
      </w:r>
      <w:r>
        <w:t xml:space="preserve"> </w:t>
      </w:r>
      <w:r>
        <w:t>广告</w:t>
      </w:r>
      <w:r>
        <w:t xml:space="preserve"> </w:t>
      </w:r>
      <w:r>
        <w:t>产生更小的气泡并增强界面更新。因此，表观疏气性源自通过界面能量竞争更强的电解质亲和力。使用氢气 evol</w:t>
      </w:r>
    </w:p>
    <w:p>
      <w:pPr>
        <w:spacing w:before="0" w:after="200" w:lineRule="auto" w:line="276"/>
      </w:pPr>
      <w:r>
        <w:rPr>
          <w:b/>
        </w:rPr>
        <w:t xml:space="preserve">Abstract (EN): </w:t>
      </w:r>
      <w:r>
        <w:t>Mass transport at three‐phase interfaces is a primary bottleneck for industrial gas‐evolving electrodes due to severe bubble coverage and suppressed liquid renewal. Here, we establish the interfacial work of adhesion (Δ</w:t>
      </w:r>
      <w:r>
        <w:t xml:space="preserve"> </w:t>
      </w:r>
      <w:r>
        <w:t>G</w:t>
      </w:r>
      <w:r>
        <w:t xml:space="preserve"> </w:t>
      </w:r>
      <w:r>
        <w:t>ad</w:t>
      </w:r>
      <w:r>
        <w:t xml:space="preserve"> </w:t>
      </w:r>
      <w:r>
        <w:t>)—quantified via spherical‐tip AFM nanoindentation—as a predictive nanoscale descriptor of surface energetics under ambient conditions. Δ</w:t>
      </w:r>
      <w:r>
        <w:t xml:space="preserve"> </w:t>
      </w:r>
      <w:r>
        <w:t>G</w:t>
      </w:r>
      <w:r>
        <w:t xml:space="preserve"> </w:t>
      </w:r>
      <w:r>
        <w:t>ad</w:t>
      </w:r>
      <w:r>
        <w:t xml:space="preserve"> </w:t>
      </w:r>
      <w:r>
        <w:t>captures the thermodynamic competition between electrolyte wetting and gas adhesion at the solid surface, thereby governing bubble‐mediated mass transport. Using model MoS</w:t>
      </w:r>
      <w:r>
        <w:rPr>
          <w:vertAlign w:val="subscript"/>
        </w:rPr>
        <w:t>2</w:t>
      </w:r>
      <w:r>
        <w:t>electrodes, we show that vertical structuring and phase engineering (V</w:t>
      </w:r>
      <w:r>
        <w:t xml:space="preserve"> </w:t>
      </w:r>
      <w:r>
        <w:t>hetero</w:t>
      </w:r>
      <w:r>
        <w:t xml:space="preserve"> </w:t>
      </w:r>
      <w:r>
        <w:t>‐MoS</w:t>
      </w:r>
      <w:r>
        <w:rPr>
          <w:vertAlign w:val="subscript"/>
        </w:rPr>
        <w:t>2</w:t>
      </w:r>
      <w:r>
        <w:t>) significantly increase the AFM‐quantified Δ</w:t>
      </w:r>
      <w:r>
        <w:t xml:space="preserve"> </w:t>
      </w:r>
      <w:r>
        <w:t>G</w:t>
      </w:r>
      <w:r>
        <w:t xml:space="preserve"> </w:t>
      </w:r>
      <w:r>
        <w:t>ad</w:t>
      </w:r>
      <w:r>
        <w:t xml:space="preserve"> </w:t>
      </w:r>
      <w:r>
        <w:t>. This heightened Δ</w:t>
      </w:r>
      <w:r>
        <w:t xml:space="preserve"> </w:t>
      </w:r>
      <w:r>
        <w:t>G</w:t>
      </w:r>
      <w:r>
        <w:t xml:space="preserve"> </w:t>
      </w:r>
      <w:r>
        <w:t>ad</w:t>
      </w:r>
      <w:r>
        <w:t xml:space="preserve"> </w:t>
      </w:r>
      <w:r>
        <w:t>strengthens the solid‐electrolyte affinity, effectively suppressing gas adhesion and reducing bubble blockage. In situ Particle Image Velocimetry (PIV) and pseudopotential simulations consistently show that surfaces with higher Δ</w:t>
      </w:r>
      <w:r>
        <w:t xml:space="preserve"> </w:t>
      </w:r>
      <w:r>
        <w:t>G</w:t>
      </w:r>
      <w:r>
        <w:t xml:space="preserve"> </w:t>
      </w:r>
      <w:r>
        <w:t>ad</w:t>
      </w:r>
      <w:r>
        <w:t xml:space="preserve"> </w:t>
      </w:r>
      <w:r>
        <w:t>yield smaller bubbles and enhanced interfacial renewal. Accordingly, the apparent aerophobicity follows from stronger electrolyte affinity via interfacial energy competition. Using hydrogen evolution as a representative gas‐evolving reaction, the V</w:t>
      </w:r>
      <w:r>
        <w:t xml:space="preserve"> </w:t>
      </w:r>
      <w:r>
        <w:t>hetero</w:t>
      </w:r>
      <w:r>
        <w:t xml:space="preserve"> </w:t>
      </w:r>
      <w:r>
        <w:t>‐MoS</w:t>
      </w:r>
      <w:r>
        <w:rPr>
          <w:vertAlign w:val="subscript"/>
        </w:rPr>
        <w:t>2</w:t>
      </w:r>
      <w:r>
        <w:t>electrode sustains stable hydrogen evolution at 1000 mA cm</w:t>
      </w:r>
      <w:r>
        <w:t xml:space="preserve"> </w:t>
      </w:r>
      <w:r>
        <w:t>−</w:t>
      </w:r>
      <w:r>
        <w:rPr>
          <w:vertAlign w:val="subscript"/>
        </w:rPr>
        <w:t>2</w:t>
      </w:r>
      <w:r>
        <w:t>. This work provides a unified energetic framework for three‐phase interface engineering, establishing Δ</w:t>
      </w:r>
      <w:r>
        <w:t xml:space="preserve"> </w:t>
      </w:r>
      <w:r>
        <w:t>G</w:t>
      </w:r>
      <w:r>
        <w:t xml:space="preserve"> </w:t>
      </w:r>
      <w:r>
        <w:t>ad</w:t>
      </w:r>
      <w:r>
        <w:t xml:space="preserve"> </w:t>
      </w:r>
      <w:r>
        <w:t>as a quantifiable, AFM‐accessible metric for the rational design of high‐performance gas‐evolving electrodes.</w:t>
      </w:r>
    </w:p>
    <w:p>
      <w:pPr>
        <w:spacing w:before="120" w:after="120"/>
      </w:pPr>
      <w:r>
        <w:rPr>
          <w:sz w:val="18"/>
        </w:rPr>
        <w:t>——————————————————————————————————————————————————————————————————————</w:t>
      </w:r>
    </w:p>
    <w:p>
      <w:pPr>
        <w:spacing w:before="160" w:after="40" w:line="240" w:lineRule="auto"/>
      </w:pPr>
      <w:r>
        <w:rPr>
          <w:b/>
        </w:rPr>
        <w:t xml:space="preserve">[34] </w:t>
      </w:r>
      <w:hyperlink r:id="rId469">
        <w:r>
          <w:rPr>
            <w:color w:val="1155CC"/>
            <w:u w:val="single"/>
          </w:rPr>
          <w:t>海水离子辅助增强光催化产氢</w:t>
        </w:r>
      </w:hyperlink>
    </w:p>
    <w:p>
      <w:pPr>
        <w:spacing w:before="0" w:after="80"/>
      </w:pPr>
      <w:r>
        <w:rPr>
          <w:i/>
          <w:sz w:val="20"/>
        </w:rPr>
        <w:t>EN: Enhanced Photocatalytic Hydrogen Production Assisted by Seawater Ions</w:t>
      </w:r>
    </w:p>
    <w:p>
      <w:pPr>
        <w:spacing w:before="0" w:after="120"/>
      </w:pPr>
      <w:r>
        <w:rPr>
          <w:b/>
        </w:rPr>
        <w:t xml:space="preserve">Source: </w:t>
      </w:r>
      <w:r>
        <w:t>Wiley: Angewandte Chemie International Edition: Table of Contents</w:t>
      </w:r>
      <w:r>
        <w:t xml:space="preserve">    </w:t>
      </w:r>
      <w:r>
        <w:rPr>
          <w:b/>
        </w:rPr>
        <w:t xml:space="preserve">Pub date: </w:t>
      </w:r>
      <w:r>
        <w:t>2026-08-19 08:46:33+00:00</w:t>
      </w:r>
      <w:r>
        <w:t xml:space="preserve">    </w:t>
      </w:r>
      <w:r>
        <w:rPr>
          <w:b/>
        </w:rPr>
        <w:t xml:space="preserve">DOI: </w:t>
      </w:r>
      <w:hyperlink r:id="rId470">
        <w:r>
          <w:rPr>
            <w:color w:val="1155CC"/>
            <w:u w:val="single"/>
          </w:rPr>
          <w:t>10.1002/anie.3256076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水，特别是海水中光催化制氢，为将太阳能转化为可储存的化学燃料提供了一条有前途的途径。然而，尽管在光催化剂设计方面付出了相当大的努力，但海水离子对光催化过程的影响仍然知之甚少。在这项研究中，采用共价有机框架（COF）作为结构明确的平台来研究海水中存在的代表性无机离子如何影响光催化制氢。在海水中常见的离子物质中，溴化钠 (NaBr) 被认为是最有效的促进剂。机理研究表明 Br</w:t>
      </w:r>
      <w:r>
        <w:t xml:space="preserve"> </w:t>
      </w:r>
      <w:r>
        <w:t>-</w:t>
      </w:r>
      <w:r>
        <w:t>通过多种途径调节催化过程。在 Pt 光沉积过程中，Br</w:t>
      </w:r>
      <w:r>
        <w:t xml:space="preserve"> </w:t>
      </w:r>
      <w:r>
        <w:t>-</w:t>
      </w:r>
      <w:r>
        <w:t>调节 Pt 纳米颗粒助催化剂的电子结构，促进界面电荷分离。在光催化反应过程中，Br</w:t>
      </w:r>
      <w:r>
        <w:t xml:space="preserve"> </w:t>
      </w:r>
      <w:r>
        <w:t>-</w:t>
      </w:r>
      <w:r>
        <w:t>与光生空穴相互作用并稳定激发态电荷，从而延长载流子的寿命。在高浓度下，Br</w:t>
      </w:r>
      <w:r>
        <w:t xml:space="preserve"> </w:t>
      </w:r>
      <w:r>
        <w:t>-</w:t>
      </w:r>
      <w:r>
        <w:t>减少 Pt 表面上可接触的活性位点的数量，导致催化剂中毒。值得注意的是，从 COF 系统获得的机理见解可以扩展到常见的半导体光催化剂，为海水相关条件下的离子调节光催化提供有价值的指导。</w:t>
      </w:r>
    </w:p>
    <w:p>
      <w:pPr>
        <w:spacing w:before="0" w:after="200" w:lineRule="auto" w:line="276"/>
      </w:pPr>
      <w:r>
        <w:rPr>
          <w:b/>
        </w:rPr>
        <w:t xml:space="preserve">Abstract (EN): </w:t>
      </w:r>
      <w:r>
        <w:t>Photocatalytic hydrogen production from water, particularly seawater, offers a promising route for converting solar energy into storable chemical fuels. However, despite considerable efforts in photocatalyst design, the influence of seawater ions on photocatalytic processes remains poorly understood. In this study, covalent organic frameworks (COFs) are adopted as a structurally well‐defined platform to investigate how representative inorganic ions present in seawater influence photocatalytic hydrogen production. Among the ionic species commonly present in seawater, sodium bromide (NaBr) is identified as the most effective promoter. Mechanistic studies reveal that Br</w:t>
      </w:r>
      <w:r>
        <w:t xml:space="preserve"> </w:t>
      </w:r>
      <w:r>
        <w:t>−</w:t>
      </w:r>
      <w:r>
        <w:t>regulates the catalytic process through multiple pathways. During Pt photodeposition, Br</w:t>
      </w:r>
      <w:r>
        <w:t xml:space="preserve"> </w:t>
      </w:r>
      <w:r>
        <w:t>−</w:t>
      </w:r>
      <w:r>
        <w:t>modulates the electronic structure of Pt nanoparticulate cocatalyst, promoting interfacial charge separation. During the photocatalytic reaction, Br</w:t>
      </w:r>
      <w:r>
        <w:t xml:space="preserve"> </w:t>
      </w:r>
      <w:r>
        <w:t>−</w:t>
      </w:r>
      <w:r>
        <w:t>interacts with photogenerated holes and stabilizes the excited‐state charge, thereby prolonging the lifetime of charge carriers. At high concentrations, Br</w:t>
      </w:r>
      <w:r>
        <w:t xml:space="preserve"> </w:t>
      </w:r>
      <w:r>
        <w:t>−</w:t>
      </w:r>
      <w:r>
        <w:t>reduces the number of accessible active sites on the Pt surface, leading to catalyst poisoning. Significantly, the mechanistic insights gained from COF systems can be extended to common semiconductor photocatalysts, offering valuable guidance for ion‐regulated photocatalysis under seawater‐relevant conditions.</w:t>
      </w:r>
    </w:p>
    <w:p>
      <w:pPr>
        <w:spacing w:before="120" w:after="120"/>
      </w:pPr>
      <w:r>
        <w:rPr>
          <w:sz w:val="18"/>
        </w:rPr>
        <w:t>——————————————————————————————————————————————————————————————————————</w:t>
      </w:r>
    </w:p>
    <w:p>
      <w:pPr>
        <w:spacing w:before="160" w:after="40" w:line="240" w:lineRule="auto"/>
      </w:pPr>
      <w:r>
        <w:rPr>
          <w:b/>
        </w:rPr>
        <w:t xml:space="preserve">[35] </w:t>
      </w:r>
      <w:hyperlink r:id="rId471">
        <w:r>
          <w:rPr>
            <w:color w:val="1155CC"/>
            <w:u w:val="single"/>
          </w:rPr>
          <w:t>模拟酶促质子通道使近乎一致的选择性氨电合成超越中性极限</w:t>
        </w:r>
      </w:hyperlink>
    </w:p>
    <w:p>
      <w:pPr>
        <w:spacing w:before="0" w:after="80"/>
      </w:pPr>
      <w:r>
        <w:rPr>
          <w:i/>
          <w:sz w:val="20"/>
        </w:rPr>
        <w:t>EN: Mimicking Enzymatic Proton Channeling Enables Near‐Unity Selective Ammonia Electrosynthesis Beyond Neutral Limits</w:t>
      </w:r>
    </w:p>
    <w:p>
      <w:pPr>
        <w:spacing w:before="0" w:after="120"/>
      </w:pPr>
      <w:r>
        <w:rPr>
          <w:b/>
        </w:rPr>
        <w:t xml:space="preserve">Source: </w:t>
      </w:r>
      <w:r>
        <w:t>Wiley: Angewandte Chemie International Edition: Table of Contents</w:t>
      </w:r>
      <w:r>
        <w:t xml:space="preserve">    </w:t>
      </w:r>
      <w:r>
        <w:rPr>
          <w:b/>
        </w:rPr>
        <w:t xml:space="preserve">Pub date: </w:t>
      </w:r>
      <w:r>
        <w:t>2026-08-19 09:02:58+00:00</w:t>
      </w:r>
      <w:r>
        <w:t xml:space="preserve">    </w:t>
      </w:r>
      <w:r>
        <w:rPr>
          <w:b/>
        </w:rPr>
        <w:t xml:space="preserve">DOI: </w:t>
      </w:r>
      <w:hyperlink r:id="rId472">
        <w:r>
          <w:rPr>
            <w:color w:val="1155CC"/>
            <w:u w:val="single"/>
          </w:rPr>
          <w:t>10.1002/anie.2808377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支离破碎的氢键网络使质子传输变得缓慢扩散，导致质子供应不匹配，从而损害催化效率和选择性，从而需要采取增强水网络有序性的策略。受酶催化中质子通道机制的启发，这项工作锚定了硅钨酸盐（SiW</w:t>
      </w:r>
      <w:r>
        <w:rPr>
          <w:vertAlign w:val="subscript"/>
        </w:rPr>
        <w:t>12</w:t>
      </w:r>
      <w:r>
        <w:t>) 到 Co</w:t>
      </w:r>
      <w:r>
        <w:rPr>
          <w:vertAlign w:val="subscript"/>
        </w:rPr>
        <w:t>3</w:t>
      </w:r>
      <w:r>
        <w:t>氧</w:t>
      </w:r>
      <w:r>
        <w:rPr>
          <w:vertAlign w:val="subscript"/>
        </w:rPr>
        <w:t>4</w:t>
      </w:r>
      <w:r>
        <w:t>构建SiW</w:t>
      </w:r>
      <w:r>
        <w:rPr>
          <w:vertAlign w:val="subscript"/>
        </w:rPr>
        <w:t>12</w:t>
      </w:r>
      <w:r>
        <w:t>/钴</w:t>
      </w:r>
      <w:r>
        <w:rPr>
          <w:vertAlign w:val="subscript"/>
        </w:rPr>
        <w:t>3</w:t>
      </w:r>
      <w:r>
        <w:t>氧</w:t>
      </w:r>
      <w:r>
        <w:rPr>
          <w:vertAlign w:val="subscript"/>
        </w:rPr>
        <w:t>4</w:t>
      </w:r>
      <w:r>
        <w:t>催化剂。 SiW的畴静电场</w:t>
      </w:r>
      <w:r>
        <w:rPr>
          <w:vertAlign w:val="subscript"/>
        </w:rPr>
        <w:t>12</w:t>
      </w:r>
      <w:r>
        <w:t>诱导界面水分子有序排列，建立质子迁移的有序水通道。结果表明SiW</w:t>
      </w:r>
      <w:r>
        <w:rPr>
          <w:vertAlign w:val="subscript"/>
        </w:rPr>
        <w:t>12</w:t>
      </w:r>
      <w:r>
        <w:t>促进界面水活化并减轻质子转移限制，从而能够快速定向地将质子输送到含氮中间体。利用这种独特的质子通道，SiW</w:t>
      </w:r>
      <w:r>
        <w:rPr>
          <w:vertAlign w:val="subscript"/>
        </w:rPr>
        <w:t>12</w:t>
      </w:r>
      <w:r>
        <w:t>/钴</w:t>
      </w:r>
      <w:r>
        <w:rPr>
          <w:vertAlign w:val="subscript"/>
        </w:rPr>
        <w:t>3</w:t>
      </w:r>
      <w:r>
        <w:t>氧</w:t>
      </w:r>
      <w:r>
        <w:rPr>
          <w:vertAlign w:val="subscript"/>
        </w:rPr>
        <w:t>4</w:t>
      </w:r>
      <w:r>
        <w:t>在较宽的电位窗口（−0.3 至 -0.9 V vs. RHE）和较宽的硝酸盐浓度范围 (0.01–1 M) 内实现接近 100% 的选择性，实现 99.3% NH</w:t>
      </w:r>
      <w:r>
        <w:rPr>
          <w:vertAlign w:val="subscript"/>
        </w:rPr>
        <w:t>3</w:t>
      </w:r>
      <w:r>
        <w:t>FE 和 15.1 毫克/小时</w:t>
      </w:r>
      <w:r>
        <w:t xml:space="preserve"> </w:t>
      </w:r>
      <w:r>
        <w:t>−1</w:t>
      </w:r>
      <w:r>
        <w:t xml:space="preserve"> </w:t>
      </w:r>
      <w:r>
        <w:t>厘米</w:t>
      </w:r>
    </w:p>
    <w:p>
      <w:pPr>
        <w:spacing w:before="0" w:after="200" w:lineRule="auto" w:line="276"/>
      </w:pPr>
      <w:r>
        <w:rPr>
          <w:b/>
        </w:rPr>
        <w:t xml:space="preserve">Abstract (EN): </w:t>
      </w:r>
      <w:r>
        <w:t>Fragmented hydrogen‐bond networks relegate proton transport to sluggish diffusion, leading to mismatched proton supply that compromises catalytic efficiency and selectivity, thereby necessitating strategies to enhance water‐network ordering. Inspired by the proton channel mechanism in enzymatic catalysis, this work anchors silicotungstate (SiW</w:t>
      </w:r>
      <w:r>
        <w:rPr>
          <w:vertAlign w:val="subscript"/>
        </w:rPr>
        <w:t>12</w:t>
      </w:r>
      <w:r>
        <w:t>) onto Co</w:t>
      </w:r>
      <w:r>
        <w:rPr>
          <w:vertAlign w:val="subscript"/>
        </w:rPr>
        <w:t>3</w:t>
      </w:r>
      <w:r>
        <w:t>O</w:t>
      </w:r>
      <w:r>
        <w:rPr>
          <w:vertAlign w:val="subscript"/>
        </w:rPr>
        <w:t>4</w:t>
      </w:r>
      <w:r>
        <w:t>to construct a SiW</w:t>
      </w:r>
      <w:r>
        <w:rPr>
          <w:vertAlign w:val="subscript"/>
        </w:rPr>
        <w:t>12</w:t>
      </w:r>
      <w:r>
        <w:t>/Co</w:t>
      </w:r>
      <w:r>
        <w:rPr>
          <w:vertAlign w:val="subscript"/>
        </w:rPr>
        <w:t>3</w:t>
      </w:r>
      <w:r>
        <w:t>O</w:t>
      </w:r>
      <w:r>
        <w:rPr>
          <w:vertAlign w:val="subscript"/>
        </w:rPr>
        <w:t>4</w:t>
      </w:r>
      <w:r>
        <w:t>catalyst. The domain electrostatic field of SiW</w:t>
      </w:r>
      <w:r>
        <w:rPr>
          <w:vertAlign w:val="subscript"/>
        </w:rPr>
        <w:t>12</w:t>
      </w:r>
      <w:r>
        <w:t>induces the ordered arrangement of interfacial water molecules, establishing an ordered water channel for proton migration. The results demonstrate that SiW</w:t>
      </w:r>
      <w:r>
        <w:rPr>
          <w:vertAlign w:val="subscript"/>
        </w:rPr>
        <w:t>12</w:t>
      </w:r>
      <w:r>
        <w:t>promotes interfacial water activation and alleviates proton‐transfer limitations, enabling rapid and directional proton delivery to nitrogen‐containing intermediates. Leveraging this unique proton channel, SiW</w:t>
      </w:r>
      <w:r>
        <w:rPr>
          <w:vertAlign w:val="subscript"/>
        </w:rPr>
        <w:t>12</w:t>
      </w:r>
      <w:r>
        <w:t>/Co</w:t>
      </w:r>
      <w:r>
        <w:rPr>
          <w:vertAlign w:val="subscript"/>
        </w:rPr>
        <w:t>3</w:t>
      </w:r>
      <w:r>
        <w:t>O</w:t>
      </w:r>
      <w:r>
        <w:rPr>
          <w:vertAlign w:val="subscript"/>
        </w:rPr>
        <w:t>4</w:t>
      </w:r>
      <w:r>
        <w:t>achieves near 100% selectivity over a wide potential window (−0.3 to −0.9 V vs. RHE) and a broad nitrate concentration range (0.01–1 M), achieving 99.3% NH</w:t>
      </w:r>
      <w:r>
        <w:rPr>
          <w:vertAlign w:val="subscript"/>
        </w:rPr>
        <w:t>3</w:t>
      </w:r>
      <w:r>
        <w:t>FE and 15.1 mg h</w:t>
      </w:r>
      <w:r>
        <w:t xml:space="preserve"> </w:t>
      </w:r>
      <w:r>
        <w:t>−1</w:t>
      </w:r>
      <w:r>
        <w:t xml:space="preserve"> </w:t>
      </w:r>
      <w:r>
        <w:t>cm</w:t>
      </w:r>
      <w:r>
        <w:t xml:space="preserve"> </w:t>
      </w:r>
      <w:r>
        <w:t>−2</w:t>
      </w:r>
      <w:r>
        <w:t xml:space="preserve"> </w:t>
      </w:r>
      <w:r>
        <w:t>yield at −0.8 V versus RHE. Furthermore, the assembled Zn–NO</w:t>
      </w:r>
      <w:r>
        <w:rPr>
          <w:vertAlign w:val="subscript"/>
        </w:rPr>
        <w:t>3</w:t>
      </w:r>
      <w:r>
        <w:t>−</w:t>
      </w:r>
      <w:r>
        <w:t>battery delivers the highest reported power density (26.1 mW cm</w:t>
      </w:r>
      <w:r>
        <w:t xml:space="preserve"> </w:t>
      </w:r>
      <w:r>
        <w:t>−2</w:t>
      </w:r>
      <w:r>
        <w:t xml:space="preserve"> </w:t>
      </w:r>
      <w:r>
        <w:t>) under neutral conditions. This work establishes interfacial solvation‐structure engineering as a general strategy for regulating proton delivery and developing highly selective electrocatalysts for sustainable ammonia electrosynthesis.</w:t>
      </w:r>
    </w:p>
    <w:p>
      <w:pPr>
        <w:spacing w:before="120" w:after="120"/>
      </w:pPr>
      <w:r>
        <w:rPr>
          <w:sz w:val="18"/>
        </w:rPr>
        <w:t>——————————————————————————————————————————————————————————————————————</w:t>
      </w:r>
    </w:p>
    <w:p>
      <w:pPr>
        <w:spacing w:before="160" w:after="40" w:line="240" w:lineRule="auto"/>
      </w:pPr>
      <w:r>
        <w:rPr>
          <w:b/>
        </w:rPr>
        <w:t xml:space="preserve">[36] </w:t>
      </w:r>
      <w:hyperlink r:id="rId473">
        <w:r>
          <w:rPr>
            <w:color w:val="1155CC"/>
            <w:u w:val="single"/>
          </w:rPr>
          <w:t>通过氢气溢出加速 H* 再分配，增强甲醛电化学产氢能力</w:t>
        </w:r>
      </w:hyperlink>
    </w:p>
    <w:p>
      <w:pPr>
        <w:spacing w:before="0" w:after="80"/>
      </w:pPr>
      <w:r>
        <w:rPr>
          <w:i/>
          <w:sz w:val="20"/>
        </w:rPr>
        <w:t>EN: Accelerating H* Redistribution via Hydrogen Spillover for Enhanced Electrochemical Hydrogen Production From Formaldehyde</w:t>
      </w:r>
    </w:p>
    <w:p>
      <w:pPr>
        <w:spacing w:before="0" w:after="120"/>
      </w:pPr>
      <w:r>
        <w:rPr>
          <w:b/>
        </w:rPr>
        <w:t xml:space="preserve">Source: </w:t>
      </w:r>
      <w:r>
        <w:t>Wiley: Angewandte Chemie International Edition: Table of Contents</w:t>
      </w:r>
      <w:r>
        <w:t xml:space="preserve">    </w:t>
      </w:r>
      <w:r>
        <w:rPr>
          <w:b/>
        </w:rPr>
        <w:t xml:space="preserve">Pub date: </w:t>
      </w:r>
      <w:r>
        <w:t>2026-08-19 09:22:07+00:00</w:t>
      </w:r>
      <w:r>
        <w:t xml:space="preserve">    </w:t>
      </w:r>
      <w:r>
        <w:rPr>
          <w:b/>
        </w:rPr>
        <w:t xml:space="preserve">DOI: </w:t>
      </w:r>
      <w:hyperlink r:id="rId474">
        <w:r>
          <w:rPr>
            <w:color w:val="1155CC"/>
            <w:u w:val="single"/>
          </w:rPr>
          <w:t>10.1002/anie.5574811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通过甲醛氧化反应（FOR）生产氢气为生产清洁燃料提供了一种有前景的低能耗方法。然而，FOR 涉及吸附中间体的连续 C─H 键断裂，产生丰富的表面 H*。这就需要 H* 的快速转移和消耗，以维持快速的氧化动力学。在此，我们开发了一种氢溢出策略，通过构建负载在富含 Cu 单原子的碳基体上的 RhCu 单原子合金（RhCu@Cu</w:t>
      </w:r>
      <w:r>
        <w:t xml:space="preserve"> </w:t>
      </w:r>
      <w:r>
        <w:t>SA</w:t>
      </w:r>
      <w:r>
        <w:t xml:space="preserve"> </w:t>
      </w:r>
      <w:r>
        <w:t>数控）。在此设计中，Cu 的掺入为 H* 向 Cu 迁移创造了有利的环境。</w:t>
      </w:r>
      <w:r>
        <w:t xml:space="preserve"> </w:t>
      </w:r>
      <w:r>
        <w:t>SA</w:t>
      </w:r>
      <w:r>
        <w:t xml:space="preserve"> </w:t>
      </w:r>
      <w:r>
        <w:t>NC支持，充当高效的H*受体和H─H耦合中心。通过多项分析验证，这种氢溢出机制被证明可以通过加速 H* 重新分配来增强 FOR 活性。因此，RhCu@Cu</w:t>
      </w:r>
      <w:r>
        <w:t xml:space="preserve"> </w:t>
      </w:r>
      <w:r>
        <w:t>SA</w:t>
      </w:r>
      <w:r>
        <w:t xml:space="preserve"> </w:t>
      </w:r>
      <w:r>
        <w:t>NC 表现出出色的 FOR 性能，电流密度达到 800 mA cm</w:t>
      </w:r>
      <w:r>
        <w:t xml:space="preserve"> </w:t>
      </w:r>
      <w:r>
        <w:t>-</w:t>
      </w:r>
      <w:r>
        <w:rPr>
          <w:vertAlign w:val="subscript"/>
        </w:rPr>
        <w:t>2</w:t>
      </w:r>
      <w:r>
        <w:t>0.39 V 时，H 接近 100%</w:t>
      </w:r>
      <w:r>
        <w:rPr>
          <w:vertAlign w:val="subscript"/>
        </w:rPr>
        <w:t>2</w:t>
      </w:r>
      <w:r>
        <w:t>选择性和优异的耐久性。当集成到混合碱酸电池中时，它提供 1.72 V 的开路电压和 152.6 mW cm 的峰值功率密度</w:t>
      </w:r>
      <w:r>
        <w:t xml:space="preserve"> </w:t>
      </w:r>
      <w:r>
        <w:t>-</w:t>
      </w:r>
      <w:r>
        <w:rPr>
          <w:vertAlign w:val="subscript"/>
        </w:rPr>
        <w:t>2</w:t>
      </w:r>
      <w:r>
        <w:t>具有稳定的H</w:t>
      </w:r>
      <w:r>
        <w:rPr>
          <w:vertAlign w:val="subscript"/>
        </w:rPr>
        <w:t>2</w:t>
      </w:r>
      <w:r>
        <w:t>10 mA c 下生产超过 1200 小时</w:t>
      </w:r>
    </w:p>
    <w:p>
      <w:pPr>
        <w:spacing w:before="0" w:after="200" w:lineRule="auto" w:line="276"/>
      </w:pPr>
      <w:r>
        <w:rPr>
          <w:b/>
        </w:rPr>
        <w:t xml:space="preserve">Abstract (EN): </w:t>
      </w:r>
      <w:r>
        <w:t>Producing hydrogen from formaldehyde oxidation reaction (FOR) offers a promising low‐energy approach for generating clean fuel. However, the FOR involves continuous C─H bond cleavage of adsorbed intermediates to generate abundant surface H*. This necessitates rapid transfer and consumption of H* to sustain fast oxidation kinetics. Herein, we developed a hydrogen‐spillover strategy to redistribute these surface H* to accelerate FOR kinetics by constructing RhCu single‐atom alloy supported on a Cu single‐atom‐rich carbon matrix (RhCu@Cu</w:t>
      </w:r>
      <w:r>
        <w:t xml:space="preserve"> </w:t>
      </w:r>
      <w:r>
        <w:t>SA</w:t>
      </w:r>
      <w:r>
        <w:t xml:space="preserve"> </w:t>
      </w:r>
      <w:r>
        <w:t>NC). In this design, Cu incorporation creates a favorable landscape for H* migration toward the Cu</w:t>
      </w:r>
      <w:r>
        <w:t xml:space="preserve"> </w:t>
      </w:r>
      <w:r>
        <w:t>SA</w:t>
      </w:r>
      <w:r>
        <w:t xml:space="preserve"> </w:t>
      </w:r>
      <w:r>
        <w:t>NC support, which acts as efficient H* acceptors and H─H coupling centers. Verified through multiple analyses, this hydrogen‐spillover mechanism is demonstrated to enhance FOR activity by accelerating H* redistribution. Consequently, RhCu@Cu</w:t>
      </w:r>
      <w:r>
        <w:t xml:space="preserve"> </w:t>
      </w:r>
      <w:r>
        <w:t>SA</w:t>
      </w:r>
      <w:r>
        <w:t xml:space="preserve"> </w:t>
      </w:r>
      <w:r>
        <w:t>NC shows outstanding FOR performance, achieving a current density of 800 mA cm</w:t>
      </w:r>
      <w:r>
        <w:t xml:space="preserve"> </w:t>
      </w:r>
      <w:r>
        <w:t>−</w:t>
      </w:r>
      <w:r>
        <w:rPr>
          <w:vertAlign w:val="subscript"/>
        </w:rPr>
        <w:t>2</w:t>
      </w:r>
      <w:r>
        <w:t>at 0.39 V with nearly 100% H</w:t>
      </w:r>
      <w:r>
        <w:rPr>
          <w:vertAlign w:val="subscript"/>
        </w:rPr>
        <w:t>2</w:t>
      </w:r>
      <w:r>
        <w:t>selectivity and excellent durability. When integrated into a hybrid alkali‐acid cell, it provides an open circuit voltage of 1.72 V and peak power density of 152.6 mW cm</w:t>
      </w:r>
      <w:r>
        <w:t xml:space="preserve"> </w:t>
      </w:r>
      <w:r>
        <w:t>−</w:t>
      </w:r>
      <w:r>
        <w:rPr>
          <w:vertAlign w:val="subscript"/>
        </w:rPr>
        <w:t>2</w:t>
      </w:r>
      <w:r>
        <w:t>with stable H</w:t>
      </w:r>
      <w:r>
        <w:rPr>
          <w:vertAlign w:val="subscript"/>
        </w:rPr>
        <w:t>2</w:t>
      </w:r>
      <w:r>
        <w:t>production for over 1200 h at 10 mA cm</w:t>
      </w:r>
      <w:r>
        <w:t xml:space="preserve"> </w:t>
      </w:r>
      <w:r>
        <w:t>−</w:t>
      </w:r>
      <w:r>
        <w:rPr>
          <w:vertAlign w:val="subscript"/>
        </w:rPr>
        <w:t>2</w:t>
      </w:r>
      <w:r>
        <w:t>. These results demonstrate that hydrogen spillover boosts oxidative electrocatalysis, providing a general design principle for multicomponent catalysts with coordinated hydrogen dynamics.</w:t>
      </w:r>
    </w:p>
    <w:p>
      <w:pPr>
        <w:spacing w:before="120" w:after="120"/>
      </w:pPr>
      <w:r>
        <w:rPr>
          <w:sz w:val="18"/>
        </w:rPr>
        <w:t>——————————————————————————————————————————————————————————————————————</w:t>
      </w:r>
    </w:p>
    <w:p>
      <w:pPr>
        <w:spacing w:before="160" w:after="40" w:line="240" w:lineRule="auto"/>
      </w:pPr>
      <w:r>
        <w:rPr>
          <w:b/>
        </w:rPr>
        <w:t xml:space="preserve">[37] </w:t>
      </w:r>
      <w:hyperlink r:id="rId475">
        <w:r>
          <w:rPr>
            <w:color w:val="1155CC"/>
            <w:u w:val="single"/>
          </w:rPr>
          <w:t>掺铝 SrTiO3 上的 Cu@Cr2O3 无贵金属析氢助催化剂用于光催化全水分解</w:t>
        </w:r>
      </w:hyperlink>
    </w:p>
    <w:p>
      <w:pPr>
        <w:spacing w:before="0" w:after="80"/>
      </w:pPr>
      <w:r>
        <w:rPr>
          <w:i/>
          <w:sz w:val="20"/>
        </w:rPr>
        <w:t>EN: Cu@Cr2O3 Noble‐Metal‐Free Hydrogen‐Evolving Cocatalyst on Al‐Doped SrTiO3 for Photocatalytic Overall Water Splitting</w:t>
      </w:r>
    </w:p>
    <w:p>
      <w:pPr>
        <w:spacing w:before="0" w:after="120"/>
      </w:pPr>
      <w:r>
        <w:rPr>
          <w:b/>
        </w:rPr>
        <w:t xml:space="preserve">Source: </w:t>
      </w:r>
      <w:r>
        <w:t>Wiley: Advanced Energy Materials: Table of Contents</w:t>
      </w:r>
      <w:r>
        <w:t xml:space="preserve">    </w:t>
      </w:r>
      <w:r>
        <w:rPr>
          <w:b/>
        </w:rPr>
        <w:t xml:space="preserve">Pub date: </w:t>
      </w:r>
      <w:r>
        <w:t>2026-08-19 10:25:44+00:00</w:t>
      </w:r>
      <w:r>
        <w:t xml:space="preserve">    </w:t>
      </w:r>
      <w:r>
        <w:rPr>
          <w:b/>
        </w:rPr>
        <w:t xml:space="preserve">DOI: </w:t>
      </w:r>
      <w:hyperlink r:id="rId476">
        <w:r>
          <w:rPr>
            <w:color w:val="1155CC"/>
            <w:u w:val="single"/>
          </w:rPr>
          <w:t>10.1002/aenm.71440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开发不含贵金属的助催化剂对于低成本光催化整体水分解（POWS）系统至关重要。然而，非贵金属材料的动态结构演化</w:t>
      </w:r>
      <w:r>
        <w:t xml:space="preserve"> </w:t>
      </w:r>
      <w:r>
        <w:t>操作</w:t>
      </w:r>
      <w:r>
        <w:t xml:space="preserve"> </w:t>
      </w:r>
      <w:r>
        <w:t>条件导致 POWS 中助催化剂的活性受到限制。在此，我们构建了核壳结构的Cu@Cr</w:t>
      </w:r>
      <w:r>
        <w:rPr>
          <w:vertAlign w:val="subscript"/>
        </w:rPr>
        <w:t>2</w:t>
      </w:r>
      <w:r>
        <w:t>氧</w:t>
      </w:r>
      <w:r>
        <w:rPr>
          <w:vertAlign w:val="subscript"/>
        </w:rPr>
        <w:t>3</w:t>
      </w:r>
      <w:r>
        <w:t>Al掺杂SrTiO助催化剂</w:t>
      </w:r>
      <w:r>
        <w:rPr>
          <w:vertAlign w:val="subscript"/>
        </w:rPr>
        <w:t>3</w:t>
      </w:r>
      <w:r>
        <w:t>(钛酸锶</w:t>
      </w:r>
      <w:r>
        <w:rPr>
          <w:vertAlign w:val="subscript"/>
        </w:rPr>
        <w:t>3</w:t>
      </w:r>
      <w:r>
        <w:t>:Al) 通过光沉积方法（表示为 Cu-PD/STO）实现高效 H</w:t>
      </w:r>
      <w:r>
        <w:rPr>
          <w:vertAlign w:val="subscript"/>
        </w:rPr>
        <w:t>2</w:t>
      </w:r>
      <w:r>
        <w:t>POWS 的演变。 Cu-PD/STO 实现了 H</w:t>
      </w:r>
      <w:r>
        <w:rPr>
          <w:vertAlign w:val="subscript"/>
        </w:rPr>
        <w:t>2</w:t>
      </w:r>
      <w:r>
        <w:t>演化速率为 788.7 µmol/h，超过了最近报道的所有不含贵金属的 H</w:t>
      </w:r>
      <w:r>
        <w:rPr>
          <w:vertAlign w:val="subscript"/>
        </w:rPr>
        <w:t>2</w:t>
      </w:r>
      <w:r>
        <w:t>SrTiO 上的演化助催化剂</w:t>
      </w:r>
      <w:r>
        <w:rPr>
          <w:vertAlign w:val="subscript"/>
        </w:rPr>
        <w:t>3</w:t>
      </w:r>
      <w:r>
        <w:t>对于战俘。准原位/</w:t>
      </w:r>
      <w:r>
        <w:t>操作</w:t>
      </w:r>
      <w:r>
        <w:t xml:space="preserve"> </w:t>
      </w:r>
      <w:r>
        <w:t>表征阐明了 Cu 的稳定运行</w:t>
      </w:r>
      <w:r>
        <w:rPr>
          <w:vertAlign w:val="subscript"/>
        </w:rPr>
        <w:t>0</w:t>
      </w:r>
      <w:r>
        <w:t>POWS 中的活性位点，由铜位点的光诱导还原和核壳结构保证。进一步的表征和理论计算表明 Cu</w:t>
      </w:r>
      <w:r>
        <w:rPr>
          <w:vertAlign w:val="subscript"/>
        </w:rPr>
        <w:t>0</w:t>
      </w:r>
      <w:r>
        <w:t>活性位点加速从 SrTiO 中提取电子</w:t>
      </w:r>
      <w:r>
        <w:rPr>
          <w:vertAlign w:val="subscript"/>
        </w:rPr>
        <w:t>3</w:t>
      </w:r>
      <w:r>
        <w:t>：Al，优化水离解和氢吸附。此外，铜</w:t>
      </w:r>
    </w:p>
    <w:p>
      <w:pPr>
        <w:spacing w:before="0" w:after="200" w:lineRule="auto" w:line="276"/>
      </w:pPr>
      <w:r>
        <w:rPr>
          <w:b/>
        </w:rPr>
        <w:t xml:space="preserve">Abstract (EN): </w:t>
      </w:r>
      <w:r>
        <w:t>The development of noble‐metal‐free cocatalysts is crucial for low‐cost photocatalytic overall water splitting (POWS) systems. However, dynamic structural evolution of non‐noble‐metal materials under</w:t>
      </w:r>
      <w:r>
        <w:t xml:space="preserve"> </w:t>
      </w:r>
      <w:r>
        <w:t>operando</w:t>
      </w:r>
      <w:r>
        <w:t xml:space="preserve"> </w:t>
      </w:r>
      <w:r>
        <w:t>conditions results in a restricted activity of cocatalysts in POWS. Herein, we construct a core–shell structured Cu@Cr</w:t>
      </w:r>
      <w:r>
        <w:rPr>
          <w:vertAlign w:val="subscript"/>
        </w:rPr>
        <w:t>2</w:t>
      </w:r>
      <w:r>
        <w:t>O</w:t>
      </w:r>
      <w:r>
        <w:rPr>
          <w:vertAlign w:val="subscript"/>
        </w:rPr>
        <w:t>3</w:t>
      </w:r>
      <w:r>
        <w:t>cocatalyst on Al‐doped SrTiO</w:t>
      </w:r>
      <w:r>
        <w:rPr>
          <w:vertAlign w:val="subscript"/>
        </w:rPr>
        <w:t>3</w:t>
      </w:r>
      <w:r>
        <w:t>(SrTiO</w:t>
      </w:r>
      <w:r>
        <w:rPr>
          <w:vertAlign w:val="subscript"/>
        </w:rPr>
        <w:t>3</w:t>
      </w:r>
      <w:r>
        <w:t>:Al) via a photodeposition method (denoted as Cu‐PD/STO) for efficient H</w:t>
      </w:r>
      <w:r>
        <w:rPr>
          <w:vertAlign w:val="subscript"/>
        </w:rPr>
        <w:t>2</w:t>
      </w:r>
      <w:r>
        <w:t>evolution in POWS. The Cu‐PD/STO achieves the H</w:t>
      </w:r>
      <w:r>
        <w:rPr>
          <w:vertAlign w:val="subscript"/>
        </w:rPr>
        <w:t>2</w:t>
      </w:r>
      <w:r>
        <w:t>evolution rate of 788.7 µmol/h, surpassing all the recently reported noble‐metal‐free H</w:t>
      </w:r>
      <w:r>
        <w:rPr>
          <w:vertAlign w:val="subscript"/>
        </w:rPr>
        <w:t>2</w:t>
      </w:r>
      <w:r>
        <w:t>evolution cocatalysts on SrTiO</w:t>
      </w:r>
      <w:r>
        <w:rPr>
          <w:vertAlign w:val="subscript"/>
        </w:rPr>
        <w:t>3</w:t>
      </w:r>
      <w:r>
        <w:t>for POWS. Quasi in situ/</w:t>
      </w:r>
      <w:r>
        <w:t>operando</w:t>
      </w:r>
      <w:r>
        <w:t xml:space="preserve"> </w:t>
      </w:r>
      <w:r>
        <w:t>characterizations elucidate the stable operation of Cu</w:t>
      </w:r>
      <w:r>
        <w:rPr>
          <w:vertAlign w:val="subscript"/>
        </w:rPr>
        <w:t>0</w:t>
      </w:r>
      <w:r>
        <w:t>active sites in POWS, guaranteed by the photoinduced reduction of Cu sites and core–shell structure. Further characterizations and theoretical calculations reveal that Cu</w:t>
      </w:r>
      <w:r>
        <w:rPr>
          <w:vertAlign w:val="subscript"/>
        </w:rPr>
        <w:t>0</w:t>
      </w:r>
      <w:r>
        <w:t>active sites provide accelerated electron extraction from SrTiO</w:t>
      </w:r>
      <w:r>
        <w:rPr>
          <w:vertAlign w:val="subscript"/>
        </w:rPr>
        <w:t>3</w:t>
      </w:r>
      <w:r>
        <w:t>:Al, optimized water dissociation, and hydrogen adsorption. Moreover, Cu</w:t>
      </w:r>
      <w:r>
        <w:rPr>
          <w:vertAlign w:val="subscript"/>
        </w:rPr>
        <w:t>0</w:t>
      </w:r>
      <w:r>
        <w:t>active sites can promote the formation of Cr</w:t>
      </w:r>
      <w:r>
        <w:rPr>
          <w:vertAlign w:val="subscript"/>
        </w:rPr>
        <w:t>2</w:t>
      </w:r>
      <w:r>
        <w:t>O</w:t>
      </w:r>
      <w:r>
        <w:rPr>
          <w:vertAlign w:val="subscript"/>
        </w:rPr>
        <w:t>3</w:t>
      </w:r>
      <w:r>
        <w:t>shells, which encapsulate the Cu</w:t>
      </w:r>
      <w:r>
        <w:rPr>
          <w:vertAlign w:val="subscript"/>
        </w:rPr>
        <w:t>0</w:t>
      </w:r>
      <w:r>
        <w:t>active sites, protecting them against surface oxidation and suppressing the reverse reaction in POWS.</w:t>
      </w:r>
    </w:p>
    <w:p>
      <w:pPr>
        <w:spacing w:before="120" w:after="120"/>
      </w:pPr>
      <w:r>
        <w:rPr>
          <w:sz w:val="18"/>
        </w:rPr>
        <w:t>——————————————————————————————————————————————————————————————————————</w:t>
      </w:r>
    </w:p>
    <w:p>
      <w:pPr>
        <w:spacing w:before="160" w:after="40" w:line="240" w:lineRule="auto"/>
      </w:pPr>
      <w:r>
        <w:rPr>
          <w:b/>
        </w:rPr>
        <w:t xml:space="preserve">[38] </w:t>
      </w:r>
      <w:hyperlink r:id="rId477">
        <w:r>
          <w:rPr>
            <w:color w:val="1155CC"/>
            <w:u w:val="single"/>
          </w:rPr>
          <w:t>双电层工程诱导 O-Down 界面水重新定向，以实现高效、长期的海水电解</w:t>
        </w:r>
      </w:hyperlink>
    </w:p>
    <w:p>
      <w:pPr>
        <w:spacing w:before="0" w:after="80"/>
      </w:pPr>
      <w:r>
        <w:rPr>
          <w:i/>
          <w:sz w:val="20"/>
        </w:rPr>
        <w:t>EN: Electric Double Layer Engineering Induces O‐Down Interfacial Water Reorientation for Efficient and Long‐Term Seawater Electrolysis</w:t>
      </w:r>
    </w:p>
    <w:p>
      <w:pPr>
        <w:spacing w:before="0" w:after="120"/>
      </w:pPr>
      <w:r>
        <w:rPr>
          <w:b/>
        </w:rPr>
        <w:t xml:space="preserve">Source: </w:t>
      </w:r>
      <w:r>
        <w:t>Wiley: Advanced Energy Materials: Table of Contents</w:t>
      </w:r>
      <w:r>
        <w:t xml:space="preserve">    </w:t>
      </w:r>
      <w:r>
        <w:rPr>
          <w:b/>
        </w:rPr>
        <w:t xml:space="preserve">Pub date: </w:t>
      </w:r>
      <w:r>
        <w:t>2026-08-19 10:31:01+00:00</w:t>
      </w:r>
      <w:r>
        <w:t xml:space="preserve">    </w:t>
      </w:r>
      <w:r>
        <w:rPr>
          <w:b/>
        </w:rPr>
        <w:t xml:space="preserve">DOI: </w:t>
      </w:r>
      <w:hyperlink r:id="rId478">
        <w:r>
          <w:rPr>
            <w:color w:val="1155CC"/>
            <w:u w:val="single"/>
          </w:rPr>
          <w:t>10.1002/aenm.71429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海水电解制氢受到析氢反应（HER）动力学缓慢和严重的Mg/Ca氢氧化物沉积的困扰，限制了其大规模应用。在此，我们通过引入螯合剂乙二胺四（亚甲基膦酸）钠（EDTMPS），通过有针对性的电解质介导的双电层（EDL）工程策略来解决这两个问题。吸附在 Pt 表面的 EDTMPS 有效螯合 Mg</w:t>
      </w:r>
      <w:r>
        <w:t xml:space="preserve"> </w:t>
      </w:r>
      <w:r>
        <w:t>2+</w:t>
      </w:r>
      <w:r>
        <w:t xml:space="preserve"> </w:t>
      </w:r>
      <w:r>
        <w:t>/钙</w:t>
      </w:r>
      <w:r>
        <w:t xml:space="preserve"> </w:t>
      </w:r>
      <w:r>
        <w:t>2+</w:t>
      </w:r>
      <w:r>
        <w:t xml:space="preserve"> </w:t>
      </w:r>
      <w:r>
        <w:t>抑制氢氧化物沉积。同时，它破坏了界面H的氢键网络</w:t>
      </w:r>
      <w:r>
        <w:rPr>
          <w:vertAlign w:val="subscript"/>
        </w:rPr>
        <w:t>2</w:t>
      </w:r>
      <w:r>
        <w:t>O 并增加 EDL 的厚度，从而减少自由 H</w:t>
      </w:r>
      <w:r>
        <w:rPr>
          <w:vertAlign w:val="subscript"/>
        </w:rPr>
        <w:t>2</w:t>
      </w:r>
      <w:r>
        <w:t>O重组能垒通过减弱界面电场强度。从 Pt 到 EDTMPS 的电子转移会产生局部不均匀电场，进一步促进 H 的重新定向</w:t>
      </w:r>
      <w:r>
        <w:rPr>
          <w:vertAlign w:val="subscript"/>
        </w:rPr>
        <w:t>2</w:t>
      </w:r>
      <w:r>
        <w:t>通过二次谐波产生谱和理论计算推断，O从传统的H-down构型转变为更容易吸附的O-down构型，以参与HER。同时，丰富的-[P-O]</w:t>
      </w:r>
      <w:r>
        <w:t xml:space="preserve"> </w:t>
      </w:r>
      <w:r>
        <w:t>-</w:t>
      </w:r>
      <w:r>
        <w:t>EDTMPS 中的基团协同促进 H</w:t>
      </w:r>
      <w:r>
        <w:rPr>
          <w:vertAlign w:val="subscript"/>
        </w:rPr>
        <w:t>2</w:t>
      </w:r>
      <w:r>
        <w:t>O 与 Pt 活性位点解离并加速 HER 动力学。组装后的天然海水电解槽达到1.0</w:t>
      </w:r>
    </w:p>
    <w:p>
      <w:pPr>
        <w:spacing w:before="0" w:after="200" w:lineRule="auto" w:line="276"/>
      </w:pPr>
      <w:r>
        <w:rPr>
          <w:b/>
        </w:rPr>
        <w:t xml:space="preserve">Abstract (EN): </w:t>
      </w:r>
      <w:r>
        <w:t>Direct seawater electrolysis for hydrogen production is plagued by sluggish hydrogen evolution reaction (HER) kinetics and severe Mg/Ca hydroxide deposition, which restrict its large‐scale application. Herein, we address these two issues via a targeted electrolyte‐mediated electric double layer (EDL) engineering strategy by introducing a chelating agent, ethylene diamine tetra (methylene phosphonic acid) sodium (EDTMPS). EDTMPS adsorbed on the Pt surface effectively chelates Mg</w:t>
      </w:r>
      <w:r>
        <w:t xml:space="preserve"> </w:t>
      </w:r>
      <w:r>
        <w:t>2+</w:t>
      </w:r>
      <w:r>
        <w:t xml:space="preserve"> </w:t>
      </w:r>
      <w:r>
        <w:t>/Ca</w:t>
      </w:r>
      <w:r>
        <w:t xml:space="preserve"> </w:t>
      </w:r>
      <w:r>
        <w:t>2+</w:t>
      </w:r>
      <w:r>
        <w:t xml:space="preserve"> </w:t>
      </w:r>
      <w:r>
        <w:t>to inhibit hydroxide deposition. Meanwhile, it disrupts the hydrogen bond networks of interfacial H</w:t>
      </w:r>
      <w:r>
        <w:rPr>
          <w:vertAlign w:val="subscript"/>
        </w:rPr>
        <w:t>2</w:t>
      </w:r>
      <w:r>
        <w:t>O and increases the thickness of EDL, thereby reducing the free H</w:t>
      </w:r>
      <w:r>
        <w:rPr>
          <w:vertAlign w:val="subscript"/>
        </w:rPr>
        <w:t>2</w:t>
      </w:r>
      <w:r>
        <w:t>O reorganization energy barrier by weakening the interfacial electric field intensity. Electron transfer from Pt to EDTMPS generates a localized non‐uniform electric field, further facilitating the reorientation of H</w:t>
      </w:r>
      <w:r>
        <w:rPr>
          <w:vertAlign w:val="subscript"/>
        </w:rPr>
        <w:t>2</w:t>
      </w:r>
      <w:r>
        <w:t>O from the conventional H‐down to the more readily adsorbable O‐down configuration for HER participation inferred by second harmonic generation spectra and theoretical calculations. Simultaneously, the abundant ‐[P‐O]</w:t>
      </w:r>
      <w:r>
        <w:t xml:space="preserve"> </w:t>
      </w:r>
      <w:r>
        <w:t>−</w:t>
      </w:r>
      <w:r>
        <w:t>groups in EDTMPS synergistically promote H</w:t>
      </w:r>
      <w:r>
        <w:rPr>
          <w:vertAlign w:val="subscript"/>
        </w:rPr>
        <w:t>2</w:t>
      </w:r>
      <w:r>
        <w:t>O dissociation with Pt active sites and accelerate the HER kinetics. The assembled natural seawater electrolyzer achieves 1.0 A cm</w:t>
      </w:r>
      <w:r>
        <w:t xml:space="preserve"> </w:t>
      </w:r>
      <w:r>
        <w:t>−2</w:t>
      </w:r>
      <w:r>
        <w:t xml:space="preserve"> </w:t>
      </w:r>
      <w:r>
        <w:t>at 2.41 V and long‐term stability for over 2500 h at industrial‐level current densities. This work offers a sustainable pathway toward scalable green hydrogen production from natural seawater via electrolyte‐mediated EDL modification.</w:t>
      </w:r>
    </w:p>
    <w:p>
      <w:pPr>
        <w:spacing w:before="120" w:after="120"/>
      </w:pPr>
      <w:r>
        <w:rPr>
          <w:sz w:val="18"/>
        </w:rPr>
        <w:t>——————————————————————————————————————————————————————————————————————</w:t>
      </w:r>
    </w:p>
    <w:p>
      <w:pPr>
        <w:spacing w:before="160" w:after="40" w:line="240" w:lineRule="auto"/>
      </w:pPr>
      <w:r>
        <w:rPr>
          <w:b/>
        </w:rPr>
        <w:t xml:space="preserve">[39] </w:t>
      </w:r>
      <w:hyperlink r:id="rId479">
        <w:r>
          <w:rPr>
            <w:color w:val="1155CC"/>
            <w:u w:val="single"/>
          </w:rPr>
          <w:t>用于同时进行硝酸盐还原和生物质氧化的全光谱响应 MOF-on-MOF 异质结光催化剂</w:t>
        </w:r>
      </w:hyperlink>
    </w:p>
    <w:p>
      <w:pPr>
        <w:spacing w:before="0" w:after="80"/>
      </w:pPr>
      <w:r>
        <w:rPr>
          <w:i/>
          <w:sz w:val="20"/>
        </w:rPr>
        <w:t>EN: A Full‐Spectrum‐Responsive MOF‐on‐MOF Heterojunction Photocatalyst for Concurrent Nitrate Reduction and Biomass Oxidation</w:t>
      </w:r>
    </w:p>
    <w:p>
      <w:pPr>
        <w:spacing w:before="0" w:after="120"/>
      </w:pPr>
      <w:r>
        <w:rPr>
          <w:b/>
        </w:rPr>
        <w:t xml:space="preserve">Source: </w:t>
      </w:r>
      <w:r>
        <w:t>Wiley: Angewandte Chemie International Edition: Table of Contents</w:t>
      </w:r>
      <w:r>
        <w:t xml:space="preserve">    </w:t>
      </w:r>
      <w:r>
        <w:rPr>
          <w:b/>
        </w:rPr>
        <w:t xml:space="preserve">Pub date: </w:t>
      </w:r>
      <w:r>
        <w:t>2026-08-19 13:52:50+00:00</w:t>
      </w:r>
      <w:r>
        <w:t xml:space="preserve">    </w:t>
      </w:r>
      <w:r>
        <w:rPr>
          <w:b/>
        </w:rPr>
        <w:t xml:space="preserve">DOI: </w:t>
      </w:r>
      <w:hyperlink r:id="rId480">
        <w:r>
          <w:rPr>
            <w:color w:val="1155CC"/>
            <w:u w:val="single"/>
          </w:rPr>
          <w:t>10.1002/anie.8582451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光催化硝酸盐还原反应（PNitRR）为氨（NH</w:t>
      </w:r>
      <w:r>
        <w:rPr>
          <w:vertAlign w:val="subscript"/>
        </w:rPr>
        <w:t>3</w:t>
      </w:r>
      <w:r>
        <w:t>）合成和废水处理。近红外（NIR）光的利用不足和耦合水氧化反应动力学缓慢导致性能不令人满意。在此，导电金属有机骨架（</w:t>
      </w:r>
      <w:r>
        <w:t xml:space="preserve"> </w:t>
      </w:r>
      <w:r>
        <w:t>c</w:t>
      </w:r>
      <w:r>
        <w:t xml:space="preserve"> </w:t>
      </w:r>
      <w:r>
        <w:t>MOF）-on-</w:t>
      </w:r>
      <w:r>
        <w:t>c</w:t>
      </w:r>
      <w:r>
        <w:t xml:space="preserve"> </w:t>
      </w:r>
      <w:r>
        <w:t>据报道，MOF S 型异质结是一种高效的全光谱光催化剂，可用于驱动 PNitRR 到 NH 的创新混合系统</w:t>
      </w:r>
      <w:r>
        <w:rPr>
          <w:vertAlign w:val="subscript"/>
        </w:rPr>
        <w:t>3</w:t>
      </w:r>
      <w:r>
        <w:t>以及光催化5-羟甲基糠醛氧化反应（PHMFOR）生成2, 5-呋喃二甲酸（FDCA）。 Co- 的整合</w:t>
      </w:r>
      <w:r>
        <w:t xml:space="preserve"> </w:t>
      </w:r>
      <w:r>
        <w:t>c</w:t>
      </w:r>
      <w:r>
        <w:t xml:space="preserve"> </w:t>
      </w:r>
      <w:r>
        <w:t>MOF 和 Ni‐</w:t>
      </w:r>
      <w:r>
        <w:t xml:space="preserve"> </w:t>
      </w:r>
      <w:r>
        <w:t>c</w:t>
      </w:r>
      <w:r>
        <w:t xml:space="preserve"> </w:t>
      </w:r>
      <w:r>
        <w:t>具有双近红外响应特性和良好匹配的能带结构的 MOF 形成 S 型异质结，可实现充分的光利用和有效的电荷分离。此外，具有调制电子结构的界面Ni-Co双位点的形成分别解释了PNitRR和PHMFOR，具有增强的活性和选择性。所设计的</w:t>
      </w:r>
      <w:r>
        <w:t xml:space="preserve"> </w:t>
      </w:r>
      <w:r>
        <w:t>c</w:t>
      </w:r>
      <w:r>
        <w:t xml:space="preserve"> </w:t>
      </w:r>
      <w:r>
        <w:t>MOF-on-</w:t>
      </w:r>
      <w:r>
        <w:t>c</w:t>
      </w:r>
      <w:r>
        <w:t xml:space="preserve"> </w:t>
      </w:r>
      <w:r>
        <w:t>MOF S 型异质结光催化剂的产率分别为 4677.5 和 5932.5 µmol g</w:t>
      </w:r>
      <w:r>
        <w:t xml:space="preserve"> </w:t>
      </w:r>
      <w:r>
        <w:t>猫</w:t>
      </w:r>
      <w:r>
        <w:t xml:space="preserve"> </w:t>
      </w:r>
      <w:r>
        <w:t>−1</w:t>
      </w:r>
      <w:r>
        <w:t xml:space="preserve"> </w:t>
      </w:r>
      <w:r>
        <w:t>小时</w:t>
      </w:r>
      <w:r>
        <w:t xml:space="preserve"> </w:t>
      </w:r>
      <w:r>
        <w:t>−1</w:t>
      </w:r>
      <w:r>
        <w:t xml:space="preserve"> </w:t>
      </w:r>
      <w:r>
        <w:t>与阿帕尔</w:t>
      </w:r>
    </w:p>
    <w:p>
      <w:pPr>
        <w:spacing w:before="0" w:after="200" w:lineRule="auto" w:line="276"/>
      </w:pPr>
      <w:r>
        <w:rPr>
          <w:b/>
        </w:rPr>
        <w:t xml:space="preserve">Abstract (EN): </w:t>
      </w:r>
      <w:r>
        <w:t>Photocatalytic nitrate reduction reaction (PNitRR) offers a sustainable route for ammonia (NH</w:t>
      </w:r>
      <w:r>
        <w:rPr>
          <w:vertAlign w:val="subscript"/>
        </w:rPr>
        <w:t>3</w:t>
      </w:r>
      <w:r>
        <w:t>) synthesis and wastewater treatment. The insufficient utilization of near‐infrared (NIR) light and sluggish reaction kinetics of coupled water oxidation result in unsatisfactory performance. Herein, a conductive metal organic framework (</w:t>
      </w:r>
      <w:r>
        <w:t xml:space="preserve"> </w:t>
      </w:r>
      <w:r>
        <w:t>c</w:t>
      </w:r>
      <w:r>
        <w:t xml:space="preserve"> </w:t>
      </w:r>
      <w:r>
        <w:t>MOF)‐on‐</w:t>
      </w:r>
      <w:r>
        <w:t xml:space="preserve"> </w:t>
      </w:r>
      <w:r>
        <w:t>c</w:t>
      </w:r>
      <w:r>
        <w:t xml:space="preserve"> </w:t>
      </w:r>
      <w:r>
        <w:t>MOF S‐scheme heterojunction is reported as an efficient full‐spectrum photocatalyst for driving an innovative hybrid system of PNitRR to NH</w:t>
      </w:r>
      <w:r>
        <w:rPr>
          <w:vertAlign w:val="subscript"/>
        </w:rPr>
        <w:t>3</w:t>
      </w:r>
      <w:r>
        <w:t>and photocatalytic 5‐hydroxymethylfurfural oxidation reaction (PHMFOR) to 2, 5‐furandicarboxylic acid (FDCA). The integration of Co‐</w:t>
      </w:r>
      <w:r>
        <w:t xml:space="preserve"> </w:t>
      </w:r>
      <w:r>
        <w:t>c</w:t>
      </w:r>
      <w:r>
        <w:t xml:space="preserve"> </w:t>
      </w:r>
      <w:r>
        <w:t>MOF and Ni‐</w:t>
      </w:r>
      <w:r>
        <w:t xml:space="preserve"> </w:t>
      </w:r>
      <w:r>
        <w:t>c</w:t>
      </w:r>
      <w:r>
        <w:t xml:space="preserve"> </w:t>
      </w:r>
      <w:r>
        <w:t>MOF with dual NIR‐response features and well‐matched band structures into an S‐scheme heterojunction enables sufficient light utilization and efficient charge separation. Moreover, the formation of interfacial Ni‐Co dual sites with modulated electronic structures accounts for PNitRR and PHMFOR, respectively, with enhanced activity and selectivity. The designed</w:t>
      </w:r>
      <w:r>
        <w:t xml:space="preserve"> </w:t>
      </w:r>
      <w:r>
        <w:t>c</w:t>
      </w:r>
      <w:r>
        <w:t xml:space="preserve"> </w:t>
      </w:r>
      <w:r>
        <w:t>MOF‐on‐</w:t>
      </w:r>
      <w:r>
        <w:t xml:space="preserve"> </w:t>
      </w:r>
      <w:r>
        <w:t>c</w:t>
      </w:r>
      <w:r>
        <w:t xml:space="preserve"> </w:t>
      </w:r>
      <w:r>
        <w:t>MOF S‐scheme heterojunction photocatalyst exhibits production rates of 4677.5 and 5932.5 µmol g</w:t>
      </w:r>
      <w:r>
        <w:t xml:space="preserve"> </w:t>
      </w:r>
      <w:r>
        <w:t>cat</w:t>
      </w:r>
      <w:r>
        <w:t xml:space="preserve"> </w:t>
      </w:r>
      <w:r>
        <w:t>−1</w:t>
      </w:r>
      <w:r>
        <w:t xml:space="preserve"> </w:t>
      </w:r>
      <w:r>
        <w:t>h</w:t>
      </w:r>
      <w:r>
        <w:t xml:space="preserve"> </w:t>
      </w:r>
      <w:r>
        <w:t>−1</w:t>
      </w:r>
      <w:r>
        <w:t xml:space="preserve"> </w:t>
      </w:r>
      <w:r>
        <w:t>with apparent quantum yields of 13.3% and 13.1% at 500 nm for NH</w:t>
      </w:r>
      <w:r>
        <w:rPr>
          <w:vertAlign w:val="subscript"/>
        </w:rPr>
        <w:t>3</w:t>
      </w:r>
      <w:r>
        <w:t>and FDCA production, respectively. This work opens new avenues for the development of advanced photocatalysts and integrated photocatalytic systems to produce valuable chemicals.</w:t>
      </w:r>
    </w:p>
    <w:p>
      <w:pPr>
        <w:spacing w:before="120" w:after="120"/>
      </w:pPr>
      <w:r>
        <w:rPr>
          <w:sz w:val="18"/>
        </w:rPr>
        <w:t>——————————————————————————————————————————————————————————————————————</w:t>
      </w:r>
    </w:p>
    <w:p>
      <w:pPr>
        <w:spacing w:before="160" w:after="40" w:line="240" w:lineRule="auto"/>
      </w:pPr>
      <w:r>
        <w:rPr>
          <w:b/>
        </w:rPr>
        <w:t xml:space="preserve">[40] </w:t>
      </w:r>
      <w:hyperlink r:id="rId481">
        <w:r>
          <w:rPr>
            <w:color w:val="1155CC"/>
            <w:u w:val="single"/>
          </w:rPr>
          <w:t>用于绿色氨合成的高熵氧化物原位重构获得的 RuCo 纳米合金催化剂</w:t>
        </w:r>
      </w:hyperlink>
    </w:p>
    <w:p>
      <w:pPr>
        <w:spacing w:before="0" w:after="80"/>
      </w:pPr>
      <w:r>
        <w:rPr>
          <w:i/>
          <w:sz w:val="20"/>
        </w:rPr>
        <w:t>EN: RuCo Nanoalloy Catalysts Obtained From In‐Situ Reconstruction of High‐Entropy Oxides for Green Ammonia Synthesis</w:t>
      </w:r>
    </w:p>
    <w:p>
      <w:pPr>
        <w:spacing w:before="0" w:after="120"/>
      </w:pPr>
      <w:r>
        <w:rPr>
          <w:b/>
        </w:rPr>
        <w:t xml:space="preserve">Source: </w:t>
      </w:r>
      <w:r>
        <w:t>Wiley: Angewandte Chemie International Edition: Table of Contents</w:t>
      </w:r>
      <w:r>
        <w:t xml:space="preserve">    </w:t>
      </w:r>
      <w:r>
        <w:rPr>
          <w:b/>
        </w:rPr>
        <w:t xml:space="preserve">Pub date: </w:t>
      </w:r>
      <w:r>
        <w:t>2026-08-19 14:14:54+00:00</w:t>
      </w:r>
      <w:r>
        <w:t xml:space="preserve">    </w:t>
      </w:r>
      <w:r>
        <w:rPr>
          <w:b/>
        </w:rPr>
        <w:t xml:space="preserve">DOI: </w:t>
      </w:r>
      <w:hyperlink r:id="rId482">
        <w:r>
          <w:rPr>
            <w:color w:val="1155CC"/>
            <w:u w:val="single"/>
          </w:rPr>
          <w:t>10.1002/anie.9715444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优化促进剂对于设计高效氨催化剂（NH</w:t>
      </w:r>
      <w:r>
        <w:rPr>
          <w:vertAlign w:val="subscript"/>
        </w:rPr>
        <w:t>3</w:t>
      </w:r>
      <w:r>
        <w:t>）在温和条件下合成。然而，这一努力常常受到一个基本权衡的阻碍：弱金属启动子相互作用（MPI）导致启动子分离，而过强的金属启动子相互作用会阻碍活性位点，两者都会降低促进效率。在这项工作中，我们报道了一种与活性金属（Ru/Co）和促进剂（La/Ce/Sm）集成的高熵氧化物（HEO）纳米粒子催化剂，用于高效的NH</w:t>
      </w:r>
      <w:r>
        <w:rPr>
          <w:vertAlign w:val="subscript"/>
        </w:rPr>
        <w:t>3</w:t>
      </w:r>
      <w:r>
        <w:t>通过原位重建策略合成。我们的研究表明，HEO 经过原位重构，形成锚定在稀土氧化物纳米岛上的 RuCo 纳米合金，同时实现了活性位点的暴露和强金属促进剂相互作用。这种熵减少过程促进了具有低功函数电子的表面氧空位位的形成，促进电子转移到金属合金以驱动N</w:t>
      </w:r>
      <w:r>
        <w:rPr>
          <w:vertAlign w:val="subscript"/>
        </w:rPr>
        <w:t>2</w:t>
      </w:r>
      <w:r>
        <w:t>解离。此外，Ru与Co金属的合金化降低了d带中心以促进NH</w:t>
      </w:r>
      <w:r>
        <w:rPr>
          <w:vertAlign w:val="subscript"/>
        </w:rPr>
        <w:t>3</w:t>
      </w:r>
      <w:r>
        <w:t>解吸。因此，优化的 RuCo-HEO 催化剂可提供卓越的 NH</w:t>
      </w:r>
      <w:r>
        <w:rPr>
          <w:vertAlign w:val="subscript"/>
        </w:rPr>
        <w:t>3</w:t>
      </w:r>
      <w:r>
        <w:t>合成率为 58.2 mmol g</w:t>
      </w:r>
      <w:r>
        <w:t xml:space="preserve"> </w:t>
      </w:r>
      <w:r>
        <w:t>-</w:t>
      </w:r>
      <w:r>
        <w:rPr>
          <w:vertAlign w:val="subscript"/>
        </w:rPr>
        <w:t>1</w:t>
      </w:r>
      <w:r>
        <w:t>小时</w:t>
      </w:r>
      <w:r>
        <w:t xml:space="preserve"> </w:t>
      </w:r>
      <w:r>
        <w:t>-</w:t>
      </w:r>
      <w:r>
        <w:rPr>
          <w:vertAlign w:val="subscript"/>
        </w:rPr>
        <w:t>1</w:t>
      </w:r>
      <w:r>
        <w:t>（2.41% 浓度）在 400°C</w:t>
      </w:r>
    </w:p>
    <w:p>
      <w:pPr>
        <w:spacing w:before="0" w:after="200" w:lineRule="auto" w:line="276"/>
      </w:pPr>
      <w:r>
        <w:rPr>
          <w:b/>
        </w:rPr>
        <w:t xml:space="preserve">Abstract (EN): </w:t>
      </w:r>
      <w:r>
        <w:t>Optimizing promoters is crucial for designing efficient catalysts for ammonia (NH</w:t>
      </w:r>
      <w:r>
        <w:rPr>
          <w:vertAlign w:val="subscript"/>
        </w:rPr>
        <w:t>3</w:t>
      </w:r>
      <w:r>
        <w:t>) synthesis under mild conditions. However, this endeavor is often hampered by a fundamental trade‐off: weak metal‐promoter interactions (MPI) lead to promoter segregation, while excessively strong ones block active sites, both diminishing the efficiency of promotion. In this work, we report a high‐entropy oxide (HEO) nanoparticle catalyst integrated with active metals (Ru/Co) and promoters (La/Ce/Sm) for efficient NH</w:t>
      </w:r>
      <w:r>
        <w:rPr>
          <w:vertAlign w:val="subscript"/>
        </w:rPr>
        <w:t>3</w:t>
      </w:r>
      <w:r>
        <w:t>synthesis via an in situ reconstruction strategy. Our investigation reveals that the HEO undergoes in situ reconstruction to form RuCo nanoalloys anchored on rare‐earth oxide nanoislands, which simultaneously realizes the exposure of active sites and strong metal‐promoter interaction. This entropy reduction process facilitates the formation of surface oxygen vacancy sites with low work function electrons, facilitating electron transfer to the metal alloys to drive N</w:t>
      </w:r>
      <w:r>
        <w:rPr>
          <w:vertAlign w:val="subscript"/>
        </w:rPr>
        <w:t>2</w:t>
      </w:r>
      <w:r>
        <w:t>dissociation. Furthermore, alloying Ru with Co metal lowers the d‐band center to promote NH</w:t>
      </w:r>
      <w:r>
        <w:rPr>
          <w:vertAlign w:val="subscript"/>
        </w:rPr>
        <w:t>3</w:t>
      </w:r>
      <w:r>
        <w:t>desorption. Consequently, the optimized RuCo‐HEO catalyst delivers a remarkable NH</w:t>
      </w:r>
      <w:r>
        <w:rPr>
          <w:vertAlign w:val="subscript"/>
        </w:rPr>
        <w:t>3</w:t>
      </w:r>
      <w:r>
        <w:t>synthesis rate of 58.2 mmol g</w:t>
      </w:r>
      <w:r>
        <w:t xml:space="preserve"> </w:t>
      </w:r>
      <w:r>
        <w:t>−</w:t>
      </w:r>
      <w:r>
        <w:rPr>
          <w:vertAlign w:val="subscript"/>
        </w:rPr>
        <w:t>1</w:t>
      </w:r>
      <w:r>
        <w:t>h</w:t>
      </w:r>
      <w:r>
        <w:t xml:space="preserve"> </w:t>
      </w:r>
      <w:r>
        <w:t>−</w:t>
      </w:r>
      <w:r>
        <w:rPr>
          <w:vertAlign w:val="subscript"/>
        </w:rPr>
        <w:t>1</w:t>
      </w:r>
      <w:r>
        <w:t>(2.41% concentration) at 400°C and 1 MPa, approaching the thermodynamic equilibrium value (2.44%). This work provides an in situ reconstruction strategy to engineer active sites exposure and promoter effect for efficient green NH</w:t>
      </w:r>
      <w:r>
        <w:rPr>
          <w:vertAlign w:val="subscript"/>
        </w:rPr>
        <w:t>3</w:t>
      </w:r>
      <w:r>
        <w:t>synthesis.</w:t>
      </w:r>
    </w:p>
    <w:p>
      <w:pPr>
        <w:spacing w:before="120" w:after="120"/>
      </w:pPr>
      <w:r>
        <w:rPr>
          <w:sz w:val="18"/>
        </w:rPr>
        <w:t>——————————————————————————————————————————————————————————————————————</w:t>
      </w:r>
    </w:p>
    <w:p>
      <w:pPr>
        <w:spacing w:before="160" w:after="40" w:line="240" w:lineRule="auto"/>
      </w:pPr>
      <w:r>
        <w:rPr>
          <w:b/>
        </w:rPr>
        <w:t xml:space="preserve">[41] </w:t>
      </w:r>
      <w:hyperlink r:id="rId483">
        <w:r>
          <w:rPr>
            <w:color w:val="1155CC"/>
            <w:u w:val="single"/>
          </w:rPr>
          <w:t>分子-离子杂化物在高电流密度下调节从二氧化碳到甲醇的中间演化</w:t>
        </w:r>
      </w:hyperlink>
    </w:p>
    <w:p>
      <w:pPr>
        <w:spacing w:before="0" w:after="80"/>
      </w:pPr>
      <w:r>
        <w:rPr>
          <w:i/>
          <w:sz w:val="20"/>
        </w:rPr>
        <w:t>EN: Molecular-Ionic Hybrid Modulates Intermediate Evolution from CO2 to Methanol at High Current Density</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484">
        <w:r>
          <w:rPr>
            <w:color w:val="1155CC"/>
            <w:u w:val="single"/>
          </w:rPr>
          <w:t>10.1021/jacs.6c11699</w:t>
        </w:r>
      </w:hyperlink>
    </w:p>
    <w:p>
      <w:pPr>
        <w:spacing w:before="0" w:after="120"/>
      </w:pPr>
      <w:r>
        <w:rPr>
          <w:b/>
        </w:rPr>
        <w:t xml:space="preserve">Notes: </w:t>
      </w:r>
      <w:r>
        <w:t>abstract_source=crossref</w:t>
      </w:r>
    </w:p>
    <w:p>
      <w:pPr>
        <w:spacing w:before="0" w:after="80" w:lineRule="auto" w:line="276"/>
      </w:pPr>
      <w:r>
        <w:rPr>
          <w:b/>
        </w:rPr>
        <w:t xml:space="preserve">摘要（ZH）: </w:t>
      </w:r>
      <w:r>
        <w:t>摘要 CO2 电化学转化为甲醇为碳的可持续利用提供了引人注目的途径。尽管酞菁钴 (CoPc) 被认为是该反应有前途的催化剂，但由于 *CO 中间体的稳定性不足和加氢动力学缓慢，在高电流密度下实现高甲醇选择性仍然是一个关键挑战。在此，我们报道了一种分子-离子杂化催化剂，其通过将氨基功能化的CoPc与咪唑基离子液体（IL）集成在碳纳米管（CoPc-NH2 + IL/CNT）上而构建。该混合催化剂的甲醇法拉第效率为 75.0%，部分电流密度为 300 mA cm–2。这种出色的性能源于CoPc-NH2和咪唑鎓阳离子之间的协同相互作用。咪唑鎓充当 CO2 吸附库，富集 CO2 并将其输送至 Co 中心进行活化，同时诱导更缺电子的 Co 中心，稳定多种 *CO 吸附状态以进行深度氢化。同时，咪唑阳离子重组界面氢键网络，加速水解离和质子供应，并通过电子中继效应促进电荷转移到反应中间体。这些协同效应抑制了竞争性 CO 途径，并在高电流密度下选择性地引导 CO2 电还原至甲醇。这种分子-离子耦合的有效性在一系列咪唑阳离子上得到了进一步验证，证明了这种微环境工程方法的普遍性</w:t>
      </w:r>
    </w:p>
    <w:p>
      <w:pPr>
        <w:spacing w:before="0" w:after="200" w:lineRule="auto" w:line="276"/>
      </w:pPr>
      <w:r>
        <w:rPr>
          <w:b/>
        </w:rPr>
        <w:t xml:space="preserve">Abstract (EN): </w:t>
      </w:r>
      <w:r>
        <w:t>Electrochemical conversion of CO2 to methanol offers compelling route for sustainable carbon utilization. Although cobalt phthalocyanine (CoPc) is recognized as promising catalyst for this reaction, achieving high methanol selectivity at high current density remains a critical challenge, due to insufficient stabilization of *CO intermediate and sluggish hydrogenation kinetics. Here we report a molecular-ionic hybrid catalyst constructed by integrating amino-functionalized CoPc with imidazolium-based ionic liquid (IL) on carbon nanotubes (CoPc-NH2 + IL/CNT). The hybrid catalyst achieves a methanol Faradaic efficiency of 75.0% with a partial current density of 300 mA cm–2. This outstanding performance originates from the cooperative interplay between CoPc-NH2 and imidazolium cations. The imidazolium serves as a CO2 adsorption reservoir that enriches and delivers CO2 to Co centers for activation, while simultaneously inducing a more electron-deficient Co center that stabilizes diverse *CO adsorption states for deep hydrogenation. In parallel, imidazolium cations reorganize interfacial hydrogen-bond networks, accelerate water dissociation and proton supply, and facilitate charge transfer to reaction intermediates through an electronic relay effect. These synergistic effects suppress the competing CO pathway and selectively steer CO2 electroreduction toward methanol at high current densities. The effectiveness of this molecular-ionic coupling is further validated across a range of imidazolium cations, demonstrating the generality of this microenvironment-engineering strategy.</w:t>
      </w:r>
    </w:p>
    <w:p>
      <w:pPr>
        <w:spacing w:before="120" w:after="120"/>
      </w:pPr>
      <w:r>
        <w:rPr>
          <w:sz w:val="18"/>
        </w:rPr>
        <w:t>——————————————————————————————————————————————————————————————————————</w:t>
      </w:r>
    </w:p>
    <w:p>
      <w:pPr>
        <w:spacing w:before="160" w:after="40" w:line="240" w:lineRule="auto"/>
      </w:pPr>
      <w:r>
        <w:rPr>
          <w:b/>
        </w:rPr>
        <w:t xml:space="preserve">[42] </w:t>
      </w:r>
      <w:hyperlink r:id="rId485">
        <w:r>
          <w:rPr>
            <w:color w:val="1155CC"/>
            <w:u w:val="single"/>
          </w:rPr>
          <w:t>功能碳定向合成具有调整结构的催化高熵合金</w:t>
        </w:r>
      </w:hyperlink>
    </w:p>
    <w:p>
      <w:pPr>
        <w:spacing w:before="0" w:after="80"/>
      </w:pPr>
      <w:r>
        <w:rPr>
          <w:i/>
          <w:sz w:val="20"/>
        </w:rPr>
        <w:t>EN: Functional Carbon-Directed Synthesis of High-Entropy Alloys with Tuned Structure for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486">
        <w:r>
          <w:rPr>
            <w:color w:val="1155CC"/>
            <w:u w:val="single"/>
          </w:rPr>
          <w:t>10.1021/jacs.6c09541</w:t>
        </w:r>
      </w:hyperlink>
    </w:p>
    <w:p>
      <w:pPr>
        <w:spacing w:before="0" w:after="120"/>
      </w:pPr>
      <w:r>
        <w:rPr>
          <w:b/>
        </w:rPr>
        <w:t xml:space="preserve">Notes: </w:t>
      </w:r>
      <w:r>
        <w:t>abstract_source=crossref</w:t>
      </w:r>
    </w:p>
    <w:p>
      <w:pPr>
        <w:spacing w:before="0" w:after="80" w:lineRule="auto" w:line="276"/>
      </w:pPr>
      <w:r>
        <w:rPr>
          <w:b/>
        </w:rPr>
        <w:t xml:space="preserve">摘要（ZH）: </w:t>
      </w:r>
      <w:r>
        <w:t>摘要 具有定制元素的纳米高熵合金（nHEA）的合成受到金属元素固有的不混溶性的严重限制，导致相分离。目前通过高温处理或液态金属制造 nHEA 的方法通常会受到元素选择或粒度控制的影响。在此，我们报告了一种碳导向方法，该方法通过直接调节混合焓来克服这些限制。我们建立了混合焓和电荷转移之间的线性相关性，为规避元素不混溶性提供了机械途径。具体来说，氢取代石墨二炔（HsGDY）以其独特的sp1-sp2共杂化为特征，充当电子再分配器与金属原子交换电子，从而驱动混合焓趋向于零以形成nHEA。这使得 HsGDY 在介导界面相互作用方面优于传统的 sp2 碳，以调节粒径的 nHEA 的生长。这种方法是通用的，通过在 423 K 的相对低温下精确合成超小尺寸（~3 nm）的 5-15 元素 nHEA 得到验证。所得的 nHEA 对析氢反应 (HER) 表现出卓越的催化活性和稳定性，超越了最先进的基准。这种碳定向合成范式为高熵合金的催化及其他应用开辟了一条新途径。</w:t>
      </w:r>
    </w:p>
    <w:p>
      <w:pPr>
        <w:spacing w:before="0" w:after="200" w:lineRule="auto" w:line="276"/>
      </w:pPr>
      <w:r>
        <w:rPr>
          <w:b/>
        </w:rPr>
        <w:t xml:space="preserve">Abstract (EN): </w:t>
      </w:r>
      <w:r>
        <w:t>The synthesis of nanoscale high-entropy alloys (nHEAs) with customized elements is severely constrained by the intrinsic immiscibility of metal elements, leading to phase separation. Current methods for making nHEAs via high-temperature treatment or liquid metals often suffer from element selection or particle size control. Herein, we report a carbon-directed methodology that overcomes these limitations by directly modulating the mixing enthalpy. We establish a linear correlation between mixing enthalpy and charge transfer, providing a mechanistic pathway to circumvent element immiscibility. Specifically, hydrogen-substituted graphdiyne (HsGDY), characterized by its unique sp1–sp2 cohybridization, acts as an electron redistributor to exchange electrons with metal atoms, thereby driving the mixing enthalpy toward zero to form nHEAs. This enables HsGDY to outperform conventional sp2 carbons in mediating interface interactions for the growth of nHEAs with tuned particle sizes. This approach is universal, validated by the precise synthesis of 5–15-element nHEAs with ultrasmall size (∼3 nm) at a relatively low temperature of 423 K. The resulting nHEAs exhibit exceptional catalytic activity and stability for the hydrogen evolution reaction (HER), surpassing state-of-the-art benchmarks. This carbon-directed synthesis paradigm paves a new way to high-entropy alloys for catalysis and beyond.</w:t>
      </w:r>
    </w:p>
    <w:p>
      <w:pPr>
        <w:spacing w:before="120" w:after="120"/>
      </w:pPr>
      <w:r>
        <w:rPr>
          <w:sz w:val="18"/>
        </w:rPr>
        <w:t>——————————————————————————————————————————————————————————————————————</w:t>
      </w:r>
    </w:p>
    <w:p>
      <w:pPr>
        <w:spacing w:before="160" w:after="40" w:line="240" w:lineRule="auto"/>
      </w:pPr>
      <w:r>
        <w:rPr>
          <w:b/>
        </w:rPr>
        <w:t xml:space="preserve">[43] </w:t>
      </w:r>
      <w:hyperlink r:id="rId487">
        <w:r>
          <w:rPr>
            <w:color w:val="1155CC"/>
            <w:u w:val="single"/>
          </w:rPr>
          <w:t>可逆固体氧化物电池质子传导电解质的最新进展和未来展望</w:t>
        </w:r>
      </w:hyperlink>
    </w:p>
    <w:p>
      <w:pPr>
        <w:spacing w:before="0" w:after="80"/>
      </w:pPr>
      <w:r>
        <w:rPr>
          <w:i/>
          <w:sz w:val="20"/>
        </w:rPr>
        <w:t>EN: Recent Advances and Future Perspectives of Proton-Conducting Electrolytes for Reversible Solid Oxide Cells</w:t>
      </w:r>
    </w:p>
    <w:p>
      <w:pPr>
        <w:spacing w:before="0" w:after="120"/>
      </w:pPr>
      <w:r>
        <w:rPr>
          <w:b/>
        </w:rPr>
        <w:t xml:space="preserve">Source: </w:t>
      </w:r>
      <w:r>
        <w:t>Chemical Reviews: Latest Articles (ACS Publications)</w:t>
      </w:r>
      <w:r>
        <w:t xml:space="preserve">    </w:t>
      </w:r>
      <w:r>
        <w:rPr>
          <w:b/>
        </w:rPr>
        <w:t xml:space="preserve">Pub date: </w:t>
      </w:r>
      <w:r>
        <w:t>2026-08-20 00:00:00+00:00</w:t>
      </w:r>
      <w:r>
        <w:t xml:space="preserve">    </w:t>
      </w:r>
      <w:r>
        <w:rPr>
          <w:b/>
        </w:rPr>
        <w:t xml:space="preserve">DOI: </w:t>
      </w:r>
      <w:hyperlink r:id="rId488">
        <w:r>
          <w:rPr>
            <w:color w:val="1155CC"/>
            <w:u w:val="single"/>
          </w:rPr>
          <w:t>10.1021/acs.chemrev.5c00529</w:t>
        </w:r>
      </w:hyperlink>
    </w:p>
    <w:p>
      <w:pPr>
        <w:spacing w:before="0" w:after="120"/>
      </w:pPr>
      <w:r>
        <w:rPr>
          <w:b/>
        </w:rPr>
        <w:t xml:space="preserve">Notes: </w:t>
      </w:r>
      <w:r>
        <w:t>abstract_source=crossref</w:t>
      </w:r>
    </w:p>
    <w:p>
      <w:pPr>
        <w:spacing w:before="0" w:after="80" w:lineRule="auto" w:line="276"/>
      </w:pPr>
      <w:r>
        <w:rPr>
          <w:b/>
        </w:rPr>
        <w:t xml:space="preserve">摘要（ZH）: </w:t>
      </w:r>
      <w:r>
        <w:t>摘要 质子传导可逆固体氧化物电池（P-RSOC）正在成为电力和化学燃料（包括氢气和合成气）之间高效灵活转换的变革平台。其中温运行 (400–600 °C) 提供了高能效、快速反应动力学以及与可再生电力和工业废热的强大兼容性的引人注目的组合，使 P-RSOC 成为碳中和能源未来的一项有前途的技术。这些设备的核心是质子传导电解质，它控制着质子传输、化学稳定性、界面相容性和长期耐用性。尽管电解质开发取得了显着进展，但理解和控制质子传输、化学稳定性和电极-电解质相互作用方面的基本挑战仍然限制了实际部署。本综述对 P-RSOC 质子传导电解质的现状进行了全面而批判性的评估，重点是质子传输机制、成分-结构-性能关系、稳定性限制和界面相容性。我们研究了基于钙钛矿和新兴替代电解质系列的进展，同时强调了克服持续局限性的关键策略，包括异价掺杂、界面工程、微结构设计和先进制造。新兴的操作表征和计算方法被进一步讨论为揭示动态传输的强大工具</w:t>
      </w:r>
    </w:p>
    <w:p>
      <w:pPr>
        <w:spacing w:before="0" w:after="200" w:lineRule="auto" w:line="276"/>
      </w:pPr>
      <w:r>
        <w:rPr>
          <w:b/>
        </w:rPr>
        <w:t xml:space="preserve">Abstract (EN): </w:t>
      </w:r>
      <w:r>
        <w:t>Proton-conducting reversible solid oxide cells (P-RSOCs) are emerging as a transformative platform for efficient and flexible conversion between electricity and chemical fuels, including hydrogen and syngas. Their intermediate-temperature operation (400–600 °C) offers a compelling combination of high energy efficiency, rapid reaction kinetics, and strong compatibility with renewable electricity and industrial waste heat, positioning P-RSOCs as a promising technology for a carbon-neutral energy future. At the heart of these devices lies the proton-conducting electrolyte, which governs proton transport, chemical stability, interfacial compatibility, and long-term durability. Despite remarkable advances in electrolyte development, fundamental challenges in understanding and controlling proton transport, chemical stability, and electrode-electrolyte interactions continue to constrain practical deployment. This review presents a comprehensive and critical assessment of the current state of proton-conducting electrolytes for P-RSOCs, with emphasis on proton transport mechanisms, composition–structure–property relationships, stability limitations, and interfacial compatibility. We examine advances in perovskite-based and emerging alternative electrolyte families, while highlighting key strategies─including aliovalent doping, interfacial engineering, microstructure design, and advanced fabrication─for overcoming persistent limitations. Emerging operando characterization and computational approaches are further discussed as powerful tools for uncovering dynamic transport and degradation mechanisms and accelerating materials discovery. By integrating fundamental insights with materials-design strategies, this review identifies critical knowledge gaps and opportunities to guide the development of robust, high-performance electrolytes. Ultimately, we envision that such advances will help unlock the full potential of P-RSOCs as a versatile platform for sustainable energy conversion, storage, and renewable-fuel production.</w:t>
      </w:r>
    </w:p>
    <w:p>
      <w:pPr>
        <w:spacing w:before="120" w:after="120"/>
      </w:pPr>
      <w:r>
        <w:rPr>
          <w:sz w:val="18"/>
        </w:rPr>
        <w:t>——————————————————————————————————————————————————————————————————————</w:t>
      </w:r>
    </w:p>
    <w:p>
      <w:pPr>
        <w:spacing w:before="160" w:after="40" w:line="240" w:lineRule="auto"/>
      </w:pPr>
      <w:r>
        <w:rPr>
          <w:b/>
        </w:rPr>
        <w:t xml:space="preserve">[44] </w:t>
      </w:r>
      <w:hyperlink r:id="rId489">
        <w:r>
          <w:rPr>
            <w:color w:val="1155CC"/>
            <w:u w:val="single"/>
          </w:rPr>
          <w:t>纳米气泡自由基驱动的 N2 加氢用于可持续氨生产：温和条件下的哈伯-博世替代方案</w:t>
        </w:r>
      </w:hyperlink>
    </w:p>
    <w:p>
      <w:pPr>
        <w:spacing w:before="0" w:after="80"/>
      </w:pPr>
      <w:r>
        <w:rPr>
          <w:i/>
          <w:sz w:val="20"/>
        </w:rPr>
        <w:t>EN: Nanobubble Radical-Driven N2 Hydrogenation for Sustainable Ammonia Production: A Haber-Bosch Alternative under Mild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490">
        <w:r>
          <w:rPr>
            <w:color w:val="1155CC"/>
            <w:u w:val="single"/>
          </w:rPr>
          <w:t>10.1021/jacs.6c06081</w:t>
        </w:r>
      </w:hyperlink>
    </w:p>
    <w:p>
      <w:pPr>
        <w:spacing w:before="0" w:after="120"/>
      </w:pPr>
      <w:r>
        <w:rPr>
          <w:b/>
        </w:rPr>
        <w:t xml:space="preserve">Notes: </w:t>
      </w:r>
      <w:r>
        <w:t>abstract_source=crossref</w:t>
      </w:r>
    </w:p>
    <w:p>
      <w:pPr>
        <w:spacing w:before="0" w:after="80" w:lineRule="auto" w:line="276"/>
      </w:pPr>
      <w:r>
        <w:rPr>
          <w:b/>
        </w:rPr>
        <w:t xml:space="preserve">摘要（ZH）: </w:t>
      </w:r>
      <w:r>
        <w:t>摘要 氨是全球农业和前景广阔的可再生能源储存的基石，但通过传统哈伯-博世工艺生产的氨占全球能源消耗的近 2%，这凸显了对可持续替代品的迫切需求。界面化学的最新进展，例如液滴辅助反应，已在温和条件下的有限环境中表现出独特的反应性。然而，许多这些方法依赖于羟基自由基，并且对无氧富氢产物（如氨）表现出有限的选择性。在这里，我们报告了一种无催化剂固氮策略，该策略在环境温度和压力下使用纳米气泡驱动的自由基化学实现了高氨选择性（∼60%）。通过利用空化解耦的 N2/H2 纳米气泡在水中塌陷，我们的系统能够实现自发固氮，通过 30 分钟的纳米气泡生成和随后的 24 小时的静置，主要由氢自由基驱动，以让人想起受限内爆的机制实现优化的氨产量~0.24 mg·L−1。这种塌陷会产生局部瞬时极端温度和压力，从而促进活性氢自由基的形成。这些自由基的高化学势（∼2.3 eV）直接提供N−N键活化所需的能量，无需催化剂和外部能量输入。除了提供可扩展且节能的绿色氨合成途径之外，这项研究还提供了对益生元固氮途径的机制见解。这</w:t>
      </w:r>
    </w:p>
    <w:p>
      <w:pPr>
        <w:spacing w:before="0" w:after="200" w:lineRule="auto" w:line="276"/>
      </w:pPr>
      <w:r>
        <w:rPr>
          <w:b/>
        </w:rPr>
        <w:t xml:space="preserve">Abstract (EN): </w:t>
      </w:r>
      <w:r>
        <w:t>Ammonia is a cornerstone for global agriculture and promising renewable energy storage, yet its production through the conventional Haber-Bosch process accounts for nearly 2% of worldwide energy consumption, underscoring the urgent need for sustainable alternatives. Recent advances in interfacial chemistry, such as droplet-assisted reactions, have demonstrated unique reactivity in confined environments under mild conditions. However, many of these approaches rely on hydroxyl radicals and exhibit limited selectivity toward oxygen-free hydrogen-rich products like ammonia. Here, we report a catalyst-free nitrogen fixation strategy that achieves high ammonia selectivity (∼60%) using nanobubble-driven radical chemistry at ambient temperature and pressure. By harnessing the cavitation-decoupled N2/H2 nanobubbles collapsing in water, our system enables spontaneous nitrogen fixation with an optimized ammonia yield of ∼0.24 mg·L−1 achieved through 30 min nanobubble generation and subsequent 24 h standing, driven primarily by hydrogen radicals in a mechanism reminiscent of confined implosion. This collapse generates localized transient extremes of temperature and pressure, which promotes the formation of reactive hydrogen radicals. The high chemical potential of these radicals (∼2.3 eV) directly supplies the energy required for N≡N bond activation, eliminating the need for catalysts and external energy input. Beyond offering a scalable and energy-efficient route to green ammonia synthesis, this study provides mechanistic insight into prebiotic nitrogen-fixation pathways. The approach aligns with the global transition toward decentralized, low-carbon chemical production and contributes to a sustainable future for both energy and agriculture.</w:t>
      </w:r>
    </w:p>
    <w:p>
      <w:pPr>
        <w:spacing w:before="120" w:after="120"/>
      </w:pPr>
      <w:r>
        <w:rPr>
          <w:sz w:val="18"/>
        </w:rPr>
        <w:t>——————————————————————————————————————————————————————————————————————</w:t>
      </w:r>
    </w:p>
    <w:p>
      <w:pPr>
        <w:spacing w:before="160" w:after="40" w:line="240" w:lineRule="auto"/>
      </w:pPr>
      <w:r>
        <w:rPr>
          <w:b/>
        </w:rPr>
        <w:t xml:space="preserve">[45] </w:t>
      </w:r>
      <w:hyperlink r:id="rId104">
        <w:r>
          <w:rPr>
            <w:color w:val="1155CC"/>
            <w:u w:val="single"/>
          </w:rPr>
          <w:t>用于无网水电解的室内 NFA 有机光伏</w:t>
        </w:r>
      </w:hyperlink>
    </w:p>
    <w:p>
      <w:pPr>
        <w:spacing w:before="0" w:after="80"/>
      </w:pPr>
      <w:r>
        <w:rPr>
          <w:i/>
          <w:sz w:val="20"/>
        </w:rPr>
        <w:t>EN: Indoor NFA‐Organic Photovoltaic for Grid‐Free Water Electrolysis</w:t>
      </w:r>
    </w:p>
    <w:p>
      <w:pPr>
        <w:spacing w:before="0" w:after="120"/>
      </w:pPr>
      <w:r>
        <w:rPr>
          <w:b/>
        </w:rPr>
        <w:t xml:space="preserve">Source: </w:t>
      </w:r>
      <w:r>
        <w:t>Wiley: Advanced Energy Materials: Table of Contents</w:t>
      </w:r>
      <w:r>
        <w:t xml:space="preserve">    </w:t>
      </w:r>
      <w:r>
        <w:rPr>
          <w:b/>
        </w:rPr>
        <w:t xml:space="preserve">Pub date: </w:t>
      </w:r>
      <w:r>
        <w:t>2026-08-20 06:35:48+00:00</w:t>
      </w:r>
      <w:r>
        <w:t xml:space="preserve">    </w:t>
      </w:r>
      <w:r>
        <w:rPr>
          <w:b/>
        </w:rPr>
        <w:t xml:space="preserve">DOI: </w:t>
      </w:r>
      <w:hyperlink r:id="rId105">
        <w:r>
          <w:rPr>
            <w:color w:val="1155CC"/>
            <w:u w:val="single"/>
          </w:rPr>
          <w:t>10.1002/aenm.71363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通过水电解进行离网制氢正在获得分散能源的青睐；然而，对室外太阳能的依赖限制了室内操作。室内有机光伏（iOPV）在人工照明下表现出高效率，并为此类应用提供了有前途的电源。我们通过将优化的 OPV 设备与高性能析氧反应 (OER) 催化剂集成，展示了基于 PM6:Y6 的光伏驱动水电解 (iOPV-WE) 系统。 iOPV 器件采用 PDINO 作为电子传输层进行设计，其中厚度优化（~6-8 nm）显着改善了电荷提取并减少了界面复合。结果，基于 PM6:Y6 的 iOPV 在卤素照明（1000 勒克斯）下实现了 12.2% 的功率转换效率，同时在 30 cm 的距离内保持稳定运行。</w:t>
      </w:r>
      <w:r>
        <w:rPr>
          <w:vertAlign w:val="subscript"/>
        </w:rPr>
        <w:t>2</w:t>
      </w:r>
      <w:r>
        <w:t>大面积装置。为了有效电解，掺杂 Co 和 Fe 的 Ni(OH)</w:t>
      </w:r>
      <w:r>
        <w:rPr>
          <w:vertAlign w:val="subscript"/>
        </w:rPr>
        <w:t>2</w:t>
      </w:r>
      <w:r>
        <w:t>开发了 CuO 纳米线负载的纳米片催化剂 (NCF-CuO)，在 100 mA cm 电流下表现出 291 mV 的低过电势</w:t>
      </w:r>
      <w:r>
        <w:t xml:space="preserve"> </w:t>
      </w:r>
      <w:r>
        <w:t>-</w:t>
      </w:r>
      <w:r>
        <w:rPr>
          <w:vertAlign w:val="subscript"/>
        </w:rPr>
        <w:t>2</w:t>
      </w:r>
      <w:r>
        <w:t>和优良的稳定性。通过将优化的 iOPV 与 NCF-CuO 电极耦合，集成系统在卤素照明（1000 勒克斯）下提供~1.5 V 和 35 mA 的稳定输出，实现连续水电解，O 的法拉第效率为~99.2%</w:t>
      </w:r>
      <w:r>
        <w:rPr>
          <w:vertAlign w:val="subscript"/>
        </w:rPr>
        <w:t>2</w:t>
      </w:r>
      <w:r>
        <w:t>。这些结果表明</w:t>
      </w:r>
    </w:p>
    <w:p>
      <w:pPr>
        <w:spacing w:before="0" w:after="200" w:lineRule="auto" w:line="276"/>
      </w:pPr>
      <w:r>
        <w:rPr>
          <w:b/>
        </w:rPr>
        <w:t xml:space="preserve">Abstract (EN): </w:t>
      </w:r>
      <w:r>
        <w:t>Off‐grid hydrogen production via water electrolysis is gaining traction for decentralized energy; however, outdoor solar dependence limits indoor operation. Indoor organic photovoltaics (iOPVs) exhibit high efficiency under artificial illumination and offer a promising power source for such applications. We demonstrate a PM6:Y6‐ based photovoltaic–driven water electrolysis (iOPV–WE) system by integrating optimized OPV devices with a high‐performance oxygen evolution reaction (OER) catalyst. The iOPV devices were engineered using PDINO as the electron transport layer, where thickness optimization (∼6–8 nm) significantly improved charge extraction and reduced interfacial recombination. As a result, the PM6:Y6‐based iOPVs achieved power conversion efficiencies of 12.2% under halogen illumination (1000 lux), while maintaining stable operation in a 30 cm</w:t>
      </w:r>
      <w:r>
        <w:rPr>
          <w:vertAlign w:val="subscript"/>
        </w:rPr>
        <w:t>2</w:t>
      </w:r>
      <w:r>
        <w:t>large‐area device. For efficient electrolysis, a Co‐ and Fe‐doped Ni(OH)</w:t>
      </w:r>
      <w:r>
        <w:rPr>
          <w:vertAlign w:val="subscript"/>
        </w:rPr>
        <w:t>2</w:t>
      </w:r>
      <w:r>
        <w:t>nanosheet catalyst supported on CuO nanowires (NCF–CuO) was developed, exhibiting a low overpotential of 291 mV at 100 mA cm</w:t>
      </w:r>
      <w:r>
        <w:t xml:space="preserve"> </w:t>
      </w:r>
      <w:r>
        <w:t>−</w:t>
      </w:r>
      <w:r>
        <w:rPr>
          <w:vertAlign w:val="subscript"/>
        </w:rPr>
        <w:t>2</w:t>
      </w:r>
      <w:r>
        <w:t>and excellent stability. By coupling the optimized iOPV with the NCF–CuO electrode, the integrated system delivered a stable output of ∼1.5 V and 35 mA under halogen illumination (1000 lux), enabling continuous water electrolysis with a Faradaic efficiency of ∼99.2% for O</w:t>
      </w:r>
      <w:r>
        <w:rPr>
          <w:vertAlign w:val="subscript"/>
        </w:rPr>
        <w:t>2</w:t>
      </w:r>
      <w:r>
        <w:t>. These results demonstrate the feasibility of indoor solar‐to‐hydrogen conversion using organic photovoltaics.</w:t>
      </w:r>
    </w:p>
    <w:p>
      <w:pPr>
        <w:spacing w:before="120" w:after="120"/>
      </w:pPr>
      <w:r>
        <w:rPr>
          <w:sz w:val="18"/>
        </w:rPr>
        <w:t>——————————————————————————————————————————————————————————————————————</w:t>
      </w:r>
    </w:p>
    <w:p>
      <w:pPr>
        <w:spacing w:before="160" w:after="40" w:line="240" w:lineRule="auto"/>
      </w:pPr>
      <w:r>
        <w:rPr>
          <w:b/>
        </w:rPr>
        <w:t xml:space="preserve">[46] </w:t>
      </w:r>
      <w:hyperlink r:id="rId491">
        <w:r>
          <w:rPr>
            <w:color w:val="1155CC"/>
            <w:u w:val="single"/>
          </w:rPr>
          <w:t>层间水活化补充层状双氢氧化物中的双析氧反应通道，用于高效海水电解</w:t>
        </w:r>
      </w:hyperlink>
    </w:p>
    <w:p>
      <w:pPr>
        <w:spacing w:before="0" w:after="80"/>
      </w:pPr>
      <w:r>
        <w:rPr>
          <w:i/>
          <w:sz w:val="20"/>
        </w:rPr>
        <w:t>EN: Interlayer Water Activation Supplemented Dual Oxygen Evolution Reaction Channels in Layered Double Hydroxides for Efficient Seawater Electrolysis</w:t>
      </w:r>
    </w:p>
    <w:p>
      <w:pPr>
        <w:spacing w:before="0" w:after="120"/>
      </w:pPr>
      <w:r>
        <w:rPr>
          <w:b/>
        </w:rPr>
        <w:t xml:space="preserve">Source: </w:t>
      </w:r>
      <w:r>
        <w:t>Wiley: Advanced Materials: Table of Contents</w:t>
      </w:r>
      <w:r>
        <w:t xml:space="preserve">    </w:t>
      </w:r>
      <w:r>
        <w:rPr>
          <w:b/>
        </w:rPr>
        <w:t xml:space="preserve">Pub date: </w:t>
      </w:r>
      <w:r>
        <w:t>2026-08-20 06:44:35+00:00</w:t>
      </w:r>
      <w:r>
        <w:t xml:space="preserve">    </w:t>
      </w:r>
      <w:r>
        <w:rPr>
          <w:b/>
        </w:rPr>
        <w:t xml:space="preserve">DOI: </w:t>
      </w:r>
      <w:hyperlink r:id="rId492">
        <w:r>
          <w:rPr>
            <w:color w:val="1155CC"/>
            <w:u w:val="single"/>
          </w:rPr>
          <w:t>10.1002/adma.74631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可再生电力驱动的直接海水电解为可持续生产绿色氢气提供了一条有前途的途径，但氯化物引起的腐蚀和析氧反应（OER）动力学缓慢的挑战仍然存在于电催化剂中。这里，硫改性的CoFe层状双氢氧化物催化剂（S-CF·</w:t>
      </w:r>
      <w:r>
        <w:t xml:space="preserve"> </w:t>
      </w:r>
      <w:r>
        <w:t>n</w:t>
      </w:r>
      <w:r>
        <w:t xml:space="preserve"> </w:t>
      </w:r>
      <w:r>
        <w:t>H</w:t>
      </w:r>
      <w:r>
        <w:rPr>
          <w:vertAlign w:val="subscript"/>
        </w:rPr>
        <w:t>2</w:t>
      </w:r>
      <w:r>
        <w:t>O) 的开发是为了解决上述活性和稳定性问题，其中发生硫蚀刻辅助的靶向重建，并在表面和层间通道中产生高密度的可访问活性位点；同时，硫氧化产生的硫酸根离子吸附在催化剂上并产生静电Cl</w:t>
      </w:r>
      <w:r>
        <w:t xml:space="preserve"> </w:t>
      </w:r>
      <w:r>
        <w:t>-</w:t>
      </w:r>
      <w:r>
        <w:t>‐排斥屏障。 S-CF·以层间空间作为补充反应区域和静电保护硫酸盐层为特色</w:t>
      </w:r>
      <w:r>
        <w:t xml:space="preserve"> </w:t>
      </w:r>
      <w:r>
        <w:t>n</w:t>
      </w:r>
      <w:r>
        <w:t xml:space="preserve"> </w:t>
      </w:r>
      <w:r>
        <w:t>H</w:t>
      </w:r>
      <w:r>
        <w:rPr>
          <w:vertAlign w:val="subscript"/>
        </w:rPr>
        <w:t>2</w:t>
      </w:r>
      <w:r>
        <w:t>O 催化剂实现了卓越的 OER 活性（1 A cm 下的过电势为 370 mV</w:t>
      </w:r>
      <w:r>
        <w:t xml:space="preserve"> </w:t>
      </w:r>
      <w:r>
        <w:t>−2</w:t>
      </w:r>
      <w:r>
        <w:t xml:space="preserve"> </w:t>
      </w:r>
      <w:r>
        <w:t>）以及在碱性海水中超过 12000 小时的前所未有的耐用性； S-CF·组装海水电解槽</w:t>
      </w:r>
      <w:r>
        <w:t xml:space="preserve"> </w:t>
      </w:r>
      <w:r>
        <w:t>n</w:t>
      </w:r>
      <w:r>
        <w:t xml:space="preserve"> </w:t>
      </w:r>
      <w:r>
        <w:t>H</w:t>
      </w:r>
      <w:r>
        <w:rPr>
          <w:vertAlign w:val="subscript"/>
        </w:rPr>
        <w:t>2</w:t>
      </w:r>
      <w:r>
        <w:t>O 还展示了在 600 mA cm 电流下稳定运行 10000 小时</w:t>
      </w:r>
      <w:r>
        <w:t xml:space="preserve"> </w:t>
      </w:r>
      <w:r>
        <w:t>−2</w:t>
      </w:r>
      <w:r>
        <w:t xml:space="preserve"> </w:t>
      </w:r>
      <w:r>
        <w:t>。原位光谱和同位素示踪分析揭示了独特的氧化物路径</w:t>
      </w:r>
    </w:p>
    <w:p>
      <w:pPr>
        <w:spacing w:before="0" w:after="200" w:lineRule="auto" w:line="276"/>
      </w:pPr>
      <w:r>
        <w:rPr>
          <w:b/>
        </w:rPr>
        <w:t xml:space="preserve">Abstract (EN): </w:t>
      </w:r>
      <w:r>
        <w:t>Direct seawater electrolysis powered by renewable electricity offers a promising avenue for sustainable production of green hydrogen, yet the challenges of chloride‐induced corrosion and sluggish kinetics of oxygen evolution reaction (OER) persist with electrocatalysts. Here, a sulfur‐modified CoFe‐layered double hydroxide catalyst (S‐CF·</w:t>
      </w:r>
      <w:r>
        <w:t xml:space="preserve"> </w:t>
      </w:r>
      <w:r>
        <w:t>n</w:t>
      </w:r>
      <w:r>
        <w:t xml:space="preserve"> </w:t>
      </w:r>
      <w:r>
        <w:t>H</w:t>
      </w:r>
      <w:r>
        <w:rPr>
          <w:vertAlign w:val="subscript"/>
        </w:rPr>
        <w:t>2</w:t>
      </w:r>
      <w:r>
        <w:t>O) is developed to address the above activity and stability issues, in which sulfur etching‐assisted targeted reconstruction occurs and yields high‐density accessible active sites both on the surface and in the interlayer galleries; meanwhile, sulfate ions derived from sulfur oxidation adsorb on catalyst and create an electrostatic Cl</w:t>
      </w:r>
      <w:r>
        <w:t xml:space="preserve"> </w:t>
      </w:r>
      <w:r>
        <w:t>−</w:t>
      </w:r>
      <w:r>
        <w:t>‐repelling barrier. Featuring interlayer space as a supplementary reaction region and an electrostatic‐protecting sulfate layer, S‐CF·</w:t>
      </w:r>
      <w:r>
        <w:t xml:space="preserve"> </w:t>
      </w:r>
      <w:r>
        <w:t>n</w:t>
      </w:r>
      <w:r>
        <w:t xml:space="preserve"> </w:t>
      </w:r>
      <w:r>
        <w:t>H</w:t>
      </w:r>
      <w:r>
        <w:rPr>
          <w:vertAlign w:val="subscript"/>
        </w:rPr>
        <w:t>2</w:t>
      </w:r>
      <w:r>
        <w:t>O catalyst achieves exceptional OER activity (with an overpotential of 370 mV at 1 A cm</w:t>
      </w:r>
      <w:r>
        <w:t xml:space="preserve"> </w:t>
      </w:r>
      <w:r>
        <w:t>−2</w:t>
      </w:r>
      <w:r>
        <w:t xml:space="preserve"> </w:t>
      </w:r>
      <w:r>
        <w:t>) and unprecedented durability exceeding 12 000 h in alkaline seawater; the seawater electrolyzer assembled from S‐CF·</w:t>
      </w:r>
      <w:r>
        <w:t xml:space="preserve"> </w:t>
      </w:r>
      <w:r>
        <w:t>n</w:t>
      </w:r>
      <w:r>
        <w:t xml:space="preserve"> </w:t>
      </w:r>
      <w:r>
        <w:t>H</w:t>
      </w:r>
      <w:r>
        <w:rPr>
          <w:vertAlign w:val="subscript"/>
        </w:rPr>
        <w:t>2</w:t>
      </w:r>
      <w:r>
        <w:t>O also demonstrates stable operation for 10 000 h at 600 mA cm</w:t>
      </w:r>
      <w:r>
        <w:t xml:space="preserve"> </w:t>
      </w:r>
      <w:r>
        <w:t>−2</w:t>
      </w:r>
      <w:r>
        <w:t xml:space="preserve"> </w:t>
      </w:r>
      <w:r>
        <w:t>. In situ spectroscopic and isotope tracing analyses reveal a distinct oxide pathway mechanism with the interlayer water, in contrast to the adsorbate evolution mechanism occurring at the catalyst outer surface. This work conceptually reveals the robustness of interlayer chemistry for the design of high‐performance LDH‐based catalysts.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493">
        <w:r>
          <w:rPr>
            <w:color w:val="1155CC"/>
            <w:u w:val="single"/>
          </w:rPr>
          <w:t>金属Ag-BiAg异质结构枝晶加速空气等离子体衍生氨基酸电合成的碳氮耦合</w:t>
        </w:r>
      </w:hyperlink>
    </w:p>
    <w:p>
      <w:pPr>
        <w:spacing w:before="0" w:after="80"/>
      </w:pPr>
      <w:r>
        <w:rPr>
          <w:i/>
          <w:sz w:val="20"/>
        </w:rPr>
        <w:t>EN: Metallic Ag-BiAg Heterostructured Dendrites Accelerate Carbon–Nitrogen Coupling for Air Plasma-Derived Amino Acid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494">
        <w:r>
          <w:rPr>
            <w:color w:val="1155CC"/>
            <w:u w:val="single"/>
          </w:rPr>
          <w:t>10.1021/jacs.6c11127</w:t>
        </w:r>
      </w:hyperlink>
    </w:p>
    <w:p>
      <w:pPr>
        <w:spacing w:before="0" w:after="120"/>
      </w:pPr>
      <w:r>
        <w:rPr>
          <w:b/>
        </w:rPr>
        <w:t xml:space="preserve">Notes: </w:t>
      </w:r>
      <w:r>
        <w:t>abstract_source=crossref</w:t>
      </w:r>
    </w:p>
    <w:p>
      <w:pPr>
        <w:spacing w:before="0" w:after="80" w:lineRule="auto" w:line="276"/>
      </w:pPr>
      <w:r>
        <w:rPr>
          <w:b/>
        </w:rPr>
        <w:t xml:space="preserve">摘要（ZH）: </w:t>
      </w:r>
      <w:r>
        <w:t>摘要：由可再生电力驱动的电化学 C-N 耦合为氨基酸合成提供了一种可持续的策略，但实现高催化效率仍然具有挑战性。在此，通过简单的电沉积策略开发了金属Ag-BiAg异质结构树突电极，用于有效的氨基酸电合成。优化后的催化剂实现了高达 80.72% 的甘氨酸法拉第效率，在 -0.9 V vs RHE 下的产率为 993.3 μmol h–1 cm–2，优于之前报道的催化剂。操作光谱研究结合理论计算表明，金属Ag-BiAg异质界面协同优化关键反应中间体的电子结构和吸附行为，从而加速关键*NH2OH中间体的生成，增强乙醛酸肟的活化和氢化，并促进整体C-N耦合动力学向高选择性甘氨酸电合成发展。值得注意的是，进一步构建了与空气等离子体衍生原料集成的节能配对电合成系统，在 1.2-1.6 V 的宽电压范围内实现了高性能甘氨酸和甲酸联产，并有望在 120 小时内保持长期稳定性。这项工作通过双位点催化系统的合理界面工程，为空气等离子体到氨基酸的电合成提供了一种可持续的策略。</w:t>
      </w:r>
    </w:p>
    <w:p>
      <w:pPr>
        <w:spacing w:before="0" w:after="200" w:lineRule="auto" w:line="276"/>
      </w:pPr>
      <w:r>
        <w:rPr>
          <w:b/>
        </w:rPr>
        <w:t xml:space="preserve">Abstract (EN): </w:t>
      </w:r>
      <w:r>
        <w:t>Electrochemical C–N coupling driven by renewable electricity provides a sustainable strategy for amino acid synthesis, yet achieving high catalytic efficiency still remains challenging. Herein, a metallic Ag-BiAg heterostructured dendritic electrode is developed by a simple electrodeposition strategy for efficient amino acid electrosynthesis. The optimized catalyst achieves a high glycine Faradaic efficiency of 80.72%, accompanied by a yield rate of 993.3 μmol h–1 cm–2 at −0.9 V vs RHE, outperforming previously reported catalysts. Operando spectroscopic investigations combined with theoretical calculations reveal that the metallic Ag-BiAg heterointerface synergistically optimizes the electronic structure and adsorption behavior of key reaction intermediates, thereby accelerating the generation of the crucial *NH2OH intermediate, enhancing the activation and hydrogenation of glyoxylic acid oxime, and promoting the overall C–N coupling kinetics toward highly selective glycine electrosynthesis. Remarkably, an energy-efficient paired electrosynthesis system integrated with air plasma-derived feedstocks was further constructed, achieving high-performance glycine and formate coproduction over a broad voltage range of 1.2–1.6 V, together with promising long-term stability over 120 h. This work provides a sustainable strategy for air plasma-to-amino acid electrosynthesis through the rational interfacial engineering of dual-site catalytic systems.</w:t>
      </w:r>
    </w:p>
    <w:p>
      <w:pPr>
        <w:spacing w:before="120" w:after="120"/>
      </w:pPr>
      <w:r>
        <w:rPr>
          <w:sz w:val="18"/>
        </w:rPr>
        <w:t>——————————————————————————————————————————————————————————————————————</w:t>
      </w:r>
    </w:p>
    <w:p>
      <w:pPr>
        <w:spacing w:before="160" w:after="40" w:line="240" w:lineRule="auto"/>
      </w:pPr>
      <w:r>
        <w:rPr>
          <w:b/>
        </w:rPr>
        <w:t xml:space="preserve">[2] </w:t>
      </w:r>
      <w:hyperlink r:id="rId495">
        <w:r>
          <w:rPr>
            <w:color w:val="1155CC"/>
            <w:u w:val="single"/>
          </w:rPr>
          <w:t>深度强化学习和模型预测控制的在线神经融合，用于舒适感知的温室能源优化</w:t>
        </w:r>
      </w:hyperlink>
    </w:p>
    <w:p>
      <w:pPr>
        <w:spacing w:before="0" w:after="80"/>
      </w:pPr>
      <w:r>
        <w:rPr>
          <w:i/>
          <w:sz w:val="20"/>
        </w:rPr>
        <w:t>EN: Online neural fusion of deep reinforcement learning and model predictive control for comfort-aware greenhouse energy optimization</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496">
        <w:r>
          <w:rPr>
            <w:color w:val="1155CC"/>
            <w:u w:val="single"/>
          </w:rPr>
          <w:t>10.1016/j.apenergy.2026.128621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97">
        <w:r>
          <w:rPr>
            <w:color w:val="1155CC"/>
            <w:u w:val="single"/>
          </w:rPr>
          <w:t>公交系统脱碳公共资金考虑到技术不确定性和车辆段基础设施升级</w:t>
        </w:r>
      </w:hyperlink>
    </w:p>
    <w:p>
      <w:pPr>
        <w:spacing w:before="0" w:after="80"/>
      </w:pPr>
      <w:r>
        <w:rPr>
          <w:i/>
          <w:sz w:val="20"/>
        </w:rPr>
        <w:t>EN: Public funding for bus system decarbonization accounting for technological uncertainty and depot infrastructure upgrades</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498">
        <w:r>
          <w:rPr>
            <w:color w:val="1155CC"/>
            <w:u w:val="single"/>
          </w:rPr>
          <w:t>10.1016/j.enpol.2026.115541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99">
        <w:r>
          <w:rPr>
            <w:color w:val="1155CC"/>
            <w:u w:val="single"/>
          </w:rPr>
          <w:t>发展状态下的内嵌不公正：台湾正义转型的反思性治理</w:t>
        </w:r>
      </w:hyperlink>
    </w:p>
    <w:p>
      <w:pPr>
        <w:spacing w:before="0" w:after="80"/>
      </w:pPr>
      <w:r>
        <w:rPr>
          <w:i/>
          <w:sz w:val="20"/>
        </w:rPr>
        <w:t>EN: Embedded injustice under the developmental state: Taiwan's reflexive governance on just transition</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500">
        <w:r>
          <w:rPr>
            <w:color w:val="1155CC"/>
            <w:u w:val="single"/>
          </w:rPr>
          <w:t>10.1016/j.enpol.2026.115553</w:t>
        </w:r>
      </w:hyperlink>
    </w:p>
    <w:p>
      <w:pPr>
        <w:spacing w:before="0" w:after="120"/>
      </w:pPr>
      <w:r>
        <w:rPr>
          <w:b/>
        </w:rPr>
        <w:t xml:space="preserve">Notes: </w:t>
      </w:r>
      <w:r>
        <w:t>abstract_source=openalex</w:t>
      </w:r>
    </w:p>
    <w:p>
      <w:pPr>
        <w:spacing w:before="0" w:after="80" w:lineRule="auto" w:line="276"/>
      </w:pPr>
      <w:r>
        <w:rPr>
          <w:b/>
        </w:rPr>
        <w:t xml:space="preserve">摘要（ZH）: </w:t>
      </w:r>
      <w:r>
        <w:t>台湾刚刚将转型纳入净零治理，但实施是通过发展型国家工业化塑造的机构进行的。本研究探讨了劳工和环境运动如何促进法律发展，以及未解决的遗留问题如何塑造公正的能源转型。它将主题和理论法律分析与十个劳工和十个环境案例的有目的比较相结合，包括一个负面制度比较器和六个净零转型案例：碳费、高碳工业依赖、工人和区域支持、渔业-太阳能共置、海上风电和地热开发。历史案例表明，只有在集体行动暴露了职业、生计、污染和领土危害之后，保护措施往往才会得到加强。改革扩大了权利和行政审查，但责任仍然分散，补救措施被拖延，红绿关系制度化薄弱。类似的紧张局势在净零政策中也很明显：碳排放费设计为受监管的企业提供了调整灵活性，但没有同等的工人或区域保障措施，而可再生能源选址主要通过许可、协商和补偿来解决生计和领土要求。由于碳费是最近才征收的，因此估算确定的是结构性风险，而不是观察到的就业或区域影响。该分析将棕色经济依赖、牺牲制度以及隐性和延迟治理发展为累积危害在法律范畴内变得正常化的机制，</w:t>
      </w:r>
    </w:p>
    <w:p>
      <w:pPr>
        <w:spacing w:before="0" w:after="200" w:lineRule="auto" w:line="276"/>
      </w:pPr>
      <w:r>
        <w:rPr>
          <w:b/>
        </w:rPr>
        <w:t xml:space="preserve">Abstract (EN): </w:t>
      </w:r>
      <w:r>
        <w:t>Taiwan has incorporated just transition into net zero governance, but implementation proceeds through institutions shaped by developmental state industrialization. This study examines how labor and environmental movements contributed to legal development and how unresolved legacies shape a just energy transition. It combines thematic and doctrinal legal analysis with a purposive comparison of ten labor and ten environmental cases, including one negative institutional comparator, and six net zero transition cases: the carbon fee, high carbon industrial dependence, worker and regional support, fishery–solar co-location, offshore wind, and geothermal development. Historical cases indicate that protections often strengthened only after collective action exposed occupational, livelihood, pollution, and territorial harms. Reforms expanded rights and administrative review, yet responsibilities remained fragmented, remedies delayed, and red–green relations weakly institutionalized. Similar tensions are visible in net zero policy: carbon fee design affords regulated firms adjustment flexibility without equivalent worker or regional safeguards, while renewable energy siting addresses livelihood and territorial claims mainly through permitting, consultation, and compensation. Because the carbon fee is recent, estimates identify structural exposure rather than observed employment or regional effects. The analysis develops brown economy dependence, the sacrifice system, and hidden and delayed governance as mechanisms through which accumulated harms become normalized in legal categories, administrative routines, and development priorities. Embedded injustice reveals how accumulated harms condition net zero governance, sensitizes just transition policy to these legacies, and supports cautious comparison across sectors and developmental state contexts. Reflexive governance in Taiwan therefore requires earlier coordination and revisable decisions.</w:t>
      </w:r>
    </w:p>
    <w:p>
      <w:pPr>
        <w:spacing w:before="120" w:after="120"/>
      </w:pPr>
      <w:r>
        <w:rPr>
          <w:sz w:val="18"/>
        </w:rPr>
        <w:t>——————————————————————————————————————————————————————————————————————</w:t>
      </w:r>
    </w:p>
    <w:p>
      <w:pPr>
        <w:spacing w:before="160" w:after="40" w:line="240" w:lineRule="auto"/>
      </w:pPr>
      <w:r>
        <w:rPr>
          <w:b/>
        </w:rPr>
        <w:t xml:space="preserve">[5] </w:t>
      </w:r>
      <w:hyperlink r:id="rId501">
        <w:r>
          <w:rPr>
            <w:color w:val="1155CC"/>
            <w:u w:val="single"/>
          </w:rPr>
          <w:t>交通运输部门能源转型的财政和社会经济影响：巴斯克地区的案例</w:t>
        </w:r>
      </w:hyperlink>
    </w:p>
    <w:p>
      <w:pPr>
        <w:spacing w:before="0" w:after="80"/>
      </w:pPr>
      <w:r>
        <w:rPr>
          <w:i/>
          <w:sz w:val="20"/>
        </w:rPr>
        <w:t>EN: The fiscal and socioeconomic impact of the energy transition in the transport sector: The case of the Basque Country</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502">
        <w:r>
          <w:rPr>
            <w:color w:val="1155CC"/>
            <w:u w:val="single"/>
          </w:rPr>
          <w:t>10.1016/j.enpol.2026.115534</w:t>
        </w:r>
      </w:hyperlink>
    </w:p>
    <w:p>
      <w:pPr>
        <w:spacing w:before="0" w:after="120"/>
      </w:pPr>
      <w:r>
        <w:rPr>
          <w:b/>
        </w:rPr>
        <w:t xml:space="preserve">Notes: </w:t>
      </w:r>
      <w:r>
        <w:t>abstract_source=openalex</w:t>
      </w:r>
    </w:p>
    <w:p>
      <w:pPr>
        <w:spacing w:before="0" w:after="80" w:lineRule="auto" w:line="276"/>
      </w:pPr>
      <w:r>
        <w:rPr>
          <w:b/>
        </w:rPr>
        <w:t xml:space="preserve">摘要（ZH）: </w:t>
      </w:r>
      <w:r>
        <w:t>本文根据欧洲绿色协议的目标，分析了 2050 年气候中和经济转型所面临的财政挑战。它侧重于区域层面，并研究了巴斯克地区（欧盟财政实力最强的次国家实体之一），旨在量化交通部门脱碳对公共财政的影响。为此，它应用了DERIO，一种动态计量经济学新凯恩斯主义投入产出模型，旨在评估区域层面的情景和政策的经济影响，特别是与能源和气候变化相关的情景和政策。我们的分析表明，交通电气化增加了生产税、收入税、财富税、企业利润以及社会保障缴款的收入。然而，它减少了产品税收收入，导致公共收入总体净下降。研究结果凸显了转型期间发挥作用的复杂的跨部门传导机制，并为面对重大结构性变化时设计收入稳定的财政框架提供了可行的见解。</w:t>
      </w:r>
    </w:p>
    <w:p>
      <w:pPr>
        <w:spacing w:before="0" w:after="200" w:lineRule="auto" w:line="276"/>
      </w:pPr>
      <w:r>
        <w:rPr>
          <w:b/>
        </w:rPr>
        <w:t xml:space="preserve">Abstract (EN): </w:t>
      </w:r>
      <w:r>
        <w:t>This paper analyses the fiscal challenges of the climate-neutral economy transition by 2050 in line with the European Green Deal's goals. It focuses on the regional level and examines the Basque Country, one of the sub-state entities with the greatest fiscal power in the European Union, and aims to quantify the implications of decarbonising the transport sector for public finances. To this end, it applies DERIO, a dynamic econometric New Keynesian Input-Output model, designed to evaluate the economic effects of scenarios and policies at regional level, particularly those related to energy and climate change. Our analysis indicates that transport electrification increases revenues from taxes on production, income, wealth, and corporate profits, as well as social-security contributions. However, it reduces receipts from taxes on products and yields an overall net decline in public revenues. The results highlight the complex, cross-sectoral transmission mechanisms at play during the transition and offer actionable insights for designing revenue-stable fiscal frameworks in the face of large structural changes.</w:t>
      </w:r>
    </w:p>
    <w:p>
      <w:pPr>
        <w:spacing w:before="120" w:after="120"/>
      </w:pPr>
      <w:r>
        <w:rPr>
          <w:sz w:val="18"/>
        </w:rPr>
        <w:t>——————————————————————————————————————————————————————————————————————</w:t>
      </w:r>
    </w:p>
    <w:p>
      <w:pPr>
        <w:spacing w:before="160" w:after="40" w:line="240" w:lineRule="auto"/>
      </w:pPr>
      <w:r>
        <w:rPr>
          <w:b/>
        </w:rPr>
        <w:t xml:space="preserve">[6] </w:t>
      </w:r>
      <w:hyperlink r:id="rId343">
        <w:r>
          <w:rPr>
            <w:color w:val="1155CC"/>
            <w:u w:val="single"/>
          </w:rPr>
          <w:t>具有物理一致神经常微分方程的异构恒温控制负载的分布式灵活调度</w:t>
        </w:r>
      </w:hyperlink>
    </w:p>
    <w:p>
      <w:pPr>
        <w:spacing w:before="0" w:after="80"/>
      </w:pPr>
      <w:r>
        <w:rPr>
          <w:i/>
          <w:sz w:val="20"/>
        </w:rPr>
        <w:t>EN: Distributed flexible dispatch of heterogeneous thermostatically controlled loads with physically consistent neural ODEs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344">
        <w:r>
          <w:rPr>
            <w:color w:val="1155CC"/>
            <w:u w:val="single"/>
          </w:rPr>
          <w:t>10.1016/j.apenergy.2026.128596</w:t>
        </w:r>
      </w:hyperlink>
    </w:p>
    <w:p>
      <w:pPr>
        <w:spacing w:before="0" w:after="120"/>
      </w:pPr>
      <w:r>
        <w:rPr>
          <w:b/>
        </w:rPr>
        <w:t xml:space="preserve">Notes: </w:t>
      </w:r>
      <w:r>
        <w:t>abstract_source=openalex</w:t>
      </w:r>
    </w:p>
    <w:p>
      <w:pPr>
        <w:spacing w:before="0" w:after="80" w:lineRule="auto" w:line="276"/>
      </w:pPr>
      <w:r>
        <w:rPr>
          <w:b/>
        </w:rPr>
        <w:t xml:space="preserve">摘要（ZH）: </w:t>
      </w:r>
      <w:r>
        <w:t>恒温控制负载（TCL）是建筑物中的主要能源，为电力系统提供灵活的负载调节。 TCL 的灵活调度需要对热动力学进行建模，以测量室内温度变化，并优化功耗，为电网提供灵活性，同时满足用户的舒适度偏好。然而，当在多个建筑物之间调度 TCL 时，异构的建筑结构和舒适度偏好可能会导致热动力学和温度调节区间的模型复杂性不同，这都会使传统方法不足以甚至无法解决问题。为了应对这一挑战，这项工作首先开发了一种新颖的物理一致神经常微分方程（PC-NODE）模型来表示热动力学，集成权重学习和物理信息损失函数以确保统一的模型结构和物理一致性。然后将开发的连续模型无缝转换为离散方程约束，以表示不同时间间隔的舒适度偏好。此外，提出了一种基于异步交替方向乘子法（ADMM）的分布式优化方法，通过根据时间间隔区分建筑物间局部变量更新的频率，来协调具有异构舒适度偏好的建筑物。 12栋大楼调度案例的仿真结果表明，PC-NODE训练的单区域模型显着提高了统计精度，而异步AD</w:t>
      </w:r>
    </w:p>
    <w:p>
      <w:pPr>
        <w:spacing w:before="0" w:after="200" w:lineRule="auto" w:line="276"/>
      </w:pPr>
      <w:r>
        <w:rPr>
          <w:b/>
        </w:rPr>
        <w:t xml:space="preserve">Abstract (EN): </w:t>
      </w:r>
      <w:r>
        <w:t>Thermostatically controlled loads (TCLs) are the major energy sources in buildings that provide flexible load adjustment in power systems. The flexible dispatch of TCLs requires modeling thermal dynamics to measure indoor temperature variations and optimizing power consumption to provide flexibility to power grids while satisfying occupant comfort preferences. However, when dispatching TCLs across multiple buildings, heterogeneous building structures and comfort preferences can lead to different model complexities in thermal dynamics and temperature regulation intervals, both of which can make traditional methods insufficient or even infeasible for problem-solving. To tackle this challenge, this work first develops a novel Physically Consistent Neural Ordinary Differential Equation (PC-NODE) model to represent thermal dynamics, integrating weight learning and physics-informed loss functions to ensure a unified model structure and physics consistency. The developed continuous model is then seamlessly transformed into discrete equation constraints to represent comfort preferences with different time intervals. Furthermore, an asynchronous Alternating Direction Method of Multipliers (ADMM)-based distributed optimization method is proposed to coordinate buildings with heterogeneous comfort preferences by differentiating the frequency of local variable updates across buildings based on the time interval. Simulation results for a 12-building dispatch case demonstrate that the single-zone model trained by PC-NODE significantly improves statistical accuracy, whereas asynchronous ADMM achieves near-optimal economic performance relative to ground-truth centralized optimization.</w:t>
      </w:r>
    </w:p>
    <w:p>
      <w:pPr>
        <w:spacing w:before="120" w:after="120"/>
      </w:pPr>
      <w:r>
        <w:rPr>
          <w:sz w:val="18"/>
        </w:rPr>
        <w:t>——————————————————————————————————————————————————————————————————————</w:t>
      </w:r>
    </w:p>
    <w:p>
      <w:pPr>
        <w:spacing w:before="160" w:after="40" w:line="240" w:lineRule="auto"/>
      </w:pPr>
      <w:r>
        <w:rPr>
          <w:b/>
        </w:rPr>
        <w:t xml:space="preserve">[7] </w:t>
      </w:r>
      <w:hyperlink r:id="rId503">
        <w:r>
          <w:rPr>
            <w:color w:val="1155CC"/>
            <w:u w:val="single"/>
          </w:rPr>
          <w:t>对城市净零目标残余排放的实证分析</w:t>
        </w:r>
      </w:hyperlink>
    </w:p>
    <w:p>
      <w:pPr>
        <w:spacing w:before="0" w:after="80"/>
      </w:pPr>
      <w:r>
        <w:rPr>
          <w:i/>
          <w:sz w:val="20"/>
        </w:rPr>
        <w:t>EN: Empirical insights into residual emissions in urban net-zero targets</w:t>
      </w:r>
    </w:p>
    <w:p>
      <w:pPr>
        <w:spacing w:before="0" w:after="120"/>
      </w:pPr>
      <w:r>
        <w:rPr>
          <w:b/>
        </w:rPr>
        <w:t xml:space="preserve">Source: </w:t>
      </w:r>
      <w:r>
        <w:t>Nature Climate Change</w:t>
      </w:r>
      <w:r>
        <w:t xml:space="preserve">    </w:t>
      </w:r>
      <w:r>
        <w:rPr>
          <w:b/>
        </w:rPr>
        <w:t xml:space="preserve">Pub date: </w:t>
      </w:r>
      <w:r>
        <w:t>2026-08-14 00:00:00+00:00</w:t>
      </w:r>
      <w:r>
        <w:t xml:space="preserve">    </w:t>
      </w:r>
      <w:r>
        <w:rPr>
          <w:b/>
        </w:rPr>
        <w:t xml:space="preserve">DOI: </w:t>
      </w:r>
      <w:hyperlink r:id="rId504">
        <w:r>
          <w:rPr>
            <w:color w:val="1155CC"/>
            <w:u w:val="single"/>
          </w:rPr>
          <w:t>10.1038/s41558-026-02691-0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越来越多的城市承诺实现净零排放目标，但其残余排放战略的稳健性仍不确定。我们研究了 103 个欧洲城市到 2030 年实现净零排放的方法。总残余排放量为 61.4 MtCO</w:t>
      </w:r>
      <w:r>
        <w:rPr>
          <w:vertAlign w:val="subscript"/>
        </w:rPr>
        <w:t>2</w:t>
      </w:r>
      <w:r>
        <w:t>e 主要来自建筑物和交通，中位数为 0.8 tCO</w:t>
      </w:r>
      <w:r>
        <w:rPr>
          <w:vertAlign w:val="subscript"/>
        </w:rPr>
        <w:t>2</w:t>
      </w:r>
      <w:r>
        <w:t>人均e，表明脱碳过程迅速。所有市政战略都依赖于临时的、基于陆地的二氧化碳</w:t>
      </w:r>
      <w:r>
        <w:rPr>
          <w:vertAlign w:val="subscript"/>
        </w:rPr>
        <w:t>2</w:t>
      </w:r>
      <w:r>
        <w:t>去除，然后是碳信用额 (40%) 和永久二氧化碳</w:t>
      </w:r>
      <w:r>
        <w:rPr>
          <w:vertAlign w:val="subscript"/>
        </w:rPr>
        <w:t>2</w:t>
      </w:r>
      <w:r>
        <w:t>去除（32%）。我们制定了剩余排放策略稳健性指数来评估补偿策略的稳健性，表明目前成熟度处于中低水平，地域差异显着。尽管城市在方案测绘和治理方面进行投资，但很少关注土地可用性、城市结构成为分布式碳汇的潜力、防止碳逆转的规定、监测、时间安排和量化（估计仅涵盖残余排放总量的 18%）。我们还提炼建议和最佳实践来解决残留排放问题。</w:t>
      </w:r>
    </w:p>
    <w:p>
      <w:pPr>
        <w:spacing w:before="0" w:after="200" w:lineRule="auto" w:line="276"/>
      </w:pPr>
      <w:r>
        <w:rPr>
          <w:b/>
        </w:rPr>
        <w:t xml:space="preserve">Abstract (EN): </w:t>
      </w:r>
      <w:r>
        <w:t>Cities increasingly pledge net-zero emissions targets, but the robustness of their residual emissions strategies remains uncertain. We examine the approaches of 103 European cities aiming at net zero by 2030. Total residual emissions are 61.4 MtCO</w:t>
      </w:r>
      <w:r>
        <w:rPr>
          <w:vertAlign w:val="subscript"/>
        </w:rPr>
        <w:t>2</w:t>
      </w:r>
      <w:r>
        <w:t>e originating mostly from buildings and transport, with the median at 0.8 tCO</w:t>
      </w:r>
      <w:r>
        <w:rPr>
          <w:vertAlign w:val="subscript"/>
        </w:rPr>
        <w:t>2</w:t>
      </w:r>
      <w:r>
        <w:t>e per capita, indicating a rapid decarbonization process. All municipal strategies rely on temporary, land-based CO</w:t>
      </w:r>
      <w:r>
        <w:rPr>
          <w:vertAlign w:val="subscript"/>
        </w:rPr>
        <w:t>2</w:t>
      </w:r>
      <w:r>
        <w:t>removal, then carbon credits (40%) and permanent CO</w:t>
      </w:r>
      <w:r>
        <w:rPr>
          <w:vertAlign w:val="subscript"/>
        </w:rPr>
        <w:t>2</w:t>
      </w:r>
      <w:r>
        <w:t>removal (32%). We develop the residual emissions strategy robustness index to assess the robustness of compensation strategies, indicating that the current maturity is medium-low with notable geographical disparities. Although cities invest in options mapping and governance, little attention is paid to land availability, the potential of the urban fabric to become a distributed carbon sink, provisions against carbon reversals, monitoring, timing and quantification (estimates cover only 18% of total residual emissions). We also distil recommendations and best practices to address residual emissions.</w:t>
      </w:r>
    </w:p>
    <w:p>
      <w:pPr>
        <w:spacing w:before="120" w:after="120"/>
      </w:pPr>
      <w:r>
        <w:rPr>
          <w:sz w:val="18"/>
        </w:rPr>
        <w:t>——————————————————————————————————————————————————————————————————————</w:t>
      </w:r>
    </w:p>
    <w:p>
      <w:pPr>
        <w:spacing w:before="160" w:after="40" w:line="240" w:lineRule="auto"/>
      </w:pPr>
      <w:r>
        <w:rPr>
          <w:b/>
        </w:rPr>
        <w:t xml:space="preserve">[8] </w:t>
      </w:r>
      <w:hyperlink r:id="rId505">
        <w:r>
          <w:rPr>
            <w:color w:val="1155CC"/>
            <w:u w:val="single"/>
          </w:rPr>
          <w:t>基于绿色场所的产业政策的有效性：来自《通货膨胀削减法案》的证据</w:t>
        </w:r>
      </w:hyperlink>
    </w:p>
    <w:p>
      <w:pPr>
        <w:spacing w:before="0" w:after="80"/>
      </w:pPr>
      <w:r>
        <w:rPr>
          <w:i/>
          <w:sz w:val="20"/>
        </w:rPr>
        <w:t>EN: The effectiveness of green place-based industrial policy: Evidence from the Inflation Reduction Act</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506">
        <w:r>
          <w:rPr>
            <w:color w:val="1155CC"/>
            <w:u w:val="single"/>
          </w:rPr>
          <w:t>10.1073/pnas.2600276123</w:t>
        </w:r>
      </w:hyperlink>
    </w:p>
    <w:p>
      <w:pPr>
        <w:spacing w:before="0" w:after="120"/>
      </w:pPr>
      <w:r>
        <w:rPr>
          <w:b/>
        </w:rPr>
        <w:t xml:space="preserve">Notes: </w:t>
      </w:r>
      <w:r>
        <w:t>abstract_source=crossref</w:t>
      </w:r>
    </w:p>
    <w:p>
      <w:pPr>
        <w:spacing w:before="0" w:after="80" w:lineRule="auto" w:line="276"/>
      </w:pPr>
      <w:r>
        <w:rPr>
          <w:b/>
        </w:rPr>
        <w:t xml:space="preserve">摘要（ZH）: </w:t>
      </w:r>
      <w:r>
        <w:t>全球各国政府正在转向基于地方的产业政策，以使绿色转型更加公平且在政治上更容易接受。美国的《通货膨胀削减法案》通过其“能源共同体”条款体现了这种方法，该条款为依赖化石燃料的地区的清洁能源项目提供额外的税收优惠。我们使用有关可再生能源投资、就业和投票的空间粒度数据，并记录这些激励措施大大增加了当地太阳能投资，但我们没有发现对风能投资、创造就业机会或政治偏好有重大影响。估计的减排成本远低于碳的社会成本，也低于美国其他主要气候政策的成本。研究结果表明，基于地方的绿色产业政策可以有效地将清洁能源投资引导到贫困地区，但其产生更广泛的当地经济或政治利益的能力可能有限。</w:t>
      </w:r>
    </w:p>
    <w:p>
      <w:pPr>
        <w:spacing w:before="0" w:after="200" w:lineRule="auto" w:line="276"/>
      </w:pPr>
      <w:r>
        <w:rPr>
          <w:b/>
        </w:rPr>
        <w:t xml:space="preserve">Abstract (EN): </w:t>
      </w:r>
      <w:r>
        <w:t>Governments across the globe are turning to place-based industrial policies to make the green transition more equitable and politically palatable. The United States’ Inflation Reduction Act exemplifies this approach through its “Energy Community” provisions, which offer additional tax incentives for clean energy projects in regions reliant on fossil fuels. We use spatially granular data on renewable energy investment, employment, and voting, and document that these incentives substantially increased local solar investment, but we do not find significant impacts on wind investment, job creation, or political preferences. Estimated abatement costs are well below the social cost of carbon and lower than those of other major U.S. climate policies. The results suggest that place-based green industrial policies can effectively direct clean energy investment toward disadvantaged regions, but their capacity to generate broader local economic or political benefits may be limited.</w:t>
      </w:r>
    </w:p>
    <w:p>
      <w:pPr>
        <w:spacing w:before="120" w:after="120"/>
      </w:pPr>
      <w:r>
        <w:rPr>
          <w:sz w:val="18"/>
        </w:rPr>
        <w:t>——————————————————————————————————————————————————————————————————————</w:t>
      </w:r>
    </w:p>
    <w:p>
      <w:pPr>
        <w:spacing w:before="160" w:after="40" w:line="240" w:lineRule="auto"/>
      </w:pPr>
      <w:r>
        <w:rPr>
          <w:b/>
        </w:rPr>
        <w:t xml:space="preserve">[9] </w:t>
      </w:r>
      <w:hyperlink r:id="rId507">
        <w:r>
          <w:rPr>
            <w:color w:val="1155CC"/>
            <w:u w:val="single"/>
          </w:rPr>
          <w:t>巴西亚马逊地区水产养殖扩张的土地利用转变和碳排放</w:t>
        </w:r>
      </w:hyperlink>
    </w:p>
    <w:p>
      <w:pPr>
        <w:spacing w:before="0" w:after="80"/>
      </w:pPr>
      <w:r>
        <w:rPr>
          <w:i/>
          <w:sz w:val="20"/>
        </w:rPr>
        <w:t>EN: Land-use transitions and carbon emissions of aquaculture expansion in the Brazilian Amazon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508">
        <w:r>
          <w:rPr>
            <w:color w:val="1155CC"/>
            <w:u w:val="single"/>
          </w:rPr>
          <w:t>10.1126/sciadv.aec5472</w:t>
        </w:r>
      </w:hyperlink>
    </w:p>
    <w:p>
      <w:pPr>
        <w:spacing w:before="0" w:after="120"/>
      </w:pPr>
      <w:r>
        <w:rPr>
          <w:b/>
        </w:rPr>
        <w:t xml:space="preserve">Notes: </w:t>
      </w:r>
      <w:r>
        <w:t>abstract_source=crossref</w:t>
      </w:r>
    </w:p>
    <w:p>
      <w:pPr>
        <w:spacing w:before="0" w:after="80" w:lineRule="auto" w:line="276"/>
      </w:pPr>
      <w:r>
        <w:rPr>
          <w:b/>
        </w:rPr>
        <w:t xml:space="preserve">摘要（ZH）: </w:t>
      </w:r>
      <w:r>
        <w:t>考虑粮食部门扩张背后的土地利用变化对于保护生态系统完整性至关重要。这一挑战在亚马逊地区尤为严峻，那里的森林转变为粮食生产的现象非常明显，并对全球生物多样性以及水和碳的循环产生广泛影响。在这里，我们分析了巴西亚马逊地区与水产养殖发展相关的土地利用转变。我们发现，从 1985 年到 2022 年，水产养殖池塘面积增加了 450 倍，主要发生在牧场 (87%)，但也包括湿地转化 (4%) 和森林砍伐 (5%)。值得注意的是，在已经改变的景观中仍可维持持续增长：在亚马逊地区领先的水产养殖州朗多尼亚，只需改造退化牧场总面积的 1.2%，产量就可以翻倍。虽然将水产养殖扩展到退化牧场可以进一步减少自然栖息地的转变和历史上与亚马逊粮食生产相关的碳成本，但实现这一潜力将取决于强有力的治理和可执行的土地使用政策来指导选址决策。</w:t>
      </w:r>
    </w:p>
    <w:p>
      <w:pPr>
        <w:spacing w:before="0" w:after="200" w:lineRule="auto" w:line="276"/>
      </w:pPr>
      <w:r>
        <w:rPr>
          <w:b/>
        </w:rPr>
        <w:t xml:space="preserve">Abstract (EN): </w:t>
      </w:r>
      <w:r>
        <w:t>Accounting for land-use change underlying food sector expansion is critical for conserving ecosystem integrity. This challenge is particularly acute in the Amazon, where the conversion of forests for food production is pronounced and has broad implications for global biodiversity and the cycling of water and carbon. Here, we analyze land-use transitions associated with aquaculture development in the Brazilian Amazon. We found that a 450-fold increase in aquaculture pond area from 1985 to 2022 occurred primarily on pasturelands (87%) but also included wetland conversion (4%) and deforestation (5%). Notably, continued growth can be sustained within already altered landscapes: In Rondônia, the leading aquaculture state in the Amazon, production could double by converting only 1.2% of the total degraded pasture area. While directing aquaculture expansion toward degraded pastures could reduce further natural habitat conversion and carbon costs historically associated with food production in the Amazon, realizing this potential will depend on strong governance and enforceable land-use policies to guide siting decisions.</w:t>
      </w:r>
    </w:p>
    <w:p>
      <w:pPr>
        <w:spacing w:before="120" w:after="120"/>
      </w:pPr>
      <w:r>
        <w:rPr>
          <w:sz w:val="18"/>
        </w:rPr>
        <w:t>——————————————————————————————————————————————————————————————————————</w:t>
      </w:r>
    </w:p>
    <w:p>
      <w:pPr>
        <w:spacing w:before="160" w:after="40" w:line="240" w:lineRule="auto"/>
      </w:pPr>
      <w:r>
        <w:rPr>
          <w:b/>
        </w:rPr>
        <w:t xml:space="preserve">[10] </w:t>
      </w:r>
      <w:hyperlink r:id="rId509">
        <w:r>
          <w:rPr>
            <w:color w:val="1155CC"/>
            <w:u w:val="single"/>
          </w:rPr>
          <w:t>为网格交互操作提供建筑需求灵活性：从感知和认知到决策、执行和验证</w:t>
        </w:r>
      </w:hyperlink>
    </w:p>
    <w:p>
      <w:pPr>
        <w:spacing w:before="0" w:after="80"/>
      </w:pPr>
      <w:r>
        <w:rPr>
          <w:i/>
          <w:sz w:val="20"/>
        </w:rPr>
        <w:t>EN: Delivering building demand flexibility for grid-interactive operation: from perception and cognition to decision, execution, and verification</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510">
        <w:r>
          <w:rPr>
            <w:color w:val="1155CC"/>
            <w:u w:val="single"/>
          </w:rPr>
          <w:t>10.1016/j.apenergy.2026.128668</w:t>
        </w:r>
      </w:hyperlink>
    </w:p>
    <w:p>
      <w:pPr>
        <w:spacing w:before="0" w:after="120"/>
      </w:pPr>
      <w:r>
        <w:rPr>
          <w:b/>
        </w:rPr>
        <w:t xml:space="preserve">Notes: </w:t>
      </w:r>
      <w:r>
        <w:t>abstract_source=openalex</w:t>
      </w:r>
    </w:p>
    <w:p>
      <w:pPr>
        <w:spacing w:before="0" w:after="80" w:lineRule="auto" w:line="276"/>
      </w:pPr>
      <w:r>
        <w:rPr>
          <w:b/>
        </w:rPr>
        <w:t xml:space="preserve">摘要（ZH）: </w:t>
      </w:r>
      <w:r>
        <w:t>随着建筑和电力系统快速脱碳，建筑的需求灵活性（DF）已成为可再生能源整合、电网可靠性、能源弹性以及高效低碳运营的关键推动因素。通过根据电网要求动态调整建筑能源使用，DF 可以帮助降低建筑运营成本、应对可再生能源的变化、减少峰值需求、缓解网络拥塞并增强整体系统稳定性。因此，大量的研究工作从多个角度审视了构建 DF，包括灵活性定义、资源、表征、评估、优化和应用场景。然而，在建筑物中有效交付 DF 需要一种涵盖感知、认知、决策、执行和验证的集成的端到端方法，这仍然是现有文献中的一个关键差距。本综述通过提出一种分层架构来解决这一差距，该架构将这些阶段集成到一个连贯的框架中，并提供了该领域现有研究的见解。它综合了支持方法，阐明了跨层交互，并检查了数据、模型、控制策略、实施机制和评估方法如何共同支持 DF 交付。确定了关键的跨层挑战，并概述了稳健且值得信赖的 DF 交付的未来研究重点。这项工作为在建筑物中推进可互操作、网格响应和实际可部署的 DF 解决方案奠定了概念基础，支持</w:t>
      </w:r>
    </w:p>
    <w:p>
      <w:pPr>
        <w:spacing w:before="0" w:after="200" w:lineRule="auto" w:line="276"/>
      </w:pPr>
      <w:r>
        <w:rPr>
          <w:b/>
        </w:rPr>
        <w:t xml:space="preserve">Abstract (EN): </w:t>
      </w:r>
      <w:r>
        <w:t>As both buildings and power systems undergo rapid decarbonization, demand flexibility (DF) in buildings has emerged as a key enabler for renewable energy integration, grid reliability, energy resilience, and efficient and low carbon operation. By dynamically adjusting building energy use in response to grid requirements, DF can help reduce building operational costs, respond to renewable variability, reduce peak demand, alleviate network congestion, and enhance overall system stability. Consequently, significant research efforts have examined building DF from multiple perspectives, including flexibility definitions, resources, characterization, assessment, optimization, and application scenarios. However, the effective delivery of DF in buildings requires an integrated, end-to-end approach spanning perception, cognition, decision, execution, and verification, which remains a critical gap in the existing literature. This review addresses this gap by proposing a layered architecture that integrates these stages into a coherent framework and provides insights from existing studies in this field. It synthesizes enabling methods, clarifies cross-layer interactions, and examines how data, models, control strategies, implementation mechanisms, and evaluation approaches collectively support DF delivery. Critical cross-layer challenges are identified, and future research priorities for robust and trustworthy DF delivery are outlined. This work establishes a conceptual foundation for advancing interoperable, grid-responsive, and practically deployable DF solutions in buildings, supporting both building decarbonization and more efficient, resilient grid operation</w:t>
      </w:r>
    </w:p>
    <w:p>
      <w:pPr>
        <w:spacing w:before="120" w:after="120"/>
      </w:pPr>
      <w:r>
        <w:rPr>
          <w:sz w:val="18"/>
        </w:rPr>
        <w:t>——————————————————————————————————————————————————————————————————————</w:t>
      </w:r>
    </w:p>
    <w:p>
      <w:pPr>
        <w:spacing w:before="160" w:after="40" w:line="240" w:lineRule="auto"/>
      </w:pPr>
      <w:r>
        <w:rPr>
          <w:b/>
        </w:rPr>
        <w:t xml:space="preserve">[11] </w:t>
      </w:r>
      <w:hyperlink r:id="rId511">
        <w:r>
          <w:rPr>
            <w:color w:val="1155CC"/>
            <w:u w:val="single"/>
          </w:rPr>
          <w:t>低能耗碳中和建筑的气候响应型屋顶冷却策略：全国范围内辐射天空冷却和绿色屋顶的比较评估</w:t>
        </w:r>
      </w:hyperlink>
    </w:p>
    <w:p>
      <w:pPr>
        <w:spacing w:before="0" w:after="80"/>
      </w:pPr>
      <w:r>
        <w:rPr>
          <w:i/>
          <w:sz w:val="20"/>
        </w:rPr>
        <w:t>EN: Climate-responsive roof cooling strategies for low-energy carbon-neutral buildings: A nationwide comparative assessment of radiative sky cooling and green roofs</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512">
        <w:r>
          <w:rPr>
            <w:color w:val="1155CC"/>
            <w:u w:val="single"/>
          </w:rPr>
          <w:t>10.1016/j.apenergy.2026.128695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417">
        <w:r>
          <w:rPr>
            <w:color w:val="1155CC"/>
            <w:u w:val="single"/>
          </w:rPr>
          <w:t>氢驱动低碳钢产业园生产与能源系统协同优化</w:t>
        </w:r>
      </w:hyperlink>
    </w:p>
    <w:p>
      <w:pPr>
        <w:spacing w:before="0" w:after="80"/>
      </w:pPr>
      <w:r>
        <w:rPr>
          <w:i/>
          <w:sz w:val="20"/>
        </w:rPr>
        <w:t>EN: Hydrogen-driven co-optimization of production and energy systems for low-carbon steel industrial parks</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418">
        <w:r>
          <w:rPr>
            <w:color w:val="1155CC"/>
            <w:u w:val="single"/>
          </w:rPr>
          <w:t>10.1016/j.apenergy.2026.128687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513">
        <w:r>
          <w:rPr>
            <w:color w:val="1155CC"/>
            <w:u w:val="single"/>
          </w:rPr>
          <w:t>人工智能驱动的智能家电优化：系统回顾</w:t>
        </w:r>
      </w:hyperlink>
    </w:p>
    <w:p>
      <w:pPr>
        <w:spacing w:before="0" w:after="80"/>
      </w:pPr>
      <w:r>
        <w:rPr>
          <w:i/>
          <w:sz w:val="20"/>
        </w:rPr>
        <w:t>EN: AI-driven smart home appliance optimization: A systematic review</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514">
        <w:r>
          <w:rPr>
            <w:color w:val="1155CC"/>
            <w:u w:val="single"/>
          </w:rPr>
          <w:t>10.1016/j.apenergy.2026.128665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515">
        <w:r>
          <w:rPr>
            <w:color w:val="1155CC"/>
            <w:u w:val="single"/>
          </w:rPr>
          <w:t>实时实施协同 HEMS 框架：集成元启发式需求侧管理和基于 CVR 的电压控制，以提高住宅能源效率</w:t>
        </w:r>
      </w:hyperlink>
    </w:p>
    <w:p>
      <w:pPr>
        <w:spacing w:before="0" w:after="80"/>
      </w:pPr>
      <w:r>
        <w:rPr>
          <w:i/>
          <w:sz w:val="20"/>
        </w:rPr>
        <w:t>EN: Real-time implementation of a synergistic HEMS framework: Integrating meta-heuristic demand side management and CVR-based voltage control for enhanced residential energy efficiency</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516">
        <w:r>
          <w:rPr>
            <w:color w:val="1155CC"/>
            <w:u w:val="single"/>
          </w:rPr>
          <w:t>10.1016/j.apenergy.2026.128659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419">
        <w:r>
          <w:rPr>
            <w:color w:val="1155CC"/>
            <w:u w:val="single"/>
          </w:rPr>
          <w:t>重型燃料电池汽车在货运脱碳中的未来作用</w:t>
        </w:r>
      </w:hyperlink>
    </w:p>
    <w:p>
      <w:pPr>
        <w:spacing w:before="0" w:after="80"/>
      </w:pPr>
      <w:r>
        <w:rPr>
          <w:i/>
          <w:sz w:val="20"/>
        </w:rPr>
        <w:t>EN: Future role of heavy-duty fuel cell vehicles in the decarbonization of the freight transport</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420">
        <w:r>
          <w:rPr>
            <w:color w:val="1155CC"/>
            <w:u w:val="single"/>
          </w:rPr>
          <w:t>10.1016/j.apenergy.2026.128632</w:t>
        </w:r>
      </w:hyperlink>
    </w:p>
    <w:p>
      <w:pPr>
        <w:spacing w:before="0" w:after="120"/>
      </w:pPr>
      <w:r>
        <w:rPr>
          <w:b/>
        </w:rPr>
        <w:t xml:space="preserve">Notes: </w:t>
      </w:r>
      <w:r>
        <w:t>abstract_source=openalex</w:t>
      </w:r>
    </w:p>
    <w:p>
      <w:pPr>
        <w:spacing w:before="0" w:after="80" w:lineRule="auto" w:line="276"/>
      </w:pPr>
      <w:r>
        <w:rPr>
          <w:b/>
        </w:rPr>
        <w:t xml:space="preserve">摘要（ZH）: </w:t>
      </w:r>
      <w:r>
        <w:t>随着世界转向更清洁、更可持续的交通解决方案，了解氢燃料电池技术在重型车辆中的要求和影响对于为行业发展和政策决策提供信息至关重要。本文的目的是研究各种车辆领域和动力系统设计中重型燃料电池汽车 (HDFCV) 的氢消耗和动力系统效率。为了实现这一目标，采用了综合方法，包括将参考 HDFCV 模型集成到 VECTO 平台中，使用 MATLAB Simulink 模拟不同动力总成架构，以及估计重型车队当前和未来的氢气需求。这项研究的主要结果表明，所提出的设计空间可以作为行业利益相关者选择最佳电池尺寸、燃料电池系统功率和氢罐尺寸的基准，从而加速车辆开发。此外，政策制定者可以利用氢消耗和动力系统效率的数据来定义关键性能指标，估计未来的氢需求，并将 HDFCV 与其他推进系统的环境影响进行比较。就 HDFCV 车队的 H 2 需求而言，解决本工作中提出的所有不确定性，每年 H 2 量可能在 1.6 至 2.8 吨之间变化，这意味着高达当前 H 2 产量的 3%。因此，H 2 生产基础设施能够适应HDV领域更雄心勃勃的H 2 相关场景。最后，每个车型的 H 2 消耗范围</w:t>
      </w:r>
    </w:p>
    <w:p>
      <w:pPr>
        <w:spacing w:before="0" w:after="200" w:lineRule="auto" w:line="276"/>
      </w:pPr>
      <w:r>
        <w:rPr>
          <w:b/>
        </w:rPr>
        <w:t xml:space="preserve">Abstract (EN): </w:t>
      </w:r>
      <w:r>
        <w:t>As the world shifts towards cleaner and more sustainable transportation solutions, understanding the requirements and implications of hydrogen fuel cell technology in heavy-duty vehicles is crucial for informing industry developments and policy decisions. The objective of this paper is to investigate the hydrogen consumption and powertrain efficiency of heavy-duty fuel cell vehicles (HDFCVs) in various vehicle segments and powertrain designs. To achieve this, a comprehensive methodology was employed, involving the integration of reference HDFCV models into the VECTO platform, simulation of different powertrain architectures using MATLAB Simulink, and estimation of current and future hydrogen demand for the heavy-duty vehicle fleet. The key results of this study indicate that the design spaces presented can serve as a baseline for industry stakeholders to select optimal battery sizes, fuel cell system powers, and hydrogen tank sizes, thereby accelerating vehicle development. Furthermore, policymakers can utilize the data on hydrogen consumption and powertrain efficiency to define key performance indicators, estimate future hydrogen demands, and compare the environmental impact of HDFCVs with other propulsion systems. In terms of HDFCV fleet H 2 demand, addressing all the uncertainties raised in this work, it may vary from 1.6 to 2.8 Mt of H 2 yearly, implying up to 3% of the current H 2 production. Therefore, the H 2 production infrastructure is able to accommodate more ambitious H 2 -related scenarios for the HDV sector. Finally, the H 2 consumption ranges per vehicle class and powertrain design, together with the H 2 tank capacity values sized on the basis of official VECTO cycles, constitute an original reference dataset—grounded in a mathematically guaranteed minimum consumption via an optimal energy management strategy—that can be directly used by vehicle manufacturers as a baseline for preliminary powertrain and hydrogen storage system design.</w:t>
      </w:r>
    </w:p>
    <w:p>
      <w:pPr>
        <w:spacing w:before="120" w:after="120"/>
      </w:pPr>
      <w:r>
        <w:rPr>
          <w:sz w:val="18"/>
        </w:rPr>
        <w:t>——————————————————————————————————————————————————————————————————————</w:t>
      </w:r>
    </w:p>
    <w:p>
      <w:pPr>
        <w:spacing w:before="160" w:after="40" w:line="240" w:lineRule="auto"/>
      </w:pPr>
      <w:r>
        <w:rPr>
          <w:b/>
        </w:rPr>
        <w:t xml:space="preserve">[16] </w:t>
      </w:r>
      <w:hyperlink r:id="rId517">
        <w:r>
          <w:rPr>
            <w:color w:val="1155CC"/>
            <w:u w:val="single"/>
          </w:rPr>
          <w:t>揭示城市绿化在北半球城市缓解极端高温和臭氧方面的潜力</w:t>
        </w:r>
      </w:hyperlink>
    </w:p>
    <w:p>
      <w:pPr>
        <w:spacing w:before="0" w:after="80"/>
      </w:pPr>
      <w:r>
        <w:rPr>
          <w:i/>
          <w:sz w:val="20"/>
        </w:rPr>
        <w:t>EN: Unraveling the potential of urban greenery for extreme heat and ozone mitigation in Northern Hemisphere cities</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518">
        <w:r>
          <w:rPr>
            <w:color w:val="1155CC"/>
            <w:u w:val="single"/>
          </w:rPr>
          <w:t>10.1093/nsr/nwag494</w:t>
        </w:r>
      </w:hyperlink>
    </w:p>
    <w:p>
      <w:pPr>
        <w:spacing w:before="0" w:after="120"/>
      </w:pPr>
      <w:r>
        <w:rPr>
          <w:b/>
        </w:rPr>
        <w:t xml:space="preserve">Notes: </w:t>
      </w:r>
      <w:r>
        <w:t>abstract_source=rss_oup</w:t>
      </w:r>
    </w:p>
    <w:p>
      <w:pPr>
        <w:spacing w:before="0" w:after="80" w:lineRule="auto" w:line="276"/>
      </w:pPr>
      <w:r>
        <w:rPr>
          <w:b/>
        </w:rPr>
        <w:t xml:space="preserve">摘要（ZH）: </w:t>
      </w:r>
      <w:r>
        <w:t>不断加剧的极端高温和臭氧 (O3) 污染已成为世界各地城市面临的主要挑战。虽然城市绿化被广泛提倡缓解极端高温，但由于复杂的城市气象-化学耦合，其对复合热-O3污染的影响仍然知之甚少。通过整合观测、再分析数据和城市-土地-大气模型，我们证明，城市绿化在北半球的大都市中提供了显着但不均匀的降温效果，为-0.26至-1.08°C，这是由绿化比例和当地气候决定的。此外，绿化稳定的城市边界层内非线性减弱的 O3 光化学产生能够减少人口稠密的城市中心的 O3。尽管在气象上缓解热量和 O3 暴露方面具有双重积极作用，但绿化促进的生物排放可以通过补充前体以化学方式将城市 O3 提高 7.6 µg/m3 以上。这些发现强调需要将城市气象-化学相互作用完全耦合到城市绿化战略中，以实现气候和环境的协同效益。</w:t>
      </w:r>
    </w:p>
    <w:p>
      <w:pPr>
        <w:spacing w:before="0" w:after="200" w:lineRule="auto" w:line="276"/>
      </w:pPr>
      <w:r>
        <w:rPr>
          <w:b/>
        </w:rPr>
        <w:t xml:space="preserve">Abstract (EN): </w:t>
      </w:r>
      <w:r>
        <w:t>Escalating exposure to extreme heat and ozone (O3) pollution has emerged as a principal challenge for cities worldwide. While urban greening is widely advocated for mitigating extreme heat, its impacts on compound heat-O3 pollution remain poorly understood due to intricate urban meteorology-chemistry coupling. By integrating observations, reanalysis data, and urban-land-atmosphere modelling, we demonstrate that urban greenery provides a notable yet uneven cooling effect of − 0.26 to − 1.08 °C in Northern Hemisphere’s metropolises, shaped by greenery fractions and local climate. Furthermore, the nonlinearly weakened O3 photochemical production within a greenery-stabilized urban boundary layer is capable of decreasing O3 in populated city centers. Despite the dual positive effects in alleviating heat and O3 exposures meteorologically, greenery-boosted biogenic emissions could chemically raise urban O3 by over 7.6 µg/m3 via supplementing precursors. These findings underscore the need to incorporate fully coupled urban meteorology–chemistry interactions in urban greening strategies to achieve climatic and environmental co-benefits.</w:t>
      </w:r>
    </w:p>
    <w:p>
      <w:pPr>
        <w:spacing w:before="120" w:after="120"/>
      </w:pPr>
      <w:r>
        <w:rPr>
          <w:sz w:val="18"/>
        </w:rPr>
        <w:t>——————————————————————————————————————————————————————————————————————</w:t>
      </w:r>
    </w:p>
    <w:p>
      <w:pPr>
        <w:spacing w:before="160" w:after="40" w:line="240" w:lineRule="auto"/>
      </w:pPr>
      <w:r>
        <w:rPr>
          <w:b/>
        </w:rPr>
        <w:t xml:space="preserve">[17] </w:t>
      </w:r>
      <w:hyperlink r:id="rId519">
        <w:r>
          <w:rPr>
            <w:color w:val="1155CC"/>
            <w:u w:val="single"/>
          </w:rPr>
          <w:t>经济和行为政策耦合对个人和系统规模的电动汽车采用产生不同的影响</w:t>
        </w:r>
      </w:hyperlink>
    </w:p>
    <w:p>
      <w:pPr>
        <w:spacing w:before="0" w:after="80"/>
      </w:pPr>
      <w:r>
        <w:rPr>
          <w:i/>
          <w:sz w:val="20"/>
        </w:rPr>
        <w:t>EN: Economic and behavioural policy coupling has divergent effects on electric vehicle adoption at individual and system scales</w:t>
      </w:r>
    </w:p>
    <w:p>
      <w:pPr>
        <w:spacing w:before="0" w:after="120"/>
      </w:pPr>
      <w:r>
        <w:rPr>
          <w:b/>
        </w:rPr>
        <w:t xml:space="preserve">Source: </w:t>
      </w:r>
      <w:r>
        <w:t>Nature Energy</w:t>
      </w:r>
      <w:r>
        <w:t xml:space="preserve">    </w:t>
      </w:r>
      <w:r>
        <w:rPr>
          <w:b/>
        </w:rPr>
        <w:t xml:space="preserve">Pub date: </w:t>
      </w:r>
      <w:r>
        <w:t>2026-08-17 00:00:00+00:00</w:t>
      </w:r>
      <w:r>
        <w:t xml:space="preserve">    </w:t>
      </w:r>
      <w:r>
        <w:rPr>
          <w:b/>
        </w:rPr>
        <w:t xml:space="preserve">DOI: </w:t>
      </w:r>
      <w:hyperlink r:id="rId520">
        <w:r>
          <w:rPr>
            <w:color w:val="1155CC"/>
            <w:u w:val="single"/>
          </w:rPr>
          <w:t>10.1038/s41560-026-02114-6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政策组合是加速低碳转型的关键。然而，综合政策如何影响电动汽车 (EV) 的采用决策并扩大到系统级扩散仍不清楚。在这里，我们结合个人层面和系统层面的分析来研究碳税和信息干预（单独和组合实施）如何影响个人决策和全系统电动汽车扩散。跨越四个国家（墨西哥、南非、美国和英国；</w:t>
      </w:r>
      <w:r>
        <w:t xml:space="preserve"> </w:t>
      </w:r>
      <w:r>
        <w:t>氮</w:t>
      </w:r>
      <w:r>
        <w:t xml:space="preserve"> </w:t>
      </w:r>
      <w:r>
        <w:t>= 1,589），我们评估了 EV 选择实验中对 EV 信息的关注，并将决策结果数据集成到基于行为主体的扩散模型（ABM）中。这些政策争夺注意力，但对个人电动汽车采用选择产生附加影响。当通过 ABM 进行扩展时，这些行为效应会根据扩散阶段和国家背景产生次加性或超加性扩散结果。此外，我们将 ABM 与政策支持数据内生耦合。我们的研究结果表明，相对于单独的税收，组合政策可以增强政策支持，并在不同的政策审查情景下转化为持续的扩散轨迹。</w:t>
      </w:r>
    </w:p>
    <w:p>
      <w:pPr>
        <w:spacing w:before="0" w:after="200" w:lineRule="auto" w:line="276"/>
      </w:pPr>
      <w:r>
        <w:rPr>
          <w:b/>
        </w:rPr>
        <w:t xml:space="preserve">Abstract (EN): </w:t>
      </w:r>
      <w:r>
        <w:t>Policy mixes are key to accelerating low-carbon transitions. Yet, how combined policies impact electric vehicle (EV) adoption decisions and scale up to system-level diffusion remains unclear. Here we combine individual-level and system-level analyses to investigate how a carbon tax and information intervention, implemented individually and in combination, impact individual decision-making and system-wide EV diffusion. Across four countries (Mexico, South Africa, the USA and the UK;</w:t>
      </w:r>
      <w:r>
        <w:t xml:space="preserve"> </w:t>
      </w:r>
      <w:r>
        <w:t>N</w:t>
      </w:r>
      <w:r>
        <w:t xml:space="preserve"> </w:t>
      </w:r>
      <w:r>
        <w:t>= 1,589), we assessed attention towards EV information in EV choice experiments and integrated decision outcome data into a behavioural agent-based diffusion model (ABM). The policies competed for attention but had additive effects on individual EV adoption choices. When scaled through ABM, these behavioural effects produced sub- or superadditive diffusion outcomes depending on the diffusion stage and national context. Moreover, we endogenously coupled the ABM with policy support data. Our findings illustrate that combining policies can boost policy support relative to a tax alone, translating into sustained diffusion trajectories under different policy review scenarios.</w:t>
      </w:r>
    </w:p>
    <w:p>
      <w:pPr>
        <w:spacing w:before="120" w:after="120"/>
      </w:pPr>
      <w:r>
        <w:rPr>
          <w:sz w:val="18"/>
        </w:rPr>
        <w:t>——————————————————————————————————————————————————————————————————————</w:t>
      </w:r>
    </w:p>
    <w:p>
      <w:pPr>
        <w:spacing w:before="160" w:after="40" w:line="240" w:lineRule="auto"/>
      </w:pPr>
      <w:r>
        <w:rPr>
          <w:b/>
        </w:rPr>
        <w:t xml:space="preserve">[18] </w:t>
      </w:r>
      <w:hyperlink r:id="rId521">
        <w:r>
          <w:rPr>
            <w:color w:val="1155CC"/>
            <w:u w:val="single"/>
          </w:rPr>
          <w:t>技术和政策不确定性下欧盟水泥行业脱碳</w:t>
        </w:r>
      </w:hyperlink>
    </w:p>
    <w:p>
      <w:pPr>
        <w:spacing w:before="0" w:after="80"/>
      </w:pPr>
      <w:r>
        <w:rPr>
          <w:i/>
          <w:sz w:val="20"/>
        </w:rPr>
        <w:t>EN: Decarbonizing the EU cement industry under technology and policy uncertainty</w:t>
      </w:r>
    </w:p>
    <w:p>
      <w:pPr>
        <w:spacing w:before="0" w:after="120"/>
      </w:pPr>
      <w:r>
        <w:rPr>
          <w:b/>
        </w:rPr>
        <w:t xml:space="preserve">Source: </w:t>
      </w:r>
      <w:r>
        <w:t>Scientific community and society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水泥生产是二氧化碳排放的主要来源。在欧盟，排放交易体系是激励包括水泥在内的行业脱碳的基石工具。然而，在配额价格、碳捕获投资成本以及二氧化碳管道和封存地点的可用性方面仍存在重大不确定性。这些不确定性影响现实世界的投资决策，但尚未在模型中得到很好的体现。在这里，我们开发了一个实物期权估值模型来评估欧洲 179 家水泥厂如何应对这些不确定性。我们的结果表明，不确定性感知强烈影响投资的时机和地域。对有利投资决定因素的高度信心可能会导致碳捕获和储存以及生物质利用的广泛部署，从而将水泥行业转变为碳汇，在 2025 年至 2050 年间总共消除 0.6 十亿吨二氧化碳。然而，信心不足可能会导致许多水泥生产商推迟行动，导致同一时间段内累计排放 0.8 十亿吨二氧化碳。生物质的可用性、融资条件和工厂位置进一步影响投资行为，凸显了对可靠能源和气候政策的需求。</w:t>
      </w:r>
    </w:p>
    <w:p>
      <w:pPr>
        <w:spacing w:before="0" w:after="200" w:lineRule="auto" w:line="276"/>
      </w:pPr>
      <w:r>
        <w:rPr>
          <w:b/>
        </w:rPr>
        <w:t xml:space="preserve">Abstract (EN): </w:t>
      </w:r>
      <w:r>
        <w:t>Cement production is a major source of CO2 emissions. In the European Union, the Emissions Trading System is the cornerstone instrument to incentivize industry decarbonization, including cement. However, major uncertainties prevail regarding allowance prices, carbon-capture investment costs, and the availability of CO2 pipelines and storage sites. These uncertainties affect real-world investment decisions, but are not yet well represented in models. Here, we develop a real options valuation model to assess how 179 cement plants across Europe respond to these uncertainties. Our results show that uncertainty perception strongly influences the timing and geography of investments. High confidence in favorable investment determinants could lead to widespread deployment of carbon capture and storage and biomass use, turning the cement industry into a carbon sink with 0.6 gigatons CO₂ removed between 2025 and 2050 in total. Low confidence, however, could lead many cement producers to delay action, resulting in cumulated emissions of 0.8 gigatons CO₂ over the same time frame. Biomass availability, financing conditions, and plant location further shape investment behavior, underscoring the need for credible energy and climate policy.</w:t>
      </w:r>
    </w:p>
    <w:p>
      <w:pPr>
        <w:spacing w:before="120" w:after="120"/>
      </w:pPr>
      <w:r>
        <w:rPr>
          <w:sz w:val="18"/>
        </w:rPr>
        <w:t>——————————————————————————————————————————————————————————————————————</w:t>
      </w:r>
    </w:p>
    <w:p>
      <w:pPr>
        <w:spacing w:before="160" w:after="40" w:line="240" w:lineRule="auto"/>
      </w:pPr>
      <w:r>
        <w:rPr>
          <w:b/>
        </w:rPr>
        <w:t xml:space="preserve">[19] </w:t>
      </w:r>
      <w:hyperlink r:id="rId522">
        <w:r>
          <w:rPr>
            <w:color w:val="1155CC"/>
            <w:u w:val="single"/>
          </w:rPr>
          <w:t>通过顺序热化学-电化学耦合实现废水处理中的净负碳增值</w:t>
        </w:r>
      </w:hyperlink>
    </w:p>
    <w:p>
      <w:pPr>
        <w:spacing w:before="0" w:after="80"/>
      </w:pPr>
      <w:r>
        <w:rPr>
          <w:i/>
          <w:sz w:val="20"/>
        </w:rPr>
        <w:t>EN: Net-negative carbon valorization in wastewater treatment via sequential thermochemical-electrochemical coupling</w:t>
      </w:r>
    </w:p>
    <w:p>
      <w:pPr>
        <w:spacing w:before="0" w:after="120"/>
      </w:pPr>
      <w:r>
        <w:rPr>
          <w:b/>
        </w:rPr>
        <w:t xml:space="preserve">Source: </w:t>
      </w:r>
      <w:r>
        <w:t>Scientific community and society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废水处理厂同时排放温室气体并依赖外部碳源，这对碳循环既是挑战也是机遇。我们对 32 条废物转化为化学品的途径进行了全面的生命周期评估，这些途径将热化学和电化学转化集成在顺序或并行架构中，将 CH4 和 CO2 转化为可重复使用的碳源，供厂内利用。顺序热化学-电化学耦合始终提供最强的气候效益，甲酸盐被认为是最佳产品，相对于直接排放基线，排放量减少高达约 35%。我们使用市售的 Pd/Al2O3 催化剂（用于 CH4 热化学氧化）和 Bi2O3 催化剂（用于 CO2 电还原）在多孔固体电解质反应器中进一步通过实验验证了该途径。 CH4 氧化过程中产生的余热增强了下游 CO2 电还原，在 150 mA cm−2 和 45 °C 下实现无分离甲酸盐的法拉第效率为 97.2 ± 1.2%。这些结果验证了商业相关的催化剂和热耦合操作可以提供与系统级预测一致的经过实验验证的性能。该框架建立了一个可扩展的战略，将碳循环嵌入废水基础设施中，并将废水处理厂转变为低碳化学品生产的分布式平台。</w:t>
      </w:r>
    </w:p>
    <w:p>
      <w:pPr>
        <w:spacing w:before="0" w:after="200" w:lineRule="auto" w:line="276"/>
      </w:pPr>
      <w:r>
        <w:rPr>
          <w:b/>
        </w:rPr>
        <w:t xml:space="preserve">Abstract (EN): </w:t>
      </w:r>
      <w:r>
        <w:t>Wastewater treatment plants simultaneously emit greenhouse gases and rely on external carbon sources, presenting both a challenge and an opportunity for carbon circularity. We develop a comprehensive life-cycle assessment of 32 Waste-to-Chemical pathways that integrate thermochemical and electrochemical conversions in sequential or parallel architectures to convert CH4 and CO2 into reusable carbon sources for in-plant utilization. Sequential thermochemical-electrochemical coupling consistently delivers the strongest climate benefit, with formate identified as the optimal product, reducing emissions up to ~35% reduction relative to direct-emission baselines. We further validate this pathway experimentally using commercially available Pd/Al2O3 catalysts for CH4 thermochemical oxidation and Bi2O3 catalysts for CO2 electroreduction in a porous solid electrolyte reactor. Residual heat generated during CH4 oxidation enhances downstream CO2 electroreduction, enabling 97.2 ± 1.2% Faradaic efficiency toward separation-free formate at 150 mA cm−2 and 45 °C. These results validate that commercially relevant catalysts and thermally coupled operation can deliver experimentally validated performance aligned with system-level projections. This framework establishes a scalable strategy for embedding carbon circularity into wastewater infrastructure and transforming wastewater treatment plants into distributed platforms for low-carbon chemical production.</w:t>
      </w:r>
    </w:p>
    <w:p>
      <w:pPr>
        <w:spacing w:before="120" w:after="120"/>
      </w:pPr>
      <w:r>
        <w:rPr>
          <w:sz w:val="18"/>
        </w:rPr>
        <w:t>——————————————————————————————————————————————————————————————————————</w:t>
      </w:r>
    </w:p>
    <w:p>
      <w:pPr>
        <w:spacing w:before="160" w:after="40" w:line="240" w:lineRule="auto"/>
      </w:pPr>
      <w:r>
        <w:rPr>
          <w:b/>
        </w:rPr>
        <w:t xml:space="preserve">[20] </w:t>
      </w:r>
      <w:hyperlink r:id="rId523">
        <w:r>
          <w:rPr>
            <w:color w:val="1155CC"/>
            <w:u w:val="single"/>
          </w:rPr>
          <w:t>通过电网互动需求侧资源管理促进特大城市电力脱碳</w:t>
        </w:r>
      </w:hyperlink>
    </w:p>
    <w:p>
      <w:pPr>
        <w:spacing w:before="0" w:after="80"/>
      </w:pPr>
      <w:r>
        <w:rPr>
          <w:i/>
          <w:sz w:val="20"/>
        </w:rPr>
        <w:t>EN: Facilitating megacity electricity decarbonization via grid-interactive demand-side resource management</w:t>
      </w:r>
    </w:p>
    <w:p>
      <w:pPr>
        <w:spacing w:before="0" w:after="120"/>
      </w:pPr>
      <w:r>
        <w:rPr>
          <w:b/>
        </w:rPr>
        <w:t xml:space="preserve">Source: </w:t>
      </w:r>
      <w:r>
        <w:t>Scientific community and society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在零碳能源渗透水平不断提高的情况下，城市电力系统面临发电与动态需求之间加剧的不匹配。尽管需求方资源管理通过调节负荷模式提供了缓解不匹配的潜力，但其城市级能力仍不清楚。本研究开发了一个社区到电网的框架，以评估需求方资源如何缓解特大城市规模的发电与需求不匹配的问题。我们在中国深圳进行了一项案例研究，涵盖了 4,549 个社区单位，包括 479,259 座建筑物的能源概况和屋顶光伏发电，以及 1,080,000 辆私人插电式电动汽车的出行充电概况。在假设 80% 的零碳电力渗透水平下，拟议的框架可以将每周的电力供应赤字减少 54.5%，即 266.2 吉瓦时，相当于估计减少 83.6 千吨二氧化碳。不同的治理范式可能会影响电网基础设施升级路径：优先考虑管理公平支持时间上一致的规划，而优先考虑错配缓解效率则促进空间集群改造。这项研究可以为国家电力脱碳规划下特定城市的需求侧资源挖掘提供信息。</w:t>
      </w:r>
    </w:p>
    <w:p>
      <w:pPr>
        <w:spacing w:before="0" w:after="200" w:lineRule="auto" w:line="276"/>
      </w:pPr>
      <w:r>
        <w:rPr>
          <w:b/>
        </w:rPr>
        <w:t xml:space="preserve">Abstract (EN): </w:t>
      </w:r>
      <w:r>
        <w:t>City power systems face intensified mismatches between generation and dynamic demand under rising zero-carbon energy penetration levels. Although demand-side resource management offers mismatch mitigation potential by regulating load patterns, its city-level capability remains unclear. This study develops a community-to-grid framework to assess how demand-side resources could mitigate generation-demand mismatches at the megacity scale. A case study is performed in Shenzhen, China, covering 4,549 community units with energy profiles and rooftop photovoltaics of 479,259 buildings, and travel-charge profiles of 1,080,000 private plug-in electric vehicles. Under an assumed 80% zero-carbon electricity penetration level, the proposed framework could reduce weekly power supply deficits by 54.5%, or 266.2 gigawatt-hours, corresponding to an estimated reduction of 83.6 kilotonnes of carbon dioxide. Different governing paradigms may affect grid infrastructure upgrade paths: prioritizing administrative equity supports temporally consistent planning, whereas prioritizing mismatch-mitigation efficiency promotes spatially clustered retrofitting. This study may inform city-specific demand-side resource excavation under national electricity decarbonization planning.</w:t>
      </w:r>
    </w:p>
    <w:p>
      <w:pPr>
        <w:spacing w:before="120" w:after="120"/>
      </w:pPr>
      <w:r>
        <w:rPr>
          <w:sz w:val="18"/>
        </w:rPr>
        <w:t>——————————————————————————————————————————————————————————————————————</w:t>
      </w:r>
    </w:p>
    <w:p>
      <w:pPr>
        <w:spacing w:before="160" w:after="40" w:line="240" w:lineRule="auto"/>
      </w:pPr>
      <w:r>
        <w:rPr>
          <w:b/>
        </w:rPr>
        <w:t xml:space="preserve">[21] </w:t>
      </w:r>
      <w:hyperlink r:id="rId524">
        <w:r>
          <w:rPr>
            <w:color w:val="1155CC"/>
            <w:u w:val="single"/>
          </w:rPr>
          <w:t>揭示原位制备SiO2/CoMnFe层状双氧化物催化剂对NH3-SCR的抗中毒机制</w:t>
        </w:r>
      </w:hyperlink>
    </w:p>
    <w:p>
      <w:pPr>
        <w:spacing w:before="0" w:after="80"/>
      </w:pPr>
      <w:r>
        <w:rPr>
          <w:i/>
          <w:sz w:val="20"/>
        </w:rPr>
        <w:t>EN: Unraveling the Poisoning Resistance Mechanism of an In Situ Fabricated SiO2/CoMnFe Layered Double Oxide Catalyst to NH3-SCR</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525">
        <w:r>
          <w:rPr>
            <w:color w:val="1155CC"/>
            <w:u w:val="single"/>
          </w:rPr>
          <w:t>10.1021/acsami.6c08386</w:t>
        </w:r>
      </w:hyperlink>
    </w:p>
    <w:p>
      <w:pPr>
        <w:spacing w:before="0" w:after="120"/>
      </w:pPr>
      <w:r>
        <w:rPr>
          <w:b/>
        </w:rPr>
        <w:t xml:space="preserve">Notes: </w:t>
      </w:r>
      <w:r>
        <w:t>abstract_source=crossref</w:t>
      </w:r>
    </w:p>
    <w:p>
      <w:pPr>
        <w:spacing w:before="0" w:after="80" w:lineRule="auto" w:line="276"/>
      </w:pPr>
      <w:r>
        <w:rPr>
          <w:b/>
        </w:rPr>
        <w:t xml:space="preserve">摘要（ZH）: </w:t>
      </w:r>
      <w:r>
        <w:t>摘要 通过界面工程和结构调控，合理制备了SiO2/CoMnFeOx复合催化剂。优化后的 SiO2(0.5)/Co0.5Mn1.5Fe1Ox 具有卓越的 SCR 性能，在 150–250 °C 的温度范围内实现了超过 90% 的 NOx 转化率和 80% 的 N2 选择性。在200℃下30小时的长期稳定性测试中，优化后的催化剂表现出大大提高的耐中毒能力。经证实，N2 选择性的提高源于抑制 N2O 副产物的生成。优异的 NH3-SCR 活性主要归因于催化剂丰富的表面吸附氧和暴露的活性位点，以及协同平衡的表面酸性和氧化还原性能。此外，通过DFT分析和原位DRIFTS技术阐明了主要催化反应和内在的抗中毒机制。这项工作为开发高效的 NH3-SCR 技术建立了创新且可靠的策略。</w:t>
      </w:r>
    </w:p>
    <w:p>
      <w:pPr>
        <w:spacing w:before="0" w:after="200" w:lineRule="auto" w:line="276"/>
      </w:pPr>
      <w:r>
        <w:rPr>
          <w:b/>
        </w:rPr>
        <w:t xml:space="preserve">Abstract (EN): </w:t>
      </w:r>
      <w:r>
        <w:t>A SiO2/CoMnFeOx composite catalyst was rationally fabricated via interfacial engineering and structural regulation. The optimized SiO2(0.5)/Co0.5Mn1.5Fe1Ox delivered remarkable SCR performance, achieving over 90% NOx conversion and 80% N2 selectivity within a temperature window of 150–250 °C. During a 30 h long-term stability test at 200 °C, the optimized catalyst exhibited greatly improved tolerance to poisoning. The improved N2 selectivity was verified to originate from the inhibited generation of N2O by‑products. The exceptional NH3-SCR activity is primarily attributed to the abundant surface-adsorbed oxygen species and exposed active sites of the catalyst, as well as the synergistically balanced surface acidity and redox properties. Furthermore, the main catalytic reaction and the intrinsic antipoisoning mechanism were elucidated through DFT analysis and in situ DRIFTS technology. This work establishes an innovative and reliable strategy for developing efficient NH3-SCR technology.</w:t>
      </w:r>
    </w:p>
    <w:p>
      <w:pPr>
        <w:spacing w:before="120" w:after="120"/>
      </w:pPr>
      <w:r>
        <w:rPr>
          <w:sz w:val="18"/>
        </w:rPr>
        <w:t>——————————————————————————————————————————————————————————————————————</w:t>
      </w:r>
    </w:p>
    <w:p>
      <w:pPr>
        <w:spacing w:before="160" w:after="40" w:line="240" w:lineRule="auto"/>
      </w:pPr>
      <w:r>
        <w:rPr>
          <w:b/>
        </w:rPr>
        <w:t xml:space="preserve">[22] </w:t>
      </w:r>
      <w:hyperlink r:id="rId526">
        <w:r>
          <w:rPr>
            <w:color w:val="1155CC"/>
            <w:u w:val="single"/>
          </w:rPr>
          <w:t>分层强化学习实现经济高效的铁路微电网管理</w:t>
        </w:r>
      </w:hyperlink>
    </w:p>
    <w:p>
      <w:pPr>
        <w:spacing w:before="0" w:after="80"/>
      </w:pPr>
      <w:r>
        <w:rPr>
          <w:i/>
          <w:sz w:val="20"/>
        </w:rPr>
        <w:t>EN: Hierarchical reinforcement learning for cost-effective railway microgrid management</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527">
        <w:r>
          <w:rPr>
            <w:color w:val="1155CC"/>
            <w:u w:val="single"/>
          </w:rPr>
          <w:t>10.1016/j.apenergy.2026.128698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267">
        <w:r>
          <w:rPr>
            <w:color w:val="1155CC"/>
            <w:u w:val="single"/>
          </w:rPr>
          <w:t>用于具有电压调节的配电网络中 BESS 协调的隐私保护联合强化学习</w:t>
        </w:r>
      </w:hyperlink>
    </w:p>
    <w:p>
      <w:pPr>
        <w:spacing w:before="0" w:after="80"/>
      </w:pPr>
      <w:r>
        <w:rPr>
          <w:i/>
          <w:sz w:val="20"/>
        </w:rPr>
        <w:t>EN: Privacy-preserving federated reinforcement learning for BESS coordination in distribution networks with voltage regulation</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268">
        <w:r>
          <w:rPr>
            <w:color w:val="1155CC"/>
            <w:u w:val="single"/>
          </w:rPr>
          <w:t>10.1016/j.apenergy.2026.128681</w:t>
        </w:r>
      </w:hyperlink>
    </w:p>
    <w:p>
      <w:pPr>
        <w:spacing w:before="0" w:after="120"/>
      </w:pPr>
      <w:r>
        <w:rPr>
          <w:b/>
        </w:rPr>
        <w:t xml:space="preserve">Notes: </w:t>
      </w:r>
      <w:r>
        <w:t>abstract_source=openalex</w:t>
      </w:r>
    </w:p>
    <w:p>
      <w:pPr>
        <w:spacing w:before="0" w:after="80" w:lineRule="auto" w:line="276"/>
      </w:pPr>
      <w:r>
        <w:rPr>
          <w:b/>
        </w:rPr>
        <w:t xml:space="preserve">摘要（ZH）: </w:t>
      </w:r>
      <w:r>
        <w:t>分布式能源（DER）在配电网络中的日益集成，特别是电池储能系统（BESS），使得能源交易和运营成本降低成为可能，但也给协调能源管理带来了挑战。分布式 BESS 的有效协调需要访问住宅数据，这引发了重大的数据隐私问题。近年来，联合强化学习（FRL）已成为一种有前景的人工智能方法，用于保护隐私的 BESS 能源管理。然而，FRL在配电网中的应用受到一些挑战的限制，包括耦合BESS交互引起的电压约束下的协调、中间结果共享造成的隐私泄漏以及高BESS渗透率下的可扩展性问题。为了解决这些挑战，本文提出了一种用于BESS与电压调节协调的隐私保护联邦强化学习方案（PPFRL-BC）。 BESS 能源管理问题是在 (ε,δ) 差分隐私约束下制定的，其中隐私保护奖励函数共同捕获系统级奖励和电压调节要求。在此基础上，所提出的 PPFRL-BC 方案能够在不直接共享原始住宅数据的情况下实现协调的 BESS 操作，同时采用面向 BESS 的高斯噪声机制来减轻与中间结果共享相关的隐私泄漏。为了进一步提高可扩展性，引入了近似动作分支方法来降低大型中的计算复杂度</w:t>
      </w:r>
    </w:p>
    <w:p>
      <w:pPr>
        <w:spacing w:before="0" w:after="200" w:lineRule="auto" w:line="276"/>
      </w:pPr>
      <w:r>
        <w:rPr>
          <w:b/>
        </w:rPr>
        <w:t xml:space="preserve">Abstract (EN): </w:t>
      </w:r>
      <w:r>
        <w:t>The increasing integration of distributed energy resources (DERs) in distribution networks, particularly battery energy storage systems (BESSs), enables energy trading and operational cost reduction but also introduces challenges for coordinated energy management. Effective coordination of distributed BESSs requires access to residential data, raising significant data privacy concerns. In recent years, federated reinforcement learning (FRL) has emerged as a promising AI approach for privacy-preserving BESS energy management. However, the application of FRL in distribution networks is limited by several challenges, including coordination under voltage constraints caused by coupled BESS interactions, privacy leakage from intermediate result sharing, and scalability issues under high BESS penetration.To address these challenges, this paper proposes a privacy-preserving federated reinforcement learning scheme for BESS coordination with voltage regulation (PPFRL-BC). The BESS energy management problem is formulated under (ε,δ)-differential privacy constraints, within which privacy-preserving reward functions jointly capture system-level rewards and voltage regulation requirements. Building on this formulation, the proposed PPFRL-BC scheme enables coordinated BESS operation without direct sharing of raw residential data, while a BESS-oriented Gaussian noise mechanism is incorporated to mitigate privacy leakage associated with intermediate result sharing. To further improve scalability, an approximate action branching method is introduced to reduce computational complexity in large-scale distribution networks.Case studies on the IEEE 33-bus and 123-bus test feeders demonstrate that the proposed PPFRL-BC scheme effectively coordinates distributed BESS operations, maintains voltage regulation under network constraints and preserves data privacy, while achieving performance comparable to the centralized scheme and outperforming both decentralized and conventional horizontal FRL schemes.</w:t>
      </w:r>
    </w:p>
    <w:p>
      <w:pPr>
        <w:spacing w:before="120" w:after="120"/>
      </w:pPr>
      <w:r>
        <w:rPr>
          <w:sz w:val="18"/>
        </w:rPr>
        <w:t>——————————————————————————————————————————————————————————————————————</w:t>
      </w:r>
    </w:p>
    <w:p>
      <w:pPr>
        <w:spacing w:before="160" w:after="40" w:line="240" w:lineRule="auto"/>
      </w:pPr>
      <w:r>
        <w:rPr>
          <w:b/>
        </w:rPr>
        <w:t xml:space="preserve">[24] </w:t>
      </w:r>
      <w:hyperlink r:id="rId528">
        <w:r>
          <w:rPr>
            <w:color w:val="1155CC"/>
            <w:u w:val="single"/>
          </w:rPr>
          <w:t>碳核算和适应气候的电气化调度，以实现碳中和下需求响应型交通</w:t>
        </w:r>
      </w:hyperlink>
    </w:p>
    <w:p>
      <w:pPr>
        <w:spacing w:before="0" w:after="80"/>
      </w:pPr>
      <w:r>
        <w:rPr>
          <w:i/>
          <w:sz w:val="20"/>
        </w:rPr>
        <w:t>EN: Carbon accounting and weather-adaptive electrification dispatch for demand-responsive transit under carbon neutrality</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529">
        <w:r>
          <w:rPr>
            <w:color w:val="1155CC"/>
            <w:u w:val="single"/>
          </w:rPr>
          <w:t>10.1016/j.apenergy.2026.128694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530">
        <w:r>
          <w:rPr>
            <w:color w:val="1155CC"/>
            <w:u w:val="single"/>
          </w:rPr>
          <w:t>用于湿度管理和节能的智能湿度控制窗：热带地区的系统设计、建模和验证</w:t>
        </w:r>
      </w:hyperlink>
    </w:p>
    <w:p>
      <w:pPr>
        <w:spacing w:before="0" w:after="80"/>
      </w:pPr>
      <w:r>
        <w:rPr>
          <w:i/>
          <w:sz w:val="20"/>
        </w:rPr>
        <w:t>EN: A smart humidity-control window for moisture management and energy saving: System design, modeling and validation in tropical regions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531">
        <w:r>
          <w:rPr>
            <w:color w:val="1155CC"/>
            <w:u w:val="single"/>
          </w:rPr>
          <w:t>10.1016/j.apenergy.2026.128704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532">
        <w:r>
          <w:rPr>
            <w:color w:val="1155CC"/>
            <w:u w:val="single"/>
          </w:rPr>
          <w:t>木灰碱液作为埃洛石纳米管基地质聚合物的可持续碱性活化剂，具有改进的性能和耐用性</w:t>
        </w:r>
      </w:hyperlink>
    </w:p>
    <w:p>
      <w:pPr>
        <w:spacing w:before="0" w:after="80"/>
      </w:pPr>
      <w:r>
        <w:rPr>
          <w:i/>
          <w:sz w:val="20"/>
        </w:rPr>
        <w:t>EN: Wood Ash Lye as a Sustainable Alkaline Activator for Halloysite Nanotube-Based Geopolymers with Improved Performance and Durability</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533">
        <w:r>
          <w:rPr>
            <w:color w:val="1155CC"/>
            <w:u w:val="single"/>
          </w:rPr>
          <w:t>10.1021/acsami.6c14048</w:t>
        </w:r>
      </w:hyperlink>
    </w:p>
    <w:p>
      <w:pPr>
        <w:spacing w:before="0" w:after="120"/>
      </w:pPr>
      <w:r>
        <w:rPr>
          <w:b/>
        </w:rPr>
        <w:t xml:space="preserve">Notes: </w:t>
      </w:r>
      <w:r>
        <w:t>abstract_source=crossref</w:t>
      </w:r>
    </w:p>
    <w:p>
      <w:pPr>
        <w:spacing w:before="0" w:after="80" w:lineRule="auto" w:line="276"/>
      </w:pPr>
      <w:r>
        <w:rPr>
          <w:b/>
        </w:rPr>
        <w:t xml:space="preserve">摘要（ZH）: </w:t>
      </w:r>
      <w:r>
        <w:t>摘要 与波特兰水泥相比，地质聚合物具有较高的机械性能、耐久性和较低的环境影响，是有前途的无机粘合剂和替代胶凝材料。然而，由于使用传统的碱性活化剂（例如氢氧化钠），地质聚合物材料的应用受到限制，这与能源密集型生产和安全问题相关。在这项研究中，木灰碱液被探索作为一种可持续且低成本的替代碱性活化剂，用于合成基于天然埃洛石纳米管（代表铝硅酸盐前体）的地质聚合物。研究了活化剂（木灰碱液或氢氧化钠）和固化温度（25 和 50 °C）对地质聚合物材料的结构、质地、机械和耐久性相关性能的影响。碱液活化的地质聚合物表现出更致密的结构和更低的微孔隙率。具体而言，在 50 °C 下固化的碱液活化样品表现出优异的机械刚度，与 NaOH 活化样品 (2.83%) 相比，在 18 N 压缩下实现了 0.58% 的应变，并且吸湿率降低（72 小时后为 9.4% vs 13.0%）。此外，碱液活化提供了增强的热屏蔽，将火焰暴露下的初始加热速率从 290 °C min–1（原始埃洛石）降低至 35 °C min–1，同时在水浸测试期间保持完整的结构完整性，降低吸湿性，并相对于氢钠活化的材料提高了耐水浸性</w:t>
      </w:r>
    </w:p>
    <w:p>
      <w:pPr>
        <w:spacing w:before="0" w:after="200" w:lineRule="auto" w:line="276"/>
      </w:pPr>
      <w:r>
        <w:rPr>
          <w:b/>
        </w:rPr>
        <w:t xml:space="preserve">Abstract (EN): </w:t>
      </w:r>
      <w:r>
        <w:t>Geopolymers are promising inorganic binders and alternative cementitious materials due to their high mechanical performance, durability, and reduced environmental impact in comparison with Portland cement. Nevertheless, the application of geopolymeric materials is limited due to the use of conventional alkaline activators, such as sodium hydroxide, which are associated with energy-intensive production and safety concerns. In this study, wood ash lye has been explored as a sustainable and low-cost alternative alkaline activator for the synthesis of geopolymers based on natural halloysite nanotubes, which represent the aluminosilicate precursors. The effects of the activator (wood ash lye or sodium hydroxide) and curing temperature (25 and 50 °C) on the structural, textural, mechanical, and durability-related properties of the geopolymeric materials have been investigated. Lye-activated geopolymers exhibit a more compact structure and reduced microporosity. Specifically, lye-activated samples cured at 50 °C exhibit superior mechanical stiffness, achieving a strain of 0.58% under 18 N compression compared to the NaOH-activated sample (2.83%), as well as a reduced moisture uptake (9.4 vs 13.0% after 72 h). Furthermore, lye activation provided enhanced thermal shielding, reducing the initial heating rate under flame exposure from 290 °C min–1 (pristine halloysite) to 35 °C min–1, while maintaining full structural integrity during water immersion testing, lower moisture uptake, and improved resistance to water immersion with respect to materials activated by sodium hydroxide. These findings demonstrate that wood ash lye is an effective alkaline activator and represents a viable strategy for biomass ash valorization and development of sustainable geopolymeric materials.</w:t>
      </w:r>
    </w:p>
    <w:p>
      <w:pPr>
        <w:spacing w:before="120" w:after="120"/>
      </w:pPr>
      <w:r>
        <w:rPr>
          <w:sz w:val="18"/>
        </w:rPr>
        <w:t>——————————————————————————————————————————————————————————————————————</w:t>
      </w:r>
    </w:p>
    <w:p>
      <w:pPr>
        <w:spacing w:before="160" w:after="40" w:line="240" w:lineRule="auto"/>
      </w:pPr>
      <w:r>
        <w:rPr>
          <w:b/>
        </w:rPr>
        <w:t xml:space="preserve">[27] </w:t>
      </w:r>
      <w:hyperlink r:id="rId445">
        <w:r>
          <w:rPr>
            <w:color w:val="1155CC"/>
            <w:u w:val="single"/>
          </w:rPr>
          <w:t>亚欧绿色航运走廊脱碳分阶段燃料转型</w:t>
        </w:r>
      </w:hyperlink>
    </w:p>
    <w:p>
      <w:pPr>
        <w:spacing w:before="0" w:after="80"/>
      </w:pPr>
      <w:r>
        <w:rPr>
          <w:i/>
          <w:sz w:val="20"/>
        </w:rPr>
        <w:t>EN: Phased fuel transitions for decarbonizing the Asia–Europe Green Shipping Corridor</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446">
        <w:r>
          <w:rPr>
            <w:color w:val="1155CC"/>
            <w:u w:val="single"/>
          </w:rPr>
          <w:t>10.1038/s41893-026-01878-9</w:t>
        </w:r>
      </w:hyperlink>
    </w:p>
    <w:p>
      <w:pPr>
        <w:spacing w:before="0" w:after="120"/>
      </w:pPr>
      <w:r>
        <w:rPr>
          <w:b/>
        </w:rPr>
        <w:t xml:space="preserve">Notes: </w:t>
      </w:r>
      <w:r>
        <w:t>abstract_source=semanticscholar</w:t>
      </w:r>
    </w:p>
    <w:p>
      <w:pPr>
        <w:spacing w:before="0" w:after="80" w:lineRule="auto" w:line="276"/>
      </w:pPr>
      <w:r>
        <w:rPr>
          <w:b/>
        </w:rPr>
        <w:t xml:space="preserve">摘要（ZH）: </w:t>
      </w:r>
      <w:r>
        <w:t>国际航运正处于脱碳努力的关键时刻，但对可行燃料转型途径的全面评估仍然很少。在这里，我们开发了一个与系统动力学相结合的动态生命周期评估框架，以评估到2050年亚欧绿色航运走廊的13种替代海洋燃料（例如氨、甲醇、氢气和大豆基生物柴油）。该框架涵盖了气候影响、环境可持续性、能源效率和经济可行性。在三种情景（一切照常、最经济和最大限度碳减排）下，本研究考虑了关键动态参数，包括技术学习曲线。结果表明，这是一个阶段性转变：大豆生物柴油提供了短期解决方案，而电燃料在 2040 年之后将占据主导地位。国际海事组织的净零框架逐步缩小区域成本与排放差距，而欧盟的 FuelEU 海事法规则引入了高达 7.6% 的成本溢价。这些结果表明，政策设计和监管严格程度在很大程度上影响了海上脱碳的燃料转型轨迹。航运业仍然几乎完全依赖化石燃料，在不断变化的法规下确定可行的燃料过渡途径是一个关键挑战。目前，一项研究评估了亚欧走廊的 13 种替代海洋燃料，揭示了由政策设计和时机决定的分阶段过渡。</w:t>
      </w:r>
    </w:p>
    <w:p>
      <w:pPr>
        <w:spacing w:before="0" w:after="200" w:lineRule="auto" w:line="276"/>
      </w:pPr>
      <w:r>
        <w:rPr>
          <w:b/>
        </w:rPr>
        <w:t xml:space="preserve">Abstract (EN): </w:t>
      </w:r>
      <w:r>
        <w:t>International shipping stands at a pivotal juncture in its decarbonization efforts, yet a comprehensive assessment of viable fuel transition pathways remains scarce. Here we develop a dynamic life cycle assessment framework integrated with system dynamics to evaluate 13 alternative marine fuels (for example, ammonia, methanol, hydrogen and soybean-based biodiesel) for the Asia–Europe Green Shipping Corridor through 2050. The framework incorporates climate impacts, environmental sustainability, energy efficiency and economic feasibility. Under three scenarios (Business as Usual, Most Economical and Maximum Carbon Reduction), this study accounts for key dynamic parameters, including technology learning curves. Results indicate a phased transition: soybean-based biodiesel offers a near-term solution, while electrofuels dominate after 2040. The International Maritime Organization’s Net-Zero Framework progressively narrows regional cost–emission gaps, whereas the European Union’s FuelEU Maritime regulation introduces a cost premium of up to 7.6%. These results indicate that policy design and regulatory stringency substantially shape fuel transition trajectories for maritime decarbonization. Shipping remains almost entirely reliant on fossil fuels, and identifying viable fuel transition pathways under evolving regulations is a key challenge. A study now evaluates 13 alternative marine fuels for the Asia–Europe corridor, revealing phased transitions shaped by policy design and timing.</w:t>
      </w:r>
    </w:p>
    <w:p>
      <w:pPr>
        <w:spacing w:before="120" w:after="120"/>
      </w:pPr>
      <w:r>
        <w:rPr>
          <w:sz w:val="18"/>
        </w:rPr>
        <w:t>——————————————————————————————————————————————————————————————————————</w:t>
      </w:r>
    </w:p>
    <w:p>
      <w:pPr>
        <w:spacing w:before="160" w:after="40" w:line="240" w:lineRule="auto"/>
      </w:pPr>
      <w:r>
        <w:rPr>
          <w:b/>
        </w:rPr>
        <w:t xml:space="preserve">[28] </w:t>
      </w:r>
      <w:hyperlink r:id="rId447">
        <w:r>
          <w:rPr>
            <w:color w:val="1155CC"/>
            <w:u w:val="single"/>
          </w:rPr>
          <w:t>低碳航运的分阶段燃料转型</w:t>
        </w:r>
      </w:hyperlink>
    </w:p>
    <w:p>
      <w:pPr>
        <w:spacing w:before="0" w:after="80"/>
      </w:pPr>
      <w:r>
        <w:rPr>
          <w:i/>
          <w:sz w:val="20"/>
        </w:rPr>
        <w:t>EN: Phased fuel transition for low-carbon shipping</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448">
        <w:r>
          <w:rPr>
            <w:color w:val="1155CC"/>
            <w:u w:val="single"/>
          </w:rPr>
          <w:t>10.1038/s41893-026-01907-7</w:t>
        </w:r>
      </w:hyperlink>
    </w:p>
    <w:p>
      <w:pPr>
        <w:spacing w:before="0" w:after="120"/>
      </w:pPr>
      <w:r>
        <w:rPr>
          <w:b/>
        </w:rPr>
        <w:t xml:space="preserve">Notes: </w:t>
      </w:r>
      <w:r>
        <w:t>abstract_source=semanticscholar</w:t>
      </w:r>
    </w:p>
    <w:p>
      <w:pPr>
        <w:spacing w:before="0" w:after="80" w:lineRule="auto" w:line="276"/>
      </w:pPr>
      <w:r>
        <w:rPr>
          <w:b/>
        </w:rPr>
        <w:t xml:space="preserve">摘要（ZH）: </w:t>
      </w:r>
      <w:r>
        <w:t>在亚欧航运走廊沿线，生物燃料提供了最有力的近期选择，有可能将温室气体排放量减少 31-47%，而根据国际海事组织净零框架，2040 年后电燃料将变得更具竞争力。因此，政策制定者可以采取分阶段战略，即现在优先考虑生物燃料，并为 2040 年后的电燃料基础设施做好准备，以避免航运业锁定过渡化石燃料。优先考虑可持续生物燃料以减少近期温室气体排放。扩大可再生电力供应，充分发挥电燃料的气候效益。将区域碳强度目标与当地电力结构保持一致。将监管设计纳入 IMO 净零框架，以实现长期投资稳定性。优先考虑可持续生物燃料以减少近期温室气体排放。扩大可再生电力供应，充分发挥电燃料的气候效益。将区域碳强度目标与当地电力结构保持一致。将监管设计纳入 IMO 净零框架，以实现长期投资稳定性。</w:t>
      </w:r>
    </w:p>
    <w:p>
      <w:pPr>
        <w:spacing w:before="0" w:after="200" w:lineRule="auto" w:line="276"/>
      </w:pPr>
      <w:r>
        <w:rPr>
          <w:b/>
        </w:rPr>
        <w:t xml:space="preserve">Abstract (EN): </w:t>
      </w:r>
      <w:r>
        <w:t>Along the Asia–Europe shipping corridor, biofuels offer the strongest near-term option, potentially cutting greenhouse gas emissions by 31–47%, while electrofuels become more competitive after 2040 under the International Maritime Organization Net-Zero Framework. Policymakers could therefore adopt a phased strategy that prioritizes biofuels now and prepares infrastructure for electrofuels after 2040, to avoid locking shipping into transitional fossil fuels. Prioritize sustainable biofuels for near-term cuts in greenhouse gas emissions. Expand renewable electricity supply to unlock the full climate benefits of electrofuels. Align regional carbon intensity targets with local electricity mixes. Anchor regulatory design in the IMO Net-Zero Framework for long-term investment stability. Prioritize sustainable biofuels for near-term cuts in greenhouse gas emissions. Expand renewable electricity supply to unlock the full climate benefits of electrofuels. Align regional carbon intensity targets with local electricity mixes. Anchor regulatory design in the IMO Net-Zero Framework for long-term investment stability.</w:t>
      </w:r>
    </w:p>
    <w:p>
      <w:pPr>
        <w:spacing w:before="120" w:after="120"/>
      </w:pPr>
      <w:r>
        <w:rPr>
          <w:sz w:val="18"/>
        </w:rPr>
        <w:t>——————————————————————————————————————————————————————————————————————</w:t>
      </w:r>
    </w:p>
    <w:p>
      <w:pPr>
        <w:spacing w:before="160" w:after="40" w:line="240" w:lineRule="auto"/>
      </w:pPr>
      <w:r>
        <w:rPr>
          <w:b/>
        </w:rPr>
        <w:t xml:space="preserve">[29] </w:t>
      </w:r>
      <w:hyperlink r:id="rId534">
        <w:r>
          <w:rPr>
            <w:color w:val="1155CC"/>
            <w:u w:val="single"/>
          </w:rPr>
          <w:t>超越机舱</w:t>
        </w:r>
      </w:hyperlink>
    </w:p>
    <w:p>
      <w:pPr>
        <w:spacing w:before="0" w:after="80"/>
      </w:pPr>
      <w:r>
        <w:rPr>
          <w:i/>
          <w:sz w:val="20"/>
        </w:rPr>
        <w:t>EN: Beyond the engine room</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535">
        <w:r>
          <w:rPr>
            <w:color w:val="1155CC"/>
            <w:u w:val="single"/>
          </w:rPr>
          <w:t>10.1038/s41893-026-01919-3</w:t>
        </w:r>
      </w:hyperlink>
    </w:p>
    <w:p>
      <w:pPr>
        <w:spacing w:before="0" w:after="120"/>
      </w:pPr>
      <w:r>
        <w:rPr>
          <w:b/>
        </w:rPr>
        <w:t xml:space="preserve">Notes: </w:t>
      </w:r>
      <w:r>
        <w:t>abstract_source=rss_nature</w:t>
      </w:r>
    </w:p>
    <w:p>
      <w:pPr>
        <w:spacing w:before="0" w:after="80" w:lineRule="auto" w:line="276"/>
      </w:pPr>
      <w:r>
        <w:rPr>
          <w:b/>
        </w:rPr>
        <w:t xml:space="preserve">摘要（ZH）: </w:t>
      </w:r>
      <w:r>
        <w:t>技术进步可以帮助解决航运对环境的影响，但解决方案的实施仍然缓慢且存在问题。将航运理解为一个复杂的物理、经济和治理系统是加速可持续转型的关键。</w:t>
      </w:r>
    </w:p>
    <w:p>
      <w:pPr>
        <w:spacing w:before="0" w:after="200" w:lineRule="auto" w:line="276"/>
      </w:pPr>
      <w:r>
        <w:rPr>
          <w:b/>
        </w:rPr>
        <w:t xml:space="preserve">Abstract (EN): </w:t>
      </w:r>
      <w:r>
        <w:t>Technological progress can help address the environmental impacts of shipping, but implementing solutions remains slow and problematic. Understanding shipping as a complex physical, economic and governance system is the key to accelerating a sustainable transition.</w:t>
      </w:r>
    </w:p>
    <w:p>
      <w:pPr>
        <w:spacing w:before="120" w:after="120"/>
      </w:pPr>
      <w:r>
        <w:rPr>
          <w:sz w:val="18"/>
        </w:rPr>
        <w:t>——————————————————————————————————————————————————————————————————————</w:t>
      </w:r>
    </w:p>
    <w:p>
      <w:pPr>
        <w:spacing w:before="160" w:after="40" w:line="240" w:lineRule="auto"/>
      </w:pPr>
      <w:r>
        <w:rPr>
          <w:b/>
        </w:rPr>
        <w:t xml:space="preserve">[30] </w:t>
      </w:r>
      <w:hyperlink r:id="rId536">
        <w:r>
          <w:rPr>
            <w:color w:val="1155CC"/>
            <w:u w:val="single"/>
          </w:rPr>
          <w:t>到 2050 年节约成本的北极过境运输的黑碳排放和气候影响</w:t>
        </w:r>
      </w:hyperlink>
    </w:p>
    <w:p>
      <w:pPr>
        <w:spacing w:before="0" w:after="80"/>
      </w:pPr>
      <w:r>
        <w:rPr>
          <w:i/>
          <w:sz w:val="20"/>
        </w:rPr>
        <w:t>EN: Black carbon emissions and climate impacts of cost-saving Arctic transit shipping through 2050</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537">
        <w:r>
          <w:rPr>
            <w:color w:val="1155CC"/>
            <w:u w:val="single"/>
          </w:rPr>
          <w:t>10.1038/s41893-026-01877-w</w:t>
        </w:r>
      </w:hyperlink>
    </w:p>
    <w:p>
      <w:pPr>
        <w:spacing w:before="0" w:after="120"/>
      </w:pPr>
      <w:r>
        <w:rPr>
          <w:b/>
        </w:rPr>
        <w:t xml:space="preserve">Notes: </w:t>
      </w:r>
      <w:r>
        <w:t>abstract_source=rss_nature</w:t>
      </w:r>
    </w:p>
    <w:p>
      <w:pPr>
        <w:spacing w:before="0" w:after="80" w:lineRule="auto" w:line="276"/>
      </w:pPr>
      <w:r>
        <w:rPr>
          <w:b/>
        </w:rPr>
        <w:t xml:space="preserve">摘要（ZH）: </w:t>
      </w:r>
      <w:r>
        <w:t>北极过境航线可以通过较短的航程带来经济收益，但会增加冰雪上的区域黑碳沉积。目前，一项研究对 2050 年北极过境运输的经济效益和气候影响进行了建模，探讨了不同政策的权衡。</w:t>
      </w:r>
    </w:p>
    <w:p>
      <w:pPr>
        <w:spacing w:before="0" w:after="200" w:lineRule="auto" w:line="276"/>
      </w:pPr>
      <w:r>
        <w:rPr>
          <w:b/>
        </w:rPr>
        <w:t xml:space="preserve">Abstract (EN): </w:t>
      </w:r>
      <w:r>
        <w:t>Arctic transit routes offer economic gains from shorter voyages but increase regional black carbon deposition on snow and ice. A study now models the economic benefits and climate impacts of Arctic transit shipping through 2050, exploring the trade-offs of different policies.</w:t>
      </w:r>
    </w:p>
    <w:p>
      <w:pPr>
        <w:spacing w:before="120" w:after="120"/>
      </w:pPr>
      <w:r>
        <w:rPr>
          <w:sz w:val="18"/>
        </w:rPr>
        <w:t>——————————————————————————————————————————————————————————————————————</w:t>
      </w:r>
    </w:p>
    <w:p>
      <w:pPr>
        <w:spacing w:before="160" w:after="40" w:line="240" w:lineRule="auto"/>
      </w:pPr>
      <w:r>
        <w:rPr>
          <w:b/>
        </w:rPr>
        <w:t xml:space="preserve">[31] </w:t>
      </w:r>
      <w:hyperlink r:id="rId538">
        <w:r>
          <w:rPr>
            <w:color w:val="1155CC"/>
            <w:u w:val="single"/>
          </w:rPr>
          <w:t>光子和声子协同驱动的 Pt/CeO2 {111} 纳米晶催化燃烧极低浓度甲烷</w:t>
        </w:r>
      </w:hyperlink>
    </w:p>
    <w:p>
      <w:pPr>
        <w:spacing w:before="0" w:after="80"/>
      </w:pPr>
      <w:r>
        <w:rPr>
          <w:i/>
          <w:sz w:val="20"/>
        </w:rPr>
        <w:t>EN: Catalytic Combustion of Extremely Low Concentrations of Methane by Pt/CeO2 {111} Nanocrystals Driven by the Synergy of Photons and Phonons</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539">
        <w:r>
          <w:rPr>
            <w:color w:val="1155CC"/>
            <w:u w:val="single"/>
          </w:rPr>
          <w:t>10.1021/jacs.6c05483</w:t>
        </w:r>
      </w:hyperlink>
    </w:p>
    <w:p>
      <w:pPr>
        <w:spacing w:before="0" w:after="120"/>
      </w:pPr>
      <w:r>
        <w:rPr>
          <w:b/>
        </w:rPr>
        <w:t xml:space="preserve">Notes: </w:t>
      </w:r>
      <w:r>
        <w:t>abstract_source=crossref</w:t>
      </w:r>
    </w:p>
    <w:p>
      <w:pPr>
        <w:spacing w:before="0" w:after="80" w:lineRule="auto" w:line="276"/>
      </w:pPr>
      <w:r>
        <w:rPr>
          <w:b/>
        </w:rPr>
        <w:t xml:space="preserve">摘要（ZH）: </w:t>
      </w:r>
      <w:r>
        <w:t>摘要 垃圾填埋场和煤矿的人为甲烷排放，当地浓度较低（&lt;5000 ppm）是气候变化的关键因素，如此低浓度甲烷的转化被广泛认为是催化领域的棘手问题，同时也是可持续社会的关键。传统的催化甲烷燃烧需要高温 (&gt;400 °C)，并且在相当低的浓度 (&lt;1000 ppm) 下效率特别低。在此，光子-声子共驱动催化辅助的 Pt/CeO2 {111} 纳米晶体克服了这些挑战。超快瞬态吸收光谱证实，CeO2 {111} 有效地​​收集光子并促进电荷分离，而声子则促进去俘获过程并改善初始电荷分离，从而进一步增强活性电荷数量。同时，Pt 作为一种有效的电子受体，能够在皮秒时间尺度上实现甲烷的光空穴氧化并加速氧还原反应。所有这些结果导致起燃温度 T80 为 98 °C，单程甲烷燃烧效率为 95%，200 °C 时 CO2 选择性接近 100%，表观量子效率为 36.5%，在甲烷浓度仅为 500 ppm 的情况下，可保持 100 小时以上的长期稳定性。这些发现为在温和条件下有效减少低浓度甲烷排放建立了可扩展的策略。</w:t>
      </w:r>
    </w:p>
    <w:p>
      <w:pPr>
        <w:spacing w:before="0" w:after="200" w:lineRule="auto" w:line="276"/>
      </w:pPr>
      <w:r>
        <w:rPr>
          <w:b/>
        </w:rPr>
        <w:t xml:space="preserve">Abstract (EN): </w:t>
      </w:r>
      <w:r>
        <w:t>Anthropogenic methane emissions from landfill sites and coal mines with low local concentrations (&amp;lt;5000 ppm) are a critical factor in climate change, and the conversion of such low concentrations of methane has been widely regarded as a thorny issue in catalysis while being pivotal for a sustainable society. Conventional catalytic methane combustion requires high temperatures (&amp;gt;400 °C) and is particularly inefficient at rather low concentrations (&amp;lt;1000 ppm). Herein, Pt/CeO2 {111} nanocrystals assisted by photon-phonon codriven catalysis overcome these challenges. Ultrafast transient absorption spectroscopies confirm that CeO2 {111} efficiently harvests photons and promotes charge separation, while phonons promote the detrapping process and improve the initial charge separation, further enhancing the active charge populations. Meanwhile, Pt works as an efficient electron acceptor, enabling photohole oxidation of methane at the picosecond time scale and accelerating oxygen reduction reactions. All these results lead to a low light-off temperature T80 of 98 °C and a one-pass methane combustion efficiency of 95% with CO2 selectivity of near 100% at 200 °C, together with an apparent quantum efficiency of 36.5% and long-term stability over 100 h in the presence of even rather low methane concentrations of 500 ppm. These findings establish a scalable strategy for the efficient abatement of low-concentration methane emissions under mild conditions.</w:t>
      </w:r>
    </w:p>
    <w:p>
      <w:pPr>
        <w:spacing w:before="120" w:after="120"/>
      </w:pPr>
      <w:r>
        <w:rPr>
          <w:sz w:val="18"/>
        </w:rPr>
        <w:t>——————————————————————————————————————————————————————————————————————</w:t>
      </w:r>
    </w:p>
    <w:p>
      <w:pPr>
        <w:spacing w:before="160" w:after="40" w:line="240" w:lineRule="auto"/>
      </w:pPr>
      <w:r>
        <w:rPr>
          <w:b/>
        </w:rPr>
        <w:t xml:space="preserve">[32] </w:t>
      </w:r>
      <w:hyperlink r:id="rId540">
        <w:r>
          <w:rPr>
            <w:color w:val="1155CC"/>
            <w:u w:val="single"/>
          </w:rPr>
          <w:t>位点特异性分子光谱揭示了 SSZ-13 沸石中用于甲烷氧化和氮氧化物还原的单体铜活性位点</w:t>
        </w:r>
      </w:hyperlink>
    </w:p>
    <w:p>
      <w:pPr>
        <w:spacing w:before="0" w:after="80"/>
      </w:pPr>
      <w:r>
        <w:rPr>
          <w:i/>
          <w:sz w:val="20"/>
        </w:rPr>
        <w:t>EN: Site‐Specific Molecular Spectroscopy Reveals Monomeric Cu Active Sites in SSZ‐13 Zeolite for Methane Oxidation and NOx Reduction</w:t>
      </w:r>
    </w:p>
    <w:p>
      <w:pPr>
        <w:spacing w:before="0" w:after="120"/>
      </w:pPr>
      <w:r>
        <w:rPr>
          <w:b/>
        </w:rPr>
        <w:t xml:space="preserve">Source: </w:t>
      </w:r>
      <w:r>
        <w:t>Wiley: Angewandte Chemie International Edition: Table of Contents</w:t>
      </w:r>
      <w:r>
        <w:t xml:space="preserve">    </w:t>
      </w:r>
      <w:r>
        <w:rPr>
          <w:b/>
        </w:rPr>
        <w:t xml:space="preserve">Pub date: </w:t>
      </w:r>
      <w:r>
        <w:t>2026-08-19 08:44:12+00:00</w:t>
      </w:r>
      <w:r>
        <w:t xml:space="preserve">    </w:t>
      </w:r>
      <w:r>
        <w:rPr>
          <w:b/>
        </w:rPr>
        <w:t xml:space="preserve">DOI: </w:t>
      </w:r>
      <w:hyperlink r:id="rId541">
        <w:r>
          <w:rPr>
            <w:color w:val="1155CC"/>
            <w:u w:val="single"/>
          </w:rPr>
          <w:t>10.1002/anie.8285953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铜沸石催化剂在 NO 选择性催化还原 (SCR) 中表现出优异的性能</w:t>
      </w:r>
      <w:r>
        <w:t xml:space="preserve"> </w:t>
      </w:r>
      <w:r>
        <w:t>x</w:t>
      </w:r>
      <w:r>
        <w:t xml:space="preserve"> </w:t>
      </w:r>
      <w:r>
        <w:t>和甲烷部分氧化（POM），但其活性位点的识别仍然难以捉摸，并且经常存在争议。最近的报告表明二聚铜物质是这些反应的活性位点的原因。我们证明，红外和紫外共振拉曼光谱（使用 244 nm 激光）与紫外可见光谱相结合，可以揭示 SSZ-13 沸石中铜的锚定和形态，特别是使用常用可见激光激发（~400-600 nm）拉曼光谱无法观察到的主要单体铜形态。电子结构建模证实了光谱特征，并揭示了与铜和沸石框架之间的界面键合相关的振动耦合模式。伪正方形平面单体Z</w:t>
      </w:r>
      <w:r>
        <w:rPr>
          <w:vertAlign w:val="subscript"/>
        </w:rPr>
        <w:t>2</w:t>
      </w:r>
      <w:r>
        <w:t>Cu 物种（“Z”代表沸石骨架电荷位点）被发现是~400°C 下 SCR 和 POM 的活性位点，而单体 ZCuOH 物种负责较低温度下的 SCR。</w:t>
      </w:r>
    </w:p>
    <w:p>
      <w:pPr>
        <w:spacing w:before="0" w:after="200" w:lineRule="auto" w:line="276"/>
      </w:pPr>
      <w:r>
        <w:rPr>
          <w:b/>
        </w:rPr>
        <w:t xml:space="preserve">Abstract (EN): </w:t>
      </w:r>
      <w:r>
        <w:t>Copper–zeolite catalysts exhibit superior performance in selective catalytic reduction (SCR) of NO</w:t>
      </w:r>
      <w:r>
        <w:t xml:space="preserve"> </w:t>
      </w:r>
      <w:r>
        <w:t>x</w:t>
      </w:r>
      <w:r>
        <w:t xml:space="preserve"> </w:t>
      </w:r>
      <w:r>
        <w:t>and partial oxidation of methane (POM), but identification of their active sites remains elusive and is often controversial. Recent reports suggest that dimeric copper species are responsible for the active sites for these reactions. We demonstrate that infrared and UV‐resonance Raman spectroscopy (using 244 nm laser) combined with UV–vis spectroscopy can reveal the anchoring and speciation of copper in SSZ‐13 zeolite, particularly the dominant monomeric copper species that cannot be observed by Raman spectroscopy with commonly employed visible laser excitation (∼400–600 nm). Electronic structure modeling corroborates the spectroscopic features and reveals the vibrational coupling modes associated with the interfacial bonding between copper and the zeolite framework. The pseudo‐square‐planar monomeric Z</w:t>
      </w:r>
      <w:r>
        <w:rPr>
          <w:vertAlign w:val="subscript"/>
        </w:rPr>
        <w:t>2</w:t>
      </w:r>
      <w:r>
        <w:t>Cu species (“Z” represents the zeolite framework charge site) were found to be the active sites for both SCR and POM at ∼400°C, whereas monomeric ZCuOH species are responsible for SCR at lower temperatures.</w:t>
      </w:r>
    </w:p>
    <w:p>
      <w:pPr>
        <w:spacing w:before="120" w:after="120"/>
      </w:pPr>
      <w:r>
        <w:rPr>
          <w:sz w:val="18"/>
        </w:rPr>
        <w:t>——————————————————————————————————————————————————————————————————————</w:t>
      </w:r>
    </w:p>
    <w:p>
      <w:pPr>
        <w:spacing w:before="160" w:after="40" w:line="240" w:lineRule="auto"/>
      </w:pPr>
      <w:r>
        <w:rPr>
          <w:b/>
        </w:rPr>
        <w:t xml:space="preserve">[33] </w:t>
      </w:r>
      <w:hyperlink r:id="rId542">
        <w:r>
          <w:rPr>
            <w:color w:val="1155CC"/>
            <w:u w:val="single"/>
          </w:rPr>
          <w:t>Zn─F双原子位点促进电化学C─N偶联用于氨基酸的合成</w:t>
        </w:r>
      </w:hyperlink>
    </w:p>
    <w:p>
      <w:pPr>
        <w:spacing w:before="0" w:after="80"/>
      </w:pPr>
      <w:r>
        <w:rPr>
          <w:i/>
          <w:sz w:val="20"/>
        </w:rPr>
        <w:t>EN: Zn─F Diatomic Sites Promote Electrochemical C─N Coupling for the Synthesis of Amino Acids</w:t>
      </w:r>
    </w:p>
    <w:p>
      <w:pPr>
        <w:spacing w:before="0" w:after="120"/>
      </w:pPr>
      <w:r>
        <w:rPr>
          <w:b/>
        </w:rPr>
        <w:t xml:space="preserve">Source: </w:t>
      </w:r>
      <w:r>
        <w:t>Wiley: Angewandte Chemie International Edition: Table of Contents</w:t>
      </w:r>
      <w:r>
        <w:t xml:space="preserve">    </w:t>
      </w:r>
      <w:r>
        <w:rPr>
          <w:b/>
        </w:rPr>
        <w:t xml:space="preserve">Pub date: </w:t>
      </w:r>
      <w:r>
        <w:t>2026-08-19 14:23:42+00:00</w:t>
      </w:r>
      <w:r>
        <w:t xml:space="preserve">    </w:t>
      </w:r>
      <w:r>
        <w:rPr>
          <w:b/>
        </w:rPr>
        <w:t xml:space="preserve">DOI: </w:t>
      </w:r>
      <w:hyperlink r:id="rId543">
        <w:r>
          <w:rPr>
            <w:color w:val="1155CC"/>
            <w:u w:val="single"/>
          </w:rPr>
          <w:t>10.1002/anie.1293701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虽然电催化C─N偶联为氨基酸合成提供了一条有前途的途径，但其效率受到复杂反应途径以及反应物和中间体在单中心催化剂上的竞争吸附的限制。在此，我们报道了一种在 MnO 上具有 F 和 Zn 双原子位点的催化剂</w:t>
      </w:r>
      <w:r>
        <w:t xml:space="preserve"> </w:t>
      </w:r>
      <w:r>
        <w:t>2-x</w:t>
      </w:r>
      <w:r>
        <w:t xml:space="preserve"> </w:t>
      </w:r>
      <w:r>
        <w:t>该技术能够在中性电解质中通过电催化 C─N 偶联，由酮酸和硝酸盐高效合成各种氨基酸。对于丙氨酸合成，该催化剂表现出高达 76.25% 的法拉第效率 (FE) 和 543.02 µmol cm 的产率</w:t>
      </w:r>
      <w:r>
        <w:t xml:space="preserve"> </w:t>
      </w:r>
      <w:r>
        <w:t>−2</w:t>
      </w:r>
      <w:r>
        <w:t xml:space="preserve"> </w:t>
      </w:r>
      <w:r>
        <w:t>小时</w:t>
      </w:r>
      <w:r>
        <w:t xml:space="preserve"> </w:t>
      </w:r>
      <w:r>
        <w:t>−1</w:t>
      </w:r>
      <w:r>
        <w:t xml:space="preserve"> </w:t>
      </w:r>
      <w:r>
        <w:t>跨越 –0.3 至 –1.3 V 的宽电位窗口</w:t>
      </w:r>
      <w:r>
        <w:t xml:space="preserve"> </w:t>
      </w:r>
      <w:r>
        <w:t>右心室</w:t>
      </w:r>
      <w:r>
        <w:t xml:space="preserve"> </w:t>
      </w:r>
      <w:r>
        <w:t>，同时保持稳定运行超过300小时。在膜电极组件反应器中，该催化剂可维持稳定的丙氨酸生产 200 小时，平均 FE 为 70.86%，能够实际分离出 44.72 克丙氨酸。原位光谱和理论计算证明了串联催化级联，其中硝酸盐还原生成 NH</w:t>
      </w:r>
      <w:r>
        <w:rPr>
          <w:vertAlign w:val="subscript"/>
        </w:rPr>
        <w:t>2</w:t>
      </w:r>
      <w:r>
        <w:t>MnO 上的 OH</w:t>
      </w:r>
      <w:r>
        <w:t xml:space="preserve"> </w:t>
      </w:r>
      <w:r>
        <w:t>2-x</w:t>
      </w:r>
      <w:r>
        <w:t xml:space="preserve"> </w:t>
      </w:r>
      <w:r>
        <w:t>, NH</w:t>
      </w:r>
      <w:r>
        <w:rPr>
          <w:vertAlign w:val="subscript"/>
        </w:rPr>
        <w:t>2</w:t>
      </w:r>
      <w:r>
        <w:t>然后，OH 自发地与 Zn 位点上吸附的酮酸缩合，形成 C=N 肟中间体，这些肟中间体迁移到 F 位点，氢化成氨基酸。这项工作提供了对氨基酸双原子位点设计的见解</w:t>
      </w:r>
    </w:p>
    <w:p>
      <w:pPr>
        <w:spacing w:before="0" w:after="200" w:lineRule="auto" w:line="276"/>
      </w:pPr>
      <w:r>
        <w:rPr>
          <w:b/>
        </w:rPr>
        <w:t xml:space="preserve">Abstract (EN): </w:t>
      </w:r>
      <w:r>
        <w:t>While electrocatalytic C─N coupling offers a promising route for amino acid synthesis, its efficiency is limited by complex reaction pathways and competitive adsorption of reactants and intermediates on single‐site catalysts. Herein, we report a catalyst with F and Zn diatomic sites on MnO</w:t>
      </w:r>
      <w:r>
        <w:t xml:space="preserve"> </w:t>
      </w:r>
      <w:r>
        <w:t>2‐x</w:t>
      </w:r>
      <w:r>
        <w:t xml:space="preserve"> </w:t>
      </w:r>
      <w:r>
        <w:t>that enables the efficient synthesis of various amino acids from keto acids and nitrate through electrocatalytic C─N coupling in neutral electrolytes. For alanine synthesis, this catalyst exhibits a high Faradaic efficiency (FE) of 76.25% and a production rate of 543.02 µmol cm</w:t>
      </w:r>
      <w:r>
        <w:t xml:space="preserve"> </w:t>
      </w:r>
      <w:r>
        <w:t>−2</w:t>
      </w:r>
      <w:r>
        <w:t xml:space="preserve"> </w:t>
      </w:r>
      <w:r>
        <w:t>h</w:t>
      </w:r>
      <w:r>
        <w:t xml:space="preserve"> </w:t>
      </w:r>
      <w:r>
        <w:t>−1</w:t>
      </w:r>
      <w:r>
        <w:t xml:space="preserve"> </w:t>
      </w:r>
      <w:r>
        <w:t>across a broad potential window from –0.3 to –1.3 V</w:t>
      </w:r>
      <w:r>
        <w:t xml:space="preserve"> </w:t>
      </w:r>
      <w:r>
        <w:t>RHE</w:t>
      </w:r>
      <w:r>
        <w:t xml:space="preserve"> </w:t>
      </w:r>
      <w:r>
        <w:t>, while maintaining stable operation for over 300 h. In a membrane electrode assembly reactor, the catalyst sustains stable alanine production for 200 h with an average FE of 70.86%, enabling the practical isolation of 44.72 g of alanine. In situ spectroscopic and theoretical calculations demonstrate a tandem catalytic cascade, in which nitrate reduction proceeds to NH</w:t>
      </w:r>
      <w:r>
        <w:rPr>
          <w:vertAlign w:val="subscript"/>
        </w:rPr>
        <w:t>2</w:t>
      </w:r>
      <w:r>
        <w:t>OH on MnO</w:t>
      </w:r>
      <w:r>
        <w:t xml:space="preserve"> </w:t>
      </w:r>
      <w:r>
        <w:t>2‐x</w:t>
      </w:r>
      <w:r>
        <w:t xml:space="preserve"> </w:t>
      </w:r>
      <w:r>
        <w:t>, NH</w:t>
      </w:r>
      <w:r>
        <w:rPr>
          <w:vertAlign w:val="subscript"/>
        </w:rPr>
        <w:t>2</w:t>
      </w:r>
      <w:r>
        <w:t>OH then spontaneously condenses with keto acids adsorbed on Zn sites to form C═N oxime intermediates, and these oximes migrate to F sites for hydrogenation to amino acids. This work offers insights into diatomic‐site design for amino acid electrosynthesis and promotes the sustainable production of high‐value organonitrogen compounds.</w:t>
      </w:r>
    </w:p>
    <w:p>
      <w:pPr>
        <w:spacing w:before="120" w:after="120"/>
      </w:pPr>
      <w:r>
        <w:rPr>
          <w:sz w:val="18"/>
        </w:rPr>
        <w:t>——————————————————————————————————————————————————————————————————————</w:t>
      </w:r>
    </w:p>
    <w:p>
      <w:pPr>
        <w:spacing w:before="160" w:after="40" w:line="240" w:lineRule="auto"/>
      </w:pPr>
      <w:r>
        <w:rPr>
          <w:b/>
        </w:rPr>
        <w:t xml:space="preserve">[34] </w:t>
      </w:r>
      <w:hyperlink r:id="rId544">
        <w:r>
          <w:rPr>
            <w:color w:val="1155CC"/>
            <w:u w:val="single"/>
          </w:rPr>
          <w:t>通过 B←N 框架中的二级连接操作选择性吸附所有 C8 芳烃中的邻二甲苯</w:t>
        </w:r>
      </w:hyperlink>
    </w:p>
    <w:p>
      <w:pPr>
        <w:spacing w:before="0" w:after="80"/>
      </w:pPr>
      <w:r>
        <w:rPr>
          <w:i/>
          <w:sz w:val="20"/>
        </w:rPr>
        <w:t>EN: Selective Adsorption of o‐Xylene From all C8 Aromatics via Secondary Connectivity Manipulation in B←N Frameworks</w:t>
      </w:r>
    </w:p>
    <w:p>
      <w:pPr>
        <w:spacing w:before="0" w:after="120"/>
      </w:pPr>
      <w:r>
        <w:rPr>
          <w:b/>
        </w:rPr>
        <w:t xml:space="preserve">Source: </w:t>
      </w:r>
      <w:r>
        <w:t>Wiley: Angewandte Chemie International Edition: Table of Contents</w:t>
      </w:r>
      <w:r>
        <w:t xml:space="preserve">    </w:t>
      </w:r>
      <w:r>
        <w:rPr>
          <w:b/>
        </w:rPr>
        <w:t xml:space="preserve">Pub date: </w:t>
      </w:r>
      <w:r>
        <w:t>2026-08-19 14:24:44+00:00</w:t>
      </w:r>
      <w:r>
        <w:t xml:space="preserve">    </w:t>
      </w:r>
      <w:r>
        <w:rPr>
          <w:b/>
        </w:rPr>
        <w:t xml:space="preserve">DOI: </w:t>
      </w:r>
      <w:hyperlink r:id="rId545">
        <w:r>
          <w:rPr>
            <w:color w:val="1155CC"/>
            <w:u w:val="single"/>
          </w:rPr>
          <w:t>10.1002/anie.1406923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分离</w:t>
      </w:r>
      <w:r>
        <w:t xml:space="preserve"> </w:t>
      </w:r>
      <w:r>
        <w:t>哦</w:t>
      </w:r>
      <w:r>
        <w:t xml:space="preserve"> </w:t>
      </w:r>
      <w:r>
        <w:t>来自所有 C8 芳香族异构体的-二甲苯（</w:t>
      </w:r>
      <w:r>
        <w:t xml:space="preserve"> </w:t>
      </w:r>
      <w:r>
        <w:t>米</w:t>
      </w:r>
      <w:r>
        <w:t xml:space="preserve"> </w:t>
      </w:r>
      <w:r>
        <w:t>‐二甲苯，</w:t>
      </w:r>
      <w:r>
        <w:t xml:space="preserve"> </w:t>
      </w:r>
      <w:r>
        <w:t>p</w:t>
      </w:r>
      <w:r>
        <w:t xml:space="preserve"> </w:t>
      </w:r>
      <w:r>
        <w:t>‐二甲苯和乙苯）对工业至关重要，但由于它们的物理化学性质非常相似，因此仍然是一个艰巨的挑战。虽然无金属框架通过选择性吸附提供了理想的解决方案，但其发展落后于金属系统。例如，由于连接模式有限且缺乏合适的连接器，B←N 框架（BNF）难以处理复杂的分离。为了解决这个限制，我们报告了一种编程组装策略，通过将二级连接合理地集成到桥接连接器中。实施这一策略产生了稳定的 BNF，</w:t>
      </w:r>
      <w:r>
        <w:t xml:space="preserve"> </w:t>
      </w:r>
      <w:r>
        <w:t>BN-DPTA1</w:t>
      </w:r>
      <w:r>
        <w:t xml:space="preserve"> </w:t>
      </w:r>
      <w:r>
        <w:t>和</w:t>
      </w:r>
      <w:r>
        <w:t xml:space="preserve"> </w:t>
      </w:r>
      <w:r>
        <w:t>BN-DPTA2</w:t>
      </w:r>
      <w:r>
        <w:t xml:space="preserve"> </w:t>
      </w:r>
      <w:r>
        <w:t>，具有可调谐和受限的腔体。</w:t>
      </w:r>
      <w:r>
        <w:t xml:space="preserve"> </w:t>
      </w:r>
      <w:r>
        <w:t>BN-DPTA1</w:t>
      </w:r>
      <w:r>
        <w:t xml:space="preserve"> </w:t>
      </w:r>
      <w:r>
        <w:t>表现出甲苯的特定抽象，同时</w:t>
      </w:r>
      <w:r>
        <w:t xml:space="preserve"> </w:t>
      </w:r>
      <w:r>
        <w:t>BN-DPTA2</w:t>
      </w:r>
      <w:r>
        <w:t xml:space="preserve"> </w:t>
      </w:r>
      <w:r>
        <w:t>选择性吸附</w:t>
      </w:r>
      <w:r>
        <w:t xml:space="preserve"> </w:t>
      </w:r>
      <w:r>
        <w:t>哦</w:t>
      </w:r>
      <w:r>
        <w:t xml:space="preserve"> </w:t>
      </w:r>
      <w:r>
        <w:t>苯衍生物中的-二甲苯。值得注意的是，</w:t>
      </w:r>
      <w:r>
        <w:t xml:space="preserve"> </w:t>
      </w:r>
      <w:r>
        <w:t>BN-DPTA2</w:t>
      </w:r>
      <w:r>
        <w:t xml:space="preserve"> </w:t>
      </w:r>
      <w:r>
        <w:t>代表第一个实现高选择性吸附的无金属框架</w:t>
      </w:r>
      <w:r>
        <w:t xml:space="preserve"> </w:t>
      </w:r>
      <w:r>
        <w:t>哦</w:t>
      </w:r>
      <w:r>
        <w:t xml:space="preserve"> </w:t>
      </w:r>
      <w:r>
        <w:t>－二甲苯，超过所有 C8 芳香族异构体。 BNF 空腔和客体分子之间的多重非共价相互作用促进紧密封装，从而能够有效去除甲苯</w:t>
      </w:r>
    </w:p>
    <w:p>
      <w:pPr>
        <w:spacing w:before="0" w:after="200" w:lineRule="auto" w:line="276"/>
      </w:pPr>
      <w:r>
        <w:rPr>
          <w:b/>
        </w:rPr>
        <w:t xml:space="preserve">Abstract (EN): </w:t>
      </w:r>
      <w:r>
        <w:t>Separating</w:t>
      </w:r>
      <w:r>
        <w:t xml:space="preserve"> </w:t>
      </w:r>
      <w:r>
        <w:t>o</w:t>
      </w:r>
      <w:r>
        <w:t xml:space="preserve"> </w:t>
      </w:r>
      <w:r>
        <w:t>‐xylene from all C8 aromatic isomers (</w:t>
      </w:r>
      <w:r>
        <w:t xml:space="preserve"> </w:t>
      </w:r>
      <w:r>
        <w:t>m</w:t>
      </w:r>
      <w:r>
        <w:t xml:space="preserve"> </w:t>
      </w:r>
      <w:r>
        <w:t>‐xylene,</w:t>
      </w:r>
      <w:r>
        <w:t xml:space="preserve"> </w:t>
      </w:r>
      <w:r>
        <w:t>p</w:t>
      </w:r>
      <w:r>
        <w:t xml:space="preserve"> </w:t>
      </w:r>
      <w:r>
        <w:t>‐xylene, and ethylbenzene) is critical for industry but remains a formidable challenge due to their quite similar physicochemical properties. While metal‐free frameworks offer an ideal solution via selective adsorption, their development lags behind metal‐based systems. For instance, due to the limited connection modes and lack of suitable linkers, B←N frameworks (BNFs) struggle to handle complex separations. To address this limitation, we report a programmed assembly strategy by rationally integrating secondary connectivity into bridging linkers. Implementing this strategy yielded stable BNFs,</w:t>
      </w:r>
      <w:r>
        <w:t xml:space="preserve"> </w:t>
      </w:r>
      <w:r>
        <w:t>BN‐DPTA1</w:t>
      </w:r>
      <w:r>
        <w:t xml:space="preserve"> </w:t>
      </w:r>
      <w:r>
        <w:t>and</w:t>
      </w:r>
      <w:r>
        <w:t xml:space="preserve"> </w:t>
      </w:r>
      <w:r>
        <w:t>BN‐DPTA2</w:t>
      </w:r>
      <w:r>
        <w:t xml:space="preserve"> </w:t>
      </w:r>
      <w:r>
        <w:t>, featuring tunable and confined cavities.</w:t>
      </w:r>
      <w:r>
        <w:t xml:space="preserve"> </w:t>
      </w:r>
      <w:r>
        <w:t>BN‐DPTA1</w:t>
      </w:r>
      <w:r>
        <w:t xml:space="preserve"> </w:t>
      </w:r>
      <w:r>
        <w:t>exhibits specific abstraction of toluene, while</w:t>
      </w:r>
      <w:r>
        <w:t xml:space="preserve"> </w:t>
      </w:r>
      <w:r>
        <w:t>BN‐DPTA2</w:t>
      </w:r>
      <w:r>
        <w:t xml:space="preserve"> </w:t>
      </w:r>
      <w:r>
        <w:t>selectively adsorbs</w:t>
      </w:r>
      <w:r>
        <w:t xml:space="preserve"> </w:t>
      </w:r>
      <w:r>
        <w:t>o</w:t>
      </w:r>
      <w:r>
        <w:t xml:space="preserve"> </w:t>
      </w:r>
      <w:r>
        <w:t>‐xylene from benzene derivatives. Notably,</w:t>
      </w:r>
      <w:r>
        <w:t xml:space="preserve"> </w:t>
      </w:r>
      <w:r>
        <w:t>BN‐DPTA2</w:t>
      </w:r>
      <w:r>
        <w:t xml:space="preserve"> </w:t>
      </w:r>
      <w:r>
        <w:t>represents the first metal‐free framework to achieve highly selective adsorption of</w:t>
      </w:r>
      <w:r>
        <w:t xml:space="preserve"> </w:t>
      </w:r>
      <w:r>
        <w:t>o</w:t>
      </w:r>
      <w:r>
        <w:t xml:space="preserve"> </w:t>
      </w:r>
      <w:r>
        <w:t>‐xylene over all C8 aromatic isomers. The multiple non‐covalent interactions between the BNF cavities and guest molecules facilitate tight encapsulation, enabling the effective removal of toluene and</w:t>
      </w:r>
      <w:r>
        <w:t xml:space="preserve"> </w:t>
      </w:r>
      <w:r>
        <w:t>o</w:t>
      </w:r>
      <w:r>
        <w:t xml:space="preserve"> </w:t>
      </w:r>
      <w:r>
        <w:t>‐xylene from the atmosphere (97.4% and 96.0% removal efficiency at 50 ppm, respectively). The dynamic, reversible adsorption/desorption behavior of BNFs allows for single‐step purification of toluene and</w:t>
      </w:r>
      <w:r>
        <w:t xml:space="preserve"> </w:t>
      </w:r>
      <w:r>
        <w:t>o</w:t>
      </w:r>
      <w:r>
        <w:t xml:space="preserve"> </w:t>
      </w:r>
      <w:r>
        <w:t>‐xylene via solid‐phase extraction columns, achieving purities exceeding 99.9%.</w:t>
      </w:r>
    </w:p>
    <w:p>
      <w:pPr>
        <w:spacing w:before="120" w:after="120"/>
      </w:pPr>
      <w:r>
        <w:rPr>
          <w:sz w:val="18"/>
        </w:rPr>
        <w:t>——————————————————————————————————————————————————————————————————————</w:t>
      </w:r>
    </w:p>
    <w:p>
      <w:pPr>
        <w:spacing w:before="160" w:after="40" w:line="240" w:lineRule="auto"/>
      </w:pPr>
      <w:r>
        <w:rPr>
          <w:b/>
        </w:rPr>
        <w:t xml:space="preserve">[35] </w:t>
      </w:r>
      <w:hyperlink r:id="rId546">
        <w:r>
          <w:rPr>
            <w:color w:val="1155CC"/>
            <w:u w:val="single"/>
          </w:rPr>
          <w:t>通过层桥联 Co 单原子激活 COF 中的三重态激子，用于光催化 H2O2 生产和串联 C─N 耦合</w:t>
        </w:r>
      </w:hyperlink>
    </w:p>
    <w:p>
      <w:pPr>
        <w:spacing w:before="0" w:after="80"/>
      </w:pPr>
      <w:r>
        <w:rPr>
          <w:i/>
          <w:sz w:val="20"/>
        </w:rPr>
        <w:t>EN: Activating Triplet Excitons in COFs via Layer‐Bridging Co Single Atoms for Photocatalytic H2O2 Production and Tandem C─N Coupling</w:t>
      </w:r>
    </w:p>
    <w:p>
      <w:pPr>
        <w:spacing w:before="0" w:after="120"/>
      </w:pPr>
      <w:r>
        <w:rPr>
          <w:b/>
        </w:rPr>
        <w:t xml:space="preserve">Source: </w:t>
      </w:r>
      <w:r>
        <w:t>Wiley: Angewandte Chemie International Edition: Table of Contents</w:t>
      </w:r>
      <w:r>
        <w:t xml:space="preserve">    </w:t>
      </w:r>
      <w:r>
        <w:rPr>
          <w:b/>
        </w:rPr>
        <w:t xml:space="preserve">Pub date: </w:t>
      </w:r>
      <w:r>
        <w:t>2026-08-19 14:28:08+00:00</w:t>
      </w:r>
      <w:r>
        <w:t xml:space="preserve">    </w:t>
      </w:r>
      <w:r>
        <w:rPr>
          <w:b/>
        </w:rPr>
        <w:t xml:space="preserve">DOI: </w:t>
      </w:r>
      <w:hyperlink r:id="rId547">
        <w:r>
          <w:rPr>
            <w:color w:val="1155CC"/>
            <w:u w:val="single"/>
          </w:rPr>
          <w:t>10.1002/anie.1580812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是能源和环境应用中太阳能转换的有前途的光催化剂。然而，它们的性能本质上受到范德华层间相互作用产生的弱自旋轨道耦合（SOC）的限制，从而抑制了系间窜越和三线态激子利用。在这项研究中，我们证明了层桥联的Co单原子通过协同增强SOC并通过Co─N配位诱导能级分裂来激活COF中的三重态激子。这种层桥联Co配位显着促进了单线态到三线态的转化，从而实现了高效的O</w:t>
      </w:r>
      <w:r>
        <w:rPr>
          <w:vertAlign w:val="subscript"/>
        </w:rPr>
        <w:t>2</w:t>
      </w:r>
      <w:r>
        <w:t>激活并大大促进两者的产生</w:t>
      </w:r>
      <w:r>
        <w:rPr>
          <w:vertAlign w:val="subscript"/>
        </w:rPr>
        <w:t>1</w:t>
      </w:r>
      <w:r>
        <w:t>氧</w:t>
      </w:r>
      <w:r>
        <w:rPr>
          <w:vertAlign w:val="subscript"/>
        </w:rPr>
        <w:t>2</w:t>
      </w:r>
      <w:r>
        <w:t>和O</w:t>
      </w:r>
      <w:r>
        <w:rPr>
          <w:vertAlign w:val="subscript"/>
        </w:rPr>
        <w:t>2</w:t>
      </w:r>
      <w:r>
        <w:t>•−</w:t>
      </w:r>
      <w:r>
        <w:t>。因此，Co桥联COF实现了高效光催化H</w:t>
      </w:r>
      <w:r>
        <w:rPr>
          <w:vertAlign w:val="subscript"/>
        </w:rPr>
        <w:t>2</w:t>
      </w:r>
      <w:r>
        <w:t>氧</w:t>
      </w:r>
      <w:r>
        <w:rPr>
          <w:vertAlign w:val="subscript"/>
        </w:rPr>
        <w:t>2</w:t>
      </w:r>
      <w:r>
        <w:t>生产和串联 C─N 耦合。这项工作将层桥接单原子配位作为调节COF中三重态反应性的有前途的策略，为活性氧（ROS）介导的光催化和串联有机转化提供了新的机会。</w:t>
      </w:r>
    </w:p>
    <w:p>
      <w:pPr>
        <w:spacing w:before="0" w:after="200" w:lineRule="auto" w:line="276"/>
      </w:pPr>
      <w:r>
        <w:rPr>
          <w:b/>
        </w:rPr>
        <w:t xml:space="preserve">Abstract (EN): </w:t>
      </w:r>
      <w:r>
        <w:t>Covalent organic frameworks (COFs) are promising photocatalysts for solar energy conversion in energy and environmental applications. However, their performance is intrinsically limited by weak spin–orbit coupling (SOC) arising from van der Waals interlayer interactions, thereby suppressing intersystem crossing and triplet‐exciton utilization. In this study, we demonstrate that layer‐bridging Co single atoms activate triplet excitons in COFs by synergistically enhancing SOC and inducing energy‐level splitting via Co─N coordination. This layer‐bridging Co coordination markedly promotes singlet‐to‐triplet conversion, enabling efficient O</w:t>
      </w:r>
      <w:r>
        <w:rPr>
          <w:vertAlign w:val="subscript"/>
        </w:rPr>
        <w:t>2</w:t>
      </w:r>
      <w:r>
        <w:t>activation and substantially boosting the generation of both</w:t>
      </w:r>
      <w:r>
        <w:rPr>
          <w:vertAlign w:val="subscript"/>
        </w:rPr>
        <w:t>1</w:t>
      </w:r>
      <w:r>
        <w:t>O</w:t>
      </w:r>
      <w:r>
        <w:rPr>
          <w:vertAlign w:val="subscript"/>
        </w:rPr>
        <w:t>2</w:t>
      </w:r>
      <w:r>
        <w:t>and O</w:t>
      </w:r>
      <w:r>
        <w:rPr>
          <w:vertAlign w:val="subscript"/>
        </w:rPr>
        <w:t>2</w:t>
      </w:r>
      <w:r>
        <w:t>•−</w:t>
      </w:r>
      <w:r>
        <w:t>. Consequently, the Co‐bridged COF achieves highly efficient photocatalytic H</w:t>
      </w:r>
      <w:r>
        <w:rPr>
          <w:vertAlign w:val="subscript"/>
        </w:rPr>
        <w:t>2</w:t>
      </w:r>
      <w:r>
        <w:t>O</w:t>
      </w:r>
      <w:r>
        <w:rPr>
          <w:vertAlign w:val="subscript"/>
        </w:rPr>
        <w:t>2</w:t>
      </w:r>
      <w:r>
        <w:t>production and tandem C─N coupling. This work establishes layer‐bridging single‐atom coordination as a promising strategy for regulating triplet‐state reactivity in COFs, offering new opportunities for reactive oxygen species (ROS)‐mediated photocatalysis and tandem organic transformations.</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548">
        <w:r>
          <w:rPr>
            <w:color w:val="1155CC"/>
            <w:u w:val="single"/>
          </w:rPr>
          <w:t>具有 Ruδ+-Ru0 界面的钌同系异质团簇中用于甲烷光热干重整的反应路径的光子诱导调制</w:t>
        </w:r>
      </w:hyperlink>
    </w:p>
    <w:p>
      <w:pPr>
        <w:spacing w:before="0" w:after="80"/>
      </w:pPr>
      <w:r>
        <w:rPr>
          <w:i/>
          <w:sz w:val="20"/>
        </w:rPr>
        <w:t>EN: Photon-Induced Modulation of Reaction Pathways in Ruthenium Homologous Heteroclusters with a Ruδ+-Ru0 Interface for Photothermal Dry Reforming of Methane</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549">
        <w:r>
          <w:rPr>
            <w:color w:val="1155CC"/>
            <w:u w:val="single"/>
          </w:rPr>
          <w:t>10.1021/jacs.6c09531</w:t>
        </w:r>
      </w:hyperlink>
    </w:p>
    <w:p>
      <w:pPr>
        <w:spacing w:before="0" w:after="120"/>
      </w:pPr>
      <w:r>
        <w:rPr>
          <w:b/>
        </w:rPr>
        <w:t xml:space="preserve">Notes: </w:t>
      </w:r>
      <w:r>
        <w:t>abstract_source=crossref</w:t>
      </w:r>
    </w:p>
    <w:p>
      <w:pPr>
        <w:spacing w:before="0" w:after="80" w:lineRule="auto" w:line="276"/>
      </w:pPr>
      <w:r>
        <w:rPr>
          <w:b/>
        </w:rPr>
        <w:t xml:space="preserve">摘要（ZH）: </w:t>
      </w:r>
      <w:r>
        <w:t>摘要 甲烷光热干重整（PDRM）是一种在温和条件下减少温室气体（CH4 和 CO2）排放并产生合成气的有前途的技术。然而，它面临着由于积碳导致催化剂失活以及逆水煤气变换（RWGS）等副反应引起的H2/CO比例不平衡等挑战。在这项工作中，Ru 亚纳米同源簇被锚定在 TiO2 上来解决这些问题。金属 Ru0 和氧化 Ruδ+ 位点具有适当的接近度，而碳层则充当光子诱导电子向 PDRM 中 Ru 簇的迁移通道。这种配置使 Ruδ+ 能够激活 CH4，而富电子的 Ru0 位点激活 CO2，促进 *CHx 和 *CO2 中间体的直接 C-O 偶联，并减少对晶格氧 (OL) 迁移和补充的依赖。因此，优化后的催化剂在 540 °C 下具有优异的 H2 (416.9 mmol·g–1·h–1) 和 CO (344.0 mmol·g–1·h–1) 生产活性，并且 CH4 (∼60%) 和 CO2 (∼51%) 的转化率较高。同时实现了改进的 H2/CO 比和长期稳定性测试中可忽略不计的失活，优于相同温度下的热催化。这项工作为高效 PDRM 的光子诱导反应途径调节提供了重要的见解。</w:t>
      </w:r>
    </w:p>
    <w:p>
      <w:pPr>
        <w:spacing w:before="0" w:after="200" w:lineRule="auto" w:line="276"/>
      </w:pPr>
      <w:r>
        <w:rPr>
          <w:b/>
        </w:rPr>
        <w:t xml:space="preserve">Abstract (EN): </w:t>
      </w:r>
      <w:r>
        <w:t>Photothermal dry reforming of methane (PDRM) is a promising technology for mitigating greenhouse gas (CH4 and CO2) emissions and generating syngas under mild conditions. However, it faces challenges from the catalyst deactivation because of carbon deposition and unbalanced H2/CO ratio caused by side reactions such as reverse water–gas shift (RWGS). In this work, Ru subnanometric homologous clusters are anchored onto TiO2 to address these issues. The metallic Ru0 and oxidized Ruδ+ sites with suitable proximity are created, while the carbon layers serve as the migration channels for photon-induced electrons to Ru clusters in PDRM. This configuration enables Ruδ+ to activate CH4 while electron-enriched Ru0 sites activate CO2, facilitating direct C–O coupling of *CHx and *CO2 intermediates and reducing the reliance on lattice oxygen (OL) migration and replenishment. Consequently, the optimized catalyst delivers superior activity for H2 (416.9 mmol·g–1·h–1) and CO (344.0 mmol·g–1·h–1) production with high conversion rates of CH4 (∼60%) and CO2 (∼51%) at 540 °C. The improved H2/CO ratio and negligible deactivation in long-term stability tests are simultaneously achieved, outperforming those from thermal catalysis at the same temperature. This work provides critical insight into photon-induced reaction pathway modulation for efficient PDRM.</w:t>
      </w:r>
    </w:p>
    <w:p>
      <w:pPr>
        <w:spacing w:before="120" w:after="120"/>
      </w:pPr>
      <w:r>
        <w:rPr>
          <w:sz w:val="18"/>
        </w:rPr>
        <w:t>——————————————————————————————————————————————————————————————————————</w:t>
      </w:r>
    </w:p>
    <w:p>
      <w:pPr>
        <w:spacing w:before="160" w:after="40" w:line="240" w:lineRule="auto"/>
      </w:pPr>
      <w:r>
        <w:rPr>
          <w:b/>
        </w:rPr>
        <w:t xml:space="preserve">[2] </w:t>
      </w:r>
      <w:hyperlink r:id="rId550">
        <w:r>
          <w:rPr>
            <w:color w:val="1155CC"/>
            <w:u w:val="single"/>
          </w:rPr>
          <w:t>了解 DAC-碳酸氢盐电解槽集成中的碱度约束</w:t>
        </w:r>
      </w:hyperlink>
    </w:p>
    <w:p>
      <w:pPr>
        <w:spacing w:before="0" w:after="80"/>
      </w:pPr>
      <w:r>
        <w:rPr>
          <w:i/>
          <w:sz w:val="20"/>
        </w:rPr>
        <w:t>EN: Understanding the Alkalinity Constraint in DAC–Bicarbonate Electrolyzer Integration</w:t>
      </w:r>
    </w:p>
    <w:p>
      <w:pPr>
        <w:spacing w:before="0" w:after="120"/>
      </w:pPr>
      <w:r>
        <w:rPr>
          <w:b/>
        </w:rPr>
        <w:t xml:space="preserve">Source: </w:t>
      </w:r>
      <w:r>
        <w:t>ACS Energy Letters: Latest Articles (ACS Publications)</w:t>
      </w:r>
      <w:r>
        <w:t xml:space="preserve">    </w:t>
      </w:r>
      <w:r>
        <w:rPr>
          <w:b/>
        </w:rPr>
        <w:t xml:space="preserve">Pub date: </w:t>
      </w:r>
      <w:r>
        <w:t>2026-08-14 00:00:00+00:00</w:t>
      </w:r>
      <w:r>
        <w:t xml:space="preserve">    </w:t>
      </w:r>
      <w:r>
        <w:rPr>
          <w:b/>
        </w:rPr>
        <w:t xml:space="preserve">DOI: </w:t>
      </w:r>
      <w:hyperlink r:id="rId551">
        <w:r>
          <w:rPr>
            <w:color w:val="1155CC"/>
            <w:u w:val="single"/>
          </w:rPr>
          <w:t>10.1021/acsenergylett.6c02295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503">
        <w:r>
          <w:rPr>
            <w:color w:val="1155CC"/>
            <w:u w:val="single"/>
          </w:rPr>
          <w:t>对城市净零目标残余排放的实证分析</w:t>
        </w:r>
      </w:hyperlink>
    </w:p>
    <w:p>
      <w:pPr>
        <w:spacing w:before="0" w:after="80"/>
      </w:pPr>
      <w:r>
        <w:rPr>
          <w:i/>
          <w:sz w:val="20"/>
        </w:rPr>
        <w:t>EN: Empirical insights into residual emissions in urban net-zero targets</w:t>
      </w:r>
    </w:p>
    <w:p>
      <w:pPr>
        <w:spacing w:before="0" w:after="120"/>
      </w:pPr>
      <w:r>
        <w:rPr>
          <w:b/>
        </w:rPr>
        <w:t xml:space="preserve">Source: </w:t>
      </w:r>
      <w:r>
        <w:t>Nature Climate Change</w:t>
      </w:r>
      <w:r>
        <w:t xml:space="preserve">    </w:t>
      </w:r>
      <w:r>
        <w:rPr>
          <w:b/>
        </w:rPr>
        <w:t xml:space="preserve">Pub date: </w:t>
      </w:r>
      <w:r>
        <w:t>2026-08-14 00:00:00+00:00</w:t>
      </w:r>
      <w:r>
        <w:t xml:space="preserve">    </w:t>
      </w:r>
      <w:r>
        <w:rPr>
          <w:b/>
        </w:rPr>
        <w:t xml:space="preserve">DOI: </w:t>
      </w:r>
      <w:hyperlink r:id="rId504">
        <w:r>
          <w:rPr>
            <w:color w:val="1155CC"/>
            <w:u w:val="single"/>
          </w:rPr>
          <w:t>10.1038/s41558-026-02691-0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越来越多的城市承诺实现净零排放目标，但其残余排放战略的稳健性仍不确定。我们研究了 103 个欧洲城市到 2030 年实现净零排放的方法。总残余排放量为 61.4 MtCO</w:t>
      </w:r>
      <w:r>
        <w:rPr>
          <w:vertAlign w:val="subscript"/>
        </w:rPr>
        <w:t>2</w:t>
      </w:r>
      <w:r>
        <w:t>e 主要来自建筑物和交通，中位数为 0.8 tCO</w:t>
      </w:r>
      <w:r>
        <w:rPr>
          <w:vertAlign w:val="subscript"/>
        </w:rPr>
        <w:t>2</w:t>
      </w:r>
      <w:r>
        <w:t>人均e，表明脱碳过程迅速。所有市政战略都依赖于临时的、基于陆地的二氧化碳</w:t>
      </w:r>
      <w:r>
        <w:rPr>
          <w:vertAlign w:val="subscript"/>
        </w:rPr>
        <w:t>2</w:t>
      </w:r>
      <w:r>
        <w:t>去除，然后是碳信用额 (40%) 和永久二氧化碳</w:t>
      </w:r>
      <w:r>
        <w:rPr>
          <w:vertAlign w:val="subscript"/>
        </w:rPr>
        <w:t>2</w:t>
      </w:r>
      <w:r>
        <w:t>去除（32%）。我们制定了剩余排放策略稳健性指数来评估补偿策略的稳健性，表明目前成熟度处于中低水平，地域差异显着。尽管城市在方案测绘和治理方面进行投资，但很少关注土地可用性、城市结构成为分布式碳汇的潜力、防止碳逆转的规定、监测、时间安排和量化（估计仅涵盖残余排放总量的 18%）。我们还提炼建议和最佳实践来解决残留排放问题。</w:t>
      </w:r>
    </w:p>
    <w:p>
      <w:pPr>
        <w:spacing w:before="0" w:after="200" w:lineRule="auto" w:line="276"/>
      </w:pPr>
      <w:r>
        <w:rPr>
          <w:b/>
        </w:rPr>
        <w:t xml:space="preserve">Abstract (EN): </w:t>
      </w:r>
      <w:r>
        <w:t>Cities increasingly pledge net-zero emissions targets, but the robustness of their residual emissions strategies remains uncertain. We examine the approaches of 103 European cities aiming at net zero by 2030. Total residual emissions are 61.4 MtCO</w:t>
      </w:r>
      <w:r>
        <w:rPr>
          <w:vertAlign w:val="subscript"/>
        </w:rPr>
        <w:t>2</w:t>
      </w:r>
      <w:r>
        <w:t>e originating mostly from buildings and transport, with the median at 0.8 tCO</w:t>
      </w:r>
      <w:r>
        <w:rPr>
          <w:vertAlign w:val="subscript"/>
        </w:rPr>
        <w:t>2</w:t>
      </w:r>
      <w:r>
        <w:t>e per capita, indicating a rapid decarbonization process. All municipal strategies rely on temporary, land-based CO</w:t>
      </w:r>
      <w:r>
        <w:rPr>
          <w:vertAlign w:val="subscript"/>
        </w:rPr>
        <w:t>2</w:t>
      </w:r>
      <w:r>
        <w:t>removal, then carbon credits (40%) and permanent CO</w:t>
      </w:r>
      <w:r>
        <w:rPr>
          <w:vertAlign w:val="subscript"/>
        </w:rPr>
        <w:t>2</w:t>
      </w:r>
      <w:r>
        <w:t>removal (32%). We develop the residual emissions strategy robustness index to assess the robustness of compensation strategies, indicating that the current maturity is medium-low with notable geographical disparities. Although cities invest in options mapping and governance, little attention is paid to land availability, the potential of the urban fabric to become a distributed carbon sink, provisions against carbon reversals, monitoring, timing and quantification (estimates cover only 18% of total residual emissions). We also distil recommendations and best practices to address residual emissions.</w:t>
      </w:r>
    </w:p>
    <w:p>
      <w:pPr>
        <w:spacing w:before="120" w:after="120"/>
      </w:pPr>
      <w:r>
        <w:rPr>
          <w:sz w:val="18"/>
        </w:rPr>
        <w:t>——————————————————————————————————————————————————————————————————————</w:t>
      </w:r>
    </w:p>
    <w:p>
      <w:pPr>
        <w:spacing w:before="160" w:after="40" w:line="240" w:lineRule="auto"/>
      </w:pPr>
      <w:r>
        <w:rPr>
          <w:b/>
        </w:rPr>
        <w:t xml:space="preserve">[4] </w:t>
      </w:r>
      <w:hyperlink r:id="rId552">
        <w:r>
          <w:rPr>
            <w:color w:val="1155CC"/>
            <w:u w:val="single"/>
          </w:rPr>
          <w:t>酸碱双功能多孔液体</w:t>
        </w:r>
      </w:hyperlink>
    </w:p>
    <w:p>
      <w:pPr>
        <w:spacing w:before="0" w:after="80"/>
      </w:pPr>
      <w:r>
        <w:rPr>
          <w:i/>
          <w:sz w:val="20"/>
        </w:rPr>
        <w:t>EN: Acid-base bifunctional porous liquids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碱性溶液对于涉及气体的催化转化至关重要，但其超低的自由体积限制了气体的溶解度和扩散率。在这种反应性液体中设计永久孔隙率仍然是一个长期的挑战。在这里，我们引入了一种表面牺牲策略，将布朗斯台德酸性沸石纳米晶体融入强有机碱中，以产生永久多孔的反应液体。沸石外表面的立体化学控制的酸碱中和形成薄薄的离子溶剂化壳，稳定分散体，同时充分保留沸石骨架的内部微孔性和结晶度。由此产生的基本介质表现出持久的微孔性，经惰性气体吸附、129Xe 核磁共振、中子散射和理论模拟证实。这些多孔液体在二氧化碳转化和加氢反应中表现出显着增强的催化性能。共存的酸性和碱性位点进一步实现了单一液相内的拮抗级联催化。这种表面牺牲方法提供了将永久孔隙引入反应介质中的通用途径，从而促进气体转化。</w:t>
      </w:r>
    </w:p>
    <w:p>
      <w:pPr>
        <w:spacing w:before="0" w:after="200" w:lineRule="auto" w:line="276"/>
      </w:pPr>
      <w:r>
        <w:rPr>
          <w:b/>
        </w:rPr>
        <w:t xml:space="preserve">Abstract (EN): </w:t>
      </w:r>
      <w:r>
        <w:t>Basic solutions are essential for gas-involved catalytic transformations, yet their ultralow free volume limits gas solubility and diffusivity. Engineering permanent porosity in such reactive liquids has remained a longstanding challenge. Here, we introduce a surface-sacrifice strategy that incorporates Brønsted-acidic zeolite nanocrystals into strong organic bases to create permanently porous reactive liquids. Stereochemically controlled acid–base neutralization at the external zeolite surface forms a thin ionic solvation shell that stabilizes the dispersion while fully preserving the internal microporosity and crystallinity of the zeolite framework. The resulting basic media exhibit persistent microporosity, confirmed by inert-gas sorption, 129Xe nuclear magnetic resonance, neutron scattering, and theoretical simulations. These porous liquids show significantly enhanced catalytic performance in CO2 conversion and hydrogenation reactions. The coexisting acidic and basic sites further enable antagonistic cascade catalysis within a single liquid phase. This surface-sacrifice approach provides a general route to introduce permanent porosity into reactive media, enabling boosted gas transformations.</w:t>
      </w:r>
    </w:p>
    <w:p>
      <w:pPr>
        <w:spacing w:before="120" w:after="120"/>
      </w:pPr>
      <w:r>
        <w:rPr>
          <w:sz w:val="18"/>
        </w:rPr>
        <w:t>——————————————————————————————————————————————————————————————————————</w:t>
      </w:r>
    </w:p>
    <w:p>
      <w:pPr>
        <w:spacing w:before="160" w:after="40" w:line="240" w:lineRule="auto"/>
      </w:pPr>
      <w:r>
        <w:rPr>
          <w:b/>
        </w:rPr>
        <w:t xml:space="preserve">[5] </w:t>
      </w:r>
      <w:hyperlink r:id="rId521">
        <w:r>
          <w:rPr>
            <w:color w:val="1155CC"/>
            <w:u w:val="single"/>
          </w:rPr>
          <w:t>技术和政策不确定性下欧盟水泥行业脱碳</w:t>
        </w:r>
      </w:hyperlink>
    </w:p>
    <w:p>
      <w:pPr>
        <w:spacing w:before="0" w:after="80"/>
      </w:pPr>
      <w:r>
        <w:rPr>
          <w:i/>
          <w:sz w:val="20"/>
        </w:rPr>
        <w:t>EN: Decarbonizing the EU cement industry under technology and policy uncertainty</w:t>
      </w:r>
    </w:p>
    <w:p>
      <w:pPr>
        <w:spacing w:before="0" w:after="120"/>
      </w:pPr>
      <w:r>
        <w:rPr>
          <w:b/>
        </w:rPr>
        <w:t xml:space="preserve">Source: </w:t>
      </w:r>
      <w:r>
        <w:t>Scientific community and society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水泥生产是二氧化碳排放的主要来源。在欧盟，排放交易体系是激励包括水泥在内的行业脱碳的基石工具。然而，在配额价格、碳捕获投资成本以及二氧化碳管道和封存地点的可用性方面仍存在重大不确定性。这些不确定性影响现实世界的投资决策，但尚未在模型中得到很好的体现。在这里，我们开发了一个实物期权估值模型来评估欧洲 179 家水泥厂如何应对这些不确定性。我们的结果表明，不确定性感知强烈影响投资的时机和地域。对有利投资决定因素的高度信心可能会导致碳捕获和储存以及生物质利用的广泛部署，从而将水泥行业转变为碳汇，在 2025 年至 2050 年间总共消除 0.6 十亿吨二氧化碳。然而，信心不足可能会导致许多水泥生产商推迟行动，导致同一时间段内累计排放 0.8 十亿吨二氧化碳。生物质的可用性、融资条件和工厂位置进一步影响投资行为，凸显了对可靠能源和气候政策的需求。</w:t>
      </w:r>
    </w:p>
    <w:p>
      <w:pPr>
        <w:spacing w:before="0" w:after="200" w:lineRule="auto" w:line="276"/>
      </w:pPr>
      <w:r>
        <w:rPr>
          <w:b/>
        </w:rPr>
        <w:t xml:space="preserve">Abstract (EN): </w:t>
      </w:r>
      <w:r>
        <w:t>Cement production is a major source of CO2 emissions. In the European Union, the Emissions Trading System is the cornerstone instrument to incentivize industry decarbonization, including cement. However, major uncertainties prevail regarding allowance prices, carbon-capture investment costs, and the availability of CO2 pipelines and storage sites. These uncertainties affect real-world investment decisions, but are not yet well represented in models. Here, we develop a real options valuation model to assess how 179 cement plants across Europe respond to these uncertainties. Our results show that uncertainty perception strongly influences the timing and geography of investments. High confidence in favorable investment determinants could lead to widespread deployment of carbon capture and storage and biomass use, turning the cement industry into a carbon sink with 0.6 gigatons CO₂ removed between 2025 and 2050 in total. Low confidence, however, could lead many cement producers to delay action, resulting in cumulated emissions of 0.8 gigatons CO₂ over the same time frame. Biomass availability, financing conditions, and plant location further shape investment behavior, underscoring the need for credible energy and climate policy.</w:t>
      </w:r>
    </w:p>
    <w:p>
      <w:pPr>
        <w:spacing w:before="120" w:after="120"/>
      </w:pPr>
      <w:r>
        <w:rPr>
          <w:sz w:val="18"/>
        </w:rPr>
        <w:t>——————————————————————————————————————————————————————————————————————</w:t>
      </w:r>
    </w:p>
    <w:p>
      <w:pPr>
        <w:spacing w:before="160" w:after="40" w:line="240" w:lineRule="auto"/>
      </w:pPr>
      <w:r>
        <w:rPr>
          <w:b/>
        </w:rPr>
        <w:t xml:space="preserve">[6] </w:t>
      </w:r>
      <w:hyperlink r:id="rId522">
        <w:r>
          <w:rPr>
            <w:color w:val="1155CC"/>
            <w:u w:val="single"/>
          </w:rPr>
          <w:t>通过顺序热化学-电化学耦合实现废水处理中的净负碳增值</w:t>
        </w:r>
      </w:hyperlink>
    </w:p>
    <w:p>
      <w:pPr>
        <w:spacing w:before="0" w:after="80"/>
      </w:pPr>
      <w:r>
        <w:rPr>
          <w:i/>
          <w:sz w:val="20"/>
        </w:rPr>
        <w:t>EN: Net-negative carbon valorization in wastewater treatment via sequential thermochemical-electrochemical coupling</w:t>
      </w:r>
    </w:p>
    <w:p>
      <w:pPr>
        <w:spacing w:before="0" w:after="120"/>
      </w:pPr>
      <w:r>
        <w:rPr>
          <w:b/>
        </w:rPr>
        <w:t xml:space="preserve">Source: </w:t>
      </w:r>
      <w:r>
        <w:t>Scientific community and society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废水处理厂同时排放温室气体并依赖外部碳源，这对碳循环既是挑战也是机遇。我们对 32 条废物转化为化学品的途径进行了全面的生命周期评估，这些途径将热化学和电化学转化集成在顺序或并行架构中，将 CH4 和 CO2 转化为可重复使用的碳源，供厂内利用。顺序热化学-电化学耦合始终提供最强的气候效益，甲酸盐被认为是最佳产品，相对于直接排放基线，排放量减少高达约 35%。我们使用市售的 Pd/Al2O3 催化剂（用于 CH4 热化学氧化）和 Bi2O3 催化剂（用于 CO2 电还原）在多孔固体电解质反应器中进一步通过实验验证了该途径。 CH4 氧化过程中产生的余热增强了下游 CO2 电还原，在 150 mA cm−2 和 45 °C 下实现无分离甲酸盐的法拉第效率为 97.2 ± 1.2%。这些结果验证了商业相关的催化剂和热耦合操作可以提供与系统级预测一致的经过实验验证的性能。该框架建立了一个可扩展的战略，将碳循环嵌入废水基础设施中，并将废水处理厂转变为低碳化学品生产的分布式平台。</w:t>
      </w:r>
    </w:p>
    <w:p>
      <w:pPr>
        <w:spacing w:before="0" w:after="200" w:lineRule="auto" w:line="276"/>
      </w:pPr>
      <w:r>
        <w:rPr>
          <w:b/>
        </w:rPr>
        <w:t xml:space="preserve">Abstract (EN): </w:t>
      </w:r>
      <w:r>
        <w:t>Wastewater treatment plants simultaneously emit greenhouse gases and rely on external carbon sources, presenting both a challenge and an opportunity for carbon circularity. We develop a comprehensive life-cycle assessment of 32 Waste-to-Chemical pathways that integrate thermochemical and electrochemical conversions in sequential or parallel architectures to convert CH4 and CO2 into reusable carbon sources for in-plant utilization. Sequential thermochemical-electrochemical coupling consistently delivers the strongest climate benefit, with formate identified as the optimal product, reducing emissions up to ~35% reduction relative to direct-emission baselines. We further validate this pathway experimentally using commercially available Pd/Al2O3 catalysts for CH4 thermochemical oxidation and Bi2O3 catalysts for CO2 electroreduction in a porous solid electrolyte reactor. Residual heat generated during CH4 oxidation enhances downstream CO2 electroreduction, enabling 97.2 ± 1.2% Faradaic efficiency toward separation-free formate at 150 mA cm−2 and 45 °C. These results validate that commercially relevant catalysts and thermally coupled operation can deliver experimentally validated performance aligned with system-level projections. This framework establishes a scalable strategy for embedding carbon circularity into wastewater infrastructure and transforming wastewater treatment plants into distributed platforms for low-carbon chemical production.</w:t>
      </w:r>
    </w:p>
    <w:p>
      <w:pPr>
        <w:spacing w:before="120" w:after="120"/>
      </w:pPr>
      <w:r>
        <w:rPr>
          <w:sz w:val="18"/>
        </w:rPr>
        <w:t>——————————————————————————————————————————————————————————————————————</w:t>
      </w:r>
    </w:p>
    <w:p>
      <w:pPr>
        <w:spacing w:before="160" w:after="40" w:line="240" w:lineRule="auto"/>
      </w:pPr>
      <w:r>
        <w:rPr>
          <w:b/>
        </w:rPr>
        <w:t xml:space="preserve">[7] </w:t>
      </w:r>
      <w:hyperlink r:id="rId553">
        <w:r>
          <w:rPr>
            <w:color w:val="1155CC"/>
            <w:u w:val="single"/>
          </w:rPr>
          <w:t>双功能材料及集成二氧化碳捕获和转化的试点示范</w:t>
        </w:r>
      </w:hyperlink>
    </w:p>
    <w:p>
      <w:pPr>
        <w:spacing w:before="0" w:after="80"/>
      </w:pPr>
      <w:r>
        <w:rPr>
          <w:i/>
          <w:sz w:val="20"/>
        </w:rPr>
        <w:t>EN: Dual-functional materials and pilot demonstration of integrated CO2 capture and conversion</w:t>
      </w:r>
    </w:p>
    <w:p>
      <w:pPr>
        <w:spacing w:before="0" w:after="120"/>
      </w:pPr>
      <w:r>
        <w:rPr>
          <w:b/>
        </w:rPr>
        <w:t xml:space="preserve">Source: </w:t>
      </w:r>
      <w:r>
        <w:t>Joule</w:t>
      </w:r>
      <w:r>
        <w:t xml:space="preserve">    </w:t>
      </w:r>
      <w:r>
        <w:rPr>
          <w:b/>
        </w:rPr>
        <w:t xml:space="preserve">Pub date: </w:t>
      </w:r>
      <w:r>
        <w:t>2026-08-18 00:00:00+00:00</w:t>
      </w:r>
      <w:r>
        <w:t xml:space="preserve">    </w:t>
      </w:r>
      <w:r>
        <w:rPr>
          <w:b/>
        </w:rPr>
        <w:t xml:space="preserve">DOI: </w:t>
      </w:r>
      <w:hyperlink r:id="rId554">
        <w:r>
          <w:rPr>
            <w:color w:val="1155CC"/>
            <w:u w:val="single"/>
          </w:rPr>
          <w:t>10.1016/j.joule.2026.102628</w:t>
        </w:r>
      </w:hyperlink>
    </w:p>
    <w:p>
      <w:pPr>
        <w:spacing w:before="0" w:after="120"/>
      </w:pPr>
      <w:r>
        <w:rPr>
          <w:b/>
        </w:rPr>
        <w:t xml:space="preserve">Notes: </w:t>
      </w:r>
      <w:r>
        <w:t>abstract_source=rss_cell</w:t>
      </w:r>
    </w:p>
    <w:p>
      <w:pPr>
        <w:spacing w:before="0" w:after="80" w:lineRule="auto" w:line="276"/>
      </w:pPr>
      <w:r>
        <w:rPr>
          <w:b/>
        </w:rPr>
        <w:t xml:space="preserve">摘要（ZH）: </w:t>
      </w:r>
      <w:r>
        <w:t>这项工作报告了一种耐氧镍基双功能材料，用于集成二氧化碳捕获和转化为甲烷（ICCCCH4），并展示了稳定的中试规模运行（25 Nm3/h），实现了近乎完全的二氧化碳捕获和转化效率。如此规模的工艺验证，以及基于实际运行数据的技术经济分析，充分展示了ICCCCH4在实际应用中的巨大潜力。</w:t>
      </w:r>
    </w:p>
    <w:p>
      <w:pPr>
        <w:spacing w:before="0" w:after="200" w:lineRule="auto" w:line="276"/>
      </w:pPr>
      <w:r>
        <w:rPr>
          <w:b/>
        </w:rPr>
        <w:t xml:space="preserve">Abstract (EN): </w:t>
      </w:r>
      <w:r>
        <w:t>This work reports an oxygen-resistant Ni-based dual-functional material for integrated CO2 capture and conversion to CH4 (ICCCCH4) and demonstrates stable pilot-scale operation (25 Nm3/h), achieving near-complete CO2 capture and conversion efficiency. Verification of the process on such a scale, together with techno-economic analysis based on practical operation data, fully showcases the promising potential of ICCCCH4 in practical applications.</w:t>
      </w:r>
    </w:p>
    <w:p>
      <w:pPr>
        <w:spacing w:before="120" w:after="120"/>
      </w:pPr>
      <w:r>
        <w:rPr>
          <w:sz w:val="18"/>
        </w:rPr>
        <w:t>——————————————————————————————————————————————————————————————————————</w:t>
      </w:r>
    </w:p>
    <w:p>
      <w:pPr>
        <w:spacing w:before="160" w:after="40" w:line="240" w:lineRule="auto"/>
      </w:pPr>
      <w:r>
        <w:rPr>
          <w:b/>
        </w:rPr>
        <w:t xml:space="preserve">[8] </w:t>
      </w:r>
      <w:hyperlink r:id="rId555">
        <w:r>
          <w:rPr>
            <w:color w:val="1155CC"/>
            <w:u w:val="single"/>
          </w:rPr>
          <w:t>用于可扩展和集成烟气二氧化碳捕获和利用的甲醇辅助电化学系统</w:t>
        </w:r>
      </w:hyperlink>
    </w:p>
    <w:p>
      <w:pPr>
        <w:spacing w:before="0" w:after="80"/>
      </w:pPr>
      <w:r>
        <w:rPr>
          <w:i/>
          <w:sz w:val="20"/>
        </w:rPr>
        <w:t>EN: Methanol-assisted electrochemical system for scalable and integrated flue-gas CO2 capture and utilization</w:t>
      </w:r>
    </w:p>
    <w:p>
      <w:pPr>
        <w:spacing w:before="0" w:after="120"/>
      </w:pPr>
      <w:r>
        <w:rPr>
          <w:b/>
        </w:rPr>
        <w:t xml:space="preserve">Source: </w:t>
      </w:r>
      <w:r>
        <w:t>Joule</w:t>
      </w:r>
      <w:r>
        <w:t xml:space="preserve">    </w:t>
      </w:r>
      <w:r>
        <w:rPr>
          <w:b/>
        </w:rPr>
        <w:t xml:space="preserve">Pub date: </w:t>
      </w:r>
      <w:r>
        <w:t>2026-08-18 00:00:00+00:00</w:t>
      </w:r>
      <w:r>
        <w:t xml:space="preserve">    </w:t>
      </w:r>
      <w:r>
        <w:rPr>
          <w:b/>
        </w:rPr>
        <w:t xml:space="preserve">DOI: </w:t>
      </w:r>
      <w:hyperlink r:id="rId556">
        <w:r>
          <w:rPr>
            <w:color w:val="1155CC"/>
            <w:u w:val="single"/>
          </w:rPr>
          <w:t>10.1016/j.joule.2026.102631</w:t>
        </w:r>
      </w:hyperlink>
    </w:p>
    <w:p>
      <w:pPr>
        <w:spacing w:before="0" w:after="120"/>
      </w:pPr>
      <w:r>
        <w:rPr>
          <w:b/>
        </w:rPr>
        <w:t xml:space="preserve">Notes: </w:t>
      </w:r>
      <w:r>
        <w:t>abstract_source=rss_cell</w:t>
      </w:r>
    </w:p>
    <w:p>
      <w:pPr>
        <w:spacing w:before="0" w:after="80" w:lineRule="auto" w:line="276"/>
      </w:pPr>
      <w:r>
        <w:rPr>
          <w:b/>
        </w:rPr>
        <w:t xml:space="preserve">摘要（ZH）: </w:t>
      </w:r>
      <w:r>
        <w:t>减少点源排放需要高效、可扩展且与可再生电力兼容的碳捕获技术。本研究报告了一种基于紧凑型零间隙电解槽的甲醇辅助电化学二氧化碳捕获系统，可实现烟气捕获并与二氧化碳转化直接集成。通过将二氧化碳捕获和利用结合在一个可扩展的平台中，这项工作指向低成本和模块化的烟气碳管理。</w:t>
      </w:r>
    </w:p>
    <w:p>
      <w:pPr>
        <w:spacing w:before="0" w:after="200" w:lineRule="auto" w:line="276"/>
      </w:pPr>
      <w:r>
        <w:rPr>
          <w:b/>
        </w:rPr>
        <w:t xml:space="preserve">Abstract (EN): </w:t>
      </w:r>
      <w:r>
        <w:t>Mitigating emissions from point sources requires carbon-capture technologies that are efficient, scalable, and compatible with renewable electricity. This study reports a methanol-assisted electrochemical CO2 capture system based on a compact zero-gap electrolyzer, enabling flue-gas capture and direct integration with CO2 conversion. By coupling CO2 capture and utilization in one scalable platform, this work points toward lower-cost and modular flue-gas carbon management.</w:t>
      </w:r>
    </w:p>
    <w:p>
      <w:pPr>
        <w:spacing w:before="120" w:after="120"/>
      </w:pPr>
      <w:r>
        <w:rPr>
          <w:sz w:val="18"/>
        </w:rPr>
        <w:t>——————————————————————————————————————————————————————————————————————</w:t>
      </w:r>
    </w:p>
    <w:p>
      <w:pPr>
        <w:spacing w:before="160" w:after="40" w:line="240" w:lineRule="auto"/>
      </w:pPr>
      <w:r>
        <w:rPr>
          <w:b/>
        </w:rPr>
        <w:t xml:space="preserve">[9] </w:t>
      </w:r>
      <w:hyperlink r:id="rId557">
        <w:r>
          <w:rPr>
            <w:color w:val="1155CC"/>
            <w:u w:val="single"/>
          </w:rPr>
          <w:t>工程石灰石：通过地质和生物启发的矿化来闭合碳循环</w:t>
        </w:r>
      </w:hyperlink>
    </w:p>
    <w:p>
      <w:pPr>
        <w:spacing w:before="0" w:after="80"/>
      </w:pPr>
      <w:r>
        <w:rPr>
          <w:i/>
          <w:sz w:val="20"/>
        </w:rPr>
        <w:t>EN: Engineered limestone: closing the carbon loop through geo- and bio-inspired mineralization</w:t>
      </w:r>
    </w:p>
    <w:p>
      <w:pPr>
        <w:spacing w:before="0" w:after="120"/>
      </w:pPr>
      <w:r>
        <w:rPr>
          <w:b/>
        </w:rPr>
        <w:t xml:space="preserve">Source: </w:t>
      </w:r>
      <w:r>
        <w:t>National Science Review Advance Access</w:t>
      </w:r>
      <w:r>
        <w:t xml:space="preserve">    </w:t>
      </w:r>
      <w:r>
        <w:rPr>
          <w:b/>
        </w:rPr>
        <w:t xml:space="preserve">Pub date: </w:t>
      </w:r>
      <w:r>
        <w:t>2026-08-18 00:00:00+00:00</w:t>
      </w:r>
      <w:r>
        <w:t xml:space="preserve">    </w:t>
      </w:r>
      <w:r>
        <w:rPr>
          <w:b/>
        </w:rPr>
        <w:t xml:space="preserve">DOI: </w:t>
      </w:r>
      <w:hyperlink r:id="rId558">
        <w:r>
          <w:rPr>
            <w:color w:val="1155CC"/>
            <w:u w:val="single"/>
          </w:rPr>
          <w:t>10.1093/nsr/nwag485</w:t>
        </w:r>
      </w:hyperlink>
    </w:p>
    <w:p>
      <w:pPr>
        <w:spacing w:before="0" w:after="120"/>
      </w:pPr>
      <w:r>
        <w:rPr>
          <w:b/>
        </w:rPr>
        <w:t xml:space="preserve">Notes: </w:t>
      </w:r>
      <w:r>
        <w:t>abstract_source=crossref</w:t>
      </w:r>
    </w:p>
    <w:p>
      <w:pPr>
        <w:spacing w:before="0" w:after="80" w:lineRule="auto" w:line="276"/>
      </w:pPr>
      <w:r>
        <w:rPr>
          <w:b/>
        </w:rPr>
        <w:t xml:space="preserve">摘要（ZH）: </w:t>
      </w:r>
      <w:r>
        <w:t>本视角介绍了工程石灰石，这是一种受地质和生物启发的策略，利用工业二氧化碳将活性矿物和废物硬化成耐用的建筑产品，有助于形成碳循环。</w:t>
      </w:r>
    </w:p>
    <w:p>
      <w:pPr>
        <w:spacing w:before="0" w:after="200" w:lineRule="auto" w:line="276"/>
      </w:pPr>
      <w:r>
        <w:rPr>
          <w:b/>
        </w:rPr>
        <w:t xml:space="preserve">Abstract (EN): </w:t>
      </w:r>
      <w:r>
        <w:t>This Perspective introduces engineered limestone, a geo- and bio-inspired strategy that uses industrial carbon dioxide to harden reactive minerals and wastes into durable construction products, helping close the carbon loop.</w:t>
      </w:r>
    </w:p>
    <w:p>
      <w:pPr>
        <w:spacing w:before="120" w:after="120"/>
      </w:pPr>
      <w:r>
        <w:rPr>
          <w:sz w:val="18"/>
        </w:rPr>
        <w:t>——————————————————————————————————————————————————————————————————————</w:t>
      </w:r>
    </w:p>
    <w:p>
      <w:pPr>
        <w:spacing w:before="160" w:after="40" w:line="240" w:lineRule="auto"/>
      </w:pPr>
      <w:r>
        <w:rPr>
          <w:b/>
        </w:rPr>
        <w:t xml:space="preserve">[10] </w:t>
      </w:r>
      <w:hyperlink r:id="rId559">
        <w:r>
          <w:rPr>
            <w:color w:val="1155CC"/>
            <w:u w:val="single"/>
          </w:rPr>
          <w:t>将远程可再生能源中心与 CCUS 链整合以构建未来能源系统：比利时案例</w:t>
        </w:r>
      </w:hyperlink>
    </w:p>
    <w:p>
      <w:pPr>
        <w:spacing w:before="0" w:after="80"/>
      </w:pPr>
      <w:r>
        <w:rPr>
          <w:i/>
          <w:sz w:val="20"/>
        </w:rPr>
        <w:t>EN: Towards the integration of remote renewable energy hubs with CCUS chain for a future energy system: the Belgian case</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560">
        <w:r>
          <w:rPr>
            <w:color w:val="1155CC"/>
            <w:u w:val="single"/>
          </w:rPr>
          <w:t>10.1016/j.apenergy.2026.128428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561">
        <w:r>
          <w:rPr>
            <w:color w:val="1155CC"/>
            <w:u w:val="single"/>
          </w:rPr>
          <w:t>三核铜基序对 CO2 电还原的动态结构持久性</w:t>
        </w:r>
      </w:hyperlink>
    </w:p>
    <w:p>
      <w:pPr>
        <w:spacing w:before="0" w:after="80"/>
      </w:pPr>
      <w:r>
        <w:rPr>
          <w:i/>
          <w:sz w:val="20"/>
        </w:rPr>
        <w:t>EN: Dynamic Structural Persistence of Trinuclear Cu Motifs toward CO2 Electroreduction</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562">
        <w:r>
          <w:rPr>
            <w:color w:val="1155CC"/>
            <w:u w:val="single"/>
          </w:rPr>
          <w:t>10.1021/acsami.6c11350</w:t>
        </w:r>
      </w:hyperlink>
    </w:p>
    <w:p>
      <w:pPr>
        <w:spacing w:before="0" w:after="120"/>
      </w:pPr>
      <w:r>
        <w:rPr>
          <w:b/>
        </w:rPr>
        <w:t xml:space="preserve">Notes: </w:t>
      </w:r>
      <w:r>
        <w:t>abstract_source=crossref</w:t>
      </w:r>
    </w:p>
    <w:p>
      <w:pPr>
        <w:spacing w:before="0" w:after="80" w:lineRule="auto" w:line="276"/>
      </w:pPr>
      <w:r>
        <w:rPr>
          <w:b/>
        </w:rPr>
        <w:t xml:space="preserve">摘要（ZH）: </w:t>
      </w:r>
      <w:r>
        <w:t>摘要 电化学 CO2 还原为多碳产物通常归因于相邻的 Cu 位点，这些位点能够实现*CO 偶联，但设计的 Cu-Cu 基序在反应条件下是否持续存在仍不清楚。在这里，我们研究了一系列具有相似初始配位结构但二次配位壳空间刚性不同的三核铜催化剂。 Operando 拉曼光谱和 X 射线吸收光谱表明，空间约束不足的催化剂在阴极偏压下会发生不对称 Cu-Cu 畸变，导致非均相 *CO 吸附行为和增强的 C1 途径。相比之下，空间稳定的催化剂保留了对称的 Cu-Cu 构型，并维持有利的 *CO-*CO 偶联以形成 C2+。这些发现表明，操作条件下相邻铜位点的几何持久性，而不是单独的初始结构，控制着 CO2 电还原中的催化选择性，并强调了操作表征对于识别活性态结构的重要性。</w:t>
      </w:r>
    </w:p>
    <w:p>
      <w:pPr>
        <w:spacing w:before="0" w:after="200" w:lineRule="auto" w:line="276"/>
      </w:pPr>
      <w:r>
        <w:rPr>
          <w:b/>
        </w:rPr>
        <w:t xml:space="preserve">Abstract (EN): </w:t>
      </w:r>
      <w:r>
        <w:t>Electrochemical CO2 reduction toward multi-carbon products is often attributed to adjacent Cu sites that enable *CO coupling, yet whether designed Cu–Cu motifs persist under reaction conditions remains unclear. Here, we investigate a series of trinuclear Cu catalysts with similar initial coordination structures but different steric rigidity in the secondary coordination shell. Operando Raman and X-ray absorption spectroscopies reveal that catalysts with insufficient steric constraint undergo asymmetric Cu–Cu distortion under cathodic bias, leading to heterogeneous *CO adsorption behavior and enhanced C1 pathways. In contrast, sterically stabilized catalysts preserve symmetric Cu–Cu configurations and sustain favorable *CO–*CO coupling toward C2+ formation. These findings demonstrate that geometric persistence of neighboring Cu sites under operating conditions, rather than the initial structure alone, governs catalytic selectivity in CO2 electroreduction and highlights the importance of operando characterization for identifying active-state structures.</w:t>
      </w:r>
    </w:p>
    <w:p>
      <w:pPr>
        <w:spacing w:before="120" w:after="120"/>
      </w:pPr>
      <w:r>
        <w:rPr>
          <w:sz w:val="18"/>
        </w:rPr>
        <w:t>——————————————————————————————————————————————————————————————————————</w:t>
      </w:r>
    </w:p>
    <w:p>
      <w:pPr>
        <w:spacing w:before="160" w:after="40" w:line="240" w:lineRule="auto"/>
      </w:pPr>
      <w:r>
        <w:rPr>
          <w:b/>
        </w:rPr>
        <w:t xml:space="preserve">[12] </w:t>
      </w:r>
      <w:hyperlink r:id="rId563">
        <w:r>
          <w:rPr>
            <w:color w:val="1155CC"/>
            <w:u w:val="single"/>
          </w:rPr>
          <w:t>多孔分子六胺等温捕获和释放二氧化碳</w:t>
        </w:r>
      </w:hyperlink>
    </w:p>
    <w:p>
      <w:pPr>
        <w:spacing w:before="0" w:after="80"/>
      </w:pPr>
      <w:r>
        <w:rPr>
          <w:i/>
          <w:sz w:val="20"/>
        </w:rPr>
        <w:t>EN: Isothermal Capture and Release of Carbon Dioxide with a Porous Molecular Hexaamine</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564">
        <w:r>
          <w:rPr>
            <w:color w:val="1155CC"/>
            <w:u w:val="single"/>
          </w:rPr>
          <w:t>10.1021/jacs.6c12824</w:t>
        </w:r>
      </w:hyperlink>
    </w:p>
    <w:p>
      <w:pPr>
        <w:spacing w:before="0" w:after="120"/>
      </w:pPr>
      <w:r>
        <w:rPr>
          <w:b/>
        </w:rPr>
        <w:t xml:space="preserve">Notes: </w:t>
      </w:r>
      <w:r>
        <w:t>abstract_source=crossref</w:t>
      </w:r>
    </w:p>
    <w:p>
      <w:pPr>
        <w:spacing w:before="0" w:after="80" w:lineRule="auto" w:line="276"/>
      </w:pPr>
      <w:r>
        <w:rPr>
          <w:b/>
        </w:rPr>
        <w:t xml:space="preserve">摘要（ZH）: </w:t>
      </w:r>
      <w:r>
        <w:t>摘要 化石燃料燃烧流和空气的脱碳对于实现负碳排放至关重要，并且需要发现具有高 CO2 容量、长期稳定性和释放纯 CO2 的最小能量输入的新材料。已经报道了许多候选吸附剂，但没有一种吸附剂能够同时满足所有这些要求。我们创造这种材料的策略集中于设计一种结晶分子多胺，该多胺在整个二氧化碳吸收和解吸过程中保持孔隙率，同时实现高二氧化碳吸收能力，从而在温和条件下实现有意义的二氧化碳捕获和释放。在这里，我们表明，2,3,6,7,14,15-六（氨甲基）三蝶烯（C20H8(CH2NH2)6, TriptH）的多孔晶体捕获烟气或空气中的CO2，形成多孔氨基甲酸铵网络固体。使用粉末 X 射线衍射、漫反射红外傅里叶变换光谱和固态核磁共振光谱原位监测转变的可逆性。突破性分析表明，TriptH 在潮湿条件下实现了 5.3 mmol/g 的高 CO2 容量，在 660 个吸收-解吸循环过程中具有长期的氧化和热稳定性，以及前所未有的从潮湿、低浓度流中捕获 CO2 并在温度变化很小或没有变化以及高达 100 mbar 的真空压力下释放 CO2 的能力。</w:t>
      </w:r>
    </w:p>
    <w:p>
      <w:pPr>
        <w:spacing w:before="0" w:after="200" w:lineRule="auto" w:line="276"/>
      </w:pPr>
      <w:r>
        <w:rPr>
          <w:b/>
        </w:rPr>
        <w:t xml:space="preserve">Abstract (EN): </w:t>
      </w:r>
      <w:r>
        <w:t>The decarbonization of fossil fuel combustion streams and air is imperative to achieve negative carbon emissions and requires discovery of new materials that exhibit high CO2 capacities, long-term stability, and minimal energy input for the release of pure CO2. Numerous candidate sorbents have been reported, but none meet all of these requirements simultaneously. Our strategy for creating a material that does is centered on designing a crystalline molecular polyamine that retains porosity throughout CO2 absorption and desorption while achieving a high CO2 uptake capacity, thereby enabling meaningful CO2 capture and release under mild conditions. Here, we show that porous crystals of 2,3,6,7,14,15-hexakis(aminomethyl)triptycene (C20H8(CH2NH2)6, TriptH) capture CO2 from flue gas or air to form a porous ammonium carbamate network solid. The reversibility of the transformation is monitored in situ using powder X-ray diffraction, diffuse reflectance infrared Fourier transform spectroscopy, and solid-state nuclear magnetic resonance spectroscopy. Breakthrough analyses reveal that TriptH achieves a high CO2 capacity of 5.3 mmol/g under humid conditions, long-term oxidative and thermal stability through the course of 660 absorption–desorption cycles, and an unprecedented ability to capture CO2 from humid, low-concentration streams and release it with little or no temperature change and vacuum pressures as high as 100 mbar.</w:t>
      </w:r>
    </w:p>
    <w:p>
      <w:pPr>
        <w:spacing w:before="120" w:after="120"/>
      </w:pPr>
      <w:r>
        <w:rPr>
          <w:sz w:val="18"/>
        </w:rPr>
        <w:t>——————————————————————————————————————————————————————————————————————</w:t>
      </w:r>
    </w:p>
    <w:p>
      <w:pPr>
        <w:spacing w:before="160" w:after="40" w:line="240" w:lineRule="auto"/>
      </w:pPr>
      <w:r>
        <w:rPr>
          <w:b/>
        </w:rPr>
        <w:t xml:space="preserve">[13] </w:t>
      </w:r>
      <w:hyperlink r:id="rId565">
        <w:r>
          <w:rPr>
            <w:color w:val="1155CC"/>
            <w:u w:val="single"/>
          </w:rPr>
          <w:t>城市需要强有力的二氧化碳清除策略来实现净零目标</w:t>
        </w:r>
      </w:hyperlink>
    </w:p>
    <w:p>
      <w:pPr>
        <w:spacing w:before="0" w:after="80"/>
      </w:pPr>
      <w:r>
        <w:rPr>
          <w:i/>
          <w:sz w:val="20"/>
        </w:rPr>
        <w:t>EN: Cities need robust carbon dioxide removal strategies to meet net-zero targets</w:t>
      </w:r>
    </w:p>
    <w:p>
      <w:pPr>
        <w:spacing w:before="0" w:after="120"/>
      </w:pPr>
      <w:r>
        <w:rPr>
          <w:b/>
        </w:rPr>
        <w:t xml:space="preserve">Source: </w:t>
      </w:r>
      <w:r>
        <w:t>Nature Climate Change</w:t>
      </w:r>
      <w:r>
        <w:t xml:space="preserve">    </w:t>
      </w:r>
      <w:r>
        <w:rPr>
          <w:b/>
        </w:rPr>
        <w:t xml:space="preserve">Pub date: </w:t>
      </w:r>
      <w:r>
        <w:t>2026-08-18 00:00:00+00:00</w:t>
      </w:r>
      <w:r>
        <w:t xml:space="preserve">    </w:t>
      </w:r>
      <w:r>
        <w:rPr>
          <w:b/>
        </w:rPr>
        <w:t xml:space="preserve">DOI: </w:t>
      </w:r>
      <w:hyperlink r:id="rId566">
        <w:r>
          <w:rPr>
            <w:color w:val="1155CC"/>
            <w:u w:val="single"/>
          </w:rPr>
          <w:t>10.1038/s41558-026-02676-z</w:t>
        </w:r>
      </w:hyperlink>
    </w:p>
    <w:p>
      <w:pPr>
        <w:spacing w:before="0" w:after="120"/>
      </w:pPr>
      <w:r>
        <w:rPr>
          <w:b/>
        </w:rPr>
        <w:t xml:space="preserve">Notes: </w:t>
      </w:r>
      <w:r>
        <w:t>abstract_source=rss_nature</w:t>
      </w:r>
    </w:p>
    <w:p>
      <w:pPr>
        <w:spacing w:before="0" w:after="80" w:lineRule="auto" w:line="276"/>
      </w:pPr>
      <w:r>
        <w:rPr>
          <w:b/>
        </w:rPr>
        <w:t xml:space="preserve">摘要（ZH）: </w:t>
      </w:r>
      <w:r>
        <w:t>欧洲主要城市竞相实现净零排放，但残余排放与更容易减排的行业和临时的、土地密集型的碳清除挂钩以作为补偿。为了保持气候中和的可信性和公平性，政策必须收紧对减排的预期，并制定明确的碳清除和信用规则。</w:t>
      </w:r>
    </w:p>
    <w:p>
      <w:pPr>
        <w:spacing w:before="0" w:after="200" w:lineRule="auto" w:line="276"/>
      </w:pPr>
      <w:r>
        <w:rPr>
          <w:b/>
        </w:rPr>
        <w:t xml:space="preserve">Abstract (EN): </w:t>
      </w:r>
      <w:r>
        <w:t>Leading European cities race to reach net-zero emissions, but residual emissions are tied to easier-to-abate sectors and temporary, land-intensive carbon removal for compensation. To keep climate neutrality credible and fair, policy must tighten expectations on cutting emissions and set clear rules for carbon removal and credits.</w:t>
      </w:r>
    </w:p>
    <w:p>
      <w:pPr>
        <w:spacing w:before="120" w:after="120"/>
      </w:pPr>
      <w:r>
        <w:rPr>
          <w:sz w:val="18"/>
        </w:rPr>
        <w:t>——————————————————————————————————————————————————————————————————————</w:t>
      </w:r>
    </w:p>
    <w:p>
      <w:pPr>
        <w:spacing w:before="160" w:after="40" w:line="240" w:lineRule="auto"/>
      </w:pPr>
      <w:r>
        <w:rPr>
          <w:b/>
        </w:rPr>
        <w:t xml:space="preserve">[14] </w:t>
      </w:r>
      <w:hyperlink r:id="rId567">
        <w:r>
          <w:rPr>
            <w:color w:val="1155CC"/>
            <w:u w:val="single"/>
          </w:rPr>
          <w:t>控制热量和分子：定向冷冻铸造气凝胶壳促进光热二氧化碳甲烷化</w:t>
        </w:r>
      </w:hyperlink>
    </w:p>
    <w:p>
      <w:pPr>
        <w:spacing w:before="0" w:after="80"/>
      </w:pPr>
      <w:r>
        <w:rPr>
          <w:i/>
          <w:sz w:val="20"/>
        </w:rPr>
        <w:t>EN: Steering Heat and Molecules: Directional Freeze-Cast Aerogel Shells Boost Photothermal CO2 Methanation</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568">
        <w:r>
          <w:rPr>
            <w:color w:val="1155CC"/>
            <w:u w:val="single"/>
          </w:rPr>
          <w:t>10.1021/jacs.6c04548</w:t>
        </w:r>
      </w:hyperlink>
    </w:p>
    <w:p>
      <w:pPr>
        <w:spacing w:before="0" w:after="120"/>
      </w:pPr>
      <w:r>
        <w:rPr>
          <w:b/>
        </w:rPr>
        <w:t xml:space="preserve">Notes: </w:t>
      </w:r>
      <w:r>
        <w:t>abstract_source=crossref</w:t>
      </w:r>
    </w:p>
    <w:p>
      <w:pPr>
        <w:spacing w:before="0" w:after="80" w:lineRule="auto" w:line="276"/>
      </w:pPr>
      <w:r>
        <w:rPr>
          <w:b/>
        </w:rPr>
        <w:t xml:space="preserve">摘要（ZH）: </w:t>
      </w:r>
      <w:r>
        <w:t>摘要 开发将高效二氧化碳捕获与快速光热催化 (PTC) 相结合的集成系统仍然是可持续催化领域的一项艰巨挑战。在此，开发的3D微孔壳聚糖气凝胶（CA）封装的Ni/ZrO2催化剂（Ni/ZrO2@CA）不仅通过多重光散射效应最大化光热收集，而且还提供丰富的原子分散的-NH2位点，作为CO2捕获和活化的路易斯基本中心，形成氨基甲酸酯中间体。在模拟太阳辐射（2400 mW·cm–2）下，Ni/ZrO2@CA 的 CH4 产率高达 297.0 mmol·gcat–1·h–1，选择性为 99.8%，比原始 Ni/ZrO2 提高了 10–16 倍。原位 DRIFTS 在反应条件下检测到氨基甲酸酯物质，DFT 计算表明 NH2 介导的捕获-氢化-置换途径可能会绕过与直接 CO2 活化相关的高能屏障。这项工作建立了一种新的设计范例，其中有机覆盖层充当分子助催化剂，将集成的二氧化碳捕获和利用转变为单个光热微反应器平台。</w:t>
      </w:r>
    </w:p>
    <w:p>
      <w:pPr>
        <w:spacing w:before="0" w:after="200" w:lineRule="auto" w:line="276"/>
      </w:pPr>
      <w:r>
        <w:rPr>
          <w:b/>
        </w:rPr>
        <w:t xml:space="preserve">Abstract (EN): </w:t>
      </w:r>
      <w:r>
        <w:t>Developing integrated systems that merge efficient CO2 capture with rapid photothermal catalysis (PTC) remains a formidable challenge in sustainable catalysis. Herein, the developed 3D-microporous chitosan aerogel (CA) encapsulated Ni/ZrO2 catalyst (Ni/ZrO2@CA) not only maximizes photothermal harvesting through multiple light-scattering effects but also provides abundant, atom-dispersed −NH2 sites that function as Lewis basic centers for CO2 capture and activation, forming carbamate intermediates. Under simulated solar irradiation (2400 mW·cm–2), Ni/ZrO2@CA achieved CH4 production rates up to 297.0 mmol·gcat–1·h–1 with 99.8% selectivity, representing up to a 10–16-fold enhancement over pristine Ni/ZrO2. In situ DRIFTS detected carbamate species under reaction conditions, and DFT calculations suggest an NH2-mediated capture–hydrogenation–displacement pathway that may circumvent high-energy barriers associated with direct CO2 activation. This work establishes a new design paradigm in which the organic overlayer acts as a molecular cocatalyst, transforming integrated CO2 capture and utilization into a single photothermal microreactor platform.</w:t>
      </w:r>
    </w:p>
    <w:p>
      <w:pPr>
        <w:spacing w:before="120" w:after="120"/>
      </w:pPr>
      <w:r>
        <w:rPr>
          <w:sz w:val="18"/>
        </w:rPr>
        <w:t>——————————————————————————————————————————————————————————————————————</w:t>
      </w:r>
    </w:p>
    <w:p>
      <w:pPr>
        <w:spacing w:before="160" w:after="40" w:line="240" w:lineRule="auto"/>
      </w:pPr>
      <w:r>
        <w:rPr>
          <w:b/>
        </w:rPr>
        <w:t xml:space="preserve">[15] </w:t>
      </w:r>
      <w:hyperlink r:id="rId569">
        <w:r>
          <w:rPr>
            <w:color w:val="1155CC"/>
            <w:u w:val="single"/>
          </w:rPr>
          <w:t>网状化学模拟酶袋</w:t>
        </w:r>
      </w:hyperlink>
    </w:p>
    <w:p>
      <w:pPr>
        <w:spacing w:before="0" w:after="80"/>
      </w:pPr>
      <w:r>
        <w:rPr>
          <w:i/>
          <w:sz w:val="20"/>
        </w:rPr>
        <w:t>EN: Reticular chemistry mimics enzyme pockets</w:t>
      </w:r>
    </w:p>
    <w:p>
      <w:pPr>
        <w:spacing w:before="0" w:after="120"/>
      </w:pPr>
      <w:r>
        <w:rPr>
          <w:b/>
        </w:rPr>
        <w:t xml:space="preserve">Source: </w:t>
      </w:r>
      <w:r>
        <w:t>Nature Materials</w:t>
      </w:r>
      <w:r>
        <w:t xml:space="preserve">    </w:t>
      </w:r>
      <w:r>
        <w:rPr>
          <w:b/>
        </w:rPr>
        <w:t xml:space="preserve">Pub date: </w:t>
      </w:r>
      <w:r>
        <w:t>2026-08-19 00:00:00+00:00</w:t>
      </w:r>
      <w:r>
        <w:t xml:space="preserve">    </w:t>
      </w:r>
      <w:r>
        <w:rPr>
          <w:b/>
        </w:rPr>
        <w:t xml:space="preserve">DOI: </w:t>
      </w:r>
      <w:hyperlink r:id="rId570">
        <w:r>
          <w:rPr>
            <w:color w:val="1155CC"/>
            <w:u w:val="single"/>
          </w:rPr>
          <w:t>10.1038/s41563-026-02716-1</w:t>
        </w:r>
      </w:hyperlink>
    </w:p>
    <w:p>
      <w:pPr>
        <w:spacing w:before="0" w:after="120"/>
      </w:pPr>
      <w:r>
        <w:rPr>
          <w:b/>
        </w:rPr>
        <w:t xml:space="preserve">Notes: </w:t>
      </w:r>
      <w:r>
        <w:t>abstract_source=rss_nature</w:t>
      </w:r>
    </w:p>
    <w:p>
      <w:pPr>
        <w:spacing w:before="0" w:after="80" w:lineRule="auto" w:line="276"/>
      </w:pPr>
      <w:r>
        <w:rPr>
          <w:b/>
        </w:rPr>
        <w:t xml:space="preserve">摘要（ZH）: </w:t>
      </w:r>
      <w:r>
        <w:t>两种金属-有机框架由同一节点构建，仅在三元连接体的扭曲上有所不同，它们重新定向金属位点，同时保持化学、孔隙率和拓扑结构不变，这表明可以通过设计对限制进行编程：更受限制的框架从空气中捕获的二氧化碳量几乎是四倍。</w:t>
      </w:r>
    </w:p>
    <w:p>
      <w:pPr>
        <w:spacing w:before="0" w:after="200" w:lineRule="auto" w:line="276"/>
      </w:pPr>
      <w:r>
        <w:rPr>
          <w:b/>
        </w:rPr>
        <w:t xml:space="preserve">Abstract (EN): </w:t>
      </w:r>
      <w:r>
        <w:t>Two metal–organic frameworks, built from the same node and differing only in the twist of their tritopic linker, reorient metal sites while leaving chemistry, porosity and topology unchanged, showing that confinement can be programmed by design: the more confined framework captures nearly four times as much CO2 from air.</w:t>
      </w:r>
    </w:p>
    <w:p>
      <w:pPr>
        <w:spacing w:before="120" w:after="120"/>
      </w:pPr>
      <w:r>
        <w:rPr>
          <w:sz w:val="18"/>
        </w:rPr>
        <w:t>——————————————————————————————————————————————————————————————————————</w:t>
      </w:r>
    </w:p>
    <w:p>
      <w:pPr>
        <w:spacing w:before="160" w:after="40" w:line="240" w:lineRule="auto"/>
      </w:pPr>
      <w:r>
        <w:rPr>
          <w:b/>
        </w:rPr>
        <w:t xml:space="preserve">[16] </w:t>
      </w:r>
      <w:hyperlink r:id="rId571">
        <w:r>
          <w:rPr>
            <w:color w:val="1155CC"/>
            <w:u w:val="single"/>
          </w:rPr>
          <w:t>分子内氢键稳定的氧化还原介体用于从环境空气中捕获耐氧电化学二氧化碳</w:t>
        </w:r>
      </w:hyperlink>
    </w:p>
    <w:p>
      <w:pPr>
        <w:spacing w:before="0" w:after="80"/>
      </w:pPr>
      <w:r>
        <w:rPr>
          <w:i/>
          <w:sz w:val="20"/>
        </w:rPr>
        <w:t>EN: Intramolecular Hydrogen Bond-Stabilized Redox Mediator for Oxygen-Resistant Electrochemical CO2 Capture from Ambient Air</w:t>
      </w:r>
    </w:p>
    <w:p>
      <w:pPr>
        <w:spacing w:before="0" w:after="120"/>
      </w:pPr>
      <w:r>
        <w:rPr>
          <w:b/>
        </w:rPr>
        <w:t xml:space="preserve">Source: </w:t>
      </w:r>
      <w:r>
        <w:t>ACS Energy Letters: Latest Articles (ACS Publications)</w:t>
      </w:r>
      <w:r>
        <w:t xml:space="preserve">    </w:t>
      </w:r>
      <w:r>
        <w:rPr>
          <w:b/>
        </w:rPr>
        <w:t xml:space="preserve">Pub date: </w:t>
      </w:r>
      <w:r>
        <w:t>2026-08-19 00:00:00+00:00</w:t>
      </w:r>
      <w:r>
        <w:t xml:space="preserve">    </w:t>
      </w:r>
      <w:r>
        <w:rPr>
          <w:b/>
        </w:rPr>
        <w:t xml:space="preserve">DOI: </w:t>
      </w:r>
      <w:hyperlink r:id="rId572">
        <w:r>
          <w:rPr>
            <w:color w:val="1155CC"/>
            <w:u w:val="single"/>
          </w:rPr>
          <w:t>10.1021/acsenergylett.6c02057</w:t>
        </w:r>
      </w:hyperlink>
    </w:p>
    <w:p>
      <w:pPr>
        <w:spacing w:before="0" w:after="120"/>
      </w:pPr>
      <w:r>
        <w:rPr>
          <w:b/>
        </w:rPr>
        <w:t xml:space="preserve">Notes: </w:t>
      </w:r>
      <w:r>
        <w:t>abstract_source=crossref</w:t>
      </w:r>
    </w:p>
    <w:p>
      <w:pPr>
        <w:spacing w:before="0" w:after="80" w:lineRule="auto" w:line="276"/>
      </w:pPr>
      <w:r>
        <w:rPr>
          <w:b/>
        </w:rPr>
        <w:t xml:space="preserve">摘要（ZH）: </w:t>
      </w:r>
      <w:r>
        <w:t>摘要 电化学诱导直接空气捕获 (DAC) 已成为减少人为二氧化碳排放的一项引人注目的策略。然而，一个关键的瓶颈仍然是氧化还原活性分子的 O2 敏感性，这直接降低了捕获效率和能源经济性。在此，我们报告了一种基于三苯并[a,c,i]吩嗪-10,15-二酮 (TBPDO) 的质子耦合电子转移 (PCET) 的混合流通池，可驱动 pH 摆动 DAC。通过在还原产物（r-TBPDOH2）中诱导分子内氢键来增强耐氧性，密度泛函理论（DFT）计算证实，还原产物（r-TBPDOH2）通过分子内O-H·N=C相互作用和扩展的π共轭降低氧中心的局部电子密度，从而在动力学上抑制O2攻击。因此，该碳捕获系统的释放/捕获效率为 92%，库仑效率为 81%，能耗为 149 kJ mol–1CO2。这项工作建立了分子内氢键作为对抗寄生 O2 氧化的动力学保护策略，提供了可转移到其他基于 PCET 的电化学系统的分子设计原理。</w:t>
      </w:r>
    </w:p>
    <w:p>
      <w:pPr>
        <w:spacing w:before="0" w:after="200" w:lineRule="auto" w:line="276"/>
      </w:pPr>
      <w:r>
        <w:rPr>
          <w:b/>
        </w:rPr>
        <w:t xml:space="preserve">Abstract (EN): </w:t>
      </w:r>
      <w:r>
        <w:t>Electrochemically induced direct air capture (DAC) has emerged as a compelling strategy for mitigating anthropogenic CO2 emissions. However, a critical bottleneck remains the O2 sensitivity of redox-active molecules, which directly degrades both capture efficiency and energy economy. Herein, we report a hybrid flow cell based on the proton-coupled electron transfer (PCET) of tribenzo[a,c,i]phenazine-10,15-dione (TBPDO) that drives pH-swing DAC. The O2 tolerance is enhanced by inducing intramolecular hydrogen bonds in the reduction product (r-TBPDOH2), which kinetically suppress O2 attack by lowering the local electron density at the oxygen center via intramolecular O–H···N═C interactions and extended π-conjugation, as confirmed by density functional theory (DFT) calculations. Consequently, this carbon capture system achieves a release/capture efficiency of 92%, a Coulombic efficiency of 81%, and an energy consumption of 149 kJ mol–1CO2. This work establishes intramolecular hydrogen bonding as a kinetic protection strategy against parasitic O2 oxidation, offering a molecular design principle transferable to other PCET-based electrochemical systems.</w:t>
      </w:r>
    </w:p>
    <w:p>
      <w:pPr>
        <w:spacing w:before="120" w:after="120"/>
      </w:pPr>
      <w:r>
        <w:rPr>
          <w:sz w:val="18"/>
        </w:rPr>
        <w:t>——————————————————————————————————————————————————————————————————————</w:t>
      </w:r>
    </w:p>
    <w:p>
      <w:pPr>
        <w:spacing w:before="160" w:after="40" w:line="240" w:lineRule="auto"/>
      </w:pPr>
      <w:r>
        <w:rPr>
          <w:b/>
        </w:rPr>
        <w:t xml:space="preserve">[17] </w:t>
      </w:r>
      <w:hyperlink r:id="rId573">
        <w:r>
          <w:rPr>
            <w:color w:val="1155CC"/>
            <w:u w:val="single"/>
          </w:rPr>
          <w:t>膜电极组件中用于酸性 CO2 电还原的气体扩散电极的分层界面工程</w:t>
        </w:r>
      </w:hyperlink>
    </w:p>
    <w:p>
      <w:pPr>
        <w:spacing w:before="0" w:after="80"/>
      </w:pPr>
      <w:r>
        <w:rPr>
          <w:i/>
          <w:sz w:val="20"/>
        </w:rPr>
        <w:t>EN: Hierarchical Interfacial Engineering of Gas Diffusion Electrodes for Acidic CO2 Electroreduction in Membrane Electrode Assemblies</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574">
        <w:r>
          <w:rPr>
            <w:color w:val="1155CC"/>
            <w:u w:val="single"/>
          </w:rPr>
          <w:t>10.1021/jacs.6c11052</w:t>
        </w:r>
      </w:hyperlink>
    </w:p>
    <w:p>
      <w:pPr>
        <w:spacing w:before="0" w:after="120"/>
      </w:pPr>
      <w:r>
        <w:rPr>
          <w:b/>
        </w:rPr>
        <w:t xml:space="preserve">Notes: </w:t>
      </w:r>
      <w:r>
        <w:t>abstract_source=crossref</w:t>
      </w:r>
    </w:p>
    <w:p>
      <w:pPr>
        <w:spacing w:before="0" w:after="80" w:lineRule="auto" w:line="276"/>
      </w:pPr>
      <w:r>
        <w:rPr>
          <w:b/>
        </w:rPr>
        <w:t xml:space="preserve">摘要（ZH）: </w:t>
      </w:r>
      <w:r>
        <w:t>摘要 膜电极组件中的酸性 CO2 电还原可抑制寄生碳酸盐的形成并提高碳利用率。然而，实际实施仍然受到质子积累和碱金属阳离子积累的阻碍，这会导致与析氢、盐沉淀和催化剂淹没相关的故障模式。在这里，我们报告了一种气体扩散电极的多尺度界面设计，可以解决多个长度尺度上的这些挑战。我们的设计采用多层结构，其中微米级疏水性多孔二氧化硅覆盖层位于纳米级季铵聚电解质涂层下方。前者通过毛细管压力调节电解质侵入，而后者通过静电限制阳离子积累。将亲水性大分子成分掺入聚电解质中进一步诱导络合驱动的电荷致密化，同时建立渗透水通道，增强界面水合作用并降低电池电压。我们的设计在银催化剂上提供了 99% 的 CO 法拉第效率，持续超过 162 小时，在 200 mA cm–2 下单程 CO2 转化效率为 77%。此外，我们表明该设计很容易在催化剂平台上推广并转化为规模，在 25 cm2 电解槽中稳定运行，CO 生产率为 ∼62 mL min–1。最后，技术经济分析预测了一条具有成本竞争力的二氧化碳生产途径，强调分层界面工程是酸性二氧化碳元素的有效策略</w:t>
      </w:r>
    </w:p>
    <w:p>
      <w:pPr>
        <w:spacing w:before="0" w:after="200" w:lineRule="auto" w:line="276"/>
      </w:pPr>
      <w:r>
        <w:rPr>
          <w:b/>
        </w:rPr>
        <w:t xml:space="preserve">Abstract (EN): </w:t>
      </w:r>
      <w:r>
        <w:t>Acidic CO2 electroreduction in membrane electrode assemblies suppresses parasitic carbonate formation and improves carbon utilization. Yet, practical implementations remain hindered by proton accumulation and alkali cation buildup that give rise to failure modes associated with hydrogen evolution, salt precipitation, and catalyst flooding. Here, we report a multiscale interfacial design for gas diffusion electrodes that addresses these challenges across multiple length scales. Our design employs a multilayer architecture in which a microscale hydrophobic porous silica overlayer sits below a nanoscale quaternary ammonium polyelectrolyte coating. The former regulates electrolyte intrusion via capillary pressure while the latter electrostatically restricts cation accumulation. Incorporation of a hydrophilic macromolecular component into the polyelectrolyte further induces complexation-driven charge densification while simultaneously establishing percolating water channels that enhance interfacial hydration and reduce cell voltage. Our design provides CO Faradaic efficiencies of 99% sustained over 162 h, with single-pass CO2 conversion efficiency of 77% at 200 mA cm–2, on a model Ag catalyst. Furthermore, we show that the design readily generalizes across catalyst platforms and translates to scale, delivering stable operation in a 25 cm2 electrolyzer with CO production rates of ∼62 mL min–1. Lastly, techno-economic analysis projects a pathway to cost-competitive CO production, highlighting hierarchical interfacial engineering as an effective strategy for acidic CO2 electrolysis at industrially relevant scales.</w:t>
      </w:r>
    </w:p>
    <w:p>
      <w:pPr>
        <w:spacing w:before="120" w:after="120"/>
      </w:pPr>
      <w:r>
        <w:rPr>
          <w:sz w:val="18"/>
        </w:rPr>
        <w:t>——————————————————————————————————————————————————————————————————————</w:t>
      </w:r>
    </w:p>
    <w:p>
      <w:pPr>
        <w:spacing w:before="160" w:after="40" w:line="240" w:lineRule="auto"/>
      </w:pPr>
      <w:r>
        <w:rPr>
          <w:b/>
        </w:rPr>
        <w:t xml:space="preserve">[18] </w:t>
      </w:r>
      <w:hyperlink r:id="rId575">
        <w:r>
          <w:rPr>
            <w:color w:val="1155CC"/>
            <w:u w:val="single"/>
          </w:rPr>
          <w:t>通过形成路易斯酸碱加合物来稳定 Ru-甲酰基 CO2 还原中间体：2DIR 和 NMR 联合研究</w:t>
        </w:r>
      </w:hyperlink>
    </w:p>
    <w:p>
      <w:pPr>
        <w:spacing w:before="0" w:after="80"/>
      </w:pPr>
      <w:r>
        <w:rPr>
          <w:i/>
          <w:sz w:val="20"/>
        </w:rPr>
        <w:t>EN: Stabilizing Ru-Formyl CO2 Reduction Intermediates by Formation of Lewis Acid–Base Adducts: A Combined 2DIR and NMR Study</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576">
        <w:r>
          <w:rPr>
            <w:color w:val="1155CC"/>
            <w:u w:val="single"/>
          </w:rPr>
          <w:t>10.1021/jacs.6c12298</w:t>
        </w:r>
      </w:hyperlink>
    </w:p>
    <w:p>
      <w:pPr>
        <w:spacing w:before="0" w:after="120"/>
      </w:pPr>
      <w:r>
        <w:rPr>
          <w:b/>
        </w:rPr>
        <w:t xml:space="preserve">Notes: </w:t>
      </w:r>
      <w:r>
        <w:t>abstract_source=crossref</w:t>
      </w:r>
    </w:p>
    <w:p>
      <w:pPr>
        <w:spacing w:before="0" w:after="80" w:lineRule="auto" w:line="276"/>
      </w:pPr>
      <w:r>
        <w:rPr>
          <w:b/>
        </w:rPr>
        <w:t xml:space="preserve">摘要（ZH）: </w:t>
      </w:r>
      <w:r>
        <w:t>摘要 这项工作演示了如何通过添加路易斯酸性阳离子（Li+或Mg2+）大大增强Ru(II)甲酰基配合物（cis-[Ru(bpy)2(CO)(CHO)][PF6]）的稳定性，已知该配合物可脱羰形成金属氢化物配合物。使用多核核磁共振来测量加合物形成的平衡常数，然后应用超快 2DIR 光谱来确定甲酰基配体与路易斯酸络合时电子结构和局部分子动力学如何变化。我们将配合物的稳定性归因于类卡宾结构的形成，其中Ru和甲酰基之间的键强度增加。稳态核磁共振波谱和 DFT 计算证明了电子结构的变化。 2DIR 测量进一步证实了甲酰基配体与路易斯酸的络合以及电子结构的变化，其中在路易斯酸存在下观察到振动频率、弛豫动力学的变化以及金属-甲酰基键旋转时间尺度的减慢。</w:t>
      </w:r>
    </w:p>
    <w:p>
      <w:pPr>
        <w:spacing w:before="0" w:after="200" w:lineRule="auto" w:line="276"/>
      </w:pPr>
      <w:r>
        <w:rPr>
          <w:b/>
        </w:rPr>
        <w:t xml:space="preserve">Abstract (EN): </w:t>
      </w:r>
      <w:r>
        <w:t>This work demonstrates how the stability of a Ru(II) formyl complex (cis-[Ru(bpy)2(CO)(CHO)][PF6]), which is known to decarbonylate to form the metal hydride complex, is greatly enhanced by the addition of a Lewis acidic cation (Li+ or Mg2+). Multinuclear NMR is used to measure equilibrium constants of adduct formation, and then ultrafast 2DIR spectroscopy is applied to determine how the electronic structure and local molecular dynamics change upon complexation of the formyl ligand with the Lewis acid. We attribute the stabilization of the complex to the formation of a carbene-like structure where the bond strength between the Ru and the formyl group increases. The change in electronic structure is evidenced by steady-state NMR spectroscopy and DFT calculations. 2DIR measurements further confirm both the complexation of the formyl ligand with the Lewis acid and the change in electronic structure, where changes in vibrational frequency, relaxation kinetics, and a slowdown in the time scale of rotation about the metal-formyl bond are observed in the presence of Lewis acids.</w:t>
      </w:r>
    </w:p>
    <w:p>
      <w:pPr>
        <w:spacing w:before="120" w:after="120"/>
      </w:pPr>
      <w:r>
        <w:rPr>
          <w:sz w:val="18"/>
        </w:rPr>
        <w:t>——————————————————————————————————————————————————————————————————————</w:t>
      </w:r>
    </w:p>
    <w:p>
      <w:pPr>
        <w:spacing w:before="160" w:after="40" w:line="240" w:lineRule="auto"/>
      </w:pPr>
      <w:r>
        <w:rPr>
          <w:b/>
        </w:rPr>
        <w:t xml:space="preserve">[19] </w:t>
      </w:r>
      <w:hyperlink r:id="rId577">
        <w:r>
          <w:rPr>
            <w:color w:val="1155CC"/>
            <w:u w:val="single"/>
          </w:rPr>
          <w:t>用于催化应用的铜纳米团簇的合理设计</w:t>
        </w:r>
      </w:hyperlink>
    </w:p>
    <w:p>
      <w:pPr>
        <w:spacing w:before="0" w:after="80"/>
      </w:pPr>
      <w:r>
        <w:rPr>
          <w:i/>
          <w:sz w:val="20"/>
        </w:rPr>
        <w:t>EN: Rational Design of Copper Nanoclusters for Catalytic Applications</w:t>
      </w:r>
    </w:p>
    <w:p>
      <w:pPr>
        <w:spacing w:before="0" w:after="120"/>
      </w:pPr>
      <w:r>
        <w:rPr>
          <w:b/>
        </w:rPr>
        <w:t xml:space="preserve">Source: </w:t>
      </w:r>
      <w:r>
        <w:t>Chemical Reviews: Latest Articles (ACS Publications)</w:t>
      </w:r>
      <w:r>
        <w:t xml:space="preserve">    </w:t>
      </w:r>
      <w:r>
        <w:rPr>
          <w:b/>
        </w:rPr>
        <w:t xml:space="preserve">Pub date: </w:t>
      </w:r>
      <w:r>
        <w:t>2026-08-19 00:00:00+00:00</w:t>
      </w:r>
      <w:r>
        <w:t xml:space="preserve">    </w:t>
      </w:r>
      <w:r>
        <w:rPr>
          <w:b/>
        </w:rPr>
        <w:t xml:space="preserve">DOI: </w:t>
      </w:r>
      <w:hyperlink r:id="rId578">
        <w:r>
          <w:rPr>
            <w:color w:val="1155CC"/>
            <w:u w:val="single"/>
          </w:rPr>
          <w:t>10.1021/acs.chemrev.6c00141</w:t>
        </w:r>
      </w:hyperlink>
    </w:p>
    <w:p>
      <w:pPr>
        <w:spacing w:before="0" w:after="120"/>
      </w:pPr>
      <w:r>
        <w:rPr>
          <w:b/>
        </w:rPr>
        <w:t xml:space="preserve">Notes: </w:t>
      </w:r>
      <w:r>
        <w:t>abstract_source=crossref</w:t>
      </w:r>
    </w:p>
    <w:p>
      <w:pPr>
        <w:spacing w:before="0" w:after="80" w:lineRule="auto" w:line="276"/>
      </w:pPr>
      <w:r>
        <w:rPr>
          <w:b/>
        </w:rPr>
        <w:t xml:space="preserve">摘要（ZH）: </w:t>
      </w:r>
      <w:r>
        <w:t>摘要 本综述旨在整合过去十年来铜纳米团簇 (NC) 合理设计的进展。原子精确的 Cu NCs 因其低成本、高效率以及明确的结构而成为高活性催化的有前途的材料。 Cu NCs 的绝对单分散性为基础催化研究提供了直接的见解，包括活性位点的识别、原子水平结构-活性关系的建立、金属核结构和配体选择性的调节以及催化机制的探索。在这篇综述中，我们总结了开发 Cu NC 催化剂的策略，包括配体工程、氧化态调节、杂原子掺杂和理论预测。随后，我们总结了 Cu NCs 催化剂在催化活性、活性位点识别和基本机制方面的快速发展进展。催化应用主要涉及电催化、光催化和有机转化。最后，我们对 Cu NC 的合理设计及其作为催化剂的商业化所面临的挑战和未来前景进行了全面的评论。</w:t>
      </w:r>
    </w:p>
    <w:p>
      <w:pPr>
        <w:spacing w:before="0" w:after="200" w:lineRule="auto" w:line="276"/>
      </w:pPr>
      <w:r>
        <w:rPr>
          <w:b/>
        </w:rPr>
        <w:t xml:space="preserve">Abstract (EN): </w:t>
      </w:r>
      <w:r>
        <w:t>This review aims to integrate advancements in the rational design of Cu nanoclusters (NCs) from the past decade. Atomically precise Cu NCs have emerged as promising materials for highly active catalysis, due to their low cost and high efficiency as well as well-defined structures. The absolute monodispersity of Cu NCs provides direct insights into fundamental catalytic research, including the identification of active sites, the establishment of structure–activity relationships at atomic level, the modulation of metal-kernel structures and ligands for selectivity, and the exploration of catalytic mechanisms. In this review, we summarize strategies for developing Cu NC catalysts, including ligand engineering, oxidation state modulation, heteroatom doping, and theoretical prediction. Subsequently, we sum up the fast-growing advances of Cu NCs catalysts in terms of catalytic activities, identification of active sites and fundamental mechanisms. The catalytic applications mainly involve electrocatalysis, photocatalysis, and organic transformations. Finally, we provide comprehensive commentaries on the challenges and future perspectives in rational design of Cu NCs and its commercialization as catalysts.</w:t>
      </w:r>
    </w:p>
    <w:p>
      <w:pPr>
        <w:spacing w:before="120" w:after="120"/>
      </w:pPr>
      <w:r>
        <w:rPr>
          <w:sz w:val="18"/>
        </w:rPr>
        <w:t>——————————————————————————————————————————————————————————————————————</w:t>
      </w:r>
    </w:p>
    <w:p>
      <w:pPr>
        <w:spacing w:before="160" w:after="40" w:line="240" w:lineRule="auto"/>
      </w:pPr>
      <w:r>
        <w:rPr>
          <w:b/>
        </w:rPr>
        <w:t xml:space="preserve">[20] </w:t>
      </w:r>
      <w:hyperlink r:id="rId579">
        <w:r>
          <w:rPr>
            <w:color w:val="1155CC"/>
            <w:u w:val="single"/>
          </w:rPr>
          <w:t>超薄 CoO 纳米片可直接将 CO2 加氢生成乙酸</w:t>
        </w:r>
      </w:hyperlink>
    </w:p>
    <w:p>
      <w:pPr>
        <w:spacing w:before="0" w:after="80"/>
      </w:pPr>
      <w:r>
        <w:rPr>
          <w:i/>
          <w:sz w:val="20"/>
        </w:rPr>
        <w:t>EN: Ultrathin CoO nanosheets enable direct CO2 hydrogenation to acetic acid</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580">
        <w:r>
          <w:rPr>
            <w:color w:val="1155CC"/>
            <w:u w:val="single"/>
          </w:rPr>
          <w:t>10.1126/sciadv.aeg1076</w:t>
        </w:r>
      </w:hyperlink>
    </w:p>
    <w:p>
      <w:pPr>
        <w:spacing w:before="0" w:after="120"/>
      </w:pPr>
      <w:r>
        <w:rPr>
          <w:b/>
        </w:rPr>
        <w:t xml:space="preserve">Notes: </w:t>
      </w:r>
      <w:r>
        <w:t>abstract_source=crossref</w:t>
      </w:r>
    </w:p>
    <w:p>
      <w:pPr>
        <w:spacing w:before="0" w:after="80" w:lineRule="auto" w:line="276"/>
      </w:pPr>
      <w:r>
        <w:rPr>
          <w:b/>
        </w:rPr>
        <w:t xml:space="preserve">摘要（ZH）: </w:t>
      </w:r>
      <w:r>
        <w:t>二氧化碳直接加氢（CO</w:t>
      </w:r>
      <w:r>
        <w:rPr>
          <w:vertAlign w:val="subscript"/>
        </w:rPr>
        <w:t>2</w:t>
      </w:r>
      <w:r>
        <w:t>）到乙酸（一种重要的商品化学品）提供了一种可持续的途径来稳定温室气体，但受到二氧化碳的困扰</w:t>
      </w:r>
      <w:r>
        <w:rPr>
          <w:vertAlign w:val="subscript"/>
        </w:rPr>
        <w:t>2</w:t>
      </w:r>
      <w:r>
        <w:t>惰性、热力学障碍以及 C-C 偶联相对于竞争性过氢化的选择性较差。本文描述了超薄氧化钴（II）纳米片（&lt;4 nm 厚）的设计和合成，可实现直接一步 CO</w:t>
      </w:r>
      <w:r>
        <w:rPr>
          <w:vertAlign w:val="subscript"/>
        </w:rPr>
        <w:t>2</w:t>
      </w:r>
      <w:r>
        <w:t>加氢生成乙酸，选择性超过 90%，C 极低</w:t>
      </w:r>
      <w:r>
        <w:rPr>
          <w:vertAlign w:val="subscript"/>
        </w:rPr>
        <w:t>1</w:t>
      </w:r>
      <w:r>
        <w:t>副产物和在温和条件下报道的最高产率，超越了传统的多步路线（例如CO</w:t>
      </w:r>
      <w:r>
        <w:rPr>
          <w:vertAlign w:val="subscript"/>
        </w:rPr>
        <w:t>2</w:t>
      </w:r>
      <w:r>
        <w:t>转化为CO/甲醇，然后进行羰基化）在成本、效率和原子经济性方面。这些二维结构具有延伸的梯田，在二氧化碳中进行原位重建</w:t>
      </w:r>
      <w:r>
        <w:rPr>
          <w:vertAlign w:val="subscript"/>
        </w:rPr>
        <w:t>2</w:t>
      </w:r>
      <w:r>
        <w:t>/H</w:t>
      </w:r>
      <w:r>
        <w:rPr>
          <w:vertAlign w:val="subscript"/>
        </w:rPr>
        <w:t>2</w:t>
      </w:r>
      <w:r>
        <w:t>混合物形成碳酸钴(II)氢氧化物类相，稳定Co</w:t>
      </w:r>
      <w:r>
        <w:t xml:space="preserve"> </w:t>
      </w:r>
      <w:r>
        <w:t>2+</w:t>
      </w:r>
      <w:r>
        <w:t xml:space="preserve"> </w:t>
      </w:r>
      <w:r>
        <w:t>并产生丰富的羟基以优化CO</w:t>
      </w:r>
      <w:r>
        <w:rPr>
          <w:vertAlign w:val="subscript"/>
        </w:rPr>
        <w:t>2</w:t>
      </w:r>
      <w:r>
        <w:t>激活和选择性 C-C 偶联，同时抑制过度还原。原位表征，包括电子能量损失近边缘结构、空间分辨红外光谱和动力学/同位素分析，揭示了重构相在调节电子密度以获得优异产率和c方面的作用。</w:t>
      </w:r>
    </w:p>
    <w:p>
      <w:pPr>
        <w:spacing w:before="0" w:after="200" w:lineRule="auto" w:line="276"/>
      </w:pPr>
      <w:r>
        <w:rPr>
          <w:b/>
        </w:rPr>
        <w:t xml:space="preserve">Abstract (EN): </w:t>
      </w:r>
      <w:r>
        <w:t>Direct hydrogenation of carbon dioxide (CO</w:t>
      </w:r>
      <w:r>
        <w:rPr>
          <w:vertAlign w:val="subscript"/>
        </w:rPr>
        <w:t>2</w:t>
      </w:r>
      <w:r>
        <w:t>) to acetic acid, a key commodity chemical, offers a sustainable route to valorize greenhouse gases but is plagued by CO</w:t>
      </w:r>
      <w:r>
        <w:rPr>
          <w:vertAlign w:val="subscript"/>
        </w:rPr>
        <w:t>2</w:t>
      </w:r>
      <w:r>
        <w:t>inertness, thermodynamic barriers, and poor selectivity for C-C coupling over competing overhydrogenation. This paper describes the design and synthesis of ultrathin cobalt(II) oxide nanosheets (&amp;lt;4 nm thick) that achieve direct one-step CO</w:t>
      </w:r>
      <w:r>
        <w:rPr>
          <w:vertAlign w:val="subscript"/>
        </w:rPr>
        <w:t>2</w:t>
      </w:r>
      <w:r>
        <w:t>hydrogenation to acetic acid with over 90% selectivity, minimal C</w:t>
      </w:r>
      <w:r>
        <w:rPr>
          <w:vertAlign w:val="subscript"/>
        </w:rPr>
        <w:t>1</w:t>
      </w:r>
      <w:r>
        <w:t>by-products and the highest reported yield under mild conditions, surpassing traditional multistep routes (such as CO</w:t>
      </w:r>
      <w:r>
        <w:rPr>
          <w:vertAlign w:val="subscript"/>
        </w:rPr>
        <w:t>2</w:t>
      </w:r>
      <w:r>
        <w:t>to CO/methanol followed by carbonylation) in cost, efficiency, and atom economy. These two-dimensional structures feature extended terraces that undergo in situ reconstruction in CO</w:t>
      </w:r>
      <w:r>
        <w:rPr>
          <w:vertAlign w:val="subscript"/>
        </w:rPr>
        <w:t>2</w:t>
      </w:r>
      <w:r>
        <w:t>/H</w:t>
      </w:r>
      <w:r>
        <w:rPr>
          <w:vertAlign w:val="subscript"/>
        </w:rPr>
        <w:t>2</w:t>
      </w:r>
      <w:r>
        <w:t>mixtures to a cobalt(II) carbonate hydroxide–like phase, stabilizing Co</w:t>
      </w:r>
      <w:r>
        <w:t xml:space="preserve"> </w:t>
      </w:r>
      <w:r>
        <w:t>2+</w:t>
      </w:r>
      <w:r>
        <w:t xml:space="preserve"> </w:t>
      </w:r>
      <w:r>
        <w:t>and generating abundant hydroxyl groups to optimize CO</w:t>
      </w:r>
      <w:r>
        <w:rPr>
          <w:vertAlign w:val="subscript"/>
        </w:rPr>
        <w:t>2</w:t>
      </w:r>
      <w:r>
        <w:t>activation and selective C–C coupling while suppressing over-reduction. In situ characterizations, including electron energy-loss near-edge structure, spatially resolved infrared spectroscopy, and kinetic/isotopic analyses, reveal the reconstructed phase’s role in modulating electron density for superior yields and confirm a formate-coupling mechanism unattainable with conventional catalysts. This study introduces a paradigm for CO</w:t>
      </w:r>
      <w:r>
        <w:rPr>
          <w:vertAlign w:val="subscript"/>
        </w:rPr>
        <w:t>2</w:t>
      </w:r>
      <w:r>
        <w:t>upgrading: harnessing dynamic surface reconstructions and nanoscale morphology to access elusive multicarbon pathways, with implications for sustainable chemical synthesis.</w:t>
      </w:r>
    </w:p>
    <w:p>
      <w:pPr>
        <w:spacing w:before="120" w:after="120"/>
      </w:pPr>
      <w:r>
        <w:rPr>
          <w:sz w:val="18"/>
        </w:rPr>
        <w:t>——————————————————————————————————————————————————————————————————————</w:t>
      </w:r>
    </w:p>
    <w:p>
      <w:pPr>
        <w:spacing w:before="160" w:after="40" w:line="240" w:lineRule="auto"/>
      </w:pPr>
      <w:r>
        <w:rPr>
          <w:b/>
        </w:rPr>
        <w:t xml:space="preserve">[21] </w:t>
      </w:r>
      <w:hyperlink r:id="rId581">
        <w:r>
          <w:rPr>
            <w:color w:val="1155CC"/>
            <w:u w:val="single"/>
          </w:rPr>
          <w:t>通过多孔液体中的多重富集效应光催化二氧化碳转化为乙醇</w:t>
        </w:r>
      </w:hyperlink>
    </w:p>
    <w:p>
      <w:pPr>
        <w:spacing w:before="0" w:after="80"/>
      </w:pPr>
      <w:r>
        <w:rPr>
          <w:i/>
          <w:sz w:val="20"/>
        </w:rPr>
        <w:t>EN: Photocatalytic CO2-to-ethanol conversion via multiple enrichment effects in porous liquids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582">
        <w:r>
          <w:rPr>
            <w:color w:val="1155CC"/>
            <w:u w:val="single"/>
          </w:rPr>
          <w:t>10.1126/sciadv.aeg8278</w:t>
        </w:r>
      </w:hyperlink>
    </w:p>
    <w:p>
      <w:pPr>
        <w:spacing w:before="0" w:after="120"/>
      </w:pPr>
      <w:r>
        <w:rPr>
          <w:b/>
        </w:rPr>
        <w:t xml:space="preserve">Notes: </w:t>
      </w:r>
      <w:r>
        <w:t>abstract_source=crossref</w:t>
      </w:r>
    </w:p>
    <w:p>
      <w:pPr>
        <w:spacing w:before="0" w:after="80" w:lineRule="auto" w:line="276"/>
      </w:pPr>
      <w:r>
        <w:rPr>
          <w:b/>
        </w:rPr>
        <w:t xml:space="preserve">摘要（ZH）: </w:t>
      </w:r>
      <w:r>
        <w:t>光催化CO</w:t>
      </w:r>
      <w:r>
        <w:rPr>
          <w:vertAlign w:val="subscript"/>
        </w:rPr>
        <w:t>2</w:t>
      </w:r>
      <w:r>
        <w:t>减少乙醇等多碳产品仍然具有挑战性。我们报告了一种多孔液体（PL）系统，PL（Cu-Cu</w:t>
      </w:r>
      <w:r>
        <w:rPr>
          <w:vertAlign w:val="subscript"/>
        </w:rPr>
        <w:t>2</w:t>
      </w:r>
      <w:r>
        <w:t>O@NU)，驱动选择性CO</w:t>
      </w:r>
      <w:r>
        <w:rPr>
          <w:vertAlign w:val="subscript"/>
        </w:rPr>
        <w:t>2</w:t>
      </w:r>
      <w:r>
        <w:t>-至乙醇的转化。它具有铜</w:t>
      </w:r>
      <w:r>
        <w:rPr>
          <w:vertAlign w:val="subscript"/>
        </w:rPr>
        <w:t>0</w:t>
      </w:r>
      <w:r>
        <w:t>/铜</w:t>
      </w:r>
      <w:r>
        <w:t xml:space="preserve"> </w:t>
      </w:r>
      <w:r>
        <w:t>+</w:t>
      </w:r>
      <w:r>
        <w:t xml:space="preserve"> </w:t>
      </w:r>
      <w:r>
        <w:t>NH 的双位点</w:t>
      </w:r>
      <w:r>
        <w:rPr>
          <w:vertAlign w:val="subscript"/>
        </w:rPr>
        <w:t>2</w:t>
      </w:r>
      <w:r>
        <w:t>-UiO-66 (NU) 与甲氧基聚乙二醇官能化咪唑鎓离子液体 (IL) 杂化。该系统通过三重富集机制促进 C-C 偶联：IL 和 NU 协同富集 CO</w:t>
      </w:r>
      <w:r>
        <w:rPr>
          <w:vertAlign w:val="subscript"/>
        </w:rPr>
        <w:t>2</w:t>
      </w:r>
      <w:r>
        <w:t>，IL 富集 Cu 位点的电子，受限孔富集中间体。因此，PL(Cu-Cu</w:t>
      </w:r>
      <w:r>
        <w:rPr>
          <w:vertAlign w:val="subscript"/>
        </w:rPr>
        <w:t>2</w:t>
      </w:r>
      <w:r>
        <w:t>O@NU) 达到 83.3 μmol·g</w:t>
      </w:r>
      <w:r>
        <w:t xml:space="preserve"> </w:t>
      </w:r>
      <w:r>
        <w:t>−1</w:t>
      </w:r>
      <w:r>
        <w:t xml:space="preserve"> </w:t>
      </w:r>
      <w:r>
        <w:t>·小时</w:t>
      </w:r>
      <w:r>
        <w:t xml:space="preserve"> </w:t>
      </w:r>
      <w:r>
        <w:t>−1</w:t>
      </w:r>
      <w:r>
        <w:t xml:space="preserve"> </w:t>
      </w:r>
      <w:r>
        <w:t>乙醇收率，选择性为 95.2%，优于 Cu-Cu</w:t>
      </w:r>
      <w:r>
        <w:rPr>
          <w:vertAlign w:val="subscript"/>
        </w:rPr>
        <w:t>2</w:t>
      </w:r>
      <w:r>
        <w:t>O@NU 4.7 倍。对照实验（显示没有乙醇优于分离的 NU、IL 或 Cu-Cu</w:t>
      </w:r>
      <w:r>
        <w:rPr>
          <w:vertAlign w:val="subscript"/>
        </w:rPr>
        <w:t>2</w:t>
      </w:r>
      <w:r>
        <w:t>O) 直接验证该机制。补充计算证实了这些发现：分子动力学证实受限孔隙减少了 *CO 扩散以实现富集，而密度泛函理论揭示了 C-C 耦合势垒的降低。此外，d 波段上移可增强 CO</w:t>
      </w:r>
      <w:r>
        <w:rPr>
          <w:vertAlign w:val="subscript"/>
        </w:rPr>
        <w:t>2</w:t>
      </w:r>
      <w:r>
        <w:t>-Cu重叠，并且Cu</w:t>
      </w:r>
      <w:r>
        <w:rPr>
          <w:vertAlign w:val="subscript"/>
        </w:rPr>
        <w:t>0</w:t>
      </w:r>
    </w:p>
    <w:p>
      <w:pPr>
        <w:spacing w:before="0" w:after="200" w:lineRule="auto" w:line="276"/>
      </w:pPr>
      <w:r>
        <w:rPr>
          <w:b/>
        </w:rPr>
        <w:t xml:space="preserve">Abstract (EN): </w:t>
      </w:r>
      <w:r>
        <w:t>Photocatalytic CO</w:t>
      </w:r>
      <w:r>
        <w:rPr>
          <w:vertAlign w:val="subscript"/>
        </w:rPr>
        <w:t>2</w:t>
      </w:r>
      <w:r>
        <w:t>reduction to multi-carbon products like ethanol remains challenging. We report a porous liquid (PL) system, PL(Cu-Cu</w:t>
      </w:r>
      <w:r>
        <w:rPr>
          <w:vertAlign w:val="subscript"/>
        </w:rPr>
        <w:t>2</w:t>
      </w:r>
      <w:r>
        <w:t>O@NU), driving selective CO</w:t>
      </w:r>
      <w:r>
        <w:rPr>
          <w:vertAlign w:val="subscript"/>
        </w:rPr>
        <w:t>2</w:t>
      </w:r>
      <w:r>
        <w:t>-to-ethanol conversion. It features Cu</w:t>
      </w:r>
      <w:r>
        <w:rPr>
          <w:vertAlign w:val="subscript"/>
        </w:rPr>
        <w:t>0</w:t>
      </w:r>
      <w:r>
        <w:t>/Cu</w:t>
      </w:r>
      <w:r>
        <w:t xml:space="preserve"> </w:t>
      </w:r>
      <w:r>
        <w:t>+</w:t>
      </w:r>
      <w:r>
        <w:t xml:space="preserve"> </w:t>
      </w:r>
      <w:r>
        <w:t>dual sites in NH</w:t>
      </w:r>
      <w:r>
        <w:rPr>
          <w:vertAlign w:val="subscript"/>
        </w:rPr>
        <w:t>2</w:t>
      </w:r>
      <w:r>
        <w:t>-UiO-66 (NU) hybridized with a methoxypolyethylene glycol-functionalized imidazolium ionic liquid (IL). This system facilitates C-C coupling via a triple enrichment mechanism: IL and NU synergistically enrich CO</w:t>
      </w:r>
      <w:r>
        <w:rPr>
          <w:vertAlign w:val="subscript"/>
        </w:rPr>
        <w:t>2</w:t>
      </w:r>
      <w:r>
        <w:t>, IL enriches electrons at Cu sites, and confined pores enrich intermediates. Consequently, PL(Cu-Cu</w:t>
      </w:r>
      <w:r>
        <w:rPr>
          <w:vertAlign w:val="subscript"/>
        </w:rPr>
        <w:t>2</w:t>
      </w:r>
      <w:r>
        <w:t>O@NU) achieves an 83.3 μmol·g</w:t>
      </w:r>
      <w:r>
        <w:t xml:space="preserve"> </w:t>
      </w:r>
      <w:r>
        <w:t>−1</w:t>
      </w:r>
      <w:r>
        <w:t xml:space="preserve"> </w:t>
      </w:r>
      <w:r>
        <w:t>·h</w:t>
      </w:r>
      <w:r>
        <w:t xml:space="preserve"> </w:t>
      </w:r>
      <w:r>
        <w:t>−1</w:t>
      </w:r>
      <w:r>
        <w:t xml:space="preserve"> </w:t>
      </w:r>
      <w:r>
        <w:t>ethanol yield with 95.2% selectivity, outperforming Cu-Cu</w:t>
      </w:r>
      <w:r>
        <w:rPr>
          <w:vertAlign w:val="subscript"/>
        </w:rPr>
        <w:t>2</w:t>
      </w:r>
      <w:r>
        <w:t>O@NU by 4.7-fold. Control experiments (showing no ethanol over isolated NU, IL, or Cu-Cu</w:t>
      </w:r>
      <w:r>
        <w:rPr>
          <w:vertAlign w:val="subscript"/>
        </w:rPr>
        <w:t>2</w:t>
      </w:r>
      <w:r>
        <w:t>O) directly validate this mechanism. Supplemental computations substantiate these findings: molecular dynamics confirm confined pores reduce *CO diffusion for enrichment, while density functional theory reveals lowered C-C coupling barriers. Furthermore, d-band upshifts enhance CO</w:t>
      </w:r>
      <w:r>
        <w:rPr>
          <w:vertAlign w:val="subscript"/>
        </w:rPr>
        <w:t>2</w:t>
      </w:r>
      <w:r>
        <w:t>-Cu overlap, and Cu</w:t>
      </w:r>
      <w:r>
        <w:rPr>
          <w:vertAlign w:val="subscript"/>
        </w:rPr>
        <w:t>0</w:t>
      </w:r>
      <w:r>
        <w:t>/Cu</w:t>
      </w:r>
      <w:r>
        <w:t xml:space="preserve"> </w:t>
      </w:r>
      <w:r>
        <w:t>+</w:t>
      </w:r>
      <w:r>
        <w:t xml:space="preserve"> </w:t>
      </w:r>
      <w:r>
        <w:t>sites mediate the critical *CO → *COCO transition. These integrated observations firmly establish PLs as robust confinement-driven platforms for selective CO</w:t>
      </w:r>
      <w:r>
        <w:rPr>
          <w:vertAlign w:val="subscript"/>
        </w:rPr>
        <w:t>2</w:t>
      </w:r>
      <w:r>
        <w:t>-to-C</w:t>
      </w:r>
      <w:r>
        <w:rPr>
          <w:vertAlign w:val="subscript"/>
        </w:rPr>
        <w:t>2</w:t>
      </w:r>
      <w:r>
        <w:t>+</w:t>
      </w:r>
      <w:r>
        <w:t xml:space="preserve"> </w:t>
      </w:r>
      <w:r>
        <w:t>conversion.</w:t>
      </w:r>
    </w:p>
    <w:p>
      <w:pPr>
        <w:spacing w:before="120" w:after="120"/>
      </w:pPr>
      <w:r>
        <w:rPr>
          <w:sz w:val="18"/>
        </w:rPr>
        <w:t>——————————————————————————————————————————————————————————————————————</w:t>
      </w:r>
    </w:p>
    <w:p>
      <w:pPr>
        <w:spacing w:before="160" w:after="40" w:line="240" w:lineRule="auto"/>
      </w:pPr>
      <w:r>
        <w:rPr>
          <w:b/>
        </w:rPr>
        <w:t xml:space="preserve">[22] </w:t>
      </w:r>
      <w:hyperlink r:id="rId583">
        <w:r>
          <w:rPr>
            <w:color w:val="1155CC"/>
            <w:u w:val="single"/>
          </w:rPr>
          <w:t>通过重建诱导位点进行界面水活化，实现 CO2 的 pH 通用电还原</w:t>
        </w:r>
      </w:hyperlink>
    </w:p>
    <w:p>
      <w:pPr>
        <w:spacing w:before="0" w:after="80"/>
      </w:pPr>
      <w:r>
        <w:rPr>
          <w:i/>
          <w:sz w:val="20"/>
        </w:rPr>
        <w:t>EN: Interfacial Water Activation via Reconstruction‐Induced Sites for pH‐Universal Electroreduction of CO2</w:t>
      </w:r>
    </w:p>
    <w:p>
      <w:pPr>
        <w:spacing w:before="0" w:after="120"/>
      </w:pPr>
      <w:r>
        <w:rPr>
          <w:b/>
        </w:rPr>
        <w:t xml:space="preserve">Source: </w:t>
      </w:r>
      <w:r>
        <w:t>Wiley: Angewandte Chemie International Edition: Table of Contents</w:t>
      </w:r>
      <w:r>
        <w:t xml:space="preserve">    </w:t>
      </w:r>
      <w:r>
        <w:rPr>
          <w:b/>
        </w:rPr>
        <w:t xml:space="preserve">Pub date: </w:t>
      </w:r>
      <w:r>
        <w:t>2026-08-19 09:23:45+00:00</w:t>
      </w:r>
      <w:r>
        <w:t xml:space="preserve">    </w:t>
      </w:r>
      <w:r>
        <w:rPr>
          <w:b/>
        </w:rPr>
        <w:t xml:space="preserve">DOI: </w:t>
      </w:r>
      <w:hyperlink r:id="rId584">
        <w:r>
          <w:rPr>
            <w:color w:val="1155CC"/>
            <w:u w:val="single"/>
          </w:rPr>
          <w:t>10.1002/anie.2221316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可再生电力驱动的二氧化碳电解还原</w:t>
      </w:r>
      <w:r>
        <w:rPr>
          <w:vertAlign w:val="subscript"/>
        </w:rPr>
        <w:t>2</w:t>
      </w:r>
      <w:r>
        <w:t>转化为甲酸盐是最具商业吸引力的碳增值途径之一，但铋基催化剂在反应条件下往往会出现不稳定的表面状态。在这里，我们利用这种内在的不稳定性，通过原位电化学表面重构策略构建界面Cs/Cl双改性Bi纳米花催化剂，该催化剂在宽pH范围内（包括酸性、中性和碱性介质）提供高甲酸盐选择性。原位光谱分析和理论计算表明，Cs/Cl双重修饰从根本上作为协同位点，通过重新配置界面电子环境、加速水解离和稳定*OCHO中间体，从而将反应途径转向甲酸盐。此外，配对 CO</w:t>
      </w:r>
      <w:r>
        <w:rPr>
          <w:vertAlign w:val="subscript"/>
        </w:rPr>
        <w:t>2</w:t>
      </w:r>
      <w:r>
        <w:t>双电极配置中的甲醇氧化还原能够在低电池电压下在两个电极上同时电合成甲酸盐，为碳利用和生物质升级提供双值联产策略。这项工作通过重建诱导的双位点建立界面水活化作为下一代二氧化碳的强大设计原理</w:t>
      </w:r>
      <w:r>
        <w:rPr>
          <w:vertAlign w:val="subscript"/>
        </w:rPr>
        <w:t>2</w:t>
      </w:r>
      <w:r>
        <w:t>还原电催化剂。</w:t>
      </w:r>
    </w:p>
    <w:p>
      <w:pPr>
        <w:spacing w:before="0" w:after="200" w:lineRule="auto" w:line="276"/>
      </w:pPr>
      <w:r>
        <w:rPr>
          <w:b/>
        </w:rPr>
        <w:t xml:space="preserve">Abstract (EN): </w:t>
      </w:r>
      <w:r>
        <w:t>Renewable electricity‐driven electroreduction of CO</w:t>
      </w:r>
      <w:r>
        <w:rPr>
          <w:vertAlign w:val="subscript"/>
        </w:rPr>
        <w:t>2</w:t>
      </w:r>
      <w:r>
        <w:t>into formate represents one of the most commercially attractive routes for carbon valorization, yet Bi‐based catalysts often suffer from unstable surface states under reaction conditions. Here, we exploit this intrinsic instability to construct an interfacial Cs/Cl dual‐modified Bi nanoflower catalyst via an in situ electrochemical surface reconstruction strategy, which delivers high formate selectivity across a broad pH window, including acidic, neutral, and alkaline media. In situ spectroscopic analysis and theoretical calculations reveal that Cs/Cl dual‐modification fundamentally serves as synergistic sites by reconfiguring the interfacial electronic environment, accelerating water dissociation, and stabilizing *OCHO intermediates, thereby steering the reaction pathway toward formate. Furthermore, pairing CO</w:t>
      </w:r>
      <w:r>
        <w:rPr>
          <w:vertAlign w:val="subscript"/>
        </w:rPr>
        <w:t>2</w:t>
      </w:r>
      <w:r>
        <w:t>reduction with methanol oxidation in a two‐electrode configuration enables the simultaneous electrosynthesis of formate at both electrodes under low cell voltages, offering a dual‐value coproduction strategy for carbon utilization and biomass upgrading. This work establishes interfacial water activation via reconstruction‐induced dual‐sites as a powerful design principle for next‐generation CO</w:t>
      </w:r>
      <w:r>
        <w:rPr>
          <w:vertAlign w:val="subscript"/>
        </w:rPr>
        <w:t>2</w:t>
      </w:r>
      <w:r>
        <w:t>reduction electrocatalysts.</w:t>
      </w:r>
    </w:p>
    <w:p>
      <w:pPr>
        <w:spacing w:before="120" w:after="120"/>
      </w:pPr>
      <w:r>
        <w:rPr>
          <w:sz w:val="18"/>
        </w:rPr>
        <w:t>——————————————————————————————————————————————————————————————————————</w:t>
      </w:r>
    </w:p>
    <w:p>
      <w:pPr>
        <w:spacing w:before="160" w:after="40" w:line="240" w:lineRule="auto"/>
      </w:pPr>
      <w:r>
        <w:rPr>
          <w:b/>
        </w:rPr>
        <w:t xml:space="preserve">[23] </w:t>
      </w:r>
      <w:hyperlink r:id="rId585">
        <w:r>
          <w:rPr>
            <w:color w:val="1155CC"/>
            <w:u w:val="single"/>
          </w:rPr>
          <w:t>使用修饰微环境的金修饰 CuO 纳米针催化剂将碱性 CO2 电催化中的碳损失抑制至 5%</w:t>
        </w:r>
      </w:hyperlink>
    </w:p>
    <w:p>
      <w:pPr>
        <w:spacing w:before="0" w:after="80"/>
      </w:pPr>
      <w:r>
        <w:rPr>
          <w:i/>
          <w:sz w:val="20"/>
        </w:rPr>
        <w:t>EN: Suppressing Carbon Losses to 5% in Alkaline CO2 Electrocatalysis Using Gold‐Decorated CuO Nanoneedle Catalysts With Modified Microenvironment</w:t>
      </w:r>
    </w:p>
    <w:p>
      <w:pPr>
        <w:spacing w:before="0" w:after="120"/>
      </w:pPr>
      <w:r>
        <w:rPr>
          <w:b/>
        </w:rPr>
        <w:t xml:space="preserve">Source: </w:t>
      </w:r>
      <w:r>
        <w:t>Wiley: Advanced Energy Materials: Table of Contents</w:t>
      </w:r>
      <w:r>
        <w:t xml:space="preserve">    </w:t>
      </w:r>
      <w:r>
        <w:rPr>
          <w:b/>
        </w:rPr>
        <w:t xml:space="preserve">Pub date: </w:t>
      </w:r>
      <w:r>
        <w:t>2026-08-19 10:50:13+00:00</w:t>
      </w:r>
      <w:r>
        <w:t xml:space="preserve">    </w:t>
      </w:r>
      <w:r>
        <w:rPr>
          <w:b/>
        </w:rPr>
        <w:t xml:space="preserve">DOI: </w:t>
      </w:r>
      <w:hyperlink r:id="rId586">
        <w:r>
          <w:rPr>
            <w:color w:val="1155CC"/>
            <w:u w:val="single"/>
          </w:rPr>
          <w:t>10.1002/aenm.71405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碱性CO</w:t>
      </w:r>
      <w:r>
        <w:rPr>
          <w:vertAlign w:val="subscript"/>
        </w:rPr>
        <w:t>2</w:t>
      </w:r>
      <w:r>
        <w:t>电解可以达到工业相关的速率，但它通常会因碳酸盐的形成而导致大量碳损失，从而限制了转化效率。在这项研究中，我们展示了将金修饰的 CuO 纳米针催化剂 (N-CuAu) 与动态脉冲电催化和具有调节的本体氢氧化物浓度的合成电解质 ([OH</w:t>
      </w:r>
      <w:r>
        <w:t xml:space="preserve"> </w:t>
      </w:r>
      <w:r>
        <w:t>-</w:t>
      </w:r>
      <w:r>
        <w:t>]‐Bulk）抑制碳酸化，同时在碱性电解槽中保持较高的整体性能。综合策略将碳损失降低至 5.7%，同时实现单程 CO</w:t>
      </w:r>
      <w:r>
        <w:rPr>
          <w:vertAlign w:val="subscript"/>
        </w:rPr>
        <w:t>2</w:t>
      </w:r>
      <w:r>
        <w:t>选择性 CO 的转化率为 51%，总体法拉第效率 (FE) 为 92%</w:t>
      </w:r>
      <w:r>
        <w:rPr>
          <w:vertAlign w:val="subscript"/>
        </w:rPr>
        <w:t>2</w:t>
      </w:r>
      <w:r>
        <w:t>减少。由此产生的碳酸盐形成率比传统碱性 CO 低约 182 倍</w:t>
      </w:r>
      <w:r>
        <w:rPr>
          <w:vertAlign w:val="subscript"/>
        </w:rPr>
        <w:t>2</w:t>
      </w:r>
      <w:r>
        <w:t>电解，比最先进的中性介质 CO 低 27 倍</w:t>
      </w:r>
      <w:r>
        <w:rPr>
          <w:vertAlign w:val="subscript"/>
        </w:rPr>
        <w:t>2</w:t>
      </w:r>
      <w:r>
        <w:t>电解。利用互补的原位和异位表征，我们确定了有效的半定量局部碱度（[OH</w:t>
      </w:r>
      <w:r>
        <w:t xml:space="preserve"> </w:t>
      </w:r>
      <w:r>
        <w:t>-</w:t>
      </w:r>
      <w:r>
        <w:t>]-局部）为 0.17 mol/Lit，与抑制碳酸盐形成和增强对醇产品的选择性相关，同时确认了动态脉冲操作下催化剂的结构稳定性。总之，这些结果建立了氢氧化物微环境控制作为协调的杠杆</w:t>
      </w:r>
    </w:p>
    <w:p>
      <w:pPr>
        <w:spacing w:before="0" w:after="200" w:lineRule="auto" w:line="276"/>
      </w:pPr>
      <w:r>
        <w:rPr>
          <w:b/>
        </w:rPr>
        <w:t xml:space="preserve">Abstract (EN): </w:t>
      </w:r>
      <w:r>
        <w:t>Alkaline CO</w:t>
      </w:r>
      <w:r>
        <w:rPr>
          <w:vertAlign w:val="subscript"/>
        </w:rPr>
        <w:t>2</w:t>
      </w:r>
      <w:r>
        <w:t>electrolysis can reach industrially relevant rates, but it typically incurs substantial carbon losses through carbonate formation, limiting conversion efficiency. In this study, we show that combining a gold‐decorated CuO nanoneedle catalyst (N‑CuAu) with dynamic pulsed electrocatalysis and a synthetic electrolyte with tuned bulk hydroxide concentration ([OH</w:t>
      </w:r>
      <w:r>
        <w:t xml:space="preserve"> </w:t>
      </w:r>
      <w:r>
        <w:t>−</w:t>
      </w:r>
      <w:r>
        <w:t>]‐Bulk) suppresses carbonation while maintaining high overall performance in an alkaline electrolyzer. The integrated strategy reduces carbon losses to 5.7%, while achieving a single‐pass CO</w:t>
      </w:r>
      <w:r>
        <w:rPr>
          <w:vertAlign w:val="subscript"/>
        </w:rPr>
        <w:t>2</w:t>
      </w:r>
      <w:r>
        <w:t>conversion of 51% and an overall Faradaic efficiency (FE) of 92% for selective CO</w:t>
      </w:r>
      <w:r>
        <w:rPr>
          <w:vertAlign w:val="subscript"/>
        </w:rPr>
        <w:t>2</w:t>
      </w:r>
      <w:r>
        <w:t>reduction. The resulting carbonate formation ratio is about 182‐fold lower than conventional alkaline CO</w:t>
      </w:r>
      <w:r>
        <w:rPr>
          <w:vertAlign w:val="subscript"/>
        </w:rPr>
        <w:t>2</w:t>
      </w:r>
      <w:r>
        <w:t>electrolysis and 27 fold lower than state‐of‐the‐art neutral media CO</w:t>
      </w:r>
      <w:r>
        <w:rPr>
          <w:vertAlign w:val="subscript"/>
        </w:rPr>
        <w:t>2</w:t>
      </w:r>
      <w:r>
        <w:t>electrolysis. Using complementary in situ and ex situ characterizations, we identify an operative semi‐quantitative local alkalinity ([OH</w:t>
      </w:r>
      <w:r>
        <w:t xml:space="preserve"> </w:t>
      </w:r>
      <w:r>
        <w:t>−</w:t>
      </w:r>
      <w:r>
        <w:t>]‐Local) of 0.17 mol/Lit that correlates with suppressed carbonate formation and enhanced selectivity toward alcohol products, while confirming catalyst structural stability under dynamic pulsed operation. Together, these results establish hydroxide microenvironment control as a lever to reconcile high‐performance alkaline CO</w:t>
      </w:r>
      <w:r>
        <w:rPr>
          <w:vertAlign w:val="subscript"/>
        </w:rPr>
        <w:t>2</w:t>
      </w:r>
      <w:r>
        <w:t>electrolysis with low carbonation losses.</w:t>
      </w:r>
    </w:p>
    <w:p>
      <w:pPr>
        <w:spacing w:before="120" w:after="120"/>
      </w:pPr>
      <w:r>
        <w:rPr>
          <w:sz w:val="18"/>
        </w:rPr>
        <w:t>——————————————————————————————————————————————————————————————————————</w:t>
      </w:r>
    </w:p>
    <w:p>
      <w:pPr>
        <w:spacing w:before="160" w:after="40" w:line="240" w:lineRule="auto"/>
      </w:pPr>
      <w:r>
        <w:rPr>
          <w:b/>
        </w:rPr>
        <w:t xml:space="preserve">[24] </w:t>
      </w:r>
      <w:hyperlink r:id="rId587">
        <w:r>
          <w:rPr>
            <w:color w:val="1155CC"/>
            <w:u w:val="single"/>
          </w:rPr>
          <w:t>原位重建高度集成的 Cu/Cu2O/MoO2 双异质结用于高性能 CO2 光热催化</w:t>
        </w:r>
      </w:hyperlink>
    </w:p>
    <w:p>
      <w:pPr>
        <w:spacing w:before="0" w:after="80"/>
      </w:pPr>
      <w:r>
        <w:rPr>
          <w:i/>
          <w:sz w:val="20"/>
        </w:rPr>
        <w:t>EN: In Situ Reconstruction of a Highly Integrated Cu/Cu2O/MoO2 Dual Heterojunctions for High‐Performance CO2 Photothermal Catalysis</w:t>
      </w:r>
    </w:p>
    <w:p>
      <w:pPr>
        <w:spacing w:before="0" w:after="120"/>
      </w:pPr>
      <w:r>
        <w:rPr>
          <w:b/>
        </w:rPr>
        <w:t xml:space="preserve">Source: </w:t>
      </w:r>
      <w:r>
        <w:t>Wiley: Advanced Materials: Table of Contents</w:t>
      </w:r>
      <w:r>
        <w:t xml:space="preserve">    </w:t>
      </w:r>
      <w:r>
        <w:rPr>
          <w:b/>
        </w:rPr>
        <w:t xml:space="preserve">Pub date: </w:t>
      </w:r>
      <w:r>
        <w:t>2026-08-19 10:53:26+00:00</w:t>
      </w:r>
      <w:r>
        <w:t xml:space="preserve">    </w:t>
      </w:r>
      <w:r>
        <w:rPr>
          <w:b/>
        </w:rPr>
        <w:t xml:space="preserve">DOI: </w:t>
      </w:r>
      <w:hyperlink r:id="rId588">
        <w:r>
          <w:rPr>
            <w:color w:val="1155CC"/>
            <w:u w:val="single"/>
          </w:rPr>
          <w:t>10.1002/adma.74707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多相光热催化过程中，催化剂容易发生随机和无序的结构演化，这对构建集光生载流子分离、分子活化和活性位点工程于一体的先进光热催化系统提出了严峻的挑战。在这项工作中，我们采用原位重建策略来制造高度集成的 Cu/Cu</w:t>
      </w:r>
      <w:r>
        <w:rPr>
          <w:vertAlign w:val="subscript"/>
        </w:rPr>
        <w:t>2</w:t>
      </w:r>
      <w:r>
        <w:t>氧/钼</w:t>
      </w:r>
      <w:r>
        <w:rPr>
          <w:vertAlign w:val="subscript"/>
        </w:rPr>
        <w:t>2</w:t>
      </w:r>
      <w:r>
        <w:t>Cu复合催化剂</w:t>
      </w:r>
      <w:r>
        <w:rPr>
          <w:vertAlign w:val="subscript"/>
        </w:rPr>
        <w:t>3</w:t>
      </w:r>
      <w:r>
        <w:t>莫</w:t>
      </w:r>
      <w:r>
        <w:rPr>
          <w:vertAlign w:val="subscript"/>
        </w:rPr>
        <w:t>2</w:t>
      </w:r>
      <w:r>
        <w:t>氧</w:t>
      </w:r>
      <w:r>
        <w:rPr>
          <w:vertAlign w:val="subscript"/>
        </w:rPr>
        <w:t>9</w:t>
      </w:r>
      <w:r>
        <w:t>作为 CO 下的前体</w:t>
      </w:r>
      <w:r>
        <w:rPr>
          <w:vertAlign w:val="subscript"/>
        </w:rPr>
        <w:t>2</w:t>
      </w:r>
      <w:r>
        <w:t>/H</w:t>
      </w:r>
      <w:r>
        <w:rPr>
          <w:vertAlign w:val="subscript"/>
        </w:rPr>
        <w:t>2</w:t>
      </w:r>
      <w:r>
        <w:t>反应气氛。 Cu/Cu 结构</w:t>
      </w:r>
      <w:r>
        <w:rPr>
          <w:vertAlign w:val="subscript"/>
        </w:rPr>
        <w:t>2</w:t>
      </w:r>
      <w:r>
        <w:t>O 肖特基结和 Cu</w:t>
      </w:r>
      <w:r>
        <w:rPr>
          <w:vertAlign w:val="subscript"/>
        </w:rPr>
        <w:t>2</w:t>
      </w:r>
      <w:r>
        <w:t>氧/钼</w:t>
      </w:r>
      <w:r>
        <w:rPr>
          <w:vertAlign w:val="subscript"/>
        </w:rPr>
        <w:t>2</w:t>
      </w:r>
      <w:r>
        <w:t>p-n结形成双异质结结构，能够有效分离光生电荷载流子。同时，非晶MoO</w:t>
      </w:r>
      <w:r>
        <w:rPr>
          <w:vertAlign w:val="subscript"/>
        </w:rPr>
        <w:t>2</w:t>
      </w:r>
      <w:r>
        <w:t>具有丰富的氧空位和Cu/Cu</w:t>
      </w:r>
      <w:r>
        <w:rPr>
          <w:vertAlign w:val="subscript"/>
        </w:rPr>
        <w:t>2</w:t>
      </w:r>
      <w:r>
        <w:t>O 为 CO 提供功能互补的激活位点</w:t>
      </w:r>
      <w:r>
        <w:rPr>
          <w:vertAlign w:val="subscript"/>
        </w:rPr>
        <w:t>2</w:t>
      </w:r>
      <w:r>
        <w:t>激活和H</w:t>
      </w:r>
      <w:r>
        <w:rPr>
          <w:vertAlign w:val="subscript"/>
        </w:rPr>
        <w:t>2</w:t>
      </w:r>
      <w:r>
        <w:t>分别为解离/溢出。受益于三种成分（Cu、Cu</w:t>
      </w:r>
    </w:p>
    <w:p>
      <w:pPr>
        <w:spacing w:before="0" w:after="200" w:lineRule="auto" w:line="276"/>
      </w:pPr>
      <w:r>
        <w:rPr>
          <w:b/>
        </w:rPr>
        <w:t xml:space="preserve">Abstract (EN): </w:t>
      </w:r>
      <w:r>
        <w:t>During heterogeneous photothermal catalysis, catalysts are prone to undergo random and disordered structural evolution, which poses a severe challenge to the construction of advanced photothermal catalytic systems integrating photoexcited charge carrier separation, molecular activation, and active‐site engineering. In this work, we employ an in situ reconstruction strategy to fabricate a highly integrated Cu/Cu</w:t>
      </w:r>
      <w:r>
        <w:rPr>
          <w:vertAlign w:val="subscript"/>
        </w:rPr>
        <w:t>2</w:t>
      </w:r>
      <w:r>
        <w:t>O/MoO</w:t>
      </w:r>
      <w:r>
        <w:rPr>
          <w:vertAlign w:val="subscript"/>
        </w:rPr>
        <w:t>2</w:t>
      </w:r>
      <w:r>
        <w:t>composite catalyst using Cu</w:t>
      </w:r>
      <w:r>
        <w:rPr>
          <w:vertAlign w:val="subscript"/>
        </w:rPr>
        <w:t>3</w:t>
      </w:r>
      <w:r>
        <w:t>Mo</w:t>
      </w:r>
      <w:r>
        <w:rPr>
          <w:vertAlign w:val="subscript"/>
        </w:rPr>
        <w:t>2</w:t>
      </w:r>
      <w:r>
        <w:t>O</w:t>
      </w:r>
      <w:r>
        <w:rPr>
          <w:vertAlign w:val="subscript"/>
        </w:rPr>
        <w:t>9</w:t>
      </w:r>
      <w:r>
        <w:t>as the precursor under a CO</w:t>
      </w:r>
      <w:r>
        <w:rPr>
          <w:vertAlign w:val="subscript"/>
        </w:rPr>
        <w:t>2</w:t>
      </w:r>
      <w:r>
        <w:t>/H</w:t>
      </w:r>
      <w:r>
        <w:rPr>
          <w:vertAlign w:val="subscript"/>
        </w:rPr>
        <w:t>2</w:t>
      </w:r>
      <w:r>
        <w:t>reaction atmosphere. The as‐constructed Cu/Cu</w:t>
      </w:r>
      <w:r>
        <w:rPr>
          <w:vertAlign w:val="subscript"/>
        </w:rPr>
        <w:t>2</w:t>
      </w:r>
      <w:r>
        <w:t>O Schottky junction and Cu</w:t>
      </w:r>
      <w:r>
        <w:rPr>
          <w:vertAlign w:val="subscript"/>
        </w:rPr>
        <w:t>2</w:t>
      </w:r>
      <w:r>
        <w:t>O/MoO</w:t>
      </w:r>
      <w:r>
        <w:rPr>
          <w:vertAlign w:val="subscript"/>
        </w:rPr>
        <w:t>2</w:t>
      </w:r>
      <w:r>
        <w:t>p‐n junction form a dual‐heterojunction structure, enabling efficient separation of photogenerated charge carriers. Meanwhile, amorphous MoO</w:t>
      </w:r>
      <w:r>
        <w:rPr>
          <w:vertAlign w:val="subscript"/>
        </w:rPr>
        <w:t>2</w:t>
      </w:r>
      <w:r>
        <w:t>with abundant oxygen vacancies and Cu/Cu</w:t>
      </w:r>
      <w:r>
        <w:rPr>
          <w:vertAlign w:val="subscript"/>
        </w:rPr>
        <w:t>2</w:t>
      </w:r>
      <w:r>
        <w:t>O provide functionally complementary activation sites for CO</w:t>
      </w:r>
      <w:r>
        <w:rPr>
          <w:vertAlign w:val="subscript"/>
        </w:rPr>
        <w:t>2</w:t>
      </w:r>
      <w:r>
        <w:t>activation and H</w:t>
      </w:r>
      <w:r>
        <w:rPr>
          <w:vertAlign w:val="subscript"/>
        </w:rPr>
        <w:t>2</w:t>
      </w:r>
      <w:r>
        <w:t>dissociation/spillover, respectively. Benefiting from the efficient synergistic interplay among the three components (Cu, Cu</w:t>
      </w:r>
      <w:r>
        <w:rPr>
          <w:vertAlign w:val="subscript"/>
        </w:rPr>
        <w:t>2</w:t>
      </w:r>
      <w:r>
        <w:t>O, and MoO</w:t>
      </w:r>
      <w:r>
        <w:rPr>
          <w:vertAlign w:val="subscript"/>
        </w:rPr>
        <w:t>2</w:t>
      </w:r>
      <w:r>
        <w:t>), the Cu/Cu</w:t>
      </w:r>
      <w:r>
        <w:rPr>
          <w:vertAlign w:val="subscript"/>
        </w:rPr>
        <w:t>2</w:t>
      </w:r>
      <w:r>
        <w:t>O/MoO</w:t>
      </w:r>
      <w:r>
        <w:rPr>
          <w:vertAlign w:val="subscript"/>
        </w:rPr>
        <w:t>2</w:t>
      </w:r>
      <w:r>
        <w:t>catalyst enables the efficient conversion of CO</w:t>
      </w:r>
      <w:r>
        <w:rPr>
          <w:vertAlign w:val="subscript"/>
        </w:rPr>
        <w:t>2</w:t>
      </w:r>
      <w:r>
        <w:t>via the photothermal reverse water‐gas shift (RWGS) reaction, delivering a superior CO production rate of 14.65 mmol g</w:t>
      </w:r>
      <w:r>
        <w:t xml:space="preserve"> </w:t>
      </w:r>
      <w:r>
        <w:t>−1</w:t>
      </w:r>
      <w:r>
        <w:t xml:space="preserve"> </w:t>
      </w:r>
      <w:r>
        <w:t>h</w:t>
      </w:r>
      <w:r>
        <w:t xml:space="preserve"> </w:t>
      </w:r>
      <w:r>
        <w:t>−1</w:t>
      </w:r>
      <w:r>
        <w:t xml:space="preserve"> </w:t>
      </w:r>
      <w:r>
        <w:t>alongside ultra‐long stability, retaining high activity across an impressive 215‐h continuous reaction run. This study offers a new avenue for the construction of integrated functional photothermal catalysts with high performance via an in situ reconstruction approach.</w:t>
      </w:r>
    </w:p>
    <w:p>
      <w:pPr>
        <w:spacing w:before="120" w:after="120"/>
      </w:pPr>
      <w:r>
        <w:rPr>
          <w:sz w:val="18"/>
        </w:rPr>
        <w:t>——————————————————————————————————————————————————————————————————————</w:t>
      </w:r>
    </w:p>
    <w:p>
      <w:pPr>
        <w:spacing w:before="160" w:after="40" w:line="240" w:lineRule="auto"/>
      </w:pPr>
      <w:r>
        <w:rPr>
          <w:b/>
        </w:rPr>
        <w:t xml:space="preserve">[25] </w:t>
      </w:r>
      <w:hyperlink r:id="rId589">
        <w:r>
          <w:rPr>
            <w:color w:val="1155CC"/>
            <w:u w:val="single"/>
          </w:rPr>
          <w:t>表面工程 Ti3C2TX MXene/Cu2O 光电阴极用于高选择性光电催化 CO2 还原为乙醇</w:t>
        </w:r>
      </w:hyperlink>
    </w:p>
    <w:p>
      <w:pPr>
        <w:spacing w:before="0" w:after="80"/>
      </w:pPr>
      <w:r>
        <w:rPr>
          <w:i/>
          <w:sz w:val="20"/>
        </w:rPr>
        <w:t>EN: Surface‐Engineered Ti3C2Tx MXene/Cu2O Photocathodes for Highly Selective Photoelectrocatalytic CO2 Reduction to Ethanol</w:t>
      </w:r>
    </w:p>
    <w:p>
      <w:pPr>
        <w:spacing w:before="0" w:after="120"/>
      </w:pPr>
      <w:r>
        <w:rPr>
          <w:b/>
        </w:rPr>
        <w:t xml:space="preserve">Source: </w:t>
      </w:r>
      <w:r>
        <w:t>Wiley: Advanced Energy Materials: Table of Contents</w:t>
      </w:r>
      <w:r>
        <w:t xml:space="preserve">    </w:t>
      </w:r>
      <w:r>
        <w:rPr>
          <w:b/>
        </w:rPr>
        <w:t xml:space="preserve">Pub date: </w:t>
      </w:r>
      <w:r>
        <w:t>2026-08-19 12:09:42+00:00</w:t>
      </w:r>
      <w:r>
        <w:t xml:space="preserve">    </w:t>
      </w:r>
      <w:r>
        <w:rPr>
          <w:b/>
        </w:rPr>
        <w:t xml:space="preserve">DOI: </w:t>
      </w:r>
      <w:hyperlink r:id="rId590">
        <w:r>
          <w:rPr>
            <w:color w:val="1155CC"/>
            <w:u w:val="single"/>
          </w:rPr>
          <w:t>10.1002/aenm.71469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铜</w:t>
      </w:r>
      <w:r>
        <w:rPr>
          <w:vertAlign w:val="subscript"/>
        </w:rPr>
        <w:t>2</w:t>
      </w:r>
      <w:r>
        <w:t>O是一种廉价的p型半导体，可促进光电催化CO</w:t>
      </w:r>
      <w:r>
        <w:rPr>
          <w:vertAlign w:val="subscript"/>
        </w:rPr>
        <w:t>2</w:t>
      </w:r>
      <w:r>
        <w:t>还原反应（PEC CO</w:t>
      </w:r>
      <w:r>
        <w:rPr>
          <w:vertAlign w:val="subscript"/>
        </w:rPr>
        <w:t>2</w:t>
      </w:r>
      <w:r>
        <w:t>RR）。虽然其低带隙能够通过可见光进行光激发，但由于快速电荷复合和光腐蚀，长期稳定性仍然有限。在这里，我们通过结合 Cu 来增强电荷分离和提取</w:t>
      </w:r>
      <w:r>
        <w:rPr>
          <w:vertAlign w:val="subscript"/>
        </w:rPr>
        <w:t>2</w:t>
      </w:r>
      <w:r>
        <w:t>O 与表面工程 MXene。在这种新颖的架构中，TiO</w:t>
      </w:r>
      <w:r>
        <w:rPr>
          <w:vertAlign w:val="subscript"/>
        </w:rPr>
        <w:t>2</w:t>
      </w:r>
      <w:r>
        <w:t>在 Ti 表面原位生长</w:t>
      </w:r>
      <w:r>
        <w:rPr>
          <w:vertAlign w:val="subscript"/>
        </w:rPr>
        <w:t>3</w:t>
      </w:r>
      <w:r>
        <w:t>C</w:t>
      </w:r>
      <w:r>
        <w:rPr>
          <w:vertAlign w:val="subscript"/>
        </w:rPr>
        <w:t>2</w:t>
      </w:r>
      <w:r>
        <w:t>时间</w:t>
      </w:r>
      <w:r>
        <w:t xml:space="preserve"> </w:t>
      </w:r>
      <w:r>
        <w:t>x</w:t>
      </w:r>
      <w:r>
        <w:t xml:space="preserve"> </w:t>
      </w:r>
      <w:r>
        <w:t>并作为电荷传输层，与 Cu 形成结</w:t>
      </w:r>
      <w:r>
        <w:rPr>
          <w:vertAlign w:val="subscript"/>
        </w:rPr>
        <w:t>2</w:t>
      </w:r>
      <w:r>
        <w:t>O. 另一方面，外层 TiO</w:t>
      </w:r>
      <w:r>
        <w:rPr>
          <w:vertAlign w:val="subscript"/>
        </w:rPr>
        <w:t>2</w:t>
      </w:r>
      <w:r>
        <w:t>暴露于 CO 的表面</w:t>
      </w:r>
      <w:r>
        <w:rPr>
          <w:vertAlign w:val="subscript"/>
        </w:rPr>
        <w:t>2</w:t>
      </w:r>
      <w:r>
        <w:t>‐饱和电解质为CO提供催化活性位点</w:t>
      </w:r>
      <w:r>
        <w:rPr>
          <w:vertAlign w:val="subscript"/>
        </w:rPr>
        <w:t>2</w:t>
      </w:r>
      <w:r>
        <w:t>减少。作为中心层，MXene 导电骨架为电子传输提供了电子连续路径。在PEC公司</w:t>
      </w:r>
      <w:r>
        <w:rPr>
          <w:vertAlign w:val="subscript"/>
        </w:rPr>
        <w:t>2</w:t>
      </w:r>
      <w:r>
        <w:t>RR，含有 50 wt.% MXene 和平衡量 TiO 的光电阴极</w:t>
      </w:r>
      <w:r>
        <w:rPr>
          <w:vertAlign w:val="subscript"/>
        </w:rPr>
        <w:t>2</w:t>
      </w:r>
      <w:r>
        <w:t>在钛上</w:t>
      </w:r>
      <w:r>
        <w:rPr>
          <w:vertAlign w:val="subscript"/>
        </w:rPr>
        <w:t>3</w:t>
      </w:r>
      <w:r>
        <w:t>C</w:t>
      </w:r>
      <w:r>
        <w:rPr>
          <w:vertAlign w:val="subscript"/>
        </w:rPr>
        <w:t>2</w:t>
      </w:r>
      <w:r>
        <w:t>冲浪</w:t>
      </w:r>
    </w:p>
    <w:p>
      <w:pPr>
        <w:spacing w:before="0" w:after="200" w:lineRule="auto" w:line="276"/>
      </w:pPr>
      <w:r>
        <w:rPr>
          <w:b/>
        </w:rPr>
        <w:t xml:space="preserve">Abstract (EN): </w:t>
      </w:r>
      <w:r>
        <w:t>Cu</w:t>
      </w:r>
      <w:r>
        <w:rPr>
          <w:vertAlign w:val="subscript"/>
        </w:rPr>
        <w:t>2</w:t>
      </w:r>
      <w:r>
        <w:t>O is an inexpensive p‐type semiconductor that promotes the photoelectrocatalytic CO</w:t>
      </w:r>
      <w:r>
        <w:rPr>
          <w:vertAlign w:val="subscript"/>
        </w:rPr>
        <w:t>2</w:t>
      </w:r>
      <w:r>
        <w:t>reduction reaction (PEC CO</w:t>
      </w:r>
      <w:r>
        <w:rPr>
          <w:vertAlign w:val="subscript"/>
        </w:rPr>
        <w:t>2</w:t>
      </w:r>
      <w:r>
        <w:t>RR). While its low bandgap enables photoexcitation by visible light, long‐term stability remains limited due to quick charge recombination and photocorrosion. Here, we enhanced charge separation and extraction by combining Cu</w:t>
      </w:r>
      <w:r>
        <w:rPr>
          <w:vertAlign w:val="subscript"/>
        </w:rPr>
        <w:t>2</w:t>
      </w:r>
      <w:r>
        <w:t>O with surface‐engineered MXenes. In this novel architecture, TiO</w:t>
      </w:r>
      <w:r>
        <w:rPr>
          <w:vertAlign w:val="subscript"/>
        </w:rPr>
        <w:t>2</w:t>
      </w:r>
      <w:r>
        <w:t>grows in situ on the surface of Ti</w:t>
      </w:r>
      <w:r>
        <w:rPr>
          <w:vertAlign w:val="subscript"/>
        </w:rPr>
        <w:t>3</w:t>
      </w:r>
      <w:r>
        <w:t>C</w:t>
      </w:r>
      <w:r>
        <w:rPr>
          <w:vertAlign w:val="subscript"/>
        </w:rPr>
        <w:t>2</w:t>
      </w:r>
      <w:r>
        <w:t>T</w:t>
      </w:r>
      <w:r>
        <w:t xml:space="preserve"> </w:t>
      </w:r>
      <w:r>
        <w:t>x</w:t>
      </w:r>
      <w:r>
        <w:t xml:space="preserve"> </w:t>
      </w:r>
      <w:r>
        <w:t>and serves as a charge‐transport layer, forming a junction with Cu</w:t>
      </w:r>
      <w:r>
        <w:rPr>
          <w:vertAlign w:val="subscript"/>
        </w:rPr>
        <w:t>2</w:t>
      </w:r>
      <w:r>
        <w:t>O. On the other side, the outer TiO</w:t>
      </w:r>
      <w:r>
        <w:rPr>
          <w:vertAlign w:val="subscript"/>
        </w:rPr>
        <w:t>2</w:t>
      </w:r>
      <w:r>
        <w:t>surface exposed to the CO</w:t>
      </w:r>
      <w:r>
        <w:rPr>
          <w:vertAlign w:val="subscript"/>
        </w:rPr>
        <w:t>2</w:t>
      </w:r>
      <w:r>
        <w:t>‐saturated electrolyte offers catalytically active sites for CO</w:t>
      </w:r>
      <w:r>
        <w:rPr>
          <w:vertAlign w:val="subscript"/>
        </w:rPr>
        <w:t>2</w:t>
      </w:r>
      <w:r>
        <w:t>reduction. Acting as a central layer, the MXene conductive backbone provides an electronically continuous pathway for electron transport. In PEC CO</w:t>
      </w:r>
      <w:r>
        <w:rPr>
          <w:vertAlign w:val="subscript"/>
        </w:rPr>
        <w:t>2</w:t>
      </w:r>
      <w:r>
        <w:t>RR, the photocathode containing 50 wt.% of MXene and a balanced amount of TiO</w:t>
      </w:r>
      <w:r>
        <w:rPr>
          <w:vertAlign w:val="subscript"/>
        </w:rPr>
        <w:t>2</w:t>
      </w:r>
      <w:r>
        <w:t>on the Ti</w:t>
      </w:r>
      <w:r>
        <w:rPr>
          <w:vertAlign w:val="subscript"/>
        </w:rPr>
        <w:t>3</w:t>
      </w:r>
      <w:r>
        <w:t>C</w:t>
      </w:r>
      <w:r>
        <w:rPr>
          <w:vertAlign w:val="subscript"/>
        </w:rPr>
        <w:t>2</w:t>
      </w:r>
      <w:r>
        <w:t>surface outperformed the best Cu/Cu</w:t>
      </w:r>
      <w:r>
        <w:t xml:space="preserve"> </w:t>
      </w:r>
      <w:r>
        <w:t>x</w:t>
      </w:r>
      <w:r>
        <w:t xml:space="preserve"> </w:t>
      </w:r>
      <w:r>
        <w:t>O‐based systems operating in non‐organic electrolytes reported in the literature. The FTO/Cu</w:t>
      </w:r>
      <w:r>
        <w:rPr>
          <w:vertAlign w:val="subscript"/>
        </w:rPr>
        <w:t>2</w:t>
      </w:r>
      <w:r>
        <w:t>O/ml‐Ti</w:t>
      </w:r>
      <w:r>
        <w:rPr>
          <w:vertAlign w:val="subscript"/>
        </w:rPr>
        <w:t>3</w:t>
      </w:r>
      <w:r>
        <w:t>C</w:t>
      </w:r>
      <w:r>
        <w:rPr>
          <w:vertAlign w:val="subscript"/>
        </w:rPr>
        <w:t>2</w:t>
      </w:r>
      <w:r>
        <w:t>T</w:t>
      </w:r>
      <w:r>
        <w:t xml:space="preserve"> </w:t>
      </w:r>
      <w:r>
        <w:t>x</w:t>
      </w:r>
      <w:r>
        <w:t xml:space="preserve"> </w:t>
      </w:r>
      <w:r>
        <w:t>‐350‐N</w:t>
      </w:r>
      <w:r>
        <w:rPr>
          <w:vertAlign w:val="subscript"/>
        </w:rPr>
        <w:t>2</w:t>
      </w:r>
      <w:r>
        <w:t>photocathode reached 8.4 µmol cm</w:t>
      </w:r>
      <w:r>
        <w:t xml:space="preserve"> </w:t>
      </w:r>
      <w:r>
        <w:t>−2</w:t>
      </w:r>
      <w:r>
        <w:t xml:space="preserve"> </w:t>
      </w:r>
      <w:r>
        <w:t>h</w:t>
      </w:r>
      <w:r>
        <w:t xml:space="preserve"> </w:t>
      </w:r>
      <w:r>
        <w:t>−1</w:t>
      </w:r>
      <w:r>
        <w:t xml:space="preserve"> </w:t>
      </w:r>
      <w:r>
        <w:t>ethanol production rate and 2.74% solar‐to‐ethanol efficiency after 2 h. Moreover, pairing TiO</w:t>
      </w:r>
      <w:r>
        <w:rPr>
          <w:vertAlign w:val="subscript"/>
        </w:rPr>
        <w:t>2</w:t>
      </w:r>
      <w:r>
        <w:t>‐MXene with Cu</w:t>
      </w:r>
      <w:r>
        <w:rPr>
          <w:vertAlign w:val="subscript"/>
        </w:rPr>
        <w:t>2</w:t>
      </w:r>
      <w:r>
        <w:t>O significantly stabilized the photocathode, which maintained 76% of the ethanol production rate after 6 h. Overall, our results establish surface‐engineered Cu</w:t>
      </w:r>
      <w:r>
        <w:rPr>
          <w:vertAlign w:val="subscript"/>
        </w:rPr>
        <w:t>2</w:t>
      </w:r>
      <w:r>
        <w:t>O/TiO</w:t>
      </w:r>
      <w:r>
        <w:rPr>
          <w:vertAlign w:val="subscript"/>
        </w:rPr>
        <w:t>2</w:t>
      </w:r>
      <w:r>
        <w:t>‐MXene heterostructures as a solid platform for highly selective, visible‐light‐driven ethanol production with significantly improved operational stability.</w:t>
      </w:r>
    </w:p>
    <w:p>
      <w:pPr>
        <w:spacing w:before="120" w:after="120"/>
      </w:pPr>
      <w:r>
        <w:rPr>
          <w:sz w:val="18"/>
        </w:rPr>
        <w:t>——————————————————————————————————————————————————————————————————————</w:t>
      </w:r>
    </w:p>
    <w:p>
      <w:pPr>
        <w:spacing w:before="160" w:after="40" w:line="240" w:lineRule="auto"/>
      </w:pPr>
      <w:r>
        <w:rPr>
          <w:b/>
        </w:rPr>
        <w:t xml:space="preserve">[26] </w:t>
      </w:r>
      <w:hyperlink r:id="rId591">
        <w:r>
          <w:rPr>
            <w:color w:val="1155CC"/>
            <w:u w:val="single"/>
          </w:rPr>
          <w:t>本质上抑制有机敏化剂的单线态猝灭以增强 CO2 光还原</w:t>
        </w:r>
      </w:hyperlink>
    </w:p>
    <w:p>
      <w:pPr>
        <w:spacing w:before="0" w:after="80"/>
      </w:pPr>
      <w:r>
        <w:rPr>
          <w:i/>
          <w:sz w:val="20"/>
        </w:rPr>
        <w:t>EN: Intrinsically Inhibiting Singlet Quenching of Organic Sensitizers for Enhanced CO2 Photoreduction</w:t>
      </w:r>
    </w:p>
    <w:p>
      <w:pPr>
        <w:spacing w:before="0" w:after="120"/>
      </w:pPr>
      <w:r>
        <w:rPr>
          <w:b/>
        </w:rPr>
        <w:t xml:space="preserve">Source: </w:t>
      </w:r>
      <w:r>
        <w:t>Wiley: Angewandte Chemie International Edition: Table of Contents</w:t>
      </w:r>
      <w:r>
        <w:t xml:space="preserve">    </w:t>
      </w:r>
      <w:r>
        <w:rPr>
          <w:b/>
        </w:rPr>
        <w:t xml:space="preserve">Pub date: </w:t>
      </w:r>
      <w:r>
        <w:t>2026-08-19 14:23:48+00:00</w:t>
      </w:r>
      <w:r>
        <w:t xml:space="preserve">    </w:t>
      </w:r>
      <w:r>
        <w:rPr>
          <w:b/>
        </w:rPr>
        <w:t xml:space="preserve">DOI: </w:t>
      </w:r>
      <w:hyperlink r:id="rId592">
        <w:r>
          <w:rPr>
            <w:color w:val="1155CC"/>
            <w:u w:val="single"/>
          </w:rPr>
          <w:t>10.1002/anie.9417743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高性能、不含贵金属的光敏剂（PS）对于驱动光催化二氧化碳至关重要</w:t>
      </w:r>
      <w:r>
        <w:rPr>
          <w:vertAlign w:val="subscript"/>
        </w:rPr>
        <w:t>2</w:t>
      </w:r>
      <w:r>
        <w:t>减少（PCO</w:t>
      </w:r>
      <w:r>
        <w:rPr>
          <w:vertAlign w:val="subscript"/>
        </w:rPr>
        <w:t>2</w:t>
      </w:r>
      <w:r>
        <w:t>R) 以高效且可持续的方式。具有热激活延迟荧光（TADF）的有机PS由于其理想的光物理学和众所周知的电子转移机制而特别有前途。然而，通过结构设计进行合理的改进仍然难以实现。在本研究中，我们对三种 TADF 型 PS 用于不含贵金属的 PCO 进行了比较研究</w:t>
      </w:r>
      <w:r>
        <w:rPr>
          <w:vertAlign w:val="subscript"/>
        </w:rPr>
        <w:t>2</w:t>
      </w:r>
      <w:r>
        <w:t>R.我们的结果表明，系间窜越（ISC）和单重激发态猝灭之间的动力学竞争决定了长寿命三重态的利用效率，这是实现高笼逃逸率并最终实现 PCO 的关键物质。</w:t>
      </w:r>
      <w:r>
        <w:rPr>
          <w:vertAlign w:val="subscript"/>
        </w:rPr>
        <w:t>2</w:t>
      </w:r>
      <w:r>
        <w:t>R性能。在此原理的指导下，我们开发了一种由1,3-二氰基-2,4,5,6-四(二苯氨基)-苯衍生的溴取代PS，其中重原子效应确保了快速ISC，同时避免了增强单线态猝灭。这种对三重态利用的强烈引导使得使用钴催化剂完全生产二氧化碳的量子产率达到了创纪录的接近 50% 的高量子产率，显着超过了贵金属基准（基于钌和铱）和大多数文献记载的有机 PS 驱动系统的性能。</w:t>
      </w:r>
    </w:p>
    <w:p>
      <w:pPr>
        <w:spacing w:before="0" w:after="200" w:lineRule="auto" w:line="276"/>
      </w:pPr>
      <w:r>
        <w:rPr>
          <w:b/>
        </w:rPr>
        <w:t xml:space="preserve">Abstract (EN): </w:t>
      </w:r>
      <w:r>
        <w:t>High‐performance, precious‐metal‐free photosensitizers (PSs) are crucial for driving photocatalytic CO</w:t>
      </w:r>
      <w:r>
        <w:rPr>
          <w:vertAlign w:val="subscript"/>
        </w:rPr>
        <w:t>2</w:t>
      </w:r>
      <w:r>
        <w:t>reduction (PCO</w:t>
      </w:r>
      <w:r>
        <w:rPr>
          <w:vertAlign w:val="subscript"/>
        </w:rPr>
        <w:t>2</w:t>
      </w:r>
      <w:r>
        <w:t>R) in an efficient and sustainable manner. Organic PSs exhibiting thermally activated delayed fluorescence (TADF) are particularly promising owing to their ideal photophysics and well‐understood electron‐transfer mechanisms. However, rational improvement via structural design remains elusive. In this study, we present a comparative study on three TADF‐type PSs for precious‐metal‐free PCO</w:t>
      </w:r>
      <w:r>
        <w:rPr>
          <w:vertAlign w:val="subscript"/>
        </w:rPr>
        <w:t>2</w:t>
      </w:r>
      <w:r>
        <w:t>R. Our results reveal that the kinetic competition between intersystem crossing (ISC) and singlet excited‐state quenching determines the utilization efficiency of the long‐lived triplet state, a key species to enable high cage‐escape yield and eventually the PCO</w:t>
      </w:r>
      <w:r>
        <w:rPr>
          <w:vertAlign w:val="subscript"/>
        </w:rPr>
        <w:t>2</w:t>
      </w:r>
      <w:r>
        <w:t>R performance. Guided by this principle, we have developed a Br‐substituted PS derived from 1,3‐dicyano‐2,4,5,6‐tetrakis(diphenylamino)‐benzene, in which the heavy‐atom effect ensures rapid ISC while avoids reinforcing singlet quenching. Such strong steering toward triplet utilizations has led to record‐high quantum yields near 50% for complete CO production with a cobalt catalyst, significantly surpassing the performances of precious‐metal benchmarks (Ru and Ir‐based) and most documented organic PS‐driven systems.</w:t>
      </w:r>
    </w:p>
    <w:p>
      <w:pPr>
        <w:spacing w:before="120" w:after="120"/>
      </w:pPr>
      <w:r>
        <w:rPr>
          <w:sz w:val="18"/>
        </w:rPr>
        <w:t>——————————————————————————————————————————————————————————————————————</w:t>
      </w:r>
    </w:p>
    <w:p>
      <w:pPr>
        <w:spacing w:before="160" w:after="40" w:line="240" w:lineRule="auto"/>
      </w:pPr>
      <w:r>
        <w:rPr>
          <w:b/>
        </w:rPr>
        <w:t xml:space="preserve">[27] </w:t>
      </w:r>
      <w:hyperlink r:id="rId483">
        <w:r>
          <w:rPr>
            <w:color w:val="1155CC"/>
            <w:u w:val="single"/>
          </w:rPr>
          <w:t>分子-离子杂化物在高电流密度下调节从二氧化碳到甲醇的中间演化</w:t>
        </w:r>
      </w:hyperlink>
    </w:p>
    <w:p>
      <w:pPr>
        <w:spacing w:before="0" w:after="80"/>
      </w:pPr>
      <w:r>
        <w:rPr>
          <w:i/>
          <w:sz w:val="20"/>
        </w:rPr>
        <w:t>EN: Molecular-Ionic Hybrid Modulates Intermediate Evolution from CO2 to Methanol at High Current Density</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484">
        <w:r>
          <w:rPr>
            <w:color w:val="1155CC"/>
            <w:u w:val="single"/>
          </w:rPr>
          <w:t>10.1021/jacs.6c11699</w:t>
        </w:r>
      </w:hyperlink>
    </w:p>
    <w:p>
      <w:pPr>
        <w:spacing w:before="0" w:after="120"/>
      </w:pPr>
      <w:r>
        <w:rPr>
          <w:b/>
        </w:rPr>
        <w:t xml:space="preserve">Notes: </w:t>
      </w:r>
      <w:r>
        <w:t>abstract_source=crossref</w:t>
      </w:r>
    </w:p>
    <w:p>
      <w:pPr>
        <w:spacing w:before="0" w:after="80" w:lineRule="auto" w:line="276"/>
      </w:pPr>
      <w:r>
        <w:rPr>
          <w:b/>
        </w:rPr>
        <w:t xml:space="preserve">摘要（ZH）: </w:t>
      </w:r>
      <w:r>
        <w:t>摘要 CO2 电化学转化为甲醇为碳的可持续利用提供了引人注目的途径。尽管酞菁钴 (CoPc) 被认为是该反应有前途的催化剂，但由于 *CO 中间体的稳定性不足和加氢动力学缓慢，在高电流密度下实现高甲醇选择性仍然是一个关键挑战。在此，我们报道了一种分子-离子杂化催化剂，其通过将氨基功能化的CoPc与咪唑基离子液体（IL）集成在碳纳米管（CoPc-NH2 + IL/CNT）上而构建。该混合催化剂的甲醇法拉第效率为 75.0%，部分电流密度为 300 mA cm–2。这种出色的性能源于CoPc-NH2和咪唑鎓阳离子之间的协同相互作用。咪唑鎓充当 CO2 吸附库，富集 CO2 并将其输送至 Co 中心进行活化，同时诱导更缺电子的 Co 中心，稳定多种 *CO 吸附状态以进行深度氢化。同时，咪唑阳离子重组界面氢键网络，加速水解离和质子供应，并通过电子中继效应促进电荷转移到反应中间体。这些协同效应抑制了竞争性 CO 途径，并在高电流密度下选择性地引导 CO2 电还原至甲醇。这种分子-离子耦合的有效性在一系列咪唑阳离子上得到了进一步验证，证明了这种微环境工程方法的普遍性</w:t>
      </w:r>
    </w:p>
    <w:p>
      <w:pPr>
        <w:spacing w:before="0" w:after="200" w:lineRule="auto" w:line="276"/>
      </w:pPr>
      <w:r>
        <w:rPr>
          <w:b/>
        </w:rPr>
        <w:t xml:space="preserve">Abstract (EN): </w:t>
      </w:r>
      <w:r>
        <w:t>Electrochemical conversion of CO2 to methanol offers compelling route for sustainable carbon utilization. Although cobalt phthalocyanine (CoPc) is recognized as promising catalyst for this reaction, achieving high methanol selectivity at high current density remains a critical challenge, due to insufficient stabilization of *CO intermediate and sluggish hydrogenation kinetics. Here we report a molecular-ionic hybrid catalyst constructed by integrating amino-functionalized CoPc with imidazolium-based ionic liquid (IL) on carbon nanotubes (CoPc-NH2 + IL/CNT). The hybrid catalyst achieves a methanol Faradaic efficiency of 75.0% with a partial current density of 300 mA cm–2. This outstanding performance originates from the cooperative interplay between CoPc-NH2 and imidazolium cations. The imidazolium serves as a CO2 adsorption reservoir that enriches and delivers CO2 to Co centers for activation, while simultaneously inducing a more electron-deficient Co center that stabilizes diverse *CO adsorption states for deep hydrogenation. In parallel, imidazolium cations reorganize interfacial hydrogen-bond networks, accelerate water dissociation and proton supply, and facilitate charge transfer to reaction intermediates through an electronic relay effect. These synergistic effects suppress the competing CO pathway and selectively steer CO2 electroreduction toward methanol at high current densities. The effectiveness of this molecular-ionic coupling is further validated across a range of imidazolium cations, demonstrating the generality of this microenvironment-engineering strategy.</w:t>
      </w:r>
    </w:p>
    <w:p>
      <w:pPr>
        <w:spacing w:before="120" w:after="120"/>
      </w:pPr>
      <w:r>
        <w:rPr>
          <w:sz w:val="18"/>
        </w:rPr>
        <w:t>——————————————————————————————————————————————————————————————————————</w:t>
      </w:r>
    </w:p>
    <w:p>
      <w:pPr>
        <w:spacing w:before="160" w:after="40" w:line="240" w:lineRule="auto"/>
      </w:pPr>
      <w:r>
        <w:rPr>
          <w:b/>
        </w:rPr>
        <w:t xml:space="preserve">[28] </w:t>
      </w:r>
      <w:hyperlink r:id="rId593">
        <w:r>
          <w:rPr>
            <w:color w:val="1155CC"/>
            <w:u w:val="single"/>
          </w:rPr>
          <w:t>通过优化质子化途径实现高效的 CO2 光还原至 CH4</w:t>
        </w:r>
      </w:hyperlink>
    </w:p>
    <w:p>
      <w:pPr>
        <w:spacing w:before="0" w:after="80"/>
      </w:pPr>
      <w:r>
        <w:rPr>
          <w:i/>
          <w:sz w:val="20"/>
        </w:rPr>
        <w:t>EN: Unlocking Efficient CO2-to-CH4 Photoreduction by Optimizing Protonation Pathways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594">
        <w:r>
          <w:rPr>
            <w:color w:val="1155CC"/>
            <w:u w:val="single"/>
          </w:rPr>
          <w:t>10.1021/jacs.6c07349</w:t>
        </w:r>
      </w:hyperlink>
    </w:p>
    <w:p>
      <w:pPr>
        <w:spacing w:before="0" w:after="120"/>
      </w:pPr>
      <w:r>
        <w:rPr>
          <w:b/>
        </w:rPr>
        <w:t xml:space="preserve">Notes: </w:t>
      </w:r>
      <w:r>
        <w:t>abstract_source=crossref</w:t>
      </w:r>
    </w:p>
    <w:p>
      <w:pPr>
        <w:spacing w:before="0" w:after="80" w:lineRule="auto" w:line="276"/>
      </w:pPr>
      <w:r>
        <w:rPr>
          <w:b/>
        </w:rPr>
        <w:t xml:space="preserve">摘要（ZH）: </w:t>
      </w:r>
      <w:r>
        <w:t>摘要 了解和设计速率决定步骤 (RDS) 是释放 CO2 高效转化为 CH4 所需的并发高活性和选择性的关键。在此，我们采用介观结构UiO-66-NH2（表示为MUiO）作为模型光催化剂来研究CO2光还原的途径控制。结合宏观产物和微观中间动力学同位素效应（KIE）研究和密度泛函理论（DFT）计算，我们证明将Pd簇负载到MUiO上会触发从正常KIE到逆KIE的决定性转变，从而将主要反应途径从CO转向CH4生产，并将RDS的活化势垒从1.88降低到1.12 eV（从*CH3O→CH4到*CO→*CHO）。框架和 Pd 位点的整合通过双重功能驱动 RDS，从而提高了产率和选择性：通过 Pd 簇增强界面质子供应，并通过孔内 CO 的动力学陷阱抑制非生产性 *CO 解吸。因此，相对于原始MUiO，最佳的Pd-MUiO催化剂的CH4/CO选择性提高了4.6倍，CH4产量提高了62.8倍，超过了之前报道的类似光催化剂。这项研究提供了一种引人注目的策略，通过合理设计 RDS，将 CO2 光转化为 CH4。</w:t>
      </w:r>
    </w:p>
    <w:p>
      <w:pPr>
        <w:spacing w:before="0" w:after="200" w:lineRule="auto" w:line="276"/>
      </w:pPr>
      <w:r>
        <w:rPr>
          <w:b/>
        </w:rPr>
        <w:t xml:space="preserve">Abstract (EN): </w:t>
      </w:r>
      <w:r>
        <w:t>Understanding and engineering the rate-determining step (RDS) is key to unlocking the concurrent high activity and selectivity required for efficient CO2-to-CH4 conversion. Herein, we employ mesostructured UiO-66-NH2 (denoted as MUiO) as a model photocatalyst to investigate the pathway control in CO2 photoreduction. Combining macroscopic product and microscopic intermediate kinetic isotope effect (KIE) studies and density functional theory (DFT) calculations, we demonstrate that loading Pd clusters onto MUiO triggers a decisive switch from normal to inverse KIE, thus steering the dominant reaction pathway from CO toward CH4 production and lowering the activation barrier of the RDS from 1.88 to 1.12 eV (from *CH3O → CH4 to *CO → *CHO). The integration of framework and Pd sites promotes high product rate and selectivity by driving RDS through a dual function: enhanced interfacial proton supply by Pd clusters and suppressed unproductive *CO desorption through a kinetic trap for CO within the pores. Consequently, the optimal Pd-MUiO catalyst exhibited a 4.6-fold increase in CH4/CO selectivity and a 62.8-fold improvement in CH4 production relative to the pristine MUiO, surpassing previously reported analogous photocatalysts. This study offers a compelling strategy for tailoring CO2 photoconversion to CH4 by rationally engineering the RDS.</w:t>
      </w:r>
    </w:p>
    <w:p>
      <w:pPr>
        <w:spacing w:before="120" w:after="120"/>
      </w:pPr>
      <w:r>
        <w:rPr>
          <w:sz w:val="18"/>
        </w:rPr>
        <w:t>——————————————————————————————————————————————————————————————————————</w:t>
      </w:r>
    </w:p>
    <w:p>
      <w:pPr>
        <w:spacing w:before="160" w:after="40" w:line="240" w:lineRule="auto"/>
      </w:pPr>
      <w:r>
        <w:rPr>
          <w:b/>
        </w:rPr>
        <w:t xml:space="preserve">[29] </w:t>
      </w:r>
      <w:hyperlink r:id="rId595">
        <w:r>
          <w:rPr>
            <w:color w:val="1155CC"/>
            <w:u w:val="single"/>
          </w:rPr>
          <w:t>金属有机框架中的金属-氧簇组成控制太阳能驱动的二氧化碳甲烷化途径</w:t>
        </w:r>
      </w:hyperlink>
    </w:p>
    <w:p>
      <w:pPr>
        <w:spacing w:before="0" w:after="80"/>
      </w:pPr>
      <w:r>
        <w:rPr>
          <w:i/>
          <w:sz w:val="20"/>
        </w:rPr>
        <w:t>EN: Metal–Oxo Cluster Composition in Metal–Organic Frameworks Controls Solar-Driven CO2 Methanation Pathways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596">
        <w:r>
          <w:rPr>
            <w:color w:val="1155CC"/>
            <w:u w:val="single"/>
          </w:rPr>
          <w:t>10.1021/jacs.6c07871</w:t>
        </w:r>
      </w:hyperlink>
    </w:p>
    <w:p>
      <w:pPr>
        <w:spacing w:before="0" w:after="120"/>
      </w:pPr>
      <w:r>
        <w:rPr>
          <w:b/>
        </w:rPr>
        <w:t xml:space="preserve">Notes: </w:t>
      </w:r>
      <w:r>
        <w:t>abstract_source=crossref</w:t>
      </w:r>
    </w:p>
    <w:p>
      <w:pPr>
        <w:spacing w:before="0" w:after="80" w:lineRule="auto" w:line="276"/>
      </w:pPr>
      <w:r>
        <w:rPr>
          <w:b/>
        </w:rPr>
        <w:t xml:space="preserve">摘要（ZH）: </w:t>
      </w:r>
      <w:r>
        <w:t>摘要：尽管金属有机骨架已成为用于将气态 CO2 加氢为 CH4 的通用且可调节的多相光催化剂，但金属-氧簇组成在控制这种光催化过程中的作用仍然很大程度上未被探索。在此，我们采用一系列同构单金属 MIL-100(M) 框架（M = Cr3+、Fe3+、Sc3+、Al3+ 和 In3+）来系统地研究金属-氧簇组成如何在通用结构平台内控制太阳能驱动的 CO2 甲烷化。 MIL-100(Cr)基固体的性能明显优于其类似物，通过同位素 13CO2 标记实验证实，实现了 CO2 向 CH4 的高选择性转化，并且积分稳定性高，在模拟阳光照射下连续六个循环中持续催化运行 132 小时。这种优异的光催化性能源自化学稳定性、框架内有利的 CO2/CO 化学吸附、高效的光热能量转换和增强的光诱导载流子动力学的协同组合。 Operando 傅立叶变换红外测量揭示了涉及甲酸盐、单齿和双齿甲氧基物质作为关键中间体的 CO2 甲烷化机制。这些发现将金属-氧簇组成作为控制太阳能驱动二氧化碳甲烷化的 MOF 光催化剂中的吸附行为、载流子动力学、光热响应和主要光驱动反应途径的关键描述符。</w:t>
      </w:r>
    </w:p>
    <w:p>
      <w:pPr>
        <w:spacing w:before="0" w:after="200" w:lineRule="auto" w:line="276"/>
      </w:pPr>
      <w:r>
        <w:rPr>
          <w:b/>
        </w:rPr>
        <w:t xml:space="preserve">Abstract (EN): </w:t>
      </w:r>
      <w:r>
        <w:t>Although metal–organic frameworks have emerged as versatile and tunable heterogeneous photocatalysts for the hydrogenation of gaseous CO2 to CH4, the role of metal–oxo cluster composition in governing this photocatalytic process remains largely unexplored. Herein, we employ an isostructural series of monometallic MIL-100(M) frameworks (M = Cr3+, Fe3+, Sc3+, Al3+, and In3+) to systematically investigate how metal–oxo cluster composition governs solar-driven CO2 methanation within a common structural platform. MIL-100(Cr)-based solids markedly outperform their analogues, achieving highly selective CO2 conversion to CH4 as confirmed by isotopic 13CO2 labeling experiments and high integral stability, with sustained catalytic operation for 132 h over six consecutive cycles under simulated sunlight irradiation. This superior photocatalytic performance arises from the synergistic combination of chemical robustness, favorable CO2/CO chemisorption within the framework, efficient photothermal energy conversion, and enhanced photoinduced charge-carrier dynamics. Operando Fourier Transform infrared measurements reveal a CO2 methanation mechanism involving formate, mono-, and bi-dentate methoxy species as key intermediates. These findings identify metal–oxo cluster composition as a key descriptor controlling adsorption behavior, charge-carrier dynamics, photothermal response, and dominant light-driven reaction pathways in MOF photocatalysts for solar-driven CO2 methanation.</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597">
        <w:r>
          <w:rPr>
            <w:color w:val="1155CC"/>
            <w:u w:val="single"/>
          </w:rPr>
          <w:t>多金属氧酸盐驱动的硫辛酸氧化聚合和同步非共价交联生成高强度比色粘合剂</w:t>
        </w:r>
      </w:hyperlink>
    </w:p>
    <w:p>
      <w:pPr>
        <w:spacing w:before="0" w:after="80"/>
      </w:pPr>
      <w:r>
        <w:rPr>
          <w:i/>
          <w:sz w:val="20"/>
        </w:rPr>
        <w:t>EN: Polyoxometalates‐Driven Oxidative Polymerization of Thioctic Acid and Synchronized Noncovalent Cross‐Linking to Generate High‐Strength and Colorimetric Adhesives</w:t>
      </w:r>
    </w:p>
    <w:p>
      <w:pPr>
        <w:spacing w:before="0" w:after="120"/>
      </w:pPr>
      <w:r>
        <w:rPr>
          <w:b/>
        </w:rPr>
        <w:t xml:space="preserve">Source: </w:t>
      </w:r>
      <w:r>
        <w:t>Wiley: Angewandte Chemie International Edition: Table of Contents</w:t>
      </w:r>
      <w:r>
        <w:t xml:space="preserve">    </w:t>
      </w:r>
      <w:r>
        <w:rPr>
          <w:b/>
        </w:rPr>
        <w:t xml:space="preserve">Pub date: </w:t>
      </w:r>
      <w:r>
        <w:t>2026-08-15 06:14:21+00:00</w:t>
      </w:r>
      <w:r>
        <w:t xml:space="preserve">    </w:t>
      </w:r>
      <w:r>
        <w:rPr>
          <w:b/>
        </w:rPr>
        <w:t xml:space="preserve">DOI: </w:t>
      </w:r>
      <w:hyperlink r:id="rId598">
        <w:r>
          <w:rPr>
            <w:color w:val="1155CC"/>
            <w:u w:val="single"/>
          </w:rPr>
          <w:t>10.1002/anie.7949913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硫辛酸（PTA）及其在聚合物主链内带有二硫键的衍生物已成为生产可降解和可回收聚合物的主要候选者。然而，由于可降解性和机械强度之间的持续权衡，以及缺乏可在温和条件下使用的有效聚合策略，它们的发展受到阻碍。在此，我们报告了一种多金属氧酸盐（POM）介导的“一石三鸟”策略，其中TA的快速开环聚合（ROP）在温和的环境条件下与非共价交联同步偶联。结合实验和理论研究表明，POM 纳米团簇充当多功能“石头”：氧化 TA 生成引发 ROP 的阳离子自由基物质，与所得 PTA 链的锍末端发生强静电相互作用，形成具有高粘附强度 (&gt;11 MPa) 的坚固聚合物网络，并传递氧化还原响应比色信号。这种机械增强和变色响应的协同集成为设计具有耦合结构完整性和光学反馈的粘合剂提供了一种新策略，从而能够在有限环境中氧化物质泄漏期间对材料变化进行原位视觉指示。</w:t>
      </w:r>
    </w:p>
    <w:p>
      <w:pPr>
        <w:spacing w:before="0" w:after="200" w:lineRule="auto" w:line="276"/>
      </w:pPr>
      <w:r>
        <w:rPr>
          <w:b/>
        </w:rPr>
        <w:t xml:space="preserve">Abstract (EN): </w:t>
      </w:r>
      <w:r>
        <w:t>Polythioctic acid (PTA) and its derivatives carrying disulfide bonds within the polymer backbone have emerged as leading candidates for yielding degradable and recyclable polymers. However, their development has been impeded by the persistent trade‐off between degradability and mechanical strength, as well as the lack of effective polymerization strategies that can be used under mild conditions. Herein, we report a polyoxometalate (POM)‐mediated “one‐stone‐three‐birds” strategy, in which rapid ring‐opening polymerization (ROP) of TA is synchronously coupled with noncovalent crosslinking under mild ambient conditions. Combined experimental and theoretical investigations reveal that POM nanoclusters act as multifunctional “stones”: oxidizing TA to generate cationic radical species that initiate ROP, engaging in strong electrostatic interactions with the sulfonium termini of the resulting PTA chains to form robust polymer networks with high adhesion strength (&amp;gt;11 MPa), and imparting a redox‐responsive colorimetric signal. This synergistic integration of mechanical reinforcement and chromic response provides a new strategy for designing adhesives with coupled structural integrity and optical feedback, which enables in situ visual indication of material changes during leakage of oxidizing species in confined environments.</w:t>
      </w:r>
    </w:p>
    <w:p>
      <w:pPr>
        <w:spacing w:before="120" w:after="120"/>
      </w:pPr>
      <w:r>
        <w:rPr>
          <w:sz w:val="18"/>
        </w:rPr>
        <w:t>——————————————————————————————————————————————————————————————————————</w:t>
      </w:r>
    </w:p>
    <w:p>
      <w:pPr>
        <w:spacing w:before="160" w:after="40" w:line="240" w:lineRule="auto"/>
      </w:pPr>
      <w:r>
        <w:rPr>
          <w:b/>
        </w:rPr>
        <w:t xml:space="preserve">[2] </w:t>
      </w:r>
      <w:hyperlink r:id="rId599">
        <w:r>
          <w:rPr>
            <w:color w:val="1155CC"/>
            <w:u w:val="single"/>
          </w:rPr>
          <w:t>通过反硫化获得坚固、可回收且可逆粘合的聚硫弹性体</w:t>
        </w:r>
      </w:hyperlink>
    </w:p>
    <w:p>
      <w:pPr>
        <w:spacing w:before="0" w:after="80"/>
      </w:pPr>
      <w:r>
        <w:rPr>
          <w:i/>
          <w:sz w:val="20"/>
        </w:rPr>
        <w:t>EN: Robust, Recyclable, and Reversibly Adhesive Polysulfide Elastomers via Inverse Vulcanization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600">
        <w:r>
          <w:rPr>
            <w:color w:val="1155CC"/>
            <w:u w:val="single"/>
          </w:rPr>
          <w:t>10.1021/acsami.6c10893</w:t>
        </w:r>
      </w:hyperlink>
    </w:p>
    <w:p>
      <w:pPr>
        <w:spacing w:before="0" w:after="120"/>
      </w:pPr>
      <w:r>
        <w:rPr>
          <w:b/>
        </w:rPr>
        <w:t xml:space="preserve">Notes: </w:t>
      </w:r>
      <w:r>
        <w:t>abstract_source=crossref</w:t>
      </w:r>
    </w:p>
    <w:p>
      <w:pPr>
        <w:spacing w:before="0" w:after="80" w:lineRule="auto" w:line="276"/>
      </w:pPr>
      <w:r>
        <w:rPr>
          <w:b/>
        </w:rPr>
        <w:t xml:space="preserve">摘要（ZH）: </w:t>
      </w:r>
      <w:r>
        <w:t>摘要 逆向硫化是一种将过剩硫转化为多硫化物的变革策略。然而，反硫化多硫化物通常需要苛刻的合成条件，并且在机械强度和网络灵活性之间存在固有的权衡，限制了它们的实际应用。在此，我们报告了一种温和条件的合成范例，用于制造可回收且机械坚固的聚硫化物弹性体。具体来说，首先通过硫、苯乙烯和硫辛酸的三元反硫化合成羧基功能化的多硫化物预聚物，然后与双酚A二缩水甘油醚交联以构建可调节的网络结构。交联密度和链柔韧性的系统调节能够精确调整所得弹性体的热机械性能，实现高强度和延展性的结合。固有的动态多硫化物主链进一步赋予这些弹性体突出的可回收性和修复能力。此外，这些弹性体表现出出色的粘合性能，具有高粘合强度、按需可逆粘合和广泛的基材适应性，使其成为可持续粘合剂的极有前途的候选者。</w:t>
      </w:r>
    </w:p>
    <w:p>
      <w:pPr>
        <w:spacing w:before="0" w:after="200" w:lineRule="auto" w:line="276"/>
      </w:pPr>
      <w:r>
        <w:rPr>
          <w:b/>
        </w:rPr>
        <w:t xml:space="preserve">Abstract (EN): </w:t>
      </w:r>
      <w:r>
        <w:t>Inverse vulcanization stands as a transformative strategy for valorizing surplus sulfur into polysulfides; however, inverse vulcanized polysulfides typically necessitate harsh synthetic conditions and suffer from an intrinsic trade-off between mechanical strength and network flexibility, limiting their practical applications. Herein, we report a mild-condition synthetic paradigm for the fabrication of recyclable yet mechanically robust polysulfide elastomers. Specifically, carboxyl-functionalized polysulfide prepolymers were first synthesized through the ternary inverse vulcanization of sulfur, styrene, and thioctic acid, followed by cross-linking with bisphenol A diglycidyl ether to construct tunable network architectures. Systematic modulation of cross-linking density and chain flexibility enabled precise tailoring of thermomechanical properties of the resulting elastomers, achieving a combination of high strength and extensibility. The intrinsic dynamic polysulfide backbone further endows these elastomers with prominent recyclability and healing capabilities. In addition, these elastomers exhibit outstanding adhesive performance, featuring high adhesion strength, reversible bonding on demand, and broad substrate adaptability, making them highly promising candidates for sustainable adhesives.</w:t>
      </w:r>
    </w:p>
    <w:p>
      <w:pPr>
        <w:spacing w:before="120" w:after="120"/>
      </w:pPr>
      <w:r>
        <w:rPr>
          <w:sz w:val="18"/>
        </w:rPr>
        <w:t>——————————————————————————————————————————————————————————————————————</w:t>
      </w:r>
    </w:p>
    <w:p>
      <w:pPr>
        <w:spacing w:before="160" w:after="40" w:line="240" w:lineRule="auto"/>
      </w:pPr>
      <w:r>
        <w:rPr>
          <w:b/>
        </w:rPr>
        <w:t xml:space="preserve">[3] </w:t>
      </w:r>
      <w:hyperlink r:id="rId301">
        <w:r>
          <w:rPr>
            <w:color w:val="1155CC"/>
            <w:u w:val="single"/>
          </w:rPr>
          <w:t>通过动态硫辛酸盐交联的闭环可回收固体聚合物电解质</w:t>
        </w:r>
      </w:hyperlink>
    </w:p>
    <w:p>
      <w:pPr>
        <w:spacing w:before="0" w:after="80"/>
      </w:pPr>
      <w:r>
        <w:rPr>
          <w:i/>
          <w:sz w:val="20"/>
        </w:rPr>
        <w:t>EN: Closed‐Loop Recyclable Solid Polymer Electrolytes via Dynamic Lipoate Cross‐Linking</w:t>
      </w:r>
    </w:p>
    <w:p>
      <w:pPr>
        <w:spacing w:before="0" w:after="120"/>
      </w:pPr>
      <w:r>
        <w:rPr>
          <w:b/>
        </w:rPr>
        <w:t xml:space="preserve">Source: </w:t>
      </w:r>
      <w:r>
        <w:t>Wiley: Angewandte Chemie International Edition: Table of Contents</w:t>
      </w:r>
      <w:r>
        <w:t xml:space="preserve">    </w:t>
      </w:r>
      <w:r>
        <w:rPr>
          <w:b/>
        </w:rPr>
        <w:t xml:space="preserve">Pub date: </w:t>
      </w:r>
      <w:r>
        <w:t>2026-08-17 10:45:32+00:00</w:t>
      </w:r>
      <w:r>
        <w:t xml:space="preserve">    </w:t>
      </w:r>
      <w:r>
        <w:rPr>
          <w:b/>
        </w:rPr>
        <w:t xml:space="preserve">DOI: </w:t>
      </w:r>
      <w:hyperlink r:id="rId302">
        <w:r>
          <w:rPr>
            <w:color w:val="1155CC"/>
            <w:u w:val="single"/>
          </w:rPr>
          <w:t>10.1002/anie.3540036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电化学储能的需求不断增长，加剧了人们对电池报废处理的担忧，推动了对可回收电解质材料的迫切需求。在这里，我们报告了一种可光固化、可化学回收的固体聚合物电解质平台，该平台基于生物衍生的双功能交联剂聚乙二醇双硫辛酸（PEG-LP）</w:t>
      </w:r>
      <w:r>
        <w:rPr>
          <w:vertAlign w:val="subscript"/>
        </w:rPr>
        <w:t>2</w:t>
      </w:r>
      <w:r>
        <w:t>），由天然存在的α-硫辛酸制备。可见光驱动的 PEG-LP 共聚</w:t>
      </w:r>
      <w:r>
        <w:rPr>
          <w:vertAlign w:val="subscript"/>
        </w:rPr>
        <w:t>2</w:t>
      </w:r>
      <w:r>
        <w:t>在离子液体（BMITFSI，45 wt%）存在下与聚（乙二醇）甲醚丙烯酸酯一起生成柔性离子导电膜（1.30 mS cm</w:t>
      </w:r>
      <w:r>
        <w:t xml:space="preserve"> </w:t>
      </w:r>
      <w:r>
        <w:t>−1</w:t>
      </w:r>
      <w:r>
        <w:t xml:space="preserve"> </w:t>
      </w:r>
      <w:r>
        <w:t>在室温下）。动态二硫键交联网络赋予固体般的机械完整性和化学可回收性。当组装成对称超级电容器时，优化的 SPE-65 配方在 100 mA g-1 下经过 6000 次恒电流循环后仍保留了初始比电容的 70%</w:t>
      </w:r>
      <w:r>
        <w:t xml:space="preserve"> </w:t>
      </w:r>
      <w:r>
        <w:t>−1</w:t>
      </w:r>
      <w:r>
        <w:t xml:space="preserve"> </w:t>
      </w:r>
      <w:r>
        <w:t>。使用 1,8-二氮杂双环[5.4.0]十一碳烯-7-烯 (DBU) 在温和的环境条件下实现完全催化剂辅助解聚，随后的再聚合再生离子导电膜，保留约 70% 的原始电导率 (0.86 mS cm</w:t>
      </w:r>
      <w:r>
        <w:t xml:space="preserve"> </w:t>
      </w:r>
      <w:r>
        <w:t>−1</w:t>
      </w:r>
      <w:r>
        <w:t xml:space="preserve"> </w:t>
      </w:r>
      <w:r>
        <w:t>）。生物衍生的硫辛酸交联剂、催化辅助解聚和再生电化学性能共同构成了</w:t>
      </w:r>
    </w:p>
    <w:p>
      <w:pPr>
        <w:spacing w:before="0" w:after="200" w:lineRule="auto" w:line="276"/>
      </w:pPr>
      <w:r>
        <w:rPr>
          <w:b/>
        </w:rPr>
        <w:t xml:space="preserve">Abstract (EN): </w:t>
      </w:r>
      <w:r>
        <w:t>Growing demand for electrochemical energy storage has intensified concerns over battery end‐of‐life disposal, driving an urgent need for recyclable electrolyte materials. Here, we report a photo‐curable, chemically recyclable solid polymer electrolyte platform built on a bio‐derived difunctional cross‐linker, poly(ethylene glycol) bis(lipoate) (PEG‐LP</w:t>
      </w:r>
      <w:r>
        <w:rPr>
          <w:vertAlign w:val="subscript"/>
        </w:rPr>
        <w:t>2</w:t>
      </w:r>
      <w:r>
        <w:t>), prepared from naturally occurring α‐lipoic acid. Visible‐light‐driven copolymerization of PEG‐LP</w:t>
      </w:r>
      <w:r>
        <w:rPr>
          <w:vertAlign w:val="subscript"/>
        </w:rPr>
        <w:t>2</w:t>
      </w:r>
      <w:r>
        <w:t>with poly(ethylene glycol) methyl ether acrylate in the presence of an ionic liquid (BMITFSI, 45 wt%) yields flexible, ionically conductive membranes (1.30 mS cm</w:t>
      </w:r>
      <w:r>
        <w:t xml:space="preserve"> </w:t>
      </w:r>
      <w:r>
        <w:t>−1</w:t>
      </w:r>
      <w:r>
        <w:t xml:space="preserve"> </w:t>
      </w:r>
      <w:r>
        <w:t>at room temperature). The dynamic disulfide cross‐linked network imparts both solid‐like mechanical integrity and chemical recyclability. When assembled into symmetric supercapacitors, the optimized SPE‐65 formulation retains ∼70% of its initial specific capacitance after 6000 galvanostatic cycles at 100 mA g</w:t>
      </w:r>
      <w:r>
        <w:t xml:space="preserve"> </w:t>
      </w:r>
      <w:r>
        <w:t>−1</w:t>
      </w:r>
      <w:r>
        <w:t xml:space="preserve"> </w:t>
      </w:r>
      <w:r>
        <w:t>. Complete catalyst‐assisted depolymerization is achieved using 1,8‐diazabicyclo[5.4.0]undec‐7‐ene (DBU) under mild, ambient conditions, and subsequent repolymerization regenerates ionically conductive membranes retaining ∼70% of the original conductivity (0.86 mS cm</w:t>
      </w:r>
      <w:r>
        <w:t xml:space="preserve"> </w:t>
      </w:r>
      <w:r>
        <w:t>−1</w:t>
      </w:r>
      <w:r>
        <w:t xml:space="preserve"> </w:t>
      </w:r>
      <w:r>
        <w:t>). Together, the bio‐derived lipoate cross‐linker, catalytically assisted depolymerization, and regenerated electrochemical performance constitute a sustainable and recyclable SPE manufacture platform for next‐generation supercapacitor applications.</w:t>
      </w:r>
    </w:p>
    <w:p>
      <w:pPr>
        <w:spacing w:before="120" w:after="120"/>
      </w:pPr>
      <w:r>
        <w:rPr>
          <w:sz w:val="18"/>
        </w:rPr>
        <w:t>——————————————————————————————————————————————————————————————————————</w:t>
      </w:r>
    </w:p>
    <w:p>
      <w:pPr>
        <w:spacing w:before="160" w:after="40" w:line="240" w:lineRule="auto"/>
      </w:pPr>
      <w:r>
        <w:rPr>
          <w:b/>
        </w:rPr>
        <w:t xml:space="preserve">[4] </w:t>
      </w:r>
      <w:hyperlink r:id="rId601">
        <w:r>
          <w:rPr>
            <w:color w:val="1155CC"/>
            <w:u w:val="single"/>
          </w:rPr>
          <w:t>用于圆形 3D 打印的亚稳态聚合物</w:t>
        </w:r>
      </w:hyperlink>
    </w:p>
    <w:p>
      <w:pPr>
        <w:spacing w:before="0" w:after="80"/>
      </w:pPr>
      <w:r>
        <w:rPr>
          <w:i/>
          <w:sz w:val="20"/>
        </w:rPr>
        <w:t>EN: Metastable Polymers for Circular 3D Printing</w:t>
      </w:r>
    </w:p>
    <w:p>
      <w:pPr>
        <w:spacing w:before="0" w:after="120"/>
      </w:pPr>
      <w:r>
        <w:rPr>
          <w:b/>
        </w:rPr>
        <w:t xml:space="preserve">Source: </w:t>
      </w:r>
      <w:r>
        <w:t>Wiley: Advanced Materials: Table of Contents</w:t>
      </w:r>
      <w:r>
        <w:t xml:space="preserve">    </w:t>
      </w:r>
      <w:r>
        <w:rPr>
          <w:b/>
        </w:rPr>
        <w:t xml:space="preserve">Pub date: </w:t>
      </w:r>
      <w:r>
        <w:t>2026-08-18 08:55:45+00:00</w:t>
      </w:r>
      <w:r>
        <w:t xml:space="preserve">    </w:t>
      </w:r>
      <w:r>
        <w:rPr>
          <w:b/>
        </w:rPr>
        <w:t xml:space="preserve">DOI: </w:t>
      </w:r>
      <w:hyperlink r:id="rId602">
        <w:r>
          <w:rPr>
            <w:color w:val="1155CC"/>
            <w:u w:val="single"/>
          </w:rPr>
          <w:t>10.1002/adma.74682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减少浪费和实现材料再利用是可持续先进制造的核心目标。在基于光的 3D 打印中，这需要超越永久网络，转向可以轻松返回其原始分子构建块的系统，同时保持良好的性能。在这里，引入了向亚稳态、可 3D 打印聚合物的转变，这些聚合物本质上是为了在温和条件下受控解聚而编程的，从而实现循环恢复。这一概念是通过自毁聚合物（SIP）实现的，该聚合物在激活特定的不稳定单元后会发生触发式的多米诺骨牌解聚。这些聚合物专为高分辨率数字光处理 3D 打印而配制，可产生机械坚固的结构。在暴露于定义的触发器后，打印的网络在环境条件下迅速（几秒钟）完全分解，再生其原始单体。这些以接近定量的产率回收，随后再加工成化学性质相同的可印刷聚合物。这种亚稳态驱动的方法为圆形 3D 打印建立了一条变革途径。</w:t>
      </w:r>
    </w:p>
    <w:p>
      <w:pPr>
        <w:spacing w:before="0" w:after="200" w:lineRule="auto" w:line="276"/>
      </w:pPr>
      <w:r>
        <w:rPr>
          <w:b/>
        </w:rPr>
        <w:t xml:space="preserve">Abstract (EN): </w:t>
      </w:r>
      <w:r>
        <w:t>Reducing waste and enabling material reuse are central goals for sustainable advanced manufacturing. In light‐based 3D printing, this requires moving beyond permanent networks toward systems that can be easily returned to their original molecular building blocks, while preserving good performance. Here, a shift toward metastable, 3D printable polymers is introduced, which are intrinsically programmed for controlled depolymerization under mild conditions, enabling circular recovery. This concept is realized using self‐immolative polymers (SIPs), which undergo triggered, domino‐like depolymerization upon activation of a specific labile unit. These polymers are formulated for high‐resolution digital light processing 3D printing, yielding mechanically robust structures. Upon exposure to a defined trigger, the printed networks rapidly (in seconds) and completely disassemble under ambient conditions, regenerating their pristine monomers. These are recovered in near‐quantitative yield and subsequently reprocessed into chemically identical printable polymers. This metastability‐driven approach establishes a transformative pathway for circular 3D printing.</w:t>
      </w:r>
    </w:p>
    <w:p>
      <w:pPr>
        <w:spacing w:before="120" w:after="120"/>
      </w:pPr>
      <w:r>
        <w:rPr>
          <w:sz w:val="18"/>
        </w:rPr>
        <w:t>——————————————————————————————————————————————————————————————————————</w:t>
      </w:r>
    </w:p>
    <w:p>
      <w:pPr>
        <w:spacing w:before="160" w:after="40" w:line="240" w:lineRule="auto"/>
      </w:pPr>
      <w:r>
        <w:rPr>
          <w:b/>
        </w:rPr>
        <w:t xml:space="preserve">[5] </w:t>
      </w:r>
      <w:hyperlink r:id="rId603">
        <w:r>
          <w:rPr>
            <w:color w:val="1155CC"/>
            <w:u w:val="single"/>
          </w:rPr>
          <w:t>非氟碳含氟聚合物：N-杂环卡宾-PF5功能聚合物的合成与性能</w:t>
        </w:r>
      </w:hyperlink>
    </w:p>
    <w:p>
      <w:pPr>
        <w:spacing w:before="0" w:after="80"/>
      </w:pPr>
      <w:r>
        <w:rPr>
          <w:i/>
          <w:sz w:val="20"/>
        </w:rPr>
        <w:t>EN: Nonfluorocarbon Fluoropolymers: Synthesis and Properties of N-Heterocyclic Carbene-PF5-Functional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604">
        <w:r>
          <w:rPr>
            <w:color w:val="1155CC"/>
            <w:u w:val="single"/>
          </w:rPr>
          <w:t>10.1021/jacs.6c04593</w:t>
        </w:r>
      </w:hyperlink>
    </w:p>
    <w:p>
      <w:pPr>
        <w:spacing w:before="0" w:after="120"/>
      </w:pPr>
      <w:r>
        <w:rPr>
          <w:b/>
        </w:rPr>
        <w:t xml:space="preserve">Notes: </w:t>
      </w:r>
      <w:r>
        <w:t>abstract_source=crossref</w:t>
      </w:r>
    </w:p>
    <w:p>
      <w:pPr>
        <w:spacing w:before="0" w:after="80" w:lineRule="auto" w:line="276"/>
      </w:pPr>
      <w:r>
        <w:rPr>
          <w:b/>
        </w:rPr>
        <w:t xml:space="preserve">摘要（ZH）: </w:t>
      </w:r>
      <w:r>
        <w:t>摘要 氟碳聚合物具有出色的热稳定性和化学稳定性，但由于其使用寿命长和环境持久性，因此面临着报废的挑战。在这里，我们报告了一种基于 N-杂环卡宾五氟磷 (NHC-PF5) 两性离子且不含 C-F 键的独特的富氟聚合物。这些 NHC-PF5 官能聚合物具有耐热性，具有高玻璃化转变温度和两性离子-两性离子相互作用产生的光学透明度。尽管具有两性离子特征，但聚合物显示出疏水性表面和水不溶性。虽然 NHC-PF5 聚合物在环境温度下化学稳定，但在高温下会发生碱性水解，生成无机氟化物，从而为报废氟矿化建立途径。</w:t>
      </w:r>
    </w:p>
    <w:p>
      <w:pPr>
        <w:spacing w:before="0" w:after="200" w:lineRule="auto" w:line="276"/>
      </w:pPr>
      <w:r>
        <w:rPr>
          <w:b/>
        </w:rPr>
        <w:t xml:space="preserve">Abstract (EN): </w:t>
      </w:r>
      <w:r>
        <w:t>Fluorocarbon polymers possess exceptional thermal and chemical stability but present end-of-life challenges because of their longevity and environmental persistence. Here, we report a distinct class of fluorine-rich polymers based on N-heterocyclic carbene-pentafluorophosphorus (NHC-PF5) zwitterions that contain no C–F bonds. These NHC-PF5-functional polymers are thermally robust, exhibiting high glass-transition temperatures and optical clarity that arise from zwitterion–zwitterion interactions. Despite their zwitterionic character, the polymers display hydrophobic surfaces and aqueous insolubility. While chemically stable at ambient temperatures, the NHC-PF5 polymers undergo alkaline hydrolysis at elevated temperatures to generate inorganic fluoride, establishing a pathway for end-of-life fluorine mineralization.</w:t>
      </w:r>
    </w:p>
    <w:p>
      <w:pPr>
        <w:spacing w:before="120" w:after="120"/>
      </w:pPr>
      <w:r>
        <w:rPr>
          <w:sz w:val="18"/>
        </w:rPr>
        <w:t>——————————————————————————————————————————————————————————————————————</w:t>
      </w:r>
    </w:p>
    <w:p>
      <w:pPr>
        <w:spacing w:before="160" w:after="40" w:line="240" w:lineRule="auto"/>
      </w:pPr>
      <w:r>
        <w:rPr>
          <w:b/>
        </w:rPr>
        <w:t xml:space="preserve">[6] </w:t>
      </w:r>
      <w:hyperlink r:id="rId371">
        <w:r>
          <w:rPr>
            <w:color w:val="1155CC"/>
            <w:u w:val="single"/>
          </w:rPr>
          <w:t>可生物降解的 Janus 膜具有不对称润湿性和孔隙结构，可实现高效、耐盐的太阳能海水淡化</w:t>
        </w:r>
      </w:hyperlink>
    </w:p>
    <w:p>
      <w:pPr>
        <w:spacing w:before="0" w:after="80"/>
      </w:pPr>
      <w:r>
        <w:rPr>
          <w:i/>
          <w:sz w:val="20"/>
        </w:rPr>
        <w:t>EN: Biodegradable Janus Membrane Featuring Asymmetric Wettability and Pore Structures for Efficient and Salt-Resistant Solar Desalination</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372">
        <w:r>
          <w:rPr>
            <w:color w:val="1155CC"/>
            <w:u w:val="single"/>
          </w:rPr>
          <w:t>10.1021/acsami.6c11500</w:t>
        </w:r>
      </w:hyperlink>
    </w:p>
    <w:p>
      <w:pPr>
        <w:spacing w:before="0" w:after="120"/>
      </w:pPr>
      <w:r>
        <w:rPr>
          <w:b/>
        </w:rPr>
        <w:t xml:space="preserve">Notes: </w:t>
      </w:r>
      <w:r>
        <w:t>abstract_source=crossref</w:t>
      </w:r>
    </w:p>
    <w:p>
      <w:pPr>
        <w:spacing w:before="0" w:after="80" w:lineRule="auto" w:line="276"/>
      </w:pPr>
      <w:r>
        <w:rPr>
          <w:b/>
        </w:rPr>
        <w:t xml:space="preserve">摘要（ZH）: </w:t>
      </w:r>
      <w:r>
        <w:t>摘要 虽然太阳能驱动的界面蒸发对于解决淡水短缺问题具有广阔的前景，但其对不可降解合成聚合物的广泛依赖可能会引发二次微塑料污染的担忧。此外，平衡连续供水、热定位和防垢仍然是一个基本的界面挑战。在此，我们报道了一种可生物降解的Janus光热蒸发器，由亲水性羧化碳纳米管（CCNT）改性粘胶层和疏水性电纺聚乳酸（PLA）纳米纤维层组成。受益于其不对称润湿性和双层界面上独特的孔隙结构，Janus 结构表现出定向水传输行为。这种结构设计产生毛细管压力差，从而实现自泵、单向输水。因此，定向流体输送有助于维持蒸发界面处的水补充，改善界面加热并减少蒸发过程中的局部盐积累。当组装成 3D 圆锥形几何形状时，蒸发器可提供 1.89 kg·m–2·h–1 的表观蒸发速率，在 1 个太阳光照下，太阳能-蒸汽效率为 99.55%，同时在 3.5 wt% NaCl 溶液中保持稳定的蒸发性能超过 20 个循环。 PLA/粘胶膜具有可持续性，在堆肥条件下35天内降解率超过70%。这项工作深入了解了不对称润湿界面的作用，并提供了可生物降解的设计策略</w:t>
      </w:r>
    </w:p>
    <w:p>
      <w:pPr>
        <w:spacing w:before="0" w:after="200" w:lineRule="auto" w:line="276"/>
      </w:pPr>
      <w:r>
        <w:rPr>
          <w:b/>
        </w:rPr>
        <w:t xml:space="preserve">Abstract (EN): </w:t>
      </w:r>
      <w:r>
        <w:t>While solar-driven interfacial evaporation holds great promise for addressing freshwater scarcity, its widespread reliance on non-degradable synthetic polymers may raise concerns regarding secondary microplastic pollution. Furthermore, balancing continuous water supply, thermal localization, and anti-scaling remains a fundamental interfacial challenge. Herein, we report a biodegradable Janus photothermal evaporator composed of a hydrophilic carboxylated carbon nanotubes (CCNTs)-modified viscose layer and a hydrophobic electrospun polylactic acid (PLA) nanofibrous layer. Benefiting from its asymmetric wettability and distinct pore structures across the bilayer interface, the Janus architecture exhibits directional water transport behavior. This structural design generates a capillary pressure difference that enables self-pumping, unidirectional water transport. Consequently, the directional fluid delivery helps maintain water replenishment at the evaporation interface, improving interfacial heating and reducing local salt accumulation during evaporation. When assembled into a 3D conical geometry, the evaporator delivers an apparent evaporation rate of 1.89 kg·m–2·h–1 with solar-to-vapor efficiency of 99.55% under one-sun illumination, while maintaining stable evaporation performance over 20 cycles in 3.5 wt % NaCl solution. The PLA/viscose membrane exhibits sustainability, showing a degradation rate of over 70% within 35 days under composting conditions. This work provides insight into the role of asymmetric wetting interfaces and offers a biodegradable design strategy for solar interfacial evaporation systems.</w:t>
      </w:r>
    </w:p>
    <w:p>
      <w:pPr>
        <w:spacing w:before="120" w:after="120"/>
      </w:pPr>
      <w:r>
        <w:rPr>
          <w:sz w:val="18"/>
        </w:rPr>
        <w:t>——————————————————————————————————————————————————————————————————————</w:t>
      </w:r>
    </w:p>
    <w:p>
      <w:pPr>
        <w:spacing w:before="160" w:after="40" w:line="240" w:lineRule="auto"/>
      </w:pPr>
      <w:r>
        <w:rPr>
          <w:b/>
        </w:rPr>
        <w:t xml:space="preserve">[7] </w:t>
      </w:r>
      <w:hyperlink r:id="rId605">
        <w:r>
          <w:rPr>
            <w:color w:val="1155CC"/>
            <w:u w:val="single"/>
          </w:rPr>
          <w:t>Pd 纳米片上的 NiMo 双原子二聚体用于选择性裂解废塑料中的乙二醇的 C─H 和 C─C 键（Adv. Mater. 46/2026）</w:t>
        </w:r>
      </w:hyperlink>
    </w:p>
    <w:p>
      <w:pPr>
        <w:spacing w:before="0" w:after="80"/>
      </w:pPr>
      <w:r>
        <w:rPr>
          <w:i/>
          <w:sz w:val="20"/>
        </w:rPr>
        <w:t>EN: NiMo Dual‐Atom Dimers on Pd Nanosheets for Selective C─H and C─C Bond Cleavage of Ethylene Glycol From Waste Plastics (Adv. Mater. 46/2026)</w:t>
      </w:r>
    </w:p>
    <w:p>
      <w:pPr>
        <w:spacing w:before="0" w:after="120"/>
      </w:pPr>
      <w:r>
        <w:rPr>
          <w:b/>
        </w:rPr>
        <w:t xml:space="preserve">Source: </w:t>
      </w:r>
      <w:r>
        <w:t>Wiley: Advanced Materials: Table of Contents</w:t>
      </w:r>
      <w:r>
        <w:t xml:space="preserve">    </w:t>
      </w:r>
      <w:r>
        <w:rPr>
          <w:b/>
        </w:rPr>
        <w:t xml:space="preserve">Pub date: </w:t>
      </w:r>
      <w:r>
        <w:t>2026-08-19 02:51:35+00:00</w:t>
      </w:r>
      <w:r>
        <w:t xml:space="preserve">    </w:t>
      </w:r>
      <w:r>
        <w:rPr>
          <w:b/>
        </w:rPr>
        <w:t xml:space="preserve">DOI: </w:t>
      </w:r>
      <w:hyperlink r:id="rId606">
        <w:r>
          <w:rPr>
            <w:color w:val="1155CC"/>
            <w:u w:val="single"/>
          </w:rPr>
          <w:t>10.1002/adma.74556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607">
        <w:r>
          <w:rPr>
            <w:color w:val="1155CC"/>
            <w:u w:val="single"/>
          </w:rPr>
          <w:t>通过自敏化对芳香族聚合物和混合塑料进行无催化剂、自感应光化学升级回收</w:t>
        </w:r>
      </w:hyperlink>
    </w:p>
    <w:p>
      <w:pPr>
        <w:spacing w:before="0" w:after="80"/>
      </w:pPr>
      <w:r>
        <w:rPr>
          <w:i/>
          <w:sz w:val="20"/>
        </w:rPr>
        <w:t>EN: Catalyst-free, autoinductive photochemical upcycling of aromatic polymers and mixed plastics via autosensitization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608">
        <w:r>
          <w:rPr>
            <w:color w:val="1155CC"/>
            <w:u w:val="single"/>
          </w:rPr>
          <w:t>10.1126/sciadv.aeg9384</w:t>
        </w:r>
      </w:hyperlink>
    </w:p>
    <w:p>
      <w:pPr>
        <w:spacing w:before="0" w:after="120"/>
      </w:pPr>
      <w:r>
        <w:rPr>
          <w:b/>
        </w:rPr>
        <w:t xml:space="preserve">Notes: </w:t>
      </w:r>
      <w:r>
        <w:t>abstract_source=crossref</w:t>
      </w:r>
    </w:p>
    <w:p>
      <w:pPr>
        <w:spacing w:before="0" w:after="80" w:lineRule="auto" w:line="276"/>
      </w:pPr>
      <w:r>
        <w:rPr>
          <w:b/>
        </w:rPr>
        <w:t xml:space="preserve">摘要（ZH）: </w:t>
      </w:r>
      <w:r>
        <w:t>聚合物的光化学升级回收是缓解塑料废物危机的一种有前景的策略；然而，最近的许多进展都集中在开发昂贵的光催化剂上。相比之下，聚苯乙烯（PS）等芳香族聚合物的自敏光反应性尽管已有数十年的记录，但仍未被用于实际的升级改造。在这里，我们利用这种被忽视的反应性开发了一种无催化剂平台，可以在空气中的可见光照射下将 PS 转化为苯甲酸。该方法扩展到其他芳香族聚合物，包括聚对苯二甲酸乙二醇酯（PET）、聚碳酸酯、聚醚砜（PES）和环氧树脂，以及木质素等生物质原料。机理实验与 DFT 计算相结合揭示了氯烷溶剂的非无害作用，这一点在相关光化学升级循环系统中一直未被充分认识，并且还具有自感应速率加速。这种固有的 PS 光反应性进一步实现了与非芳香族聚合物的共同升级回收，并且在模拟废物的卤化溶剂混合物中仍然有效，这表明混合塑料/生物质增值和溶剂废物管理之间存在潜在的协同作用。</w:t>
      </w:r>
    </w:p>
    <w:p>
      <w:pPr>
        <w:spacing w:before="0" w:after="200" w:lineRule="auto" w:line="276"/>
      </w:pPr>
      <w:r>
        <w:rPr>
          <w:b/>
        </w:rPr>
        <w:t xml:space="preserve">Abstract (EN): </w:t>
      </w:r>
      <w:r>
        <w:t>Photochemical upcycling of polymers is a promising strategy for mitigating the plastic-waste crisis; however, many recent advances have centered on developing costly photocatalysts. In contrast, the auto-sensitized photoreactivity of aromatic polymers such as polystyrene (PS)—albeit documented for decades—has remained unexploited for practical upcycling. Here we leverage this overlooked reactivity to develop a catalyst-free platform that converts PS into benzoic acid under visible light irradiation in air. The approach extends to other aromatic polymers including polyethylene terephthalate (PET), polycarbonate, polyether sulfone (PES), and epoxy resins, as well as biomass feedstocks such as lignin. Mechanistic experiments combined with DFT calculations reveal a non-innocent role for the chloroalkane solvent, an aspect that has been underrecognized in related photochemical upcycling systems, as well as an autoinductive rate acceleration. This intrinsic PS photoreactivity further enables co-upcycling with non-aromatic polymers and remains effective in a waste-emulating halogenated solvent mixture, pointing to potential synergy between mixed plastics/biomass valorization and solvent waste management.</w:t>
      </w:r>
    </w:p>
    <w:p>
      <w:pPr>
        <w:spacing w:before="120" w:after="120"/>
      </w:pPr>
      <w:r>
        <w:rPr>
          <w:sz w:val="18"/>
        </w:rPr>
        <w:t>——————————————————————————————————————————————————————————————————————</w:t>
      </w:r>
    </w:p>
    <w:p>
      <w:pPr>
        <w:spacing w:before="160" w:after="40" w:line="240" w:lineRule="auto"/>
      </w:pPr>
      <w:r>
        <w:rPr>
          <w:b/>
        </w:rPr>
        <w:t xml:space="preserve">[9] </w:t>
      </w:r>
      <w:hyperlink r:id="rId609">
        <w:r>
          <w:rPr>
            <w:color w:val="1155CC"/>
            <w:u w:val="single"/>
          </w:rPr>
          <w:t>对苯二甲酸叔烷基酯衍生物作为缩聚物的通用可降解单元</w:t>
        </w:r>
      </w:hyperlink>
    </w:p>
    <w:p>
      <w:pPr>
        <w:spacing w:before="0" w:after="80"/>
      </w:pPr>
      <w:r>
        <w:rPr>
          <w:i/>
          <w:sz w:val="20"/>
        </w:rPr>
        <w:t>EN: A Tert‐Alkyl Terephthalate Derivative as a Universal Degradable Unit for Condensation Polymers</w:t>
      </w:r>
    </w:p>
    <w:p>
      <w:pPr>
        <w:spacing w:before="0" w:after="120"/>
      </w:pPr>
      <w:r>
        <w:rPr>
          <w:b/>
        </w:rPr>
        <w:t xml:space="preserve">Source: </w:t>
      </w:r>
      <w:r>
        <w:t>Wiley: Angewandte Chemie International Edition: Table of Contents</w:t>
      </w:r>
      <w:r>
        <w:t xml:space="preserve">    </w:t>
      </w:r>
      <w:r>
        <w:rPr>
          <w:b/>
        </w:rPr>
        <w:t xml:space="preserve">Pub date: </w:t>
      </w:r>
      <w:r>
        <w:t>2026-08-19 23:00:02+00:00</w:t>
      </w:r>
      <w:r>
        <w:t xml:space="preserve">    </w:t>
      </w:r>
      <w:r>
        <w:rPr>
          <w:b/>
        </w:rPr>
        <w:t xml:space="preserve">DOI: </w:t>
      </w:r>
      <w:hyperlink r:id="rId610">
        <w:r>
          <w:rPr>
            <w:color w:val="1155CC"/>
            <w:u w:val="single"/>
          </w:rPr>
          <w:t>10.1002/anie.4234620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可裂解触发器纳入母体聚合物的主链中，可以实现程序化降解，从而为化学可回收塑料提供了途径。尽管迄今为止已报道了各种触发剂，但带有可通过光催化反应裂解的C─O键的简单酯尚未成功用作触发剂。这是因为简单酯的 C─O 键是惰性的。在这项研究中，我们证明了通过在键断裂时产生稳定的叔烷基自由基可以实现有效的酯C─O键断裂。基于这一原理，我们设计了一种二羧酸核心，其特点是将叔烷基酯纳入对苯二甲酸支架中。设计的核心被纳入聚芳酯、聚氨酯和聚酯中，所有三种聚合物在相同的光催化条件下都经历了叔烷基酯的选择性C─O键断裂，在2-4小时内实现了高达99%的降解效率。与传统的水解不同，我们的方法仅选择性地裂解目标酯键，而使其他酯键保持完整。这样可以产生更少、更简单的产品，并大大简化单体回收。值得注意的是，尽管存在触发因素，我们的可降解聚合物仍保留了与母体塑料相当的物理性能。</w:t>
      </w:r>
    </w:p>
    <w:p>
      <w:pPr>
        <w:spacing w:before="0" w:after="200" w:lineRule="auto" w:line="276"/>
      </w:pPr>
      <w:r>
        <w:rPr>
          <w:b/>
        </w:rPr>
        <w:t xml:space="preserve">Abstract (EN): </w:t>
      </w:r>
      <w:r>
        <w:t>Incorporating cleavable triggers into the backbones of parent polymers enables programmed degradation, offering a pathway to chemically recyclable plastics. Although various triggers have been reported to date, simple esters bearing a C─O bond cleavable by photocatalytic reactions have not been successfully employed as triggers. This is because the C─O bond of simple esters is inert. In this study, we demonstrated that efficient ester C─O bond cleavage can be achieved by generating a stable tertiary alkyl radical upon bond scission. Based on this principle, we designed a dicarboxylic acid core featuring a tertiary alkyl ester incorporated into a terephthalic acid scaffold. The designed core was incorporated into polyarylate, polyurethane, and polyester, and all three polymers underwent selective C─O bond cleavage of the tertiary alkyl ester under identical photocatalytic conditions, achieving degradation efficiencies of up to 99% within 2–4 h. Unlike conventional hydrolysis, our method selectively cleaves only the targeted ester bond, leaving others intact. This yields fewer, simpler products and greatly simplifies monomer recovery. Notably, our degradable polymers retained physical properties comparable to parent plastics despite trigger incorporation.</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611">
        <w:r>
          <w:rPr>
            <w:color w:val="1155CC"/>
            <w:u w:val="single"/>
          </w:rPr>
          <w:t>BODIPY-集成多孔材料：设计原理、功能架构和新兴应用</w:t>
        </w:r>
      </w:hyperlink>
    </w:p>
    <w:p>
      <w:pPr>
        <w:spacing w:before="0" w:after="80"/>
      </w:pPr>
      <w:r>
        <w:rPr>
          <w:i/>
          <w:sz w:val="20"/>
        </w:rPr>
        <w:t>EN: BODIPY-Integrated Porous Materials: Design Principles, Functional Architectures, and Emerging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612">
        <w:r>
          <w:rPr>
            <w:color w:val="1155CC"/>
            <w:u w:val="single"/>
          </w:rPr>
          <w:t>10.1021/acsami.6c10025</w:t>
        </w:r>
      </w:hyperlink>
    </w:p>
    <w:p>
      <w:pPr>
        <w:spacing w:before="0" w:after="120"/>
      </w:pPr>
      <w:r>
        <w:rPr>
          <w:b/>
        </w:rPr>
        <w:t xml:space="preserve">Notes: </w:t>
      </w:r>
      <w:r>
        <w:t>abstract_source=crossref</w:t>
      </w:r>
    </w:p>
    <w:p>
      <w:pPr>
        <w:spacing w:before="0" w:after="80" w:lineRule="auto" w:line="276"/>
      </w:pPr>
      <w:r>
        <w:rPr>
          <w:b/>
        </w:rPr>
        <w:t xml:space="preserve">摘要（ZH）: </w:t>
      </w:r>
      <w:r>
        <w:t>摘要：将功能性有机发色团纳入多孔结构已成为连接分子光物理与材料级性能的有力策略。其中，硼二吡咯亚甲基（BODIPY）衍生物具有强可见光吸收、高荧光效率和结构可调性的独特组合，使其成为下一代多孔材料的潜在构建模块。本综述总结了基于 BODIPY 的多孔系统在一系列结构平台上的开发最新进展，包括分子笼、多孔有机聚合物、共价有机框架和金属有机框架。讨论了将 BODIPY 单元集成到多孔结构中的关键合成方法和设计策略，重点是框架组成和连接性如何影响整体功能。所得材料在光催化、环境修复和生物医学应用中表现出增强的性能。此外，本次审查还强调了当前与综合可扩展性、框架稳定性、功能优化以及该领域未来方向相关的局限性。通过整合最新进展并确定关键挑战，本文对 BODIPY 集成多孔材料的开发及其满足新兴技术需求的潜力提供了全面的视角。</w:t>
      </w:r>
    </w:p>
    <w:p>
      <w:pPr>
        <w:spacing w:before="0" w:after="200" w:lineRule="auto" w:line="276"/>
      </w:pPr>
      <w:r>
        <w:rPr>
          <w:b/>
        </w:rPr>
        <w:t xml:space="preserve">Abstract (EN): </w:t>
      </w:r>
      <w:r>
        <w:t>The incorporation of functional organic chromophores into porous architectures has emerged as a powerful strategy to bridge molecular photophysics with materials-level performance. Among these, boron-dipyrromethene (BODIPY) derivatives offer a unique combination of strong visible-light absorption, high fluorescence efficiency, and structural tunability, making them potential building blocks for next-generation porous materials. This review summarizes recent progress in the development of BODIPY-based porous systems across a range of structural platforms, including molecular cages, porous organic polymers, covalent organic frameworks, and metal–organic frameworks. Key synthetic approaches and design strategies that enable the integration of BODIPY units into the porous architectures are discussed, with an emphasis on how framework composition and connectivity influence the overall functionality. The resulting materials exhibit enhanced performance in photocatalysis, environmental remediation, and biomedical applications. In addition, this review highlights current limitations related to synthetic scalability, framework stability, functional optimization, and the future direction of the field. By consolidating recent advances and identifying critical challenges, this article provides a comprehensive perspective on the development of BODIPY-integrated porous materials and their potential to address emerging technological demands.</w:t>
      </w:r>
    </w:p>
    <w:p>
      <w:pPr>
        <w:spacing w:before="120" w:after="120"/>
      </w:pPr>
      <w:r>
        <w:rPr>
          <w:sz w:val="18"/>
        </w:rPr>
        <w:t>——————————————————————————————————————————————————————————————————————</w:t>
      </w:r>
    </w:p>
    <w:p>
      <w:pPr>
        <w:spacing w:before="160" w:after="40" w:line="240" w:lineRule="auto"/>
      </w:pPr>
      <w:r>
        <w:rPr>
          <w:b/>
        </w:rPr>
        <w:t xml:space="preserve">[2] </w:t>
      </w:r>
      <w:hyperlink r:id="rId613">
        <w:r>
          <w:rPr>
            <w:color w:val="1155CC"/>
            <w:u w:val="single"/>
          </w:rPr>
          <w:t>通过与热敏多肽融合的低免疫原性缓释溶葡萄球菌素根除 MRSA 生物膜相关植入物感染</w:t>
        </w:r>
      </w:hyperlink>
    </w:p>
    <w:p>
      <w:pPr>
        <w:spacing w:before="0" w:after="80"/>
      </w:pPr>
      <w:r>
        <w:rPr>
          <w:i/>
          <w:sz w:val="20"/>
        </w:rPr>
        <w:t>EN: Eradication of MRSA biofilm-associated implant infections by low-immunogenic sustained-release lysostaphin fused to thermosensitive polypeptides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葡萄球菌，特别是耐甲氧西林金黄色葡萄球菌 (MRSA)，通过生物膜形成导致顽固性感染，尤其是与植入物相关的感染，构成了世界范围的威胁。溶葡萄球菌素 (Lst) 等抗菌酶有望用于对抗葡萄球菌感染，但其稳定性差、免疫原性高和药代动力学欠佳，这阻碍了其作为抗生素替代品的临床转化。在此，我们报告了一种将热敏弹性蛋白样多肽（ELP）与 Lst 融合的策略，以克服这些固有缺陷并根除 MRSA 生物膜诱导的植入物感染。在 AlphaFold2 的指导下，我们合理设计了一种嵌合 Lst-ELP 融合蛋白，与游离 Lst 相比，该蛋白保留了有效的裂解活性，稳定性显着增强，并且免疫原性大大降低。 Lst-ELP 的热敏感性能够在皮下注射后原位形成缓释储库，从而增加最大耐受剂量、改善药代动力学并优化生物分布。因此，单次注射 Lst-ELP 不仅可以完全根除植入物上的 MRSA 生物膜以及血流和伤口组织中的 MRSA，还可以消除局部和全身炎症反应。这种方法实现了 MRSA 生物膜相关种植体感染的完全清除，且没有副作用，凸显了其临床转化的潜力。</w:t>
      </w:r>
    </w:p>
    <w:p>
      <w:pPr>
        <w:spacing w:before="0" w:after="200" w:lineRule="auto" w:line="276"/>
      </w:pPr>
      <w:r>
        <w:rPr>
          <w:b/>
        </w:rPr>
        <w:t xml:space="preserve">Abstract (EN): </w:t>
      </w:r>
      <w:r>
        <w:t>Staphylococcal bacteria, particularly methicillin-resistant Staphylococcus aureus (MRSA), are responsible for intractable infections—especially those associated with implants—through biofilm formation, presenting a worldwide menace. Antibacterial enzymes like lysostaphin (Lst) are promising for combating staphylococcal infections but limited by poor stability, high immunogenicity, and suboptimal pharmacokinetics, which hamper their clinical translation as antibiotic alternatives. Herein, we report a strategy of fusing thermosensitive elastin-like polypeptides (ELPs) to Lst to overcome these inherent drawbacks and eradicate MRSA biofilm-induced implant infections. Guided by AlphaFold2, we rationally engineered a chimeric Lst-ELP fusion protein that preserves potent lytic activity, demonstrates markedly enhanced stability, and exhibits substantially reduced immunogenicity relative to free Lst. The thermosensitivity of Lst-ELP enables in situ formation of a sustained-release depot upon subcutaneous injection, translating to an increased maximum tolerated dose, improved pharmacokinetics, and optimized biodistribution. Consequently, a single injection of Lst-ELP not only fully eradicated MRSA biofilms on implants and MRSA from the bloodstream and wound tissues, but also eliminated local and systemic inflammatory responses. This approach achieved complete clearance of MRSA biofilm-associated implant infections without adverse effects, highlighting its potential for clinical translation.</w:t>
      </w:r>
    </w:p>
    <w:p>
      <w:pPr>
        <w:spacing w:before="120" w:after="120"/>
      </w:pPr>
      <w:r>
        <w:rPr>
          <w:sz w:val="18"/>
        </w:rPr>
        <w:t>——————————————————————————————————————————————————————————————————————</w:t>
      </w:r>
    </w:p>
    <w:p>
      <w:pPr>
        <w:spacing w:before="160" w:after="40" w:line="240" w:lineRule="auto"/>
      </w:pPr>
      <w:r>
        <w:rPr>
          <w:b/>
        </w:rPr>
        <w:t xml:space="preserve">[3] </w:t>
      </w:r>
      <w:hyperlink r:id="rId614">
        <w:r>
          <w:rPr>
            <w:color w:val="1155CC"/>
            <w:u w:val="single"/>
          </w:rPr>
          <w:t>进化保守分析揭示了 STING 通过 FADS2 调节脂质代谢的原始功能</w:t>
        </w:r>
      </w:hyperlink>
    </w:p>
    <w:p>
      <w:pPr>
        <w:spacing w:before="0" w:after="80"/>
      </w:pPr>
      <w:r>
        <w:rPr>
          <w:i/>
          <w:sz w:val="20"/>
        </w:rPr>
        <w:t>EN: Evolutionary conservation analysis reveals a primordial function of STING as a regulator of lipid metabolism via FADS2</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干扰素基因刺激剂 (STING) 是 I 型干扰素 (IFN) 反应的关键调节因子。尽管 IFN 系统仅限于脊椎动物，但 STING 存在于后生动物和一些单细胞真核生物中，表明在脊椎动物分化之前参与不同的功能。在这里，我们探讨了 STING 介导的多不饱和脂肪酸 (PUFA) 代谢调节的保守性。我们发现来自脊椎动物、无脊椎动物和单细胞真核生物的 STING 同源物与脂肪酸去饱和酶 2 (FADS2)（PUFA 代谢中的限速酶）相互作用，并影响随后的功能输出。具体来说，我们发现 STING 同源物不同地影响细胞对 DNA 和 RNA 病毒感染的易感性，与 IFN 反应的激活无关，表明 STING 介导的代谢途径调节可能参与原始宿主防御机制。因此，我们将 STING 介导的代谢调节视为进化上保守的特征和 STING 的原始功能。</w:t>
      </w:r>
    </w:p>
    <w:p>
      <w:pPr>
        <w:spacing w:before="0" w:after="200" w:lineRule="auto" w:line="276"/>
      </w:pPr>
      <w:r>
        <w:rPr>
          <w:b/>
        </w:rPr>
        <w:t xml:space="preserve">Abstract (EN): </w:t>
      </w:r>
      <w:r>
        <w:t>The stimulator of interferon genes (STING) is a pivotal regulator of type I interferon (IFN) responses. Although the IFN system is confined to vertebrates, STING is present across metazoans and in some unicellular eukaryotes, suggesting involvement in distinct functions prior to vertebrate divergence. Here we explore the conservation of STING-mediated regulation of polyunsaturated fatty acid (PUFA) metabolism. We find that STING homologs from vertebrates, invertebrates, and unicellular eukaryotes interact with fatty acid desaturase 2 (FADS2), the rate-limiting enzyme in PUFA metabolism, and influence subsequent functional outputs. Specifically, we show that STING homologs differentially shape cell susceptibility to infection by DNA and RNA viruses independently of the activation of IFN responses, suggesting that STING-mediated metabolic pathway regulation may participate in primitive host defense mechanisms. Thus, we identify STING-mediated metabolic regulation as an evolutionarily conserved feature and a primordial function of STING.</w:t>
      </w:r>
    </w:p>
    <w:p>
      <w:pPr>
        <w:spacing w:before="120" w:after="120"/>
      </w:pPr>
      <w:r>
        <w:rPr>
          <w:sz w:val="18"/>
        </w:rPr>
        <w:t>——————————————————————————————————————————————————————————————————————</w:t>
      </w:r>
    </w:p>
    <w:p>
      <w:pPr>
        <w:spacing w:before="160" w:after="40" w:line="240" w:lineRule="auto"/>
      </w:pPr>
      <w:r>
        <w:rPr>
          <w:b/>
        </w:rPr>
        <w:t xml:space="preserve">[4] </w:t>
      </w:r>
      <w:hyperlink r:id="rId615">
        <w:r>
          <w:rPr>
            <w:color w:val="1155CC"/>
            <w:u w:val="single"/>
          </w:rPr>
          <w:t>通过整合优化的 CAR 内域和 iNKT 接合剂增强 iNKT 细胞免疫治疗</w:t>
        </w:r>
      </w:hyperlink>
    </w:p>
    <w:p>
      <w:pPr>
        <w:spacing w:before="0" w:after="80"/>
      </w:pPr>
      <w:r>
        <w:rPr>
          <w:i/>
          <w:sz w:val="20"/>
        </w:rPr>
        <w:t>EN: Enhancing iNKT cell immunotherapy through the integration of optimized CAR endodomains and iNKT engagers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iNKT 细胞正在成为一种非常有前途的癌症治疗免疫治疗平台。为了最大限度地发挥 CAR-iNKT 对血癌多发性骨髓瘤的抗癌活性，我们研究了最佳 CAR 设计及其与新的 iNKT 特异性接合剂的组合。我们发现，在五种不同的 CAR 内域中，由于亲和力增加以及 CAR-iNKT 上的 Plexin D1 和骨髓瘤细胞上的 Semaphorin 4 A 之间的串扰，BCMA CD28z CAR-iNKT 发挥了最高的抗骨髓瘤活性。值得注意的是，CD28z CAR-iNKT 的性能优于 CAR-T 同类产品。为了扩大 CAR-iNKT 的抗骨髓瘤潜力，我们设计并验证了一种高效的 BCMA iNKT 特异性接合器，它与过继转移的 iNKT 细胞结合发挥显着的抗骨髓瘤活性。最后，使用 FCRL5 CAR-iNKT 和 BCMA iNKT 接合剂的联合双靶向治疗优于 FCRL5 CAR-iNKT，并限制了 FCRL5 阴性骨髓瘤的免疫逃逸。因此，优化的基于 iNKT 的双靶点、双模式免疫疗法增强了针对多发性骨髓瘤和其他潜在恶性肿瘤的抗肿瘤活性。</w:t>
      </w:r>
    </w:p>
    <w:p>
      <w:pPr>
        <w:spacing w:before="0" w:after="200" w:lineRule="auto" w:line="276"/>
      </w:pPr>
      <w:r>
        <w:rPr>
          <w:b/>
        </w:rPr>
        <w:t xml:space="preserve">Abstract (EN): </w:t>
      </w:r>
      <w:r>
        <w:t>iNKT cells are emerging as a highly promising immunotherapy platform for the treatment of cancer. To maximise the anti-cancer activity of CAR-iNKT against the blood cancer multiple myeloma we investigated optimal CAR designs and their combination with new iNKT-specific engagers. We find that amongst five different CAR endodomains, underpinned by increased avidity and a cross talk between Plexin D1 on CAR-iNKT and Semaphorin 4 A on myeloma cells, BCMA CD28z CAR-iNKT exert the highest anti-myeloma activity. Notably, CD28z CAR-iNKT outperform their CAR-T counterparts. To expand the anti-myeloma potential of CAR-iNKT, we designed and validated a high efficacy BCMA iNKT-specific engager which exerts significant anti-myeloma activity in conjunction with adoptively transferred iNKT cells. Finally, combined, dual target therapy with FCRL5 CAR-iNKT and BCMA iNKT engagers outperforms FCRL5 CAR-iNKT and limits immune escape of FCRL5-negative myeloma. Thus, optimised iNKT-based, dual-target, dual-modality immunotherapy has enhanced anti-tumor activity against multiple myeloma and potentially other malignancies.</w:t>
      </w:r>
    </w:p>
    <w:p>
      <w:pPr>
        <w:spacing w:before="120" w:after="120"/>
      </w:pPr>
      <w:r>
        <w:rPr>
          <w:sz w:val="18"/>
        </w:rPr>
        <w:t>——————————————————————————————————————————————————————————————————————</w:t>
      </w:r>
    </w:p>
    <w:p>
      <w:pPr>
        <w:spacing w:before="160" w:after="40" w:line="240" w:lineRule="auto"/>
      </w:pPr>
      <w:r>
        <w:rPr>
          <w:b/>
        </w:rPr>
        <w:t xml:space="preserve">[5] </w:t>
      </w:r>
      <w:hyperlink r:id="rId616">
        <w:r>
          <w:rPr>
            <w:color w:val="1155CC"/>
            <w:u w:val="single"/>
          </w:rPr>
          <w:t>内皮细胞-小胶质细胞串扰介导雄性小鼠心力衰竭相关的突触丧失和认知障碍</w:t>
        </w:r>
      </w:hyperlink>
    </w:p>
    <w:p>
      <w:pPr>
        <w:spacing w:before="0" w:after="80"/>
      </w:pPr>
      <w:r>
        <w:rPr>
          <w:i/>
          <w:sz w:val="20"/>
        </w:rPr>
        <w:t>EN: Endothelial cell-microglia crosstalk mediates heart failure-associated synaptic loss and cognitive impairment in male mice</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认知障碍影响 30%–80% 的心力衰竭患者，但脑血流量减少以外的机制仍不清楚。在这里，我们发现心力衰竭期间释放的循环因子会引发脑血管内皮细胞的衰老，进而通过内皮细胞和小胶质细胞（大脑的免疫细胞）之间的串扰驱动突触丧失和认知能力下降。在 8 个月大的雄性小鼠中使用压力过载模型（横主动脉缩窄）结合血浆移植，我们发现升高的循环 TGFβ2 作用于内皮 TGFBR2，并通过非经典 MEK/ERK-MYC 途径诱导分泌蛋白 SPARC。然后内皮 SPARC 激活小胶质细胞 TLR4，促进神经炎症和突触的异常吞噬。内皮细胞删除 Tgfbr2 或 Sparc，小胶质细胞删除 Tlr4，均能保留突触并改善认知，而药理学 Tlr4 抑制具有保护作用。这些发现定义了内皮-小胶质细胞信号轴和心力衰竭相关认知障碍的潜在治疗靶点。</w:t>
      </w:r>
    </w:p>
    <w:p>
      <w:pPr>
        <w:spacing w:before="0" w:after="200" w:lineRule="auto" w:line="276"/>
      </w:pPr>
      <w:r>
        <w:rPr>
          <w:b/>
        </w:rPr>
        <w:t xml:space="preserve">Abstract (EN): </w:t>
      </w:r>
      <w:r>
        <w:t>Cognitive impairment affects 30%–80% of patients with heart failure, yet the mechanisms beyond reduced brain blood flow remain poorly defined. Here we show that circulating factors released during heart failure trigger senescence of brain blood-vessel endothelial cells, which in turn drives synaptic loss and cognitive decline through crosstalk between endothelial cells and microglia, the brain’s immune cells. Using a pressure-overload model (transverse aortic constriction) combined with plasma transfer in 8-month-old male mice, we found that elevated circulating TGFβ2 acts on endothelial TGFBR2 and induces the secreted protein SPARC via a non-canonical MEK/ERK–MYC pathway. Endothelial SPARC then activates microglial TLR4, promoting neuroinflammation and abnormal engulfment of synapses. Endothelial deletion of Tgfbr2 or Sparc, and microglial deletion of Tlr4, each preserved synapses and improved cognition, and pharmacological Tlr4 inhibition was protective. These findings define an endothelial–microglia signaling axis and a potential therapeutic target in heart failure-associated cognitive impairment.</w:t>
      </w:r>
    </w:p>
    <w:p>
      <w:pPr>
        <w:spacing w:before="120" w:after="120"/>
      </w:pPr>
      <w:r>
        <w:rPr>
          <w:sz w:val="18"/>
        </w:rPr>
        <w:t>——————————————————————————————————————————————————————————————————————</w:t>
      </w:r>
    </w:p>
    <w:p>
      <w:pPr>
        <w:spacing w:before="160" w:after="40" w:line="240" w:lineRule="auto"/>
      </w:pPr>
      <w:r>
        <w:rPr>
          <w:b/>
        </w:rPr>
        <w:t xml:space="preserve">[6] </w:t>
      </w:r>
      <w:hyperlink r:id="rId617">
        <w:r>
          <w:rPr>
            <w:color w:val="1155CC"/>
            <w:u w:val="single"/>
          </w:rPr>
          <w:t>破译植物短链脱氢酶对 1-冰片的对映选择性的进化起源</w:t>
        </w:r>
      </w:hyperlink>
    </w:p>
    <w:p>
      <w:pPr>
        <w:spacing w:before="0" w:after="80"/>
      </w:pPr>
      <w:r>
        <w:rPr>
          <w:i/>
          <w:sz w:val="20"/>
        </w:rPr>
        <w:t>EN: Deciphering the evolutionary origin of the enantioselectivity of short-chain dehydrogenases from plants toward 1-borneol</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酶工程已经产生了许多优化生物技术过程中酶的方法；然而，人们对自然进​​化如何创造新功能知之甚少。我们研究了植物冰片脱氢酶对映选择性的进化出现，该酶具有疏水活性位点，并且对二冰片烷型单萜醇具有对映选择性。祖先序列重建提供了从最古老的非选择性祖先 N30 (E = 12) 到更新的选择性祖先 N32 的轨迹，涉及 19 个突变：18 个突变是外围突变，一个 (I111L) 发生在活性位点。疏水口袋中的突变L111I增加了N30的选择性，而回复突变I111L降低了N32的选择性。高选择性需要额外的外周突变（V136L/G169A/V183I）。晶体结构表明，是蛋白质动力学而不是结构变化决定了这些催化特性；配体结合的机器学习/分子力学模拟证实了这一点。漏斗动力学模拟揭示了活性位点的溶剂可及表面积与选择性之间的相关性。这种潜在的进化途径塑造了对映选择性，并指导未来的酶工程活动。</w:t>
      </w:r>
    </w:p>
    <w:p>
      <w:pPr>
        <w:spacing w:before="0" w:after="200" w:lineRule="auto" w:line="276"/>
      </w:pPr>
      <w:r>
        <w:rPr>
          <w:b/>
        </w:rPr>
        <w:t xml:space="preserve">Abstract (EN): </w:t>
      </w:r>
      <w:r>
        <w:t>Enzyme engineering has produced numerous methods to optimize enzymes for biotechnological processes; however, less is known about how natural evolution creates new functionalities. We investigate the evolutionary emergence of enantioselectivity in plant borneol dehydrogenases, which feature hydrophobic active-sites and are enantioselective towards dibornane-type monoterpenols. Ancestral sequence reconstruction provided a trajectory from the oldest unselective ancestor N30 (E = 12) toward a more recent selective ancestor N32, involving 19 mutations: 18 mutations are peripheral, one (I111L) occurs in the active-site. The mutation L111I in the hydrophobic pocket increased the selectivity of N30, while the back-mutation I111L decreased the selectivity of N32. Additional peripheral mutations (V136L/G169A/V183I) were required for high selectivity. Crystal structures suggested that protein dynamics rather than structural changes shape these catalytic properties; this was confirmed by Machine Learning/Molecular Mechanics simulations of ligand binding. Funnel-metadynamics simulations revealed a correlation between the active-site’s solvent-accessible surface area and selectivity. This potential evolutionary pathway shapes enantioselectivity, and guides future enzyme engineering campaigns.</w:t>
      </w:r>
    </w:p>
    <w:p>
      <w:pPr>
        <w:spacing w:before="120" w:after="120"/>
      </w:pPr>
      <w:r>
        <w:rPr>
          <w:sz w:val="18"/>
        </w:rPr>
        <w:t>——————————————————————————————————————————————————————————————————————</w:t>
      </w:r>
    </w:p>
    <w:p>
      <w:pPr>
        <w:spacing w:before="160" w:after="40" w:line="240" w:lineRule="auto"/>
      </w:pPr>
      <w:r>
        <w:rPr>
          <w:b/>
        </w:rPr>
        <w:t xml:space="preserve">[7] </w:t>
      </w:r>
      <w:hyperlink r:id="rId618">
        <w:r>
          <w:rPr>
            <w:color w:val="1155CC"/>
            <w:u w:val="single"/>
          </w:rPr>
          <w:t>人脑中的互补和对手价值信号支持选择最好的和避免最坏的</w:t>
        </w:r>
      </w:hyperlink>
    </w:p>
    <w:p>
      <w:pPr>
        <w:spacing w:before="0" w:after="80"/>
      </w:pPr>
      <w:r>
        <w:rPr>
          <w:i/>
          <w:sz w:val="20"/>
        </w:rPr>
        <w:t>EN: Complementary and opponent value signals in the human brain support choosing the best and avoiding the worst</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大脑是否通过单个集成电路或通过不同的路径编码愉快和不愉快情况的主观价值仍然悬而未决。这些信号如何指导跨环境的选择也仍不清楚。为了解决这些问题，我们记录了参与者的大脑内活动，他们对愉快和不愉快的场景进行了评分，然后跨领域和框架做出二元选择。腹内侧前额叶皮层 (vmPFC) 宽带伽玛活动（BGA，50-150 Hz）在评分和选择过程中跟踪令人愉快的项目的价值，无论选择框架如何，都与最令人愉快的项目呈正相关。同样，前岛叶 (aIns) BGA 在评分和选择过程中跟踪不愉快项目的价值，无论选择框架如何，都与最不愉快的项目呈负相关。当项目域和选择框架发生冲突时，vmPFC 和 aIns 中的相对价值信号分歧最为强烈。这些发现揭示了用于愉快和不愉快评估的互补神经系统及其在基于价值的选择中的作用。</w:t>
      </w:r>
    </w:p>
    <w:p>
      <w:pPr>
        <w:spacing w:before="0" w:after="200" w:lineRule="auto" w:line="276"/>
      </w:pPr>
      <w:r>
        <w:rPr>
          <w:b/>
        </w:rPr>
        <w:t xml:space="preserve">Abstract (EN): </w:t>
      </w:r>
      <w:r>
        <w:t>Whether the brain encodes the subjective value of pleasant and unpleasant situations via a single integrated circuit or through distinct pathways remains unresolved. How such signals guide choice across contexts also remains unclear. To address these questions, we recorded intracerebral activity from participants who rated pleasant and unpleasant scenarios and then made binary choices across domains and frames. Ventromedial prefrontal cortex (vmPFC) broadband gamma activity (BGA, 50–150 Hz) tracked the value of pleasant items during rating and choice, correlating positively with the most pleasant item irrespective of choice frame. Similarly, anterior insula (aIns) BGA tracked the value of unpleasant items during rating and choice, correlating negatively with the most unpleasant item irrespective of choice frame. Relative value signals in the vmPFC and aIns diverged most strongly when item domain and choice frame conflicted. These findings reveal complementary neural systems for pleasant and unpleasant valuation and their role in value-based choices.</w:t>
      </w:r>
    </w:p>
    <w:p>
      <w:pPr>
        <w:spacing w:before="120" w:after="120"/>
      </w:pPr>
      <w:r>
        <w:rPr>
          <w:sz w:val="18"/>
        </w:rPr>
        <w:t>——————————————————————————————————————————————————————————————————————</w:t>
      </w:r>
    </w:p>
    <w:p>
      <w:pPr>
        <w:spacing w:before="160" w:after="40" w:line="240" w:lineRule="auto"/>
      </w:pPr>
      <w:r>
        <w:rPr>
          <w:b/>
        </w:rPr>
        <w:t xml:space="preserve">[8] </w:t>
      </w:r>
      <w:hyperlink r:id="rId619">
        <w:r>
          <w:rPr>
            <w:color w:val="1155CC"/>
            <w:u w:val="single"/>
          </w:rPr>
          <w:t>用于同时进行非靶向代谢组学和靶向暴露组学的柱切换液相色谱双质谱系统</w:t>
        </w:r>
      </w:hyperlink>
    </w:p>
    <w:p>
      <w:pPr>
        <w:spacing w:before="0" w:after="80"/>
      </w:pPr>
      <w:r>
        <w:rPr>
          <w:i/>
          <w:sz w:val="20"/>
        </w:rPr>
        <w:t>EN: Column switching liquid chromatography dual mass spectrometry system for simultaneous untargeted metabolomics and targeted exposomics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全暴露组关联研究 (ExWAS) 需要检测宽浓度范围内具有不同化学性质的代谢物和暴露，这项任务通常需要多种分析方法。为了应对这一挑战，我们开发了一种集成的柱切换二维液相色谱-双质谱 (2DLC-dual-MS) 系统。该系统采用 2DLC 设置顺序分离极性和非极性化合物，log P 范围为 -8 至 15。分离的组分通过三通阀引导至高分辨率 MS (HRMS) 和三重四极杆 MS (TQMS)，从而能够同时进行非靶向代谢组分析和 601 种暴露的靶向定量。该方法特别适合同时分析人体血液中的代谢组和暴露组，它们的浓度通常相差 2-3 个数量级。在肺腺癌 ExWAS 的演示应用中，该系统在超过 300 次连续注射的代谢组和暴露组分析中表现出良好的稳定性，证实了其在 ExWAS 应用中的稳健性。</w:t>
      </w:r>
    </w:p>
    <w:p>
      <w:pPr>
        <w:spacing w:before="0" w:after="200" w:lineRule="auto" w:line="276"/>
      </w:pPr>
      <w:r>
        <w:rPr>
          <w:b/>
        </w:rPr>
        <w:t xml:space="preserve">Abstract (EN): </w:t>
      </w:r>
      <w:r>
        <w:t>Exposome-wide association studies (ExWAS) require the detection of metabolites and exposures with diverse chemical properties across wide concentration ranges, a task that typically demands multiple analytical methods. To address this challenge, we develop an integrated column-switching two-dimensional liquid chromatography-dual mass spectrometry (2DLC-dual-MS) system. This system employs a 2DLC setup to sequentially separate polar and non-polar compounds with log P ranging from −8 to 15. The separated fractions are directed via a three-way valve to a high-resolution MS (HRMS) and a triple quadrupole MS (TQMS), enabling simultaneous untargeted metabolome analysis and targeted quantification of 601 exposures. The method is particularly suited for the concurrent analysis of metabolome and exposome in human blood, where their concentrations typically differ by 2–3 orders of magnitude. In a demonstration application on lung adenocarcinoma ExWAS, the system exhibits good stability over more than 300 consecutive injections for both metabolome and exposome analysis, confirming its robustness for ExWAS applications.</w:t>
      </w:r>
    </w:p>
    <w:p>
      <w:pPr>
        <w:spacing w:before="120" w:after="120"/>
      </w:pPr>
      <w:r>
        <w:rPr>
          <w:sz w:val="18"/>
        </w:rPr>
        <w:t>——————————————————————————————————————————————————————————————————————</w:t>
      </w:r>
    </w:p>
    <w:p>
      <w:pPr>
        <w:spacing w:before="160" w:after="40" w:line="240" w:lineRule="auto"/>
      </w:pPr>
      <w:r>
        <w:rPr>
          <w:b/>
        </w:rPr>
        <w:t xml:space="preserve">[9] </w:t>
      </w:r>
      <w:hyperlink r:id="rId620">
        <w:r>
          <w:rPr>
            <w:color w:val="1155CC"/>
            <w:u w:val="single"/>
          </w:rPr>
          <w:t>直接生物胺-酸胺化，用于溶酶天然产物的快速表型分析</w:t>
        </w:r>
      </w:hyperlink>
    </w:p>
    <w:p>
      <w:pPr>
        <w:spacing w:before="0" w:after="80"/>
      </w:pPr>
      <w:r>
        <w:rPr>
          <w:i/>
          <w:sz w:val="20"/>
        </w:rPr>
        <w:t>EN: A Direct-to-Biology Amine–Acid Amination for Rapid Phenotypic Profiling of Lysosomotropic Natural Products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21">
        <w:r>
          <w:rPr>
            <w:color w:val="1155CC"/>
            <w:u w:val="single"/>
          </w:rPr>
          <w:t>10.1021/jacs.6c06623</w:t>
        </w:r>
      </w:hyperlink>
    </w:p>
    <w:p>
      <w:pPr>
        <w:spacing w:before="0" w:after="120"/>
      </w:pPr>
      <w:r>
        <w:rPr>
          <w:b/>
        </w:rPr>
        <w:t xml:space="preserve">Notes: </w:t>
      </w:r>
      <w:r>
        <w:t>abstract_source=crossref</w:t>
      </w:r>
    </w:p>
    <w:p>
      <w:pPr>
        <w:spacing w:before="0" w:after="80" w:lineRule="auto" w:line="276"/>
      </w:pPr>
      <w:r>
        <w:rPr>
          <w:b/>
        </w:rPr>
        <w:t xml:space="preserve">摘要（ZH）: </w:t>
      </w:r>
      <w:r>
        <w:t>摘要 天然产物（NP）因其多样化的分子支架和新颖的生物活性而成为药物发现的基础。然而，材料稀缺和劳动密集型纯化过程阻碍了优化纳米粒子以获得最佳生物活性和改善药物特性。在这里，我们提出了一个自动化超高通量实验 (ultraHTE) 和直接生物学 (D2B) 平台，该平台能够从合成 NP 类似物的小型库中进行快速结构-活性关系 (SAR) 映射，从而将 NP 解锁为药物先导优化后期多样化的可行起点。从具有前列腺癌抗增殖活性的针叶树脂衍生的三环二萜 leelamine 开始，我们以 1536 孔形式合成了 leelamine 类似物，成功率达到 73%，而每次反应仅消耗 0.03 mg NP。成功的关键是开发了铂催化的胺-酸还原胺化反应，该反应在胺和互补酸衍生的纳米粒子上均表现良好，采用所谓的 Janus 策略，使可利用的化学空间增加了一倍以上。 LNCaP 细胞中的直接表型筛选能够快速鉴定有效的、细胞可渗透的类似物，并通过制备规模的迭代再合成实现强大的质量控制。 SAR 见解揭示了基于 4-甲氧基苯基和 3-吲哚基衍生物的两种关键取代模式驱动效力。机制研究——包括雄激素受体结合、化学蛋白质组学和溶酶体胆固醇共定位测定——展示了不同的模式</w:t>
      </w:r>
    </w:p>
    <w:p>
      <w:pPr>
        <w:spacing w:before="0" w:after="200" w:lineRule="auto" w:line="276"/>
      </w:pPr>
      <w:r>
        <w:rPr>
          <w:b/>
        </w:rPr>
        <w:t xml:space="preserve">Abstract (EN): </w:t>
      </w:r>
      <w:r>
        <w:t>Natural products (NPs) are foundational to drug discovery, owing to their diverse molecular scaffolds and novel bioactivities. However, optimizing NPs for optimal bioactivity and improved drug properties is hindered by material scarcity and labor-intensive purification processes. Here, we present an automated ultrahigh-throughput experimentation (ultraHTE) and direct-to-biology (D2B) platform that enables rapid structure–activity relationship (SAR) mapping from miniaturized libraries of synthetic NP analogues, unlocking NPs as a viable starting point for late-stage diversification in drug-lead optimization. Starting from leelamine, a conifer resin-derived tricyclic diterpene with prostate cancer antiproliferative activity, we synthesized leelamine analogues in a 1536-well format, achieving a 73% success rate while consuming only 0.03 mg of NP per reaction. Key to success was the development of a platinum-catalyzed amine–acid reductive amination reaction, which performed well on both amine and complementary acid-derived NPs, in a so-called Janus strategy which more than doubled the accessible chemical space. Direct phenotypic screening in LNCaP cells enabled rapid identification of potent, cell-permeable analogues with robust quality control achieved through iterative resynthesis on preparative scale. SAR insights revealed two key substitution patterns driving potency based on 4-methoxyphenyl and 3-indolyl derivatives. Mechanistic studies─including androgen receptor binding, chemoproteomics, and a lysosomal cholesterol colocalization assay─demonstrated distinct modes of action for optimized analogues compared to leelamine. Collectively, this amine–acid amination-based D2B platform showcases accelerated SAR elucidation from minimal material and cellular profiling, unlocking a framework for mechanism-driven lead discovery in NP chemical space.</w:t>
      </w:r>
    </w:p>
    <w:p>
      <w:pPr>
        <w:spacing w:before="120" w:after="120"/>
      </w:pPr>
      <w:r>
        <w:rPr>
          <w:sz w:val="18"/>
        </w:rPr>
        <w:t>——————————————————————————————————————————————————————————————————————</w:t>
      </w:r>
    </w:p>
    <w:p>
      <w:pPr>
        <w:spacing w:before="160" w:after="40" w:line="240" w:lineRule="auto"/>
      </w:pPr>
      <w:r>
        <w:rPr>
          <w:b/>
        </w:rPr>
        <w:t xml:space="preserve">[10] </w:t>
      </w:r>
      <w:hyperlink r:id="rId622">
        <w:r>
          <w:rPr>
            <w:color w:val="1155CC"/>
            <w:u w:val="single"/>
          </w:rPr>
          <w:t>跨人类特征的功能负担多效性和基因剂量反应的决定因素</w:t>
        </w:r>
      </w:hyperlink>
    </w:p>
    <w:p>
      <w:pPr>
        <w:spacing w:before="0" w:after="80"/>
      </w:pPr>
      <w:r>
        <w:rPr>
          <w:i/>
          <w:sz w:val="20"/>
        </w:rPr>
        <w:t>EN: Determinants of functional burden pleiotropy and gene dosage responses across human traits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基因剂量的多效性和单调效应对于理解发育性儿科和精神疾病的合并症至关重要，但其潜在的生物学过程尚未得到很好的表征。在这里，我们开发了一种功能负荷分析，以研究全基因组范围内所有蛋白质编码拷贝数变异与约 500,000 名英国生物银行参与者中的 43 种复杂性状的关联。我们测试了破坏 172 个组织或细胞类型基因集的变异关联，找到了所有性状的关联，并在“我们所有人”队列中复制了这些关联。功能负担多效性，定义为与基因组显着相关的性状数量，与遗传限制相关，并且即使在遗传限制标准化之后，大脑功能也比非大脑功能更高。通过负荷相关性测量的多效性水平在缺失和功能丧失的单核苷酸变异中相似，并且高于常见变异和重复。大多数基因剂量反应是非单调的，缺失和重复表现出同向效应，并且单调反应随着遗传限制而减少。我们观察到功能基因集与删除或重复性状之间的关联，但很少两者兼而有之，且效应大小呈负相关。总之，这些结果将遗传限制和大脑特异性机制与神经发育和精神疾病的全身多发病联系起来。</w:t>
      </w:r>
    </w:p>
    <w:p>
      <w:pPr>
        <w:spacing w:before="0" w:after="200" w:lineRule="auto" w:line="276"/>
      </w:pPr>
      <w:r>
        <w:rPr>
          <w:b/>
        </w:rPr>
        <w:t xml:space="preserve">Abstract (EN): </w:t>
      </w:r>
      <w:r>
        <w:t>Pleiotropic and monotonic effects of gene dosage are central to understanding comorbidities in developmental pediatric and psychiatric disorders, yet the underlying biological processes are not well characterized. Here we develop a functional burden analysis to investigate the association of all protein-coding copy-number variants, genome-wide, with 43 complex traits in approximately 500,000 UK Biobank participants. We test variant associations disrupting 172 tissue or cell-type gene sets, finding associations for all traits, which we replicate in the All of Us cohort. Functional burden pleiotropy, defined as the number of traits significantly associated with a gene set, correlates with genetic constraint and is higher for brain than non-brain functions, even after normalizing for genetic constraint. Levels of pleiotropy, measured by burden correlation, are similar in deletions and loss-of-function single-nucleotide variants, and higher than in common variants and duplications. Most gene dosage responses are non-monotonic, with deletions and duplications showing same-direction effects, and monotonic responses decrease with genetic constraint. We observe associations between functional gene sets and traits for either deletions or duplications, but rarely both, with negatively correlated effect sizes. Together, these results link genetic constraint and brain-specific mechanisms to the whole-body multimorbidity of neurodevelopmental and psychiatric conditions.</w:t>
      </w:r>
    </w:p>
    <w:p>
      <w:pPr>
        <w:spacing w:before="120" w:after="120"/>
      </w:pPr>
      <w:r>
        <w:rPr>
          <w:sz w:val="18"/>
        </w:rPr>
        <w:t>——————————————————————————————————————————————————————————————————————</w:t>
      </w:r>
    </w:p>
    <w:p>
      <w:pPr>
        <w:spacing w:before="160" w:after="40" w:line="240" w:lineRule="auto"/>
      </w:pPr>
      <w:r>
        <w:rPr>
          <w:b/>
        </w:rPr>
        <w:t xml:space="preserve">[11] </w:t>
      </w:r>
      <w:hyperlink r:id="rId623">
        <w:r>
          <w:rPr>
            <w:color w:val="1155CC"/>
            <w:u w:val="single"/>
          </w:rPr>
          <w:t>使用工程金属硫化物光催化剂将木质素光催化裂解和升级为高价值产品的最新进展</w:t>
        </w:r>
      </w:hyperlink>
    </w:p>
    <w:p>
      <w:pPr>
        <w:spacing w:before="0" w:after="80"/>
      </w:pPr>
      <w:r>
        <w:rPr>
          <w:i/>
          <w:sz w:val="20"/>
        </w:rPr>
        <w:t>EN: Recent advances in photocatalytic fragmentation and upgradation of lignin to high-value products using engineered metal sulphide photocatalysts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24">
        <w:r>
          <w:rPr>
            <w:color w:val="1155CC"/>
            <w:u w:val="single"/>
          </w:rPr>
          <w:t>10.1016/j.apenergy.2026.128519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625">
        <w:r>
          <w:rPr>
            <w:color w:val="1155CC"/>
            <w:u w:val="single"/>
          </w:rPr>
          <w:t>通过嵌入分位数凸延迟代理协调经济调度中的电力和计算</w:t>
        </w:r>
      </w:hyperlink>
    </w:p>
    <w:p>
      <w:pPr>
        <w:spacing w:before="0" w:after="80"/>
      </w:pPr>
      <w:r>
        <w:rPr>
          <w:i/>
          <w:sz w:val="20"/>
        </w:rPr>
        <w:t>EN: Coordinating electricity and computility in economic dispatch by embedding quantile convex latency surrogates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26">
        <w:r>
          <w:rPr>
            <w:color w:val="1155CC"/>
            <w:u w:val="single"/>
          </w:rPr>
          <w:t>10.1016/j.apenergy.2026.128678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627">
        <w:r>
          <w:rPr>
            <w:color w:val="1155CC"/>
            <w:u w:val="single"/>
          </w:rPr>
          <w:t>通过 SOP 和 ESS 的时空灵活交互，针对关键 DG 断电，实现主动配电网络的多目标动态重构</w:t>
        </w:r>
      </w:hyperlink>
    </w:p>
    <w:p>
      <w:pPr>
        <w:spacing w:before="0" w:after="80"/>
      </w:pPr>
      <w:r>
        <w:rPr>
          <w:i/>
          <w:sz w:val="20"/>
        </w:rPr>
        <w:t>EN: Multi-objective dynamic reconfiguration of active distribution networks via spatio-temporal flexible interaction of SOPs and ESSs against critical DG disconnections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28">
        <w:r>
          <w:rPr>
            <w:color w:val="1155CC"/>
            <w:u w:val="single"/>
          </w:rPr>
          <w:t>10.1016/j.apenergy.2026.128634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629">
        <w:r>
          <w:rPr>
            <w:color w:val="1155CC"/>
            <w:u w:val="single"/>
          </w:rPr>
          <w:t>美国热带气旋引起停电的高分辨率模拟和建模</w:t>
        </w:r>
      </w:hyperlink>
    </w:p>
    <w:p>
      <w:pPr>
        <w:spacing w:before="0" w:after="80"/>
      </w:pPr>
      <w:r>
        <w:rPr>
          <w:i/>
          <w:sz w:val="20"/>
        </w:rPr>
        <w:t>EN: High-resolution simulation and modeling of tropical-cyclone induced power outages in the United States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30">
        <w:r>
          <w:rPr>
            <w:color w:val="1155CC"/>
            <w:u w:val="single"/>
          </w:rPr>
          <w:t>10.1016/j.apenergy.2026.128511</w:t>
        </w:r>
      </w:hyperlink>
    </w:p>
    <w:p>
      <w:pPr>
        <w:spacing w:before="0" w:after="120"/>
      </w:pPr>
      <w:r>
        <w:rPr>
          <w:b/>
        </w:rPr>
        <w:t xml:space="preserve">Notes: </w:t>
      </w:r>
      <w:r>
        <w:t>abstract_source=openalex</w:t>
      </w:r>
    </w:p>
    <w:p>
      <w:pPr>
        <w:spacing w:before="0" w:after="80" w:lineRule="auto" w:line="276"/>
      </w:pPr>
      <w:r>
        <w:rPr>
          <w:b/>
        </w:rPr>
        <w:t xml:space="preserve">摘要（ZH）: </w:t>
      </w:r>
      <w:r>
        <w:t>风暴引发的停电给社区带来了巨大且不均匀的成本，但运营停电预测模型仍然受到可用数据集的限制。现有方法要么为少数有内部停电记录的公用事业公司提供高分辨率预测，要么在广阔的地区运行，但当地规划的分辨率不足。我们首先组装一个新的亚公里级多公用事业停电数据集来解决这一差距，该数据集将九个州和十个公用事业服务区域的停电记录与受影响的县级客户数据相结合。然后，基于这个新数据集，我们开发了一个拓扑信息统计框架，根据网格风、降水和风暴潮场、配电线路暴露、地下和社会脆弱性特征来估计停电率和受影响的客户数量。在持续的风暴中，该框架的表现优于美国本土 (CONUS) 的现有停电模型。使用经过训练的模型，我们在统一的高分辨率亚公里级网格上重建了十年来由热带气旋驱动的 53 次中断事件。对该数据集的分析表明，与受到类似风速影响的不太脆弱的县相比，社会脆弱性较高的县遭受系统性更高的停电率，部分原因是与最不脆弱的社区相比，社会脆弱性最高的县最有可能遭受高水平的架空暴露。</w:t>
      </w:r>
    </w:p>
    <w:p>
      <w:pPr>
        <w:spacing w:before="0" w:after="200" w:lineRule="auto" w:line="276"/>
      </w:pPr>
      <w:r>
        <w:rPr>
          <w:b/>
        </w:rPr>
        <w:t xml:space="preserve">Abstract (EN): </w:t>
      </w:r>
      <w:r>
        <w:t>Storm driven power outages impose large and uneven costs on communities, yet operational outage prediction models remain constrained by available datasets. Existing approaches either provide high resolution forecasts for a small number of utilities with internal outage records, or operate across broad regions with insufficient resolution for local planning. We address this gap by first assembling a new sub-kilometer scale multi-utility outage dataset that combines scraped outage records across nine states and ten utility service territories with county-level customers affected data. Based on this new dataset we then develop a topologically informed statistical framework to estimate outage rates and the number of customers affected based on gridded wind, precipitation, and storm surge fields, distribution line exposure, undergrounding, and social vulnerability characteristics. On held-out storms, the framework outperformed existing outage models for the contiguous United States (CONUS). Using the trained model, we reconstruct a decade of tropical cyclone driven outages for 53 events on a uniform high resolution sub-kilometer scale grid. Analyses of this dataset reveal that counties with higher social vulnerability suffer systematically higher outage rates compared to less vulnerable counties exposed to similar wind speeds, partially because counties with the highest levels of social vulnerability are most likely to have high levels of overhead exposure compared to the least vulnerable communities.</w:t>
      </w:r>
    </w:p>
    <w:p>
      <w:pPr>
        <w:spacing w:before="120" w:after="120"/>
      </w:pPr>
      <w:r>
        <w:rPr>
          <w:sz w:val="18"/>
        </w:rPr>
        <w:t>——————————————————————————————————————————————————————————————————————</w:t>
      </w:r>
    </w:p>
    <w:p>
      <w:pPr>
        <w:spacing w:before="160" w:after="40" w:line="240" w:lineRule="auto"/>
      </w:pPr>
      <w:r>
        <w:rPr>
          <w:b/>
        </w:rPr>
        <w:t xml:space="preserve">[15] </w:t>
      </w:r>
      <w:hyperlink r:id="rId631">
        <w:r>
          <w:rPr>
            <w:color w:val="1155CC"/>
            <w:u w:val="single"/>
          </w:rPr>
          <w:t>异步批零互动下跨年度到现货交易周期的虚拟电厂两阶段协调稳健电力交易</w:t>
        </w:r>
      </w:hyperlink>
    </w:p>
    <w:p>
      <w:pPr>
        <w:spacing w:before="0" w:after="80"/>
      </w:pPr>
      <w:r>
        <w:rPr>
          <w:i/>
          <w:sz w:val="20"/>
        </w:rPr>
        <w:t>EN: Two-stage coordinated robust electricity trading for virtual power plants across the annual-to-spot trading cycle under asynchronous wholesale-retail interaction</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32">
        <w:r>
          <w:rPr>
            <w:color w:val="1155CC"/>
            <w:u w:val="single"/>
          </w:rPr>
          <w:t>10.1016/j.apenergy.2026.128658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633">
        <w:r>
          <w:rPr>
            <w:color w:val="1155CC"/>
            <w:u w:val="single"/>
          </w:rPr>
          <w:t>不确定性自平衡能力：微电网灵活性及其经济评估的新指标</w:t>
        </w:r>
      </w:hyperlink>
    </w:p>
    <w:p>
      <w:pPr>
        <w:spacing w:before="0" w:after="80"/>
      </w:pPr>
      <w:r>
        <w:rPr>
          <w:i/>
          <w:sz w:val="20"/>
        </w:rPr>
        <w:t>EN: Uncertainty self-balancing capability: A novel indicator for microgrid flexibility and its economic valuation</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34">
        <w:r>
          <w:rPr>
            <w:color w:val="1155CC"/>
            <w:u w:val="single"/>
          </w:rPr>
          <w:t>10.1016/j.apenergy.2026.128631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635">
        <w:r>
          <w:rPr>
            <w:color w:val="1155CC"/>
            <w:u w:val="single"/>
          </w:rPr>
          <w:t>分子自组装接触</w:t>
        </w:r>
      </w:hyperlink>
    </w:p>
    <w:p>
      <w:pPr>
        <w:spacing w:before="0" w:after="80"/>
      </w:pPr>
      <w:r>
        <w:rPr>
          <w:i/>
          <w:sz w:val="20"/>
        </w:rPr>
        <w:t>EN: Self-assembled contacts for molecules</w:t>
      </w:r>
    </w:p>
    <w:p>
      <w:pPr>
        <w:spacing w:before="0" w:after="120"/>
      </w:pPr>
      <w:r>
        <w:rPr>
          <w:b/>
        </w:rPr>
        <w:t xml:space="preserve">Source: </w:t>
      </w:r>
      <w:r>
        <w:t>Nature Electronics</w:t>
      </w:r>
      <w:r>
        <w:t xml:space="preserve">    </w:t>
      </w:r>
      <w:r>
        <w:rPr>
          <w:b/>
        </w:rPr>
        <w:t xml:space="preserve">Pub date: </w:t>
      </w:r>
      <w:r>
        <w:t>2026-08-14 00:00:00+00:00</w:t>
      </w:r>
      <w:r>
        <w:t xml:space="preserve">    </w:t>
      </w:r>
      <w:r>
        <w:rPr>
          <w:b/>
        </w:rPr>
        <w:t xml:space="preserve">DOI: </w:t>
      </w:r>
      <w:hyperlink r:id="rId636">
        <w:r>
          <w:rPr>
            <w:color w:val="1155CC"/>
            <w:u w:val="single"/>
          </w:rPr>
          <w:t>10.1038/s41928-026-01695-0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637">
        <w:r>
          <w:rPr>
            <w:color w:val="1155CC"/>
            <w:u w:val="single"/>
          </w:rPr>
          <w:t>氨基酸分解代谢的调节剂控制鲍曼不动杆菌肠道定植</w:t>
        </w:r>
      </w:hyperlink>
    </w:p>
    <w:p>
      <w:pPr>
        <w:spacing w:before="0" w:after="80"/>
      </w:pPr>
      <w:r>
        <w:rPr>
          <w:i/>
          <w:sz w:val="20"/>
        </w:rPr>
        <w:t>EN: A regulator of amino acid catabolism controls Acinetobacter baumannii gut colonization</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无症状的肠道定植会增加多重耐药病原体鲍曼不动杆菌的临床感染和传播风险。鸟氨酸的利用被证明对于鲍曼不动杆菌与常驻微生物群竞争以持续肠道定植至关重要，但其调节机制和线索尚不清楚。在这里，我们鉴定了一种转录调节因子 AstR，它特异性激活鲍曼不动杆菌鸟氨酸利用操纵子 astNOP 的表达。系统发育分析表明，AstR 是从不动杆菌精氨酸利用 ast(G)CADBE 位点增选出来的，专门调节鲍曼不动杆菌中鸟氨酸的利用。报告基因检测表明，astN 启动子表达被鸟氨酸激活，但被谷氨酸和其他优选氨基酸抑制。 astN 启动子表达同样通过与传统小鼠而非无菌小鼠的粪便样本一起孵育而被激活，这表明 astR 依赖性的 astN 启动子激活响应微生物间对氨基酸的竞争。最后，AstR 是鲍曼不动杆菌在小鼠模型肠道中定殖所必需的。总之，这些结果表明致病性不动杆菌物种进化出 AstR 来调节鸟氨酸分解代谢，这是在肠道定植期间与微生物群竞争所必需的。</w:t>
      </w:r>
    </w:p>
    <w:p>
      <w:pPr>
        <w:spacing w:before="0" w:after="200" w:lineRule="auto" w:line="276"/>
      </w:pPr>
      <w:r>
        <w:rPr>
          <w:b/>
        </w:rPr>
        <w:t xml:space="preserve">Abstract (EN): </w:t>
      </w:r>
      <w:r>
        <w:t>Asymptomatic gut colonization increases the risk of clinical infection and transmission by the multidrug-resistant pathogen Acinetobacter baumannii. Ornithine utilization was shown to be critical for A. baumannii competition with the resident microbiota to persist in gut colonization, but the regulatory mechanisms and cues are unknown. Here, we identify a transcriptional regulator, AstR, that specifically activates the expression of the A. baumannii ornithine utilization operon astNOP. Phylogenetic analysis suggests that AstR was co-opted from the Acinetobacter arginine utilization ast(G)CADBE locus and is specialized to regulate ornithine utilization in A. baumannii. Reporter assays showed that astN promoter expression was activated by ornithine but inhibited by glutamate and other preferred amino acids. astN promoter expression was similarly activated by incubation with fecal samples from conventional mice but not germ-free mice, suggesting AstR-dependent activation of the astN promoter responds to intermicrobial competition for amino acids. Finally, AstR was required for A. baumannii to colonize the gut in a mouse model. Together, these results suggest that pathogenic Acinetobacter species evolved AstR to regulate ornithine catabolism, which is required to compete with the microbiota during gut colonization.</w:t>
      </w:r>
    </w:p>
    <w:p>
      <w:pPr>
        <w:spacing w:before="120" w:after="120"/>
      </w:pPr>
      <w:r>
        <w:rPr>
          <w:sz w:val="18"/>
        </w:rPr>
        <w:t>——————————————————————————————————————————————————————————————————————</w:t>
      </w:r>
    </w:p>
    <w:p>
      <w:pPr>
        <w:spacing w:before="160" w:after="40" w:line="240" w:lineRule="auto"/>
      </w:pPr>
      <w:r>
        <w:rPr>
          <w:b/>
        </w:rPr>
        <w:t xml:space="preserve">[19] </w:t>
      </w:r>
      <w:hyperlink r:id="rId638">
        <w:r>
          <w:rPr>
            <w:color w:val="1155CC"/>
            <w:u w:val="single"/>
          </w:rPr>
          <w:t>可渗透的蛋白质纳米笼可以轻松装载货物和胞质蛋白质递送</w:t>
        </w:r>
      </w:hyperlink>
    </w:p>
    <w:p>
      <w:pPr>
        <w:spacing w:before="0" w:after="80"/>
      </w:pPr>
      <w:r>
        <w:rPr>
          <w:i/>
          <w:sz w:val="20"/>
        </w:rPr>
        <w:t>EN: A permeable protein nanocage enables facile cargo loading and cytosolic protein delivery</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治疗性蛋白质的胞质递送仍然是现代药物递送中最持久的挑战之一。在这里，我们报告了基于封装蛋白的蛋白质纳米笼 QtEnc 的发现和表征，该蛋白质纳米笼具有意想不到的渗透性特性和体外内化货物蛋白质的能力，从根本上背离了现有的蛋白质纳米笼货物装载范例。这种渗透性可以实现简单、快速、单步的组装后货物装载，可容纳高达 482 kDa 的货物，并允许以可调比率进行多重货物共封装。利用这一特性，我们开发了一种基于 QtEnc 的模块化纳米载体 (QtEncNC)，具有 pH 响应性货物分离模块和内体逃逸模块，能够实现低 pH 触发的货物从组装壳中释放，并随后进行内体逃逸以进行胞质递送。使用细胞毒性蛋白 BLF1 作为概念验证 QtEncNC 有效负载，我们证明了 HeLa 细胞中有效的胞质蛋白递送。这些发现使 QtEncNC 成为一种多功能、模块化的胞质蛋白递送平台，具有广泛的生物医学潜力。</w:t>
      </w:r>
    </w:p>
    <w:p>
      <w:pPr>
        <w:spacing w:before="0" w:after="200" w:lineRule="auto" w:line="276"/>
      </w:pPr>
      <w:r>
        <w:rPr>
          <w:b/>
        </w:rPr>
        <w:t xml:space="preserve">Abstract (EN): </w:t>
      </w:r>
      <w:r>
        <w:t>The cytosolic delivery of therapeutic proteins remains one of the most persistent challenges in modern drug delivery. Here, we report the discovery and characterization of an encapsulin-based protein nanocage, QtEnc, with unexpected permeability properties and the ability to internalize cargo proteins in vitro, fundamentally departing from existing protein nanocage cargo loading paradigms. This permeability enables simple, rapid, and single-step post-assembly cargo loading, accommodating cargos as large as 482 kDa, and allowing multiplexed cargo co-encapsulation with tunable ratios. Leveraging this property, we develop a modular QtEnc-based NanoCarrier (QtEncNC) with a pH-responsive cargo detachment module and an endosomal escape module, enabling low pH-triggered cargo release from assembled shells and subsequent endosomal escape for cytosolic delivery. Using a cytotoxic protein, BLF1, as a proof-of-concept QtEncNC payload, we demonstrate efficient cytosolic protein delivery in HeLa cells. These findings establish QtEncNC as a versatile and modular platform for cytosolic protein delivery with broad biomedical potential.</w:t>
      </w:r>
    </w:p>
    <w:p>
      <w:pPr>
        <w:spacing w:before="120" w:after="120"/>
      </w:pPr>
      <w:r>
        <w:rPr>
          <w:sz w:val="18"/>
        </w:rPr>
        <w:t>——————————————————————————————————————————————————————————————————————</w:t>
      </w:r>
    </w:p>
    <w:p>
      <w:pPr>
        <w:spacing w:before="160" w:after="40" w:line="240" w:lineRule="auto"/>
      </w:pPr>
      <w:r>
        <w:rPr>
          <w:b/>
        </w:rPr>
        <w:t xml:space="preserve">[20] </w:t>
      </w:r>
      <w:hyperlink r:id="rId639">
        <w:r>
          <w:rPr>
            <w:color w:val="1155CC"/>
            <w:u w:val="single"/>
          </w:rPr>
          <w:t>复制启动过程中 Sld3-Sld7 依赖的 Cdc45 加载的结构见解</w:t>
        </w:r>
      </w:hyperlink>
    </w:p>
    <w:p>
      <w:pPr>
        <w:spacing w:before="0" w:after="80"/>
      </w:pPr>
      <w:r>
        <w:rPr>
          <w:i/>
          <w:sz w:val="20"/>
        </w:rPr>
        <w:t>EN: Structural insights into Sld3-Sld7-dependent Cdc45 loading during replication initiation</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DDK 激酶调节的解旋酶激活对于基因组稳定性至关重要。然而，DDK 磷酸化如何引发 MCM2-7 双六聚体 (DH) 进行 Sld3-Sld7 结合和 Cdc45 负载仍不清楚。我们通过 MCM2-7 DH-Sld3-Sld7 (MS) 和 MCM2-7 DH-Sld3-Sld7-Cdc45 (MSC) 的冷冻电镜结构定义了这种机制。我们发现，自抑制性 Mcm4 尾部不仅与 Mcm4 结合，还与 Mcm6 结合。在 DDK 依赖性磷酸化后，这两个位点都变得可访问。在 MS 结构的背景下，我们识别出接触 Mcm4 和 Mcm6 的两个短 Sld3 基序读出 DH 磷酸化状态，而 Sld3 Treslin 结构域 (STD) 与 Mcm2 结合。在 MSC 结构中，Cdc45 将 Sld3 STD 从 Mcm2 中移出，从而允许 Sld3 将 Cdc45 定位在 Mcm2/Mcm5 界面处。 Sld3 STD-Cdc45 接口的诱变会破坏 Cdc45 的加载，从而验证了这种相互作用。总之，我们的数据揭示了将 DDK 激活的 Mcm4/Mcm6 表面与远端 Cdc45 位置耦合的磷酸化编码机制，解释了激发因子如何编排 DH 到 CMG 的转变。</w:t>
      </w:r>
    </w:p>
    <w:p>
      <w:pPr>
        <w:spacing w:before="0" w:after="200" w:lineRule="auto" w:line="276"/>
      </w:pPr>
      <w:r>
        <w:rPr>
          <w:b/>
        </w:rPr>
        <w:t xml:space="preserve">Abstract (EN): </w:t>
      </w:r>
      <w:r>
        <w:t>Regulated helicase activation by DDK kinase is central for genome stability. However, how DDK phosphorylation primes the MCM2-7 double hexamer (DH) for Sld3-Sld7 binding and Cdc45 loading remained unclear. We define this mechanism through cryo-EM structures of MCM2-7 DH-Sld3-Sld7 (MS) and MCM2-7 DH-Sld3-Sld7-Cdc45 (MSC). We reveal that the autoinhibitory Mcm4 tail engages not only Mcm4 but also Mcm6. Upon DDK-dependent phosphorylation, both of these sites become accessible. In the context of the MS structure, we identify that two short Sld3 motifs that contact Mcm4 and Mcm6 read out the DH phosphorylation state, while the Sld3 Treslin domain (STD) binds to Mcm2. In the MSC structure, Cdc45 dislodges the Sld3 STD from Mcm2, allowing Sld3 to position Cdc45 at the Mcm2/Mcm5 interface. Mutagenesis of the Sld3 STD-Cdc45 interface disrupts Cdc45 loading, validating this interaction. Together, our data reveal a phosphorylation-encoded mechanism coupling DDK-activated Mcm4/Mcm6 surfaces to distal Cdc45 placement, explaining how firing factors choreograph the DH-to-CMG transition.</w:t>
      </w:r>
    </w:p>
    <w:p>
      <w:pPr>
        <w:spacing w:before="120" w:after="120"/>
      </w:pPr>
      <w:r>
        <w:rPr>
          <w:sz w:val="18"/>
        </w:rPr>
        <w:t>——————————————————————————————————————————————————————————————————————</w:t>
      </w:r>
    </w:p>
    <w:p>
      <w:pPr>
        <w:spacing w:before="160" w:after="40" w:line="240" w:lineRule="auto"/>
      </w:pPr>
      <w:r>
        <w:rPr>
          <w:b/>
        </w:rPr>
        <w:t xml:space="preserve">[21] </w:t>
      </w:r>
      <w:hyperlink r:id="rId640">
        <w:r>
          <w:rPr>
            <w:color w:val="1155CC"/>
            <w:u w:val="single"/>
          </w:rPr>
          <w:t>大量研究发现无证移民不会提高犯罪率</w:t>
        </w:r>
      </w:hyperlink>
    </w:p>
    <w:p>
      <w:pPr>
        <w:spacing w:before="0" w:after="80"/>
      </w:pPr>
      <w:r>
        <w:rPr>
          <w:i/>
          <w:sz w:val="20"/>
        </w:rPr>
        <w:t>EN: Undocumented migration does not raise crime rates, huge study finds</w:t>
      </w:r>
    </w:p>
    <w:p>
      <w:pPr>
        <w:spacing w:before="0" w:after="120"/>
      </w:pPr>
      <w:r>
        <w:rPr>
          <w:b/>
        </w:rPr>
        <w:t xml:space="preserve">Source: </w:t>
      </w:r>
      <w:r>
        <w:t>Nature</w:t>
      </w:r>
      <w:r>
        <w:t xml:space="preserve">    </w:t>
      </w:r>
      <w:r>
        <w:rPr>
          <w:b/>
        </w:rPr>
        <w:t xml:space="preserve">Pub date: </w:t>
      </w:r>
      <w:r>
        <w:t>2026-08-14 00:00:00+00:00</w:t>
      </w:r>
      <w:r>
        <w:t xml:space="preserve">    </w:t>
      </w:r>
      <w:r>
        <w:rPr>
          <w:b/>
        </w:rPr>
        <w:t xml:space="preserve">DOI: </w:t>
      </w:r>
      <w:hyperlink r:id="rId641">
        <w:r>
          <w:rPr>
            <w:color w:val="1155CC"/>
            <w:u w:val="single"/>
          </w:rPr>
          <w:t>10.1038/d41586-026-02542-0</w:t>
        </w:r>
      </w:hyperlink>
    </w:p>
    <w:p>
      <w:pPr>
        <w:spacing w:before="0" w:after="120"/>
      </w:pPr>
      <w:r>
        <w:rPr>
          <w:b/>
        </w:rPr>
        <w:t xml:space="preserve">Notes: </w:t>
      </w:r>
      <w:r>
        <w:t>abstract_source=rss_nature</w:t>
      </w:r>
    </w:p>
    <w:p>
      <w:pPr>
        <w:spacing w:before="0" w:after="80" w:lineRule="auto" w:line="276"/>
      </w:pPr>
      <w:r>
        <w:rPr>
          <w:b/>
        </w:rPr>
        <w:t xml:space="preserve">摘要（ZH）: </w:t>
      </w:r>
      <w:r>
        <w:t>对美国 100 多个城市的社区进行的分析发现，没有证据表明无证移民数量的增加与暴力犯罪有关。</w:t>
      </w:r>
    </w:p>
    <w:p>
      <w:pPr>
        <w:spacing w:before="0" w:after="200" w:lineRule="auto" w:line="276"/>
      </w:pPr>
      <w:r>
        <w:rPr>
          <w:b/>
        </w:rPr>
        <w:t xml:space="preserve">Abstract (EN): </w:t>
      </w:r>
      <w:r>
        <w:t>Analysis of neighbourhoods in more than 100 US cities finds no evidence that rising numbers of undocumented immigrants are linked with violent crime.</w:t>
      </w:r>
    </w:p>
    <w:p>
      <w:pPr>
        <w:spacing w:before="120" w:after="120"/>
      </w:pPr>
      <w:r>
        <w:rPr>
          <w:sz w:val="18"/>
        </w:rPr>
        <w:t>——————————————————————————————————————————————————————————————————————</w:t>
      </w:r>
    </w:p>
    <w:p>
      <w:pPr>
        <w:spacing w:before="160" w:after="40" w:line="240" w:lineRule="auto"/>
      </w:pPr>
      <w:r>
        <w:rPr>
          <w:b/>
        </w:rPr>
        <w:t xml:space="preserve">[22] </w:t>
      </w:r>
      <w:hyperlink r:id="rId642">
        <w:r>
          <w:rPr>
            <w:color w:val="1155CC"/>
            <w:u w:val="single"/>
          </w:rPr>
          <w:t>音乐家爱因斯坦、人工智能先知等等：书籍简介</w:t>
        </w:r>
      </w:hyperlink>
    </w:p>
    <w:p>
      <w:pPr>
        <w:spacing w:before="0" w:after="80"/>
      </w:pPr>
      <w:r>
        <w:rPr>
          <w:i/>
          <w:sz w:val="20"/>
        </w:rPr>
        <w:t>EN: Einstein the musician, AI prophets and more: Books in brief</w:t>
      </w:r>
    </w:p>
    <w:p>
      <w:pPr>
        <w:spacing w:before="0" w:after="120"/>
      </w:pPr>
      <w:r>
        <w:rPr>
          <w:b/>
        </w:rPr>
        <w:t xml:space="preserve">Source: </w:t>
      </w:r>
      <w:r>
        <w:t>Nature</w:t>
      </w:r>
      <w:r>
        <w:t xml:space="preserve">    </w:t>
      </w:r>
      <w:r>
        <w:rPr>
          <w:b/>
        </w:rPr>
        <w:t xml:space="preserve">Pub date: </w:t>
      </w:r>
      <w:r>
        <w:t>2026-08-14 00:00:00+00:00</w:t>
      </w:r>
      <w:r>
        <w:t xml:space="preserve">    </w:t>
      </w:r>
      <w:r>
        <w:rPr>
          <w:b/>
        </w:rPr>
        <w:t xml:space="preserve">DOI: </w:t>
      </w:r>
      <w:hyperlink r:id="rId643">
        <w:r>
          <w:rPr>
            <w:color w:val="1155CC"/>
            <w:u w:val="single"/>
          </w:rPr>
          <w:t>10.1038/d41586-026-02504-6</w:t>
        </w:r>
      </w:hyperlink>
    </w:p>
    <w:p>
      <w:pPr>
        <w:spacing w:before="0" w:after="120"/>
      </w:pPr>
      <w:r>
        <w:rPr>
          <w:b/>
        </w:rPr>
        <w:t xml:space="preserve">Notes: </w:t>
      </w:r>
      <w:r>
        <w:t>abstract_source=nature_html</w:t>
      </w:r>
    </w:p>
    <w:p>
      <w:pPr>
        <w:spacing w:before="0" w:after="80" w:lineRule="auto" w:line="276"/>
      </w:pPr>
      <w:r>
        <w:rPr>
          <w:b/>
        </w:rPr>
        <w:t xml:space="preserve">摘要（ZH）: </w:t>
      </w:r>
      <w:r>
        <w:t>安德鲁·罗宾逊回顾了五个最佳科学精选。</w:t>
      </w:r>
    </w:p>
    <w:p>
      <w:pPr>
        <w:spacing w:before="0" w:after="200" w:lineRule="auto" w:line="276"/>
      </w:pPr>
      <w:r>
        <w:rPr>
          <w:b/>
        </w:rPr>
        <w:t xml:space="preserve">Abstract (EN): </w:t>
      </w:r>
      <w:r>
        <w:t>Andrew Robinson reviews five of the best science picks.</w:t>
      </w:r>
    </w:p>
    <w:p>
      <w:pPr>
        <w:spacing w:before="120" w:after="120"/>
      </w:pPr>
      <w:r>
        <w:rPr>
          <w:sz w:val="18"/>
        </w:rPr>
        <w:t>——————————————————————————————————————————————————————————————————————</w:t>
      </w:r>
    </w:p>
    <w:p>
      <w:pPr>
        <w:spacing w:before="160" w:after="40" w:line="240" w:lineRule="auto"/>
      </w:pPr>
      <w:r>
        <w:rPr>
          <w:b/>
        </w:rPr>
        <w:t xml:space="preserve">[23] </w:t>
      </w:r>
      <w:hyperlink r:id="rId644">
        <w:r>
          <w:rPr>
            <w:color w:val="1155CC"/>
            <w:u w:val="single"/>
          </w:rPr>
          <w:t>简报：Anthropic 推出新的人工智能水印——它会有所作为吗？</w:t>
        </w:r>
      </w:hyperlink>
    </w:p>
    <w:p>
      <w:pPr>
        <w:spacing w:before="0" w:after="80"/>
      </w:pPr>
      <w:r>
        <w:rPr>
          <w:i/>
          <w:sz w:val="20"/>
        </w:rPr>
        <w:t>EN: Briefing Chat: Anthropic rolls out new AI watermark — will it make a difference?</w:t>
      </w:r>
    </w:p>
    <w:p>
      <w:pPr>
        <w:spacing w:before="0" w:after="120"/>
      </w:pPr>
      <w:r>
        <w:rPr>
          <w:b/>
        </w:rPr>
        <w:t xml:space="preserve">Source: </w:t>
      </w:r>
      <w:r>
        <w:t>Nature</w:t>
      </w:r>
      <w:r>
        <w:t xml:space="preserve">    </w:t>
      </w:r>
      <w:r>
        <w:rPr>
          <w:b/>
        </w:rPr>
        <w:t xml:space="preserve">Pub date: </w:t>
      </w:r>
      <w:r>
        <w:t>2026-08-14 00:00:00+00:00</w:t>
      </w:r>
      <w:r>
        <w:t xml:space="preserve">    </w:t>
      </w:r>
      <w:r>
        <w:rPr>
          <w:b/>
        </w:rPr>
        <w:t xml:space="preserve">DOI: </w:t>
      </w:r>
      <w:hyperlink r:id="rId645">
        <w:r>
          <w:rPr>
            <w:color w:val="1155CC"/>
            <w:u w:val="single"/>
          </w:rPr>
          <w:t>10.1038/d41586-026-02562-w</w:t>
        </w:r>
      </w:hyperlink>
    </w:p>
    <w:p>
      <w:pPr>
        <w:spacing w:before="0" w:after="120"/>
      </w:pPr>
      <w:r>
        <w:rPr>
          <w:b/>
        </w:rPr>
        <w:t xml:space="preserve">Notes: </w:t>
      </w:r>
      <w:r>
        <w:t>abstract_source=rss_nature</w:t>
      </w:r>
    </w:p>
    <w:p>
      <w:pPr>
        <w:spacing w:before="0" w:after="80" w:lineRule="auto" w:line="276"/>
      </w:pPr>
      <w:r>
        <w:rPr>
          <w:b/>
        </w:rPr>
        <w:t xml:space="preserve">摘要（ZH）: </w:t>
      </w:r>
      <w:r>
        <w:t>《自然》杂志的工作人员讨论了标记人工智能内容对研究诚信可能意味着什么——此外，来自不同文化背景的人如何在身体上有相同的“痒痒热点”。</w:t>
      </w:r>
    </w:p>
    <w:p>
      <w:pPr>
        <w:spacing w:before="0" w:after="200" w:lineRule="auto" w:line="276"/>
      </w:pPr>
      <w:r>
        <w:rPr>
          <w:b/>
        </w:rPr>
        <w:t xml:space="preserve">Abstract (EN): </w:t>
      </w:r>
      <w:r>
        <w:t>Nature staff discuss what flagging AI content may mean for research integrity — plus, how people from different cultural backgrounds have the same ‘tickle hotspots’ on the body.</w:t>
      </w:r>
    </w:p>
    <w:p>
      <w:pPr>
        <w:spacing w:before="120" w:after="120"/>
      </w:pPr>
      <w:r>
        <w:rPr>
          <w:sz w:val="18"/>
        </w:rPr>
        <w:t>——————————————————————————————————————————————————————————————————————</w:t>
      </w:r>
    </w:p>
    <w:p>
      <w:pPr>
        <w:spacing w:before="160" w:after="40" w:line="240" w:lineRule="auto"/>
      </w:pPr>
      <w:r>
        <w:rPr>
          <w:b/>
        </w:rPr>
        <w:t xml:space="preserve">[24] </w:t>
      </w:r>
      <w:hyperlink r:id="rId646">
        <w:r>
          <w:rPr>
            <w:color w:val="1155CC"/>
            <w:u w:val="single"/>
          </w:rPr>
          <w:t>作者更正：细胞内在免疫通过 cGAMP 的细胞间转移传播到旁观细胞</w:t>
        </w:r>
      </w:hyperlink>
    </w:p>
    <w:p>
      <w:pPr>
        <w:spacing w:before="0" w:after="80"/>
      </w:pPr>
      <w:r>
        <w:rPr>
          <w:i/>
          <w:sz w:val="20"/>
        </w:rPr>
        <w:t>EN: Author Correction: Cell intrinsic immunity spreads to bystander cells via the intercellular transfer of cGAMP</w:t>
      </w:r>
    </w:p>
    <w:p>
      <w:pPr>
        <w:spacing w:before="0" w:after="120"/>
      </w:pPr>
      <w:r>
        <w:rPr>
          <w:b/>
        </w:rPr>
        <w:t xml:space="preserve">Source: </w:t>
      </w:r>
      <w:r>
        <w:t>Nature</w:t>
      </w:r>
      <w:r>
        <w:t xml:space="preserve">    </w:t>
      </w:r>
      <w:r>
        <w:rPr>
          <w:b/>
        </w:rPr>
        <w:t xml:space="preserve">Pub date: </w:t>
      </w:r>
      <w:r>
        <w:t>2026-08-14 00:00:00+00:00</w:t>
      </w:r>
      <w:r>
        <w:t xml:space="preserve">    </w:t>
      </w:r>
      <w:r>
        <w:rPr>
          <w:b/>
        </w:rPr>
        <w:t xml:space="preserve">DOI: </w:t>
      </w:r>
      <w:hyperlink r:id="rId647">
        <w:r>
          <w:rPr>
            <w:color w:val="1155CC"/>
            <w:u w:val="single"/>
          </w:rPr>
          <w:t>10.1038/s41586-026-11023-3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648">
        <w:r>
          <w:rPr>
            <w:color w:val="1155CC"/>
            <w:u w:val="single"/>
          </w:rPr>
          <w:t>出版商更正：通过 RNA 触发的染色质粉碎来靶向癌症特异性突变</w:t>
        </w:r>
      </w:hyperlink>
    </w:p>
    <w:p>
      <w:pPr>
        <w:spacing w:before="0" w:after="80"/>
      </w:pPr>
      <w:r>
        <w:rPr>
          <w:i/>
          <w:sz w:val="20"/>
        </w:rPr>
        <w:t>EN: Publisher Correction: Targeting cancer-specific mutations with RNA-triggered chromatin shredding</w:t>
      </w:r>
    </w:p>
    <w:p>
      <w:pPr>
        <w:spacing w:before="0" w:after="120"/>
      </w:pPr>
      <w:r>
        <w:rPr>
          <w:b/>
        </w:rPr>
        <w:t xml:space="preserve">Source: </w:t>
      </w:r>
      <w:r>
        <w:t>Nature</w:t>
      </w:r>
      <w:r>
        <w:t xml:space="preserve">    </w:t>
      </w:r>
      <w:r>
        <w:rPr>
          <w:b/>
        </w:rPr>
        <w:t xml:space="preserve">Pub date: </w:t>
      </w:r>
      <w:r>
        <w:t>2026-08-14 00:00:00+00:00</w:t>
      </w:r>
      <w:r>
        <w:t xml:space="preserve">    </w:t>
      </w:r>
      <w:r>
        <w:rPr>
          <w:b/>
        </w:rPr>
        <w:t xml:space="preserve">DOI: </w:t>
      </w:r>
      <w:hyperlink r:id="rId649">
        <w:r>
          <w:rPr>
            <w:color w:val="1155CC"/>
            <w:u w:val="single"/>
          </w:rPr>
          <w:t>10.1038/s41586-026-11022-4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650">
        <w:r>
          <w:rPr>
            <w:color w:val="1155CC"/>
            <w:u w:val="single"/>
          </w:rPr>
          <w:t>各向同性载流子传输钙钛矿单晶可实现高光响应性日盲光电探测器，用于选择性火焰监测</w:t>
        </w:r>
      </w:hyperlink>
    </w:p>
    <w:p>
      <w:pPr>
        <w:spacing w:before="0" w:after="80"/>
      </w:pPr>
      <w:r>
        <w:rPr>
          <w:i/>
          <w:sz w:val="20"/>
        </w:rPr>
        <w:t>EN: Isotropic-carrier-transport perovskite single crystal enables high-photoresponsivity solar-blind photodetectors for selective flame monitoring</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低维卤化物钙钛矿是日盲紫外光电探测器的有希望的候选者。然而，由于强电子局域化导致光生载流子的传输和收集受到限制，同时实现高光响应性和低暗电流仍然具有挑战性。在这里，在电子结构理论计算的指导下，我们报告了一个日盲族CsCdCl3钙钛矿单晶，其具有3D结构框架，具有7.54 cm2 V−1 s−1的高载流子迁移率和6.96 μm的长载流子扩散长度。这些成就源于 3D 电子结构，可实现平衡的载流子有效质量等值面和增强的能带色散。基于CsCdCl3的日盲光电探测器具有35.4 A W−1的光响应度和1.0 × 10−12 A的暗电流。此外，该器件的窄带光谱响应仅为20 nm，光谱抑制比为1.96 × 103，可实现光谱选择性火焰检测，区分各种类型的火焰，并在海上石油火焰监测中展现出潜力。</w:t>
      </w:r>
    </w:p>
    <w:p>
      <w:pPr>
        <w:spacing w:before="0" w:after="200" w:lineRule="auto" w:line="276"/>
      </w:pPr>
      <w:r>
        <w:rPr>
          <w:b/>
        </w:rPr>
        <w:t xml:space="preserve">Abstract (EN): </w:t>
      </w:r>
      <w:r>
        <w:t>Low-dimensional halide perovskites are promising candidates for solar-blind ultraviolet photodetectors. However, simultaneously achieving high photoresponsivity and low dark current remains challenging, due to the restricted transport and collection of photogenerated carriers caused by strong electronic localization. Here, guided by theoretical calculations of electronic structures, we report a solar-blind family of CsCdCl3 perovskite single crystals, which features a 3D structural framework, delivering high carrier mobility of 7.54 cm2 V−1 s−1 and a long carrier diffusion length of 6.96 μm. These achievements stem from the 3D electronic structure, enabling balanced carrier effective mass isosurfaces and enhanced band dispersion. CsCdCl3-based solar-blind photodetectors yield a photoresponsivity of 35.4 A W−1 and dark current of 1.0 × 10−12 A. Moreover, the devices demonstrate a narrowband spectral response of only 20 nm with a spectral-rejection ratio of 1.96 × 103, which enables spectral-selectivity flame detection, distinguishing various types of flames and showcasing potential in offshore oil flame monitoring.</w:t>
      </w:r>
    </w:p>
    <w:p>
      <w:pPr>
        <w:spacing w:before="120" w:after="120"/>
      </w:pPr>
      <w:r>
        <w:rPr>
          <w:sz w:val="18"/>
        </w:rPr>
        <w:t>——————————————————————————————————————————————————————————————————————</w:t>
      </w:r>
    </w:p>
    <w:p>
      <w:pPr>
        <w:spacing w:before="160" w:after="40" w:line="240" w:lineRule="auto"/>
      </w:pPr>
      <w:r>
        <w:rPr>
          <w:b/>
        </w:rPr>
        <w:t xml:space="preserve">[27] </w:t>
      </w:r>
      <w:hyperlink r:id="rId651">
        <w:r>
          <w:rPr>
            <w:color w:val="1155CC"/>
            <w:u w:val="single"/>
          </w:rPr>
          <w:t>C1QBP 对 IL-1β 的表观遗传抑制限制了 Dectin-1 介导的宿主对小鼠侵袭性念珠菌病的防御</w:t>
        </w:r>
      </w:hyperlink>
    </w:p>
    <w:p>
      <w:pPr>
        <w:spacing w:before="0" w:after="80"/>
      </w:pPr>
      <w:r>
        <w:rPr>
          <w:i/>
          <w:sz w:val="20"/>
        </w:rPr>
        <w:t>EN: Epigenetic repression of IL-1β by C1QBP restricts Dectin-1-mediated host defense against murine invasive candidiasis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侵袭性念珠菌病主要由白色念珠菌引起，以高死亡率威胁免疫功能低下的个体。树突状细胞衍生的 IL-1β，通过 Dectin-1 介导的 β-葡聚糖识别而协调，是抗真菌防御的核心。虽然控制 Il1b 转录的 Dectin-1/Syk/CARD9 轴已被定义，但表观遗传调控机制仍然难以捉摸。在这里，我们确定补体 C1q 结合蛋白 (C1QBP) 是 Dectin-1 介导的白细胞介素 1β 产生的关键负调节因子。 C1QBP 将磷酸化蛋白激酶 C δ 隔离在细胞质中，阻止其核转运。核磷酸化-PKCδ 激活 RNF20/RNF40 泛素连接酶复合物，该复合物招募甲基转移酶 DOT1L 催化 Il1b 位点的组蛋白 H3 赖氨酸 79 三甲基化，从而促进其转录。 DC 特异性 C1QBP 耗竭可增强白细胞介素 1β 的分泌，放大保护性 T 辅助细胞 17 细胞反应，并提高小鼠体内对全身白色念珠菌感染的宿主抵抗力。总的来说，我们的研究结果将 C1QBP 确定为 PKCδ 依赖的表观遗传途径中的一个关键检查点，该途径限制抗真菌免疫，突显了其治疗侵袭性真菌疾病的潜力。</w:t>
      </w:r>
    </w:p>
    <w:p>
      <w:pPr>
        <w:spacing w:before="0" w:after="200" w:lineRule="auto" w:line="276"/>
      </w:pPr>
      <w:r>
        <w:rPr>
          <w:b/>
        </w:rPr>
        <w:t xml:space="preserve">Abstract (EN): </w:t>
      </w:r>
      <w:r>
        <w:t>Invasive candidiasis, predominantly caused by Candida albicans, threatens immunocompromised individuals with high mortality. Dendritic cell-derived interleukin-1β, orchestrated via Dectin-1-mediated β-glucan recognition, is central to antifungal defense. While the Dectin-1/Syk/CARD9 axis governing Il1b transcription is defined, the epigenetic regulatory mechanisms remain elusive. Here, we identify Complement C1q binding protein (C1QBP) as a critical negative regulator of Dectin-1-mediated interleukin-1β production. C1QBP sequesters phosphorylated protein kinase C δ in the cytoplasm, preventing its nuclear transport. Nuclear phosphorylated-PKCδ activates the RNF20/RNF40 ubiquitin ligase complex, which recruits the methyltransferase DOT1L to catalyze histone H3 lysine 79 trimethylation at the Il1b locus to promote its transcription. DC-specific C1QBP depletion enhances interleukin-1β secretion, amplifies protective T helper 17 cell responses, and improves host resistance to systemic C. albicans infection in mice. Collectively, our findings establish C1QBP as a key checkpoint in a PKCδ-dependent epigenetic pathway that constrains antifungal immunity, highlighting its therapeutic potential for invasive fungal diseases.</w:t>
      </w:r>
    </w:p>
    <w:p>
      <w:pPr>
        <w:spacing w:before="120" w:after="120"/>
      </w:pPr>
      <w:r>
        <w:rPr>
          <w:sz w:val="18"/>
        </w:rPr>
        <w:t>——————————————————————————————————————————————————————————————————————</w:t>
      </w:r>
    </w:p>
    <w:p>
      <w:pPr>
        <w:spacing w:before="160" w:after="40" w:line="240" w:lineRule="auto"/>
      </w:pPr>
      <w:r>
        <w:rPr>
          <w:b/>
        </w:rPr>
        <w:t xml:space="preserve">[28] </w:t>
      </w:r>
      <w:hyperlink r:id="rId652">
        <w:r>
          <w:rPr>
            <w:color w:val="1155CC"/>
            <w:u w:val="single"/>
          </w:rPr>
          <w:t>核酸酶的动态性和进化性</w:t>
        </w:r>
      </w:hyperlink>
    </w:p>
    <w:p>
      <w:pPr>
        <w:spacing w:before="0" w:after="80"/>
      </w:pPr>
      <w:r>
        <w:rPr>
          <w:i/>
          <w:sz w:val="20"/>
        </w:rPr>
        <w:t>EN: Dynamism and evolvability in nucleic acid enzymes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蛋白质活力和进化性是将酶灵活性与适应潜力联系起来的关键参数，但这些概念如何应用于核酸酶仍然很大程度上尚未探索。在这里，我们提出，苏糖核酸（TNA）是一种构象比 DNA 更受限制的遗传聚合物，在进化上可能受到其预先组织的主链的限制。将著名的 10-23 DNA 酶 (DNAzyme) 与两种体外选择的 TNA 酶 (苏酶) 的 RNA 切割谱进行比较，揭示了它们在温度依赖性方面的显着差异。虽然 DNAzyme 催化反应在 37 °C 时最佳，在 50 °C 时活性较弱，但苏酶则表现出相反的趋势，表明 TNA 催化必须克服比 DNA 催化更高的自由能垒。与这一观点一致，对于具有更灵活的活性位点的苏酶来说，反应对温度的依赖性降低。总之，这些发现强调了主链结构作为进化性关键参数的重要性，对 RNA 世界模型和生物医学应用具有影响。</w:t>
      </w:r>
    </w:p>
    <w:p>
      <w:pPr>
        <w:spacing w:before="0" w:after="200" w:lineRule="auto" w:line="276"/>
      </w:pPr>
      <w:r>
        <w:rPr>
          <w:b/>
        </w:rPr>
        <w:t xml:space="preserve">Abstract (EN): </w:t>
      </w:r>
      <w:r>
        <w:t>Protein dynamism and evolvability are key parameters linking enzyme flexibility to adaptive potential, yet how these concepts apply to nucleic acid enzymes remains largely unexplored. Here, we propose that threose nucleic acid (TNA), a genetic polymer that is more conformationally restricted than DNA, may be evolutionarily constrained by its preorganized backbone. RNA-cleavage profiles comparing the well-known 10-23 DNA enzyme (DNAzyme) with two in vitro selected TNA enzymes (threozymes) reveal striking differences in their temperature dependence. While the DNAzyme catalyzed reaction is optimal at 37 °C and weakly active at 50 °C, threozymes display the opposite trend, suggesting that TNA catalysis must overcome a higher free-energy barrier than DNA catalysis. Consistent with this view, the reaction becomes less temperature dependent for threozymes that operate with more flexible active sites. Together, these findings highlight the importance of backbone structure as a critical parameter for evolvability with implications for RNA world models and biomedical applications.</w:t>
      </w:r>
    </w:p>
    <w:p>
      <w:pPr>
        <w:spacing w:before="120" w:after="120"/>
      </w:pPr>
      <w:r>
        <w:rPr>
          <w:sz w:val="18"/>
        </w:rPr>
        <w:t>——————————————————————————————————————————————————————————————————————</w:t>
      </w:r>
    </w:p>
    <w:p>
      <w:pPr>
        <w:spacing w:before="160" w:after="40" w:line="240" w:lineRule="auto"/>
      </w:pPr>
      <w:r>
        <w:rPr>
          <w:b/>
        </w:rPr>
        <w:t xml:space="preserve">[29] </w:t>
      </w:r>
      <w:hyperlink r:id="rId653">
        <w:r>
          <w:rPr>
            <w:color w:val="1155CC"/>
            <w:u w:val="single"/>
          </w:rPr>
          <w:t>通过并行光子集成打破人工智能集群的瓶颈</w:t>
        </w:r>
      </w:hyperlink>
    </w:p>
    <w:p>
      <w:pPr>
        <w:spacing w:before="0" w:after="80"/>
      </w:pPr>
      <w:r>
        <w:rPr>
          <w:i/>
          <w:sz w:val="20"/>
        </w:rPr>
        <w:t>EN: Breaking the bottleneck in AI clusters with parallel photonic integration</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人工智能工作负载需要数据中心基础设施不断提高能源、可扩展性和透明度。现代分布式人工智能模型使用处理器集群来执行基于 20 世纪 40 年代成对设计的集体矩阵运算，这些设计仍然是张量核心的基础，并且复杂性随着处理器数量的增加而扩展。为了消除分布式人工智能集群中的这一瓶颈，我们在这里提出了并行光子集成（PPI），这是一种专为超大规模人工智能构建的集体计算架构。 PPI 用完全并行的光子联播计算取代了顺序电子操作，从而实现了多节点矩阵操作，同时还提供实时模型透明度，而无需增加集群负载。更换网络交换机使 PPI 能够集成到现有的 AI 框架中并执行基于光的多矩阵计算，如我们的早期概念验证所示。对运行 Transformer 工作负载的大型 GPU 集群进行的 AllReduce 预测建模表明，与交换结构互连相比，PPI 可以将每次操作的能耗降低 50% 以上，同时在前沿规模上将 AllReduce 延迟降低 100 倍以上。这些结果表明，PPI 可以为下一代人工智能提供可扩展、节能且透明的基础。</w:t>
      </w:r>
    </w:p>
    <w:p>
      <w:pPr>
        <w:spacing w:before="0" w:after="200" w:lineRule="auto" w:line="276"/>
      </w:pPr>
      <w:r>
        <w:rPr>
          <w:b/>
        </w:rPr>
        <w:t xml:space="preserve">Abstract (EN): </w:t>
      </w:r>
      <w:r>
        <w:t>AI workloads demand increasing energy, scalability and transparency from data center infrastructure. Modern distributed AI models use clusters of processors to perform collective matrix operations based on 1940s pairwise designs, which remain foundational in tensor cores and scale in complexity with the number of processors. To eliminate this bottleneck in distributed AI clusters, here we present Parallel Photonic Integration (PPI), a collective computation architecture purpose-built for hyperscale AI. PPI replaces sequential electronic operations with fully parallel, photonic-simulcast computation, which enables multi-node matrix operations while also delivering real-time model transparency without added cluster load. Replacing network switches enables PPI to integrate into existing AI frameworks and perform light-based multi-matrix calculations, as shown in our early-stage proof-of-concept. Predictive modeling of AllReduce across large GPU clusters running Transformer workloads shows that PPI can reduce per-operation energy by over 50% compared with switched-fabric interconnects, while reducing AllReduce latency by over 100x at frontier scale. These results demonstrate that PPI can provide a scalable, energy-efficient, and transparent foundation for next-generation AI.</w:t>
      </w:r>
    </w:p>
    <w:p>
      <w:pPr>
        <w:spacing w:before="120" w:after="120"/>
      </w:pPr>
      <w:r>
        <w:rPr>
          <w:sz w:val="18"/>
        </w:rPr>
        <w:t>——————————————————————————————————————————————————————————————————————</w:t>
      </w:r>
    </w:p>
    <w:p>
      <w:pPr>
        <w:spacing w:before="160" w:after="40" w:line="240" w:lineRule="auto"/>
      </w:pPr>
      <w:r>
        <w:rPr>
          <w:b/>
        </w:rPr>
        <w:t xml:space="preserve">[30] </w:t>
      </w:r>
      <w:hyperlink r:id="rId654">
        <w:r>
          <w:rPr>
            <w:color w:val="1155CC"/>
            <w:u w:val="single"/>
          </w:rPr>
          <w:t>一种超弹性钛合金，表现出几乎与温度无关的高强度和弹性模量</w:t>
        </w:r>
      </w:hyperlink>
    </w:p>
    <w:p>
      <w:pPr>
        <w:spacing w:before="0" w:after="80"/>
      </w:pPr>
      <w:r>
        <w:rPr>
          <w:i/>
          <w:sz w:val="20"/>
        </w:rPr>
        <w:t>EN: A superelastic titanium alloy showing nearly temperature-independent high strength and elastic modulus</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具有温度不敏感特性的轻质超弹性合金对于深空探测装置至关重要，但同时平衡强度、可恢复应变和温度敏感性的挑战阻碍了它们的发展。在这里，我们通过 Zr/O 共掺杂来诱导局部化学有序 (LCO)，克服了 Ti50.5Zr40Nb6Sn2O1.5 合金中的这些限制。该策略前所未有地结合了大恢复应变 (εr &gt; 4.5%)、高超弹性应力 (σc &gt; 700 MPa)、几乎与温度无关的强度 (dσc/dT ≈ 0.59 MPa·K⁻1) 以及在 123 K 至 298 K 的宽温度范围内稳定的弹性模量。这些特性源自 LCO 对可变形基体施加的弹性约束，从而增强了抵抗位错滑移并抑制马氏体转变，而 LCO 由于非简谐原子振动引起的模量硬化补偿了基体软化。这项工作为通过LCO工程开发具有宽温度稳定性的高性能超弹性合金提供了可行且有效的途径。</w:t>
      </w:r>
    </w:p>
    <w:p>
      <w:pPr>
        <w:spacing w:before="0" w:after="200" w:lineRule="auto" w:line="276"/>
      </w:pPr>
      <w:r>
        <w:rPr>
          <w:b/>
        </w:rPr>
        <w:t xml:space="preserve">Abstract (EN): </w:t>
      </w:r>
      <w:r>
        <w:t>Lightweight superelastic alloys with temperature-insensitive properties are critical for deep-space exploration devices, yet their development is hindered by the challenge of simultaneously balancing strength, recoverable strain, and temperature sensitivity. Here, we overcome these limitations in a Ti50.5Zr40Nb6Sn2O1.5 alloy through Zr/O co-doping to induce local chemical orders (LCOs). This strategy yields an unprecedented combination of large recovery strain (εr &gt; 4.5%), high superelastic stress (σc &gt; 700 MPa), nearly temperature-independent strength (dσc/dT ≈ 0.59 MPa·K⁻¹), and stable elastic modulus over a wide temperature range from 123 K to 298 K. These properties arise from the elastic confinement imposed on the transformable matrix induced by the LCOs, which enhances resistance to dislocation slip and suppresses martensitic transformation, while the modulus hardening caused by LCOs due to anharmonic atomic vibrations compensates for matrix softening. This work provides a feasible and effective route for developing high-performance superelastic alloys with wide-temperature stability through LCO engineering.</w:t>
      </w:r>
    </w:p>
    <w:p>
      <w:pPr>
        <w:spacing w:before="120" w:after="120"/>
      </w:pPr>
      <w:r>
        <w:rPr>
          <w:sz w:val="18"/>
        </w:rPr>
        <w:t>——————————————————————————————————————————————————————————————————————</w:t>
      </w:r>
    </w:p>
    <w:p>
      <w:pPr>
        <w:spacing w:before="160" w:after="40" w:line="240" w:lineRule="auto"/>
      </w:pPr>
      <w:r>
        <w:rPr>
          <w:b/>
        </w:rPr>
        <w:t xml:space="preserve">[31] </w:t>
      </w:r>
      <w:hyperlink r:id="rId655">
        <w:r>
          <w:rPr>
            <w:color w:val="1155CC"/>
            <w:u w:val="single"/>
          </w:rPr>
          <w:t>机器人群在偏见下的仿生决策</w:t>
        </w:r>
      </w:hyperlink>
    </w:p>
    <w:p>
      <w:pPr>
        <w:spacing w:before="0" w:after="80"/>
      </w:pPr>
      <w:r>
        <w:rPr>
          <w:i/>
          <w:sz w:val="20"/>
        </w:rPr>
        <w:t>EN: Bio-inspired decision making in robot swarms under biases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为了自主运行，最小的机器人群必须做出及时、可靠的集体决策，尽管个体感知存在噪音并且通信、计算和内存受到严格限制。实现这一功能可以扩大其在医疗保健、灾难响应和环境监测等应用中的用途。在这里，我们通过比较意见动态的两种典型机制——直接转换和交叉抑制——研究这些群体如何快速、可靠地就 n 个离散选项中的最佳达成共识。这是在从神经群体到昆虫群体的跨尺度生物系统中观察到的简单而有效的集体信息处理规则。我们通过纳入影响舆论动态的非社会偏见来概括现有的平均场模型。虽然使用直接切换的群体在不存在反社会动态的情况下可靠地选择最佳选项，但当引入此类偏差时，它们的性能会下降，通常会导致决策僵局。相比之下，仿生交叉抑制可以在各种有偏见的条件下做出更快、更有凝聚力、稳健和可扩展的决策。我们的研究结果为最小群体的协调提供了理论和实践见解，对跨生物学和工程学的广泛的分散决策系统具有影响。</w:t>
      </w:r>
    </w:p>
    <w:p>
      <w:pPr>
        <w:spacing w:before="0" w:after="200" w:lineRule="auto" w:line="276"/>
      </w:pPr>
      <w:r>
        <w:rPr>
          <w:b/>
        </w:rPr>
        <w:t xml:space="preserve">Abstract (EN): </w:t>
      </w:r>
      <w:r>
        <w:t>To operate autonomously, minimal robot swarms must make timely and reliable collective decisions despite noisy individual sensing and severe constraints on communication, computation, and memory. Achieving this capability could expand their use in applications such as healthcare, disaster response, and environmental monitoring. Here, we study how such swarms can rapidly and reliably reach consensus on the best among n discrete options by comparing two canonical mechanisms of opinion dynamics—direct-switch and cross-inhibition—simple yet effective rules for collective information processing observed in biological systems across scales, from neural populations to insect colonies. We generalise existing mean-field models by incorporating asocial biases that influence opinion dynamics. While swarms using direct-switch reliably select the best option in the absence of asocial dynamics, their performance deteriorates when such biases are introduced, often leading to decision deadlocks. In contrast, bio-inspired cross-inhibition enables faster, more cohesive, robust, and scalable decisions across a wide range of biased conditions. Our findings provide theoretical and practical insights into the coordination of minimal swarms, with implications for a broad class of decentralised decision-making systems across biology and engineering.</w:t>
      </w:r>
    </w:p>
    <w:p>
      <w:pPr>
        <w:spacing w:before="120" w:after="120"/>
      </w:pPr>
      <w:r>
        <w:rPr>
          <w:sz w:val="18"/>
        </w:rPr>
        <w:t>——————————————————————————————————————————————————————————————————————</w:t>
      </w:r>
    </w:p>
    <w:p>
      <w:pPr>
        <w:spacing w:before="160" w:after="40" w:line="240" w:lineRule="auto"/>
      </w:pPr>
      <w:r>
        <w:rPr>
          <w:b/>
        </w:rPr>
        <w:t xml:space="preserve">[32] </w:t>
      </w:r>
      <w:hyperlink r:id="rId656">
        <w:r>
          <w:rPr>
            <w:color w:val="1155CC"/>
            <w:u w:val="single"/>
          </w:rPr>
          <w:t>超导KTaO₃界面表面声子极性的定向增强</w:t>
        </w:r>
      </w:hyperlink>
    </w:p>
    <w:p>
      <w:pPr>
        <w:spacing w:before="0" w:after="80"/>
      </w:pPr>
      <w:r>
        <w:rPr>
          <w:i/>
          <w:sz w:val="20"/>
        </w:rPr>
        <w:t>EN: Orientational enhancement of surface phonon polarity in superconducting KTaO₃ interfaces</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近年来，对称性破缺界面在介导超导性中的关键作用引起了越来越多的关注。基于 KTaO3 (KTO) 的异质界面是一个引人注目的例子，其中超导转变温度 (Tc) 表现出对 KTO 晶体取向的有趣依赖性。在这里，我们使用表面特异性、对称敏感的非线性光谱在 KTO 和基于 KTO 的异质界面处识别出接近 107 meV 的高度各向异性表面声子共振。该声子模式的极性随晶体取向变化为 (111) &gt; (110) ≫ (001)，达到非超导界面的 35 倍增强，并跟踪超导 Tc。此外，还观察到 100 meV 附近的软化局部模式，并将其归因于界面氧空位。我们的结果有助于建立一个将 KTO 和相关异质界面的对称破缺晶格声子、缺陷和各向异性超导性联系起来的框架。</w:t>
      </w:r>
    </w:p>
    <w:p>
      <w:pPr>
        <w:spacing w:before="0" w:after="200" w:lineRule="auto" w:line="276"/>
      </w:pPr>
      <w:r>
        <w:rPr>
          <w:b/>
        </w:rPr>
        <w:t xml:space="preserve">Abstract (EN): </w:t>
      </w:r>
      <w:r>
        <w:t>The critical role of symmetry-breaking interfaces in mediating superconductivity has garnered increasing interest in recent years. KTaO3 (KTO)-based heterointerfaces present a striking example, where the superconducting transition temperature (Tc) exhibits an intriguing dependence on KTO crystallographic orientation. Here we identify a highly anisotropic surface phonon resonance near 107 meV at KTO and KTO-based heterointerfaces using surface-specific, symmetry-sensitive nonlinear optical spectroscopy. Polarity of this phonon mode scales with crystallographic orientation as (111) &gt; (110) ≫ (001), reaching a 35-fold enhancement over non-superconducting interfaces and tracking the superconducting Tc. In addition, a softened local mode near 100 meV is observed and attributed to interfacial oxygen vacancies. Our results help build a framework linking the symmetry-breaking lattice phonons, defects, and anisotropic superconductivity for KTO and related heterointerfaces.</w:t>
      </w:r>
    </w:p>
    <w:p>
      <w:pPr>
        <w:spacing w:before="120" w:after="120"/>
      </w:pPr>
      <w:r>
        <w:rPr>
          <w:sz w:val="18"/>
        </w:rPr>
        <w:t>——————————————————————————————————————————————————————————————————————</w:t>
      </w:r>
    </w:p>
    <w:p>
      <w:pPr>
        <w:spacing w:before="160" w:after="40" w:line="240" w:lineRule="auto"/>
      </w:pPr>
      <w:r>
        <w:rPr>
          <w:b/>
        </w:rPr>
        <w:t xml:space="preserve">[33] </w:t>
      </w:r>
      <w:hyperlink r:id="rId657">
        <w:r>
          <w:rPr>
            <w:color w:val="1155CC"/>
            <w:u w:val="single"/>
          </w:rPr>
          <w:t>Yu-Shiba-Rusinov 辅助 Andreev 在超导体之间分子连接中的输运</w:t>
        </w:r>
      </w:hyperlink>
    </w:p>
    <w:p>
      <w:pPr>
        <w:spacing w:before="0" w:after="80"/>
      </w:pPr>
      <w:r>
        <w:rPr>
          <w:i/>
          <w:sz w:val="20"/>
        </w:rPr>
        <w:t>EN: Yu-Shiba-Rusinov-assisted Andreev transport in a molecular junction between superconductors</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超导体中的磁性杂质具有 Yu-Shiba-Rusinov (YSR) 束缚态，而弱超导结通过多次安德烈夫反射 (MAR) 维持次谐波电荷传输。我们使用分子级结来探索这些现象，该结是通过将二茂镍 (Nc) 分子放置在 Pb(111) 上的 Fe 吸附原子上并用超导扫描隧道显微镜尖端接近它而创建的。逐渐增加结透明度将系统从隧道状态下的传统 YSR 光谱转变为共振 MAR 传输，并最终转变为约瑟夫森耦合状态。所得光谱表现出偏移的 MAR 阈值、不对称线形状和识别 YSR 辅助 MAR 的奇偶特征。结透明度和交换耦合的综合理论处理解释了这些观察结果，而密度泛函计算表明 Nc-Fe 复合物形成反铁磁基态，并带有残余 Fe 自旋-\(\frac{1}{2}\) 产生 YSR 共振。我们的结果表明，控制 YSR 和 MAR 过程的参数可以在单个超导纳米结内连续调节。</w:t>
      </w:r>
    </w:p>
    <w:p>
      <w:pPr>
        <w:spacing w:before="0" w:after="200" w:lineRule="auto" w:line="276"/>
      </w:pPr>
      <w:r>
        <w:rPr>
          <w:b/>
        </w:rPr>
        <w:t xml:space="preserve">Abstract (EN): </w:t>
      </w:r>
      <w:r>
        <w:t>Magnetic impurities in superconductors host Yu-Shiba-Rusinov (YSR) bound states, whereas weak superconducting junctions sustain subharmonic charge transport through multiple Andreev reflections (MAR). We explore these phenomena using a molecular-scale junction created by placing a nickelocene (Nc) molecule atop an Fe adatom on Pb(111) and approaching it with a superconducting scanning-tunneling-microscope tip. Gradually increasing the junction transparency drives the system from conventional YSR spectroscopy in the tunneling regime to resonant MAR transport and, ultimately, to a Josephson-coupled state. The resulting spectra exhibit shifted MAR thresholds, asymmetric line shapes, and odd-even features that identify YSR-assisted MAR. A combined theoretical treatment of junction transparency and exchange coupling accounts for these observations, while density-functional calculations show that the Nc-Fe complex forms an antiferromagnetic ground state with a residual Fe spin-\(\frac{1}{2}\) generating the YSR resonances. Our results demonstrate that the parameters governing YSR and MAR processes can be continuously tuned within a single superconducting nanojunction.</w:t>
      </w:r>
    </w:p>
    <w:p>
      <w:pPr>
        <w:spacing w:before="120" w:after="120"/>
      </w:pPr>
      <w:r>
        <w:rPr>
          <w:sz w:val="18"/>
        </w:rPr>
        <w:t>——————————————————————————————————————————————————————————————————————</w:t>
      </w:r>
    </w:p>
    <w:p>
      <w:pPr>
        <w:spacing w:before="160" w:after="40" w:line="240" w:lineRule="auto"/>
      </w:pPr>
      <w:r>
        <w:rPr>
          <w:b/>
        </w:rPr>
        <w:t xml:space="preserve">[34] </w:t>
      </w:r>
      <w:hyperlink r:id="rId658">
        <w:r>
          <w:rPr>
            <w:color w:val="1155CC"/>
            <w:u w:val="single"/>
          </w:rPr>
          <w:t>薄膜铌酸锂上的异质集成光子太赫兹发射器</w:t>
        </w:r>
      </w:hyperlink>
    </w:p>
    <w:p>
      <w:pPr>
        <w:spacing w:before="0" w:after="80"/>
      </w:pPr>
      <w:r>
        <w:rPr>
          <w:i/>
          <w:sz w:val="20"/>
        </w:rPr>
        <w:t>EN: Heterogeneously integrated photonic terahertz transmitter on thin-film lithium niobate</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太赫兹 (THz) 通信为未来的数据密集型网络释放了巨大的容量。虽然基于光子学的太赫兹系统提供宽带宽，但它们对分立光学组件的依赖决定了巨大的耦合损耗和庞大的占地面积。在不降低分立光电元件的带宽或效率的情况下实现完整的片上集成仍然是一个核心挑战。在这里，我们通过将 InP 基单行载流子光电二极管 (UTC-PD) 异质粘合到薄膜铌酸锂 (TFLN) 调制器芯片来演示集成光子太赫兹发射器。该架构成功地将 TFLN 出色的电光响应与强大的 III-V THz 生成相结合，具有集成光电二极管，基准 3dB 带宽为 240 GHz，内部响应率为 0.67 A/W。在亚太赫兹无线链路中，发射器使用 NRZ 或 PAM4 格式在 150 GHz 下提供 40 Gbit/s，在 200 GHz 下提供 32 Gbit/s，为下一代无线互连建立可扩展的路径。</w:t>
      </w:r>
    </w:p>
    <w:p>
      <w:pPr>
        <w:spacing w:before="0" w:after="200" w:lineRule="auto" w:line="276"/>
      </w:pPr>
      <w:r>
        <w:rPr>
          <w:b/>
        </w:rPr>
        <w:t xml:space="preserve">Abstract (EN): </w:t>
      </w:r>
      <w:r>
        <w:t>Terahertz (THz) communication unlocks massive capacity for future data-intensive networks. While photonics-based THz systems offer broad bandwidths, their reliance on discrete optical assemblies dictates substantial coupling losses and bulky footprints. Achieving complete on-chip integration without degrading the bandwidth or efficiency of discrete optoelectronic components remains a central challenge. Here, we demonstrate an integrated photonic THz transmitter by heterogeneously bonding an InP-based uni-traveling-carrier photodiode (UTC-PD) to a thin-film lithium niobate (TFLN) modulator chip. This architecture successfully merges TFLN’s excellent electro-optic response with robust III-V THz generation, featuring an integrated photodiode with a benchmark 3-dB bandwidth of 240 GHz and 0.67 A/W internal responsivity. In sub-THz wireless links, the transmitter delivers 40 Gbit/s at 150 GHz and 32 Gbit/s at 200 GHz using NRZ or PAM4 formats, establishing a scalable pathway for next-generation wireless interconnects.</w:t>
      </w:r>
    </w:p>
    <w:p>
      <w:pPr>
        <w:spacing w:before="120" w:after="120"/>
      </w:pPr>
      <w:r>
        <w:rPr>
          <w:sz w:val="18"/>
        </w:rPr>
        <w:t>——————————————————————————————————————————————————————————————————————</w:t>
      </w:r>
    </w:p>
    <w:p>
      <w:pPr>
        <w:spacing w:before="160" w:after="40" w:line="240" w:lineRule="auto"/>
      </w:pPr>
      <w:r>
        <w:rPr>
          <w:b/>
        </w:rPr>
        <w:t xml:space="preserve">[35] </w:t>
      </w:r>
      <w:hyperlink r:id="rId659">
        <w:r>
          <w:rPr>
            <w:color w:val="1155CC"/>
            <w:u w:val="single"/>
          </w:rPr>
          <w:t>通过选择性容纳质子客体实现宏观手性发生和光诱导手性运动</w:t>
        </w:r>
      </w:hyperlink>
    </w:p>
    <w:p>
      <w:pPr>
        <w:spacing w:before="0" w:after="80"/>
      </w:pPr>
      <w:r>
        <w:rPr>
          <w:i/>
          <w:sz w:val="20"/>
        </w:rPr>
        <w:t>EN: Macroscopic chirogenesis and photoinduced chiral motions enabled by selective accommodation of protic guests</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对称性破缺为理解自下而上自组装中手性的出现提供了理想的平台。在这里，我们展示了通过选择性捕获溶剂客体和自组装基质中的光诱导运动引起的对称性破缺诱导的手性发生。在没有质子客体的情况下，非手性硝基共轭氰芪自组装成宏观螺旋。当涉及痕量质子溶剂时，氢键锚定分子排列，抑制对称性破坏形成晶体。对螺旋或非手性晶体的拓扑偏好对质子客体（包括水、醇和酸）高度敏感。堆积纳米袋由单晶结构表示，我们认为这些纳米袋是否被填充决定了螺旋位错。在此基础上，通过二苯乙烯的[2+2]光二聚作用进一步实现了光机械行为，引起晶体变形，以及宏观螺旋的原位生成。该研究提出了一种通过宾客住宿精确调节对称性破缺和光机械运动的新策略，为理解手性的出现以及可控光驱动动态晶体和分子机器的设计提供了见解。</w:t>
      </w:r>
    </w:p>
    <w:p>
      <w:pPr>
        <w:spacing w:before="0" w:after="200" w:lineRule="auto" w:line="276"/>
      </w:pPr>
      <w:r>
        <w:rPr>
          <w:b/>
        </w:rPr>
        <w:t xml:space="preserve">Abstract (EN): </w:t>
      </w:r>
      <w:r>
        <w:t>Symmetry breaking offers ideal platforms for understanding the emergence of chirality in bottom-up self-assembly. Here we show the chirogenesis induced by symmetry breaking by selective entrapping solvent guests and photoinduced motions in self-assembled matrices. In the absence of protic guests, the achiral nitro-conjugated cyanostilbenes self-assemble into macroscopic helices. When trace proton solvents are involved, hydrogen bonding anchors the molecular arrangement, suppressing symmetry breaking to form crystals. The topo-preference towards helices or achiral crystals is highly sensitive to protic guests including water, alcohols and acids. The packing nanopockets are indicated by single crystal structures, and we propose that whether these are filled determines the screw dislocations. On this basis, the photomechanical behavior is further realized by the [2 + 2] photodimerization of the stilbenes that induces crystal deformation, as well as the in-situ generation of macroscopic helices. The study presents a new strategy for precisely tuning symmetry breaking and photomechanical motion through guest accommodation, providing insights for understanding chirality emergence and the design of controllable light-driven dynamic crystals and molecular machines.</w:t>
      </w:r>
    </w:p>
    <w:p>
      <w:pPr>
        <w:spacing w:before="120" w:after="120"/>
      </w:pPr>
      <w:r>
        <w:rPr>
          <w:sz w:val="18"/>
        </w:rPr>
        <w:t>——————————————————————————————————————————————————————————————————————</w:t>
      </w:r>
    </w:p>
    <w:p>
      <w:pPr>
        <w:spacing w:before="160" w:after="40" w:line="240" w:lineRule="auto"/>
      </w:pPr>
      <w:r>
        <w:rPr>
          <w:b/>
        </w:rPr>
        <w:t xml:space="preserve">[36] </w:t>
      </w:r>
      <w:hyperlink r:id="rId660">
        <w:r>
          <w:rPr>
            <w:color w:val="1155CC"/>
            <w:u w:val="single"/>
          </w:rPr>
          <w:t>用于波长复用量子网络的集成偏振纠缠光子源</w:t>
        </w:r>
      </w:hyperlink>
    </w:p>
    <w:p>
      <w:pPr>
        <w:spacing w:before="0" w:after="80"/>
      </w:pPr>
      <w:r>
        <w:rPr>
          <w:i/>
          <w:sz w:val="20"/>
        </w:rPr>
        <w:t>EN: Integrated polarization-entangled photon source for wavelength-multiplexed quantum networks</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纠缠光子是量子通信、计算和网络的基本资源。其中，偏振纠缠光子对因其直接的状态操纵和直接用于量子密钥分发、隐形传态和网络协议而发挥着重要作用。然而，实现紧凑、高效、可扩展且满足实际部署要求的偏振纠缠源仍然是一个重大挑战。在这里，我们提出了一种简单但高性能的薄膜铌酸锂片上偏振纠缠光子对源。我们的器件采用双准相位匹配，可在单个纳米光子波导中顺序支持 0 型和 I 型自发参数下转换，从而无需干涉仪、偏振旋转器或其他复杂电路。该源直接产生高保真贝尔态，具有宽带宽、高亮度、低噪声。使用这种集成方法，我们在部署在长达 50 公里的环回城域光纤链路上的四用户量子网络中实现了波长复用纠缠分布。</w:t>
      </w:r>
    </w:p>
    <w:p>
      <w:pPr>
        <w:spacing w:before="0" w:after="200" w:lineRule="auto" w:line="276"/>
      </w:pPr>
      <w:r>
        <w:rPr>
          <w:b/>
        </w:rPr>
        <w:t xml:space="preserve">Abstract (EN): </w:t>
      </w:r>
      <w:r>
        <w:t>Entangled photons are fundamental resources for quantum communication, computing, and networking. Among them, polarization-entangled photon pairs play an important role due to their straightforward state manipulation and direct use in quantum key distribution, teleportation, and network protocols. However, realizing compact, efficient, and scalable polarization-entangled sources that meet the requirements of practical deployment remains a major challenge. Here, we present a simple yet high-performance on-chip polarization-entangled photon-pair source on thin-film lithium niobate. Our device employs dual quasi-phase matching that sequentially supports type-0 and type-I spontaneous parametric down-conversion in a single nanophotonic waveguide, eliminating the need for interferometers, polarization rotators, or other complex circuits. The source directly produces high-fidelity Bell states with broad bandwidth, high brightness, and low noise. Using this integrated approach, we realize wavelength-multiplexed entanglement distribution in a four-user quantum network deployed over loopback metropolitan fiber links up to 50 km.</w:t>
      </w:r>
    </w:p>
    <w:p>
      <w:pPr>
        <w:spacing w:before="120" w:after="120"/>
      </w:pPr>
      <w:r>
        <w:rPr>
          <w:sz w:val="18"/>
        </w:rPr>
        <w:t>——————————————————————————————————————————————————————————————————————</w:t>
      </w:r>
    </w:p>
    <w:p>
      <w:pPr>
        <w:spacing w:before="160" w:after="40" w:line="240" w:lineRule="auto"/>
      </w:pPr>
      <w:r>
        <w:rPr>
          <w:b/>
        </w:rPr>
        <w:t xml:space="preserve">[37] </w:t>
      </w:r>
      <w:hyperlink r:id="rId661">
        <w:r>
          <w:rPr>
            <w:color w:val="1155CC"/>
            <w:u w:val="single"/>
          </w:rPr>
          <w:t>多相弱拓扑绝缘体中可调谐任意定位的准角态</w:t>
        </w:r>
      </w:hyperlink>
    </w:p>
    <w:p>
      <w:pPr>
        <w:spacing w:before="0" w:after="80"/>
      </w:pPr>
      <w:r>
        <w:rPr>
          <w:i/>
          <w:sz w:val="20"/>
        </w:rPr>
        <w:t>EN: Tunable arbitrarily located quasi-corner states in multiphase weak topological insulator</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在建立的基于对称性的高阶拓扑绝缘体（HOTI）相分类中，零维（0D）拓扑态被视为仅由对称性指标确定的纯体拓扑现象。在这里，我们报告了非常规紧支撑的 0D 拓扑态，称为准角态，位于 2D 各向异性蜂窝晶格 (AHL) 中理想的空位缺陷处，受到二维 (2D) 弱拓扑的保护。推导了两个弱拓扑指标来对四种拓扑相进行分类以及万尼尔电荷中心的对应位置。边界位点准角态的出现要求万尼尔中心位于该位点的断键处。强拓扑相下不存在准角态。在单个空位缺陷处，三个弱拓扑相对应于位于不同位点的三个准角态，这使得能够通过单轴应变进行局部位置调整。还观察到具有耦合准角态动态振荡的拓扑保护的远程耦合，并允许灵活可调的光定位。</w:t>
      </w:r>
    </w:p>
    <w:p>
      <w:pPr>
        <w:spacing w:before="0" w:after="200" w:lineRule="auto" w:line="276"/>
      </w:pPr>
      <w:r>
        <w:rPr>
          <w:b/>
        </w:rPr>
        <w:t xml:space="preserve">Abstract (EN): </w:t>
      </w:r>
      <w:r>
        <w:t>In the established symmetry-based higher-order topological insulator (HOTI) phase classification, zero-dimensional (0D) topological states are treated as a pure bulk topology phenomenon determined only by symmetry indicators. Here we report unconventional compactly supported 0D topological states termed as quasi-corner states located protected by two-dimensional (2D) weak topology at desirable vacancy-defects in 2D anisotropic honeycomb lattices (AHLs). Two weak topological indexes are derived to classify four topological phases and the corresponding positions of Wannier charge center. The emergence of quasi-corner state at the boundary site requires that the Wannier center is located at the site’s broken bond. Quasi-corner states do not exist under strong topological phase. At single vacancy defect, the three weak topological phases correspond to three quasi-corner states localized at different sites, which enables localization position tuning by uniaxial strain. Topology-protected long-range coupling with dynamic oscillation of coupled quasi-corner states is also observed and allows flexibly tunable light localization.</w:t>
      </w:r>
    </w:p>
    <w:p>
      <w:pPr>
        <w:spacing w:before="120" w:after="120"/>
      </w:pPr>
      <w:r>
        <w:rPr>
          <w:sz w:val="18"/>
        </w:rPr>
        <w:t>——————————————————————————————————————————————————————————————————————</w:t>
      </w:r>
    </w:p>
    <w:p>
      <w:pPr>
        <w:spacing w:before="160" w:after="40" w:line="240" w:lineRule="auto"/>
      </w:pPr>
      <w:r>
        <w:rPr>
          <w:b/>
        </w:rPr>
        <w:t xml:space="preserve">[38] </w:t>
      </w:r>
      <w:hyperlink r:id="rId662">
        <w:r>
          <w:rPr>
            <w:color w:val="1155CC"/>
            <w:u w:val="single"/>
          </w:rPr>
          <w:t>蜂窝状莫尔超晶格上慢狄拉克费米子的相关绝缘态</w:t>
        </w:r>
      </w:hyperlink>
    </w:p>
    <w:p>
      <w:pPr>
        <w:spacing w:before="0" w:after="80"/>
      </w:pPr>
      <w:r>
        <w:rPr>
          <w:i/>
          <w:sz w:val="20"/>
        </w:rPr>
        <w:t>EN: Correlated insulating states in slow Dirac fermions on a honeycomb moiré superlattice</w:t>
      </w:r>
    </w:p>
    <w:p>
      <w:pPr>
        <w:spacing w:before="0" w:after="120"/>
      </w:pPr>
      <w:r>
        <w:rPr>
          <w:b/>
        </w:rPr>
        <w:t xml:space="preserve">Source: </w:t>
      </w:r>
      <w:r>
        <w:t>Physical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预计强烈的库仑斥力会在石墨烯的狄拉克点打开多体电荷间隙，将半金属转变为莫特绝缘体。然而，这种相关的绝缘相在原始石墨烯中仍然难以捉摸，其中大费米速度主导着相互作用。为了克服这一限制，我们在扭曲的 MoSe2 同双层中实现了蜂窝状莫尔超晶格，其中形成类石墨烯能带结构，费米速度降低了近两个数量级。这些慢莫尔带，从 Γ 谷处的价带最大值折叠，自旋轨道耦合可忽略不计，模拟具有完全 SU(2) 对称性的强相关状态中的无质量狄拉克费米子。通过将里德伯激子传感与莫尔激子极化子相关联，我们检测到狄拉克点处的莫特能隙持续高达 110 K。我们进一步确定了具有弱铁磁耦合和分数填充的 ν = − 1 处的相关态。我们的结果凸显了探索扭曲二维材料中的量子多体现象的潜力。</w:t>
      </w:r>
    </w:p>
    <w:p>
      <w:pPr>
        <w:spacing w:before="0" w:after="200" w:lineRule="auto" w:line="276"/>
      </w:pPr>
      <w:r>
        <w:rPr>
          <w:b/>
        </w:rPr>
        <w:t xml:space="preserve">Abstract (EN): </w:t>
      </w:r>
      <w:r>
        <w:t>Strong Coulomb repulsion is predicted to open a many-body charge gap at graphene’s Dirac point, transforming the semimetal into a Mott insulator. However, this correlated insulating phase remains elusive in pristine graphene, where the large Fermi velocity dominates interactions. To overcome this limitation, we realize a honeycomb moiré superlattice in twisted MoSe2 homobilayers, where a graphene-like band structure forms with a Fermi velocity reduced by nearly two orders of magnitude. These slow moiré bands, folded from the valence band maximum at the Γ valley with negligible spin-orbit coupling, simulate massless Dirac fermions in the strongly correlated regime with full SU(2) symmetry. By correlating Rydberg-exciton sensing with moiré exciton-polarons, we detect a Mott gap at the Dirac point persisting up to 110 K. We further identify correlated states at ν = − 1 with weak ferromagnetic coupling, and at fractional fillings. Our results highlight the potential for exploring quantum many-body phenomena in twisted two-dimensional materials.</w:t>
      </w:r>
    </w:p>
    <w:p>
      <w:pPr>
        <w:spacing w:before="120" w:after="120"/>
      </w:pPr>
      <w:r>
        <w:rPr>
          <w:sz w:val="18"/>
        </w:rPr>
        <w:t>——————————————————————————————————————————————————————————————————————</w:t>
      </w:r>
    </w:p>
    <w:p>
      <w:pPr>
        <w:spacing w:before="160" w:after="40" w:line="240" w:lineRule="auto"/>
      </w:pPr>
      <w:r>
        <w:rPr>
          <w:b/>
        </w:rPr>
        <w:t xml:space="preserve">[39] </w:t>
      </w:r>
      <w:hyperlink r:id="rId663">
        <w:r>
          <w:rPr>
            <w:color w:val="1155CC"/>
            <w:u w:val="single"/>
          </w:rPr>
          <w:t>TogoPhosTAC 作为靶向蛋白质去磷酸化的交付就绪平台</w:t>
        </w:r>
      </w:hyperlink>
    </w:p>
    <w:p>
      <w:pPr>
        <w:spacing w:before="0" w:after="80"/>
      </w:pPr>
      <w:r>
        <w:rPr>
          <w:i/>
          <w:sz w:val="20"/>
        </w:rPr>
        <w:t>EN: TogoPhosTAC as a delivery-ready platform for targeted protein dephosphorylation</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磷酸化靶向嵌合体 (PhosTAC) 通过诱导接近来招募磷酸酶，从而实现靶向蛋白质去磷酸化。然而，用小分子直接招募磷酸酶亚基或全酶仍然具有挑战性，因为合适的配体很少，并且常常会损害酶活性或细胞功能。在这里，我们提出了 togoPhosTAC，这是一种混合模式，集成了小分子 PhosTAC、工程化 FKBP12F36V 磷酸酶和脂质纳米颗粒递送系统。该策略允许递送预组装的 PhosTAC-FKBP12F36V-磷酸酶复合物或 PhosTAC-磷酸酶 mRNA，从而实现快速有效的细胞内去磷酸化。我们证明，togoPhosTAC 可以在生物环境中选择性地使 EGFR、α-突触核蛋白和 tau 蛋白去磷酸化，从而提供了一种通用策略，避免了对基因工程磷酸酶的需求。我们还发现 togoPhosTAC 进一步增强了 tau 去磷酸化及其在纤维中的解聚。重要的是，在 PS19 tau 转基因雄性小鼠中，海马内或鼻内递送 togoPhosTAC 会导致多个位点（Ser202、Thr205、Thr231、Ser396 和 Ser404）的病理性 tau 磷酸化显着减少，减少相关大脑区域的病理性 tau 负担，并改善阿尔茨海默病相关的行为缺陷。总之，这些发现建立了一种在疾病相关系统中精确蛋白质去磷酸化的通用且通用的方法，克服了磷酸酶招募药物发现中的关键限制。</w:t>
      </w:r>
    </w:p>
    <w:p>
      <w:pPr>
        <w:spacing w:before="0" w:after="200" w:lineRule="auto" w:line="276"/>
      </w:pPr>
      <w:r>
        <w:rPr>
          <w:b/>
        </w:rPr>
        <w:t xml:space="preserve">Abstract (EN): </w:t>
      </w:r>
      <w:r>
        <w:t>Phosphorylation-targeting chimeras (PhosTACs) enable targeted protein dephosphorylation by recruiting phosphatases through induced proximity. However, the direct recruitment of phosphatase subunits or holoenzymes with small molecules remains challenging, as suitable ligands are scarce and often compromise enzymatic activity or cellular function. Here, we present togoPhosTAC, a hybrid modality that integrates a small-molecule PhosTAC, an engineered FKBP12F36V-phosphatase, and a lipid nanoparticle delivery system. This strategy allows delivery of preassembled PhosTAC–FKBP12F36V-phosphatase complexes or PhosTAC–phosphatase mRNA, enabling rapid and efficient intracellular dephosphorylation. We demonstrate that togoPhosTAC can selectively dephosphorylate EGFR, α-synuclein, and tau in biological contexts, providing a versatile strategy that circumvents the need for genetically engineered phosphatases. We also find togoPhosTAC further enhances tau dephosphorylation as well as its disaggregation in cellulo. Importantly, intrahippocampal or intranasal delivery of togoPhosTAC in PS19 tau transgenic male mice leads to a marked reduction in pathological tau phosphorylation across multiple sites (Ser202, Thr205, Thr231, Ser396, and Ser404), decreases pathological tau burden in related brain regions, and improves Alzheimer’s disease–related behavioral deficits. Together, these findings establish a versatile and generalizable approach for precise protein dephosphorylation in disease-relevant systems, overcoming key limitations in phosphatase-recruiting drug discovery.</w:t>
      </w:r>
    </w:p>
    <w:p>
      <w:pPr>
        <w:spacing w:before="120" w:after="120"/>
      </w:pPr>
      <w:r>
        <w:rPr>
          <w:sz w:val="18"/>
        </w:rPr>
        <w:t>——————————————————————————————————————————————————————————————————————</w:t>
      </w:r>
    </w:p>
    <w:p>
      <w:pPr>
        <w:spacing w:before="160" w:after="40" w:line="240" w:lineRule="auto"/>
      </w:pPr>
      <w:r>
        <w:rPr>
          <w:b/>
        </w:rPr>
        <w:t xml:space="preserve">[40] </w:t>
      </w:r>
      <w:hyperlink r:id="rId664">
        <w:r>
          <w:rPr>
            <w:color w:val="1155CC"/>
            <w:u w:val="single"/>
          </w:rPr>
          <w:t>USP5 充当蛋白水解开关，通过 UBL 定向切割来控制 SDE2 功能</w:t>
        </w:r>
      </w:hyperlink>
    </w:p>
    <w:p>
      <w:pPr>
        <w:spacing w:before="0" w:after="80"/>
      </w:pPr>
      <w:r>
        <w:rPr>
          <w:i/>
          <w:sz w:val="20"/>
        </w:rPr>
        <w:t>EN: USP5 acts as a proteolytic switch to control SDE2 function via UBL-directed cleavage</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蛋白水解过程是真核细胞中的基本调节机制，但此类事件背后的分子特性和机制通常尚不清楚。沉默缺陷蛋白 2 (SDE2) 是一种必需的人类蛋白，在 mRNA 剪接、DNA 修复和核糖体生物合成中发挥着重要作用。 SDE2 下游 N 端泛素样结构域 (SDE2UBL) 的裂解释放出具有生物功能的 C 端结构域 (SDE2CT)，凸显了这一蛋白水解事件的重要性。然而，在人类细胞中负责这种裂解的蛋白酶仍不清楚。在这里，我们确定去泛素化酶，泛素特异性蛋白酶 5 (USP5)，作为体外和细胞内 SDE2 裂解的选择性主要效应器。生物物理和结构分析表明，SDE2UBL 通过两个位点相互作用与 USP5 结合，这反映了泛素识别的关键特征，支持底物拟态机制。从功能上讲，USP5 的缺失增加了先前报道的 SDE2 依赖性转录本中内含子的保留，将 USP5 去除 SDE2UBL 结构域与 SDE2 在 mRNA 剪接中的作用联系起来。总之，这些发现揭示了 USP5 的非典型蛋白水解功能，揭示了以前未被识别的连接去泛素化酶与蛋白质成熟的调节轴，扩展了 USP5 的底物库，并为识别翻译后调节中的蛋白酶-底物关系提供了框架。</w:t>
      </w:r>
    </w:p>
    <w:p>
      <w:pPr>
        <w:spacing w:before="0" w:after="200" w:lineRule="auto" w:line="276"/>
      </w:pPr>
      <w:r>
        <w:rPr>
          <w:b/>
        </w:rPr>
        <w:t xml:space="preserve">Abstract (EN): </w:t>
      </w:r>
      <w:r>
        <w:t>Proteolytic processing is a fundamental regulatory mechanism in eukaryotic cells, yet the molecular identities and mechanisms underlying such events are often poorly defined. Silencing Defective 2 (SDE2), an essential human protein, plays important roles in mRNA splicing, DNA repair and ribosomal biogenesis. Cleavage of SDE2 downstream to its N-terminal ubiquitin-like domain (SDE2UBL) releases the biologically functional C-terminal domain (SDE2CT), highlighting the importance of this proteolytic event. However, the protease responsible for this cleavage in human cells has remained undefined. Here, we identify deubiquitinating enzyme, ubiquitin-specific protease 5 (USP5), as the selectively primary effector of SDE2 cleavage both in vitro and in cell. Biophysical and structural analysis suggests that SDE2UBL engages with USP5 through a two-site interaction that mirrors key features of ubiquitin recognition, supporting a mechanism of substrate mimicry. Functionally, depletion of USP5 increases intron retention in previously reported SDE2-dependent transcripts, linking the removal of SDE2UBL domain by USP5 to the role of SDE2 in mRNA splicing. Together, these findings reveal a non-canonical proteolytic function of USP5, uncovering a previously unrecognised regulatory axis linking deubiquitinating enzymes to protein maturation, expanding the substrate repertoire for USP5 and providing a framework for identifying protease–substrate relationships in post-translational regulation.</w:t>
      </w:r>
    </w:p>
    <w:p>
      <w:pPr>
        <w:spacing w:before="120" w:after="120"/>
      </w:pPr>
      <w:r>
        <w:rPr>
          <w:sz w:val="18"/>
        </w:rPr>
        <w:t>——————————————————————————————————————————————————————————————————————</w:t>
      </w:r>
    </w:p>
    <w:p>
      <w:pPr>
        <w:spacing w:before="160" w:after="40" w:line="240" w:lineRule="auto"/>
      </w:pPr>
      <w:r>
        <w:rPr>
          <w:b/>
        </w:rPr>
        <w:t xml:space="preserve">[41] </w:t>
      </w:r>
      <w:hyperlink r:id="rId665">
        <w:r>
          <w:rPr>
            <w:color w:val="1155CC"/>
            <w:u w:val="single"/>
          </w:rPr>
          <w:t>弱监督人工智能在整个幻灯片图像上检测淋巴结转移的多种癌症</w:t>
        </w:r>
      </w:hyperlink>
    </w:p>
    <w:p>
      <w:pPr>
        <w:spacing w:before="0" w:after="80"/>
      </w:pPr>
      <w:r>
        <w:rPr>
          <w:i/>
          <w:sz w:val="20"/>
        </w:rPr>
        <w:t>EN: Weakly supervised artificial intelligence for multi-cancer detection of lymph node metastasis on whole slide images</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准确识别淋巴结转移对于癌症诊断/治疗至关重要，但对于病理学家来说仍然耗时且容易出错。我们开发了 MambaMIL+HiLA-MIL，这是一种将 Vision Mamba 与高低注意力分离机制相结合的多实例学习模型。该模型与四个特征提取器（ResNet、UNI、Virchow 和 GigaPath）下的六个基线进行了比较。采用十倍交叉验证来进行模型评估。我们的模型明显优于所有基线。它在检测孤立的肿瘤细胞和微转移方面表现出强大的性能，同时对阴性和宏观转移病例保持高性能。该模型在检测多种癌症和各种个体癌症类型的淋巴结转移方面仍然表现出良好的稳定性。 UNI 和 GigaPath 的性能明显优于 ResNet 和 Virchow。在这里，我们展示了 MambaMIL+HiLA-MIL 是一种多癌四类淋巴结转移模型，表现出跨多个中心和各种特征提取器的高效性和鲁棒性，为临床淋巴结转移分类提供了可靠的工具。</w:t>
      </w:r>
    </w:p>
    <w:p>
      <w:pPr>
        <w:spacing w:before="0" w:after="200" w:lineRule="auto" w:line="276"/>
      </w:pPr>
      <w:r>
        <w:rPr>
          <w:b/>
        </w:rPr>
        <w:t xml:space="preserve">Abstract (EN): </w:t>
      </w:r>
      <w:r>
        <w:t>The accurate identification of lymph node metastasis is critical for cancer diagnosis/treatment but remains time-consuming and error-prone for pathologists. We develop MambaMIL+HiLA-MIL, a multiple instance learning model combining Vision Mamba with high-low attention separation mechanism. This model is compared against six baselines under four feature extractors (ResNet, UNI, Virchow, and GigaPath). Ten-fold cross-validation is employed for model evaluation. Our model significantly outperforms all baselines. It exhibits strong performance in detection of isolated tumor cells and micro-metastasis, while maintaining high performance for negative and macro-metastasis cases. The model still demonstrates good stability in detecting lymph node metastasis across multi-cancer and various individual cancer types. UNI and GigaPath yield significantly better performance than ResNet and Virchow. Here, we show that MambaMIL+HiLA-MIL is a multi-cancer four-class lymph node metastasis model, demonstrating high efficiency and robustness across multiple centers and various feature extractors, offering a reliable tool for clinical lymph node metastasis classification.</w:t>
      </w:r>
    </w:p>
    <w:p>
      <w:pPr>
        <w:spacing w:before="120" w:after="120"/>
      </w:pPr>
      <w:r>
        <w:rPr>
          <w:sz w:val="18"/>
        </w:rPr>
        <w:t>——————————————————————————————————————————————————————————————————————</w:t>
      </w:r>
    </w:p>
    <w:p>
      <w:pPr>
        <w:spacing w:before="160" w:after="40" w:line="240" w:lineRule="auto"/>
      </w:pPr>
      <w:r>
        <w:rPr>
          <w:b/>
        </w:rPr>
        <w:t xml:space="preserve">[42] </w:t>
      </w:r>
      <w:hyperlink r:id="rId666">
        <w:r>
          <w:rPr>
            <w:color w:val="1155CC"/>
            <w:u w:val="single"/>
          </w:rPr>
          <w:t>通过深度受体扫描对 GPCRome 进行有效的实验表征</w:t>
        </w:r>
      </w:hyperlink>
    </w:p>
    <w:p>
      <w:pPr>
        <w:spacing w:before="0" w:after="80"/>
      </w:pPr>
      <w:r>
        <w:rPr>
          <w:i/>
          <w:sz w:val="20"/>
        </w:rPr>
        <w:t>EN: Efficient experimental characterization of the GPCRome via deep receptor scanning</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G 蛋白偶联受体 (GPCR) 介导多种信号传导途径，代表最常见的一类药物靶标。虽然结构生物化学的进步为关键受体提供了深入的功能见解，但 800 多种人类 GPCR 中的许多仍未被充分研究。我们推出了一个多功能的“深度受体扫描”平台，可用于平行地对 766 个人类 GPCR 和 174 个已知 GPCR 剪接变体进行实验表征。我们使用该平台定量表征经典和替代受体转录物的相对丰度、它们的翻译效率以及在表达单个 GPCR 的 HEK293T 细胞重组池中每个受体的质膜表达。然后，我们利用机器学习来识别与 GPCR 表达变化密切相关的特定结构特征。我们的结果表明，许多高表达的受体在疏水性和二级结构方面表现出系统差异。该实验平台和信息方法与多种检测兼容，可用于有效探索 GPCRome 的生化和药理学特性。</w:t>
      </w:r>
    </w:p>
    <w:p>
      <w:pPr>
        <w:spacing w:before="0" w:after="200" w:lineRule="auto" w:line="276"/>
      </w:pPr>
      <w:r>
        <w:rPr>
          <w:b/>
        </w:rPr>
        <w:t xml:space="preserve">Abstract (EN): </w:t>
      </w:r>
      <w:r>
        <w:t>G protein-coupled receptors (GPCRs) mediate a variety of signaling pathways and represent the most common class of pharmaceutical target. While advances in structural biochemistry have provided deep functional insights into key receptors, many of the 800+ human GPCRs remain understudied. We introduce a versatile “deep receptor scanning” platform that can be used to experimentally characterize 766 human GPCRs and 174 known GPCR splice variants in parallel. We use this platform to quantitatively characterize the relative abundance of canonical and alternative receptor transcripts, their translational efficiency, and the plasma membrane expression of each receptor in the context of a recombinant pool of HEK293T cells expressing individual GPCRs. We then employ machine learning to identify specific structural features that are strongly associated with variations in GPCR expression. Our results show that many highly-expressed receptors exhibit systematic differences in hydrophobicity and secondary structure. This experimental platform and informatic approach are compatible with a variety of assays and can be used to efficiently explore the biochemical and pharmacological properties of the GPCRome.</w:t>
      </w:r>
    </w:p>
    <w:p>
      <w:pPr>
        <w:spacing w:before="120" w:after="120"/>
      </w:pPr>
      <w:r>
        <w:rPr>
          <w:sz w:val="18"/>
        </w:rPr>
        <w:t>——————————————————————————————————————————————————————————————————————</w:t>
      </w:r>
    </w:p>
    <w:p>
      <w:pPr>
        <w:spacing w:before="160" w:after="40" w:line="240" w:lineRule="auto"/>
      </w:pPr>
      <w:r>
        <w:rPr>
          <w:b/>
        </w:rPr>
        <w:t xml:space="preserve">[43] </w:t>
      </w:r>
      <w:hyperlink r:id="rId667">
        <w:r>
          <w:rPr>
            <w:color w:val="1155CC"/>
            <w:u w:val="single"/>
          </w:rPr>
          <w:t>DHODH 抑制通过 TERF2IP 乳酰化激活的巨胞质体-线粒体接触驱动白蛋白介导的耐药性</w:t>
        </w:r>
      </w:hyperlink>
    </w:p>
    <w:p>
      <w:pPr>
        <w:spacing w:before="0" w:after="80"/>
      </w:pPr>
      <w:r>
        <w:rPr>
          <w:i/>
          <w:sz w:val="20"/>
        </w:rPr>
        <w:t>EN: DHODH inhibition drives albumin-mediated drug resistance through TERF2IP lactylation-activated macropinosome-mitochondria contact</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巨胞饮作用使癌细胞能够清除细胞外营养物质并促进肿瘤进展，但其在化疗耐药中的作用仍知之甚少。通过 CRISPR-Cas9 和小分子筛选，我们发现二氢乳清酸脱氢酶 (DHODH)（一种嘧啶合成酶）的抑制作用是巨胞饮作用的诱导剂。从机制上讲，DHODH 抑制会触发代谢重编程，导致糖酵解和乳酸积累。这种代谢转变促进端粒重复结合因子 2 相互作用蛋白 (TERF2IP) 的赖氨酸 208 乳酰化，揭示其在上皮调节蛋白转录激活中的兼职功能，从而激活 EGFR 信号传导以促进巨胞饮作用。大脂质体接触线粒体，使白蛋白易位到线粒体膜间隙中，与 DHODH 相互作用，减少抑制剂结合并恢复 DHODH 活性。这种适应性反应有助于体外和体内耐药性，DHODH 抑制剂与巨胞饮阻滞剂或 EGFR 抑制剂联合给药可增强抗肿瘤功效。我们的研究结果揭示了以前未知的代谢应激诱导的巨胞饮途径，并为联合疗法增强 DHODH 抑制剂在癌症治疗中的功效提供了理论依据。</w:t>
      </w:r>
    </w:p>
    <w:p>
      <w:pPr>
        <w:spacing w:before="0" w:after="200" w:lineRule="auto" w:line="276"/>
      </w:pPr>
      <w:r>
        <w:rPr>
          <w:b/>
        </w:rPr>
        <w:t xml:space="preserve">Abstract (EN): </w:t>
      </w:r>
      <w:r>
        <w:t>Macropinocytosis enables cancer cells to scavenge extracellular nutrients and contributes to tumor progression, but its role in chemoresistance remains poorly characterized. Through CRISPR-Cas9 and small-molecule screens, we identify inhibition of dihydroorotate dehydrogenase (DHODH), an enzyme in pyrimidine synthesis, as an inducer of macropinocytosis. Mechanistically, DHODH inhibition triggers metabolic reprogramming toward glycolysis and lactate accumulation. This metabolic shift promotes lysine 208 lactylation of telomeric repeat-binding factor 2-interacting protein (TERF2IP), unveiling its moonlighting function in transcriptional activation of epiregulin, which activates EGFR signaling to promote macropinocytosis. Macropinosomes contact mitochondria, enabling albumin translocation into the mitochondrial intermembrane space where it interacts with DHODH, diminishing inhibitor binding and restoring DHODH activity. This adaptive response contributes to drug resistance in vitro and in vivo, and co-administration of DHODH inhibitors with macropinocytosis blockers or EGFR inhibitors enhances anti-tumor efficacy. Our findings reveal a previously unknown metabolic stress-induced macropinocytosis pathway and provide a rationale for combination therapy to enhance DHODH inhibitor efficacy in cancer treatment.</w:t>
      </w:r>
    </w:p>
    <w:p>
      <w:pPr>
        <w:spacing w:before="120" w:after="120"/>
      </w:pPr>
      <w:r>
        <w:rPr>
          <w:sz w:val="18"/>
        </w:rPr>
        <w:t>——————————————————————————————————————————————————————————————————————</w:t>
      </w:r>
    </w:p>
    <w:p>
      <w:pPr>
        <w:spacing w:before="160" w:after="40" w:line="240" w:lineRule="auto"/>
      </w:pPr>
      <w:r>
        <w:rPr>
          <w:b/>
        </w:rPr>
        <w:t xml:space="preserve">[44] </w:t>
      </w:r>
      <w:hyperlink r:id="rId668">
        <w:r>
          <w:rPr>
            <w:color w:val="1155CC"/>
            <w:u w:val="single"/>
          </w:rPr>
          <w:t>活化细胞中的细胞绘画阐明了表型暗空间和药物作用机制</w:t>
        </w:r>
      </w:hyperlink>
    </w:p>
    <w:p>
      <w:pPr>
        <w:spacing w:before="0" w:after="80"/>
      </w:pPr>
      <w:r>
        <w:rPr>
          <w:i/>
          <w:sz w:val="20"/>
        </w:rPr>
        <w:t>EN: Cell Painting in activated cells illuminates phenotypic dark space and drug mechanisms of action</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随着药物和天然产物库的扩大，评估作用机制 (MoA) 的检测方法变得越来越重要。使用细胞绘画 (CP) 测定进行细胞学分析可以对治疗后的细胞状态进行基于图像的分析，但由于在标准条件下无法检测到细胞效应，许多生物活性化合物仍未得到表征。为了解决这个问题，我们使用蛋白激酶 C (PKC) 激动剂佛波醇肉豆蔻酸酯乙酸酯 (PMA) 将药物剂量与细胞激活结合起来。对在静息和 PMA 激活状态下用两种浓度（1 和 10 µM）的 8,387 种化合物处理的 A549 肺癌细胞进行分析，可以检测到所有筛选化合物中高达 40% 的表型效应，有效地照亮更多表型“暗空间”。来自 PMA 激活和静息细胞的组合细胞 CP 指纹揭示了在静息条件下不活跃的 565 种化合物的表型单独，支持其在 MoA 研究中的使用。我们引入了 CP 筛选的质量控制措施，并证明整合表型特征支持 MoA 发现。值得注意的是，2-甲氧基肉桂醛与糖皮质激素受体调节剂聚集并诱导核易位，强调了这种方法在识别药物机制方面的效用，因此有助于改进治疗策略。</w:t>
      </w:r>
    </w:p>
    <w:p>
      <w:pPr>
        <w:spacing w:before="0" w:after="200" w:lineRule="auto" w:line="276"/>
      </w:pPr>
      <w:r>
        <w:rPr>
          <w:b/>
        </w:rPr>
        <w:t xml:space="preserve">Abstract (EN): </w:t>
      </w:r>
      <w:r>
        <w:t>As drug and natural product libraries expand, assays for assessing mechanisms of action (MoA) are increasingly critical. Performing cytological profiling using the Cell Painting (CP) assay enables image-based profiling of cellular states upon treatment, yet many bioactive compounds remain uncharacterized due to undetectable cellular effects under standard conditions. To address this, we combine drug dosing with cell activation using the protein kinase C (PKC) agonist phorbol myristate acetate (PMA). Profiling A549 lung cancer cells treated with 8,387 compounds at two concentrations (1 and 10 µM) in both resting and PMA-activated states enables detection of phenotypic effects for up to 40% of all screened compounds, effectively illuminating more phenotypic ‘dark space.’ The combined cellular CP fingerprints from PMA-activated and resting cells reveal phenotypes for 565 compounds that are inactive under the resting condition alone, supporting its use in MoA studies. We introduce quality control measures for CP screens and demonstrate that integrating phenotypic signatures supports MoA discovery. Notably, 2-methoxycinnamaldehyde clusters with glucocorticoid receptor modulators and induces nuclear translocation, emphasizing the utility of this approach in identifying drug mechanisms and, therefore, aiding in improving therapeutic strategies.</w:t>
      </w:r>
    </w:p>
    <w:p>
      <w:pPr>
        <w:spacing w:before="120" w:after="120"/>
      </w:pPr>
      <w:r>
        <w:rPr>
          <w:sz w:val="18"/>
        </w:rPr>
        <w:t>——————————————————————————————————————————————————————————————————————</w:t>
      </w:r>
    </w:p>
    <w:p>
      <w:pPr>
        <w:spacing w:before="160" w:after="40" w:line="240" w:lineRule="auto"/>
      </w:pPr>
      <w:r>
        <w:rPr>
          <w:b/>
        </w:rPr>
        <w:t xml:space="preserve">[45] </w:t>
      </w:r>
      <w:hyperlink r:id="rId669">
        <w:r>
          <w:rPr>
            <w:color w:val="1155CC"/>
            <w:u w:val="single"/>
          </w:rPr>
          <w:t>人轮状病毒灭活疫苗对幼儿和婴儿的安全性和免疫原性：一项随机、安慰剂对照、双盲、I 期临床试验</w:t>
        </w:r>
      </w:hyperlink>
    </w:p>
    <w:p>
      <w:pPr>
        <w:spacing w:before="0" w:after="80"/>
      </w:pPr>
      <w:r>
        <w:rPr>
          <w:i/>
          <w:sz w:val="20"/>
        </w:rPr>
        <w:t>EN: Safety and immunogenicity of inactivated human Rotavirus vaccine in young children and infants: a randomized, placebo-controlled, double-blind, phase I clinical trial</w:t>
      </w:r>
    </w:p>
    <w:p>
      <w:pPr>
        <w:spacing w:before="0" w:after="120"/>
      </w:pPr>
      <w:r>
        <w:rPr>
          <w:b/>
        </w:rPr>
        <w:t xml:space="preserve">Source: </w:t>
      </w:r>
      <w:r>
        <w:t>Biological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灭活轮状病毒疫苗（IRV）是提供病毒保护的有效方法。这项双盲、随机、安慰剂对照、剂量递增的 I 期试验评估了 288 名 2-71 个月大、既往未接种轮状病毒疫苗或未感染 HIV 的健康儿童中 IRV 的安全性和免疫原性。我们按年龄（7-71 个月和 2-6 个月）和时间表（2 或 3 剂）对参与者进行分层，然后以 3:1 的比例随机分配他们接受三种抗原剂量之一（80、160 或 320 ELISA 单位 [EU]）或铝佐剂安慰剂。主要终点包括给药后30分钟内的不良反应/事件、给药后0-7天和8-28/30天的不良反应/事件，以及整个疗程后6个月的严重不良事件(SAE)。次要终点是最终剂量后第 28 天的中和抗体 (NTA) 几何平均滴度 (GMT) 和血清转化率（≥4 倍上升）。 IRV 耐受性良好，任何队列中均未出现与疫苗相关的 SAE；我们观察到高剂量婴儿组出现临床可控制的短暂性轻度至中度发烧。在所有队列中均观察到 NTA 和 IgG 抗体反应呈剂量依赖性增加。在 3 剂婴儿组中，320 EU 剂量的 GMT 为 551.98（95% CI 338.39 ~ 900.40），而安慰剂为 36.17，血清转化率为 83.33%（安慰剂为 10.00%）； 3 剂方案优于 2 剂方案。我们的研究结果证实 IRV 具有良好的安全性和免疫原性。该试验已在 ClinicalTrials.gov 注册 (NCT04626856)。</w:t>
      </w:r>
    </w:p>
    <w:p>
      <w:pPr>
        <w:spacing w:before="0" w:after="200" w:lineRule="auto" w:line="276"/>
      </w:pPr>
      <w:r>
        <w:rPr>
          <w:b/>
        </w:rPr>
        <w:t xml:space="preserve">Abstract (EN): </w:t>
      </w:r>
      <w:r>
        <w:t>Inactivated rotavirus vaccines (IRV) are an effective approach for providing protection against the virus. This double-blind, randomised, placebo-controlled, dose-escalation phase I trial evaluated the safety and immunogenicity of IRV in 288 healthy children aged 2–71 months without prior rotavirus vaccination or HIV infection. We stratified participants by age (7–71 months and 2–6 months) and schedule (2 or 3 doses), before randomising them 3:1 to receive one of three antigen doses (80, 160, or 320 ELISA Unit [EU]), or aluminium adjuvanted placebo. The primary endpoints included adverse reactions/events within 30 min post-dose, adverse reactions/events during days 0–7 and 8–28/30 post-dose, and serious adverse events (SAEs) 6 months after the full course. The secondary endpoints were neutralizing antibody (NTA) geometric mean titres (GMT) and seroconversion rates (≥4-fold rise) at day 28 post-final dose. IRV was well tolerated, with no vaccine-related SAEs in any of the cohorts; we observed clinically manageable transient mild-to-moderate fever in the high dose infant group. Dose-dependent increases in NTA and IgG antibody responses were observed across all cohorts. In the 3-dose infant group, the 320 EU dose yielded a GMT of 551.98 (95% CI 338.39 ~ 900.40) compared to 36.17 for placebo, and a seroconversion rate of 83.33% (vs. 10.00% for placebo); the 3-dose schedule outperformed the 2-dose regimen. Our findings confirm that IRV has a favourable safety and immunogenicity profile. This trial is registered with ClinicalTrials.gov (NCT04626856).</w:t>
      </w:r>
    </w:p>
    <w:p>
      <w:pPr>
        <w:spacing w:before="120" w:after="120"/>
      </w:pPr>
      <w:r>
        <w:rPr>
          <w:sz w:val="18"/>
        </w:rPr>
        <w:t>——————————————————————————————————————————————————————————————————————</w:t>
      </w:r>
    </w:p>
    <w:p>
      <w:pPr>
        <w:spacing w:before="160" w:after="40" w:line="240" w:lineRule="auto"/>
      </w:pPr>
      <w:r>
        <w:rPr>
          <w:b/>
        </w:rPr>
        <w:t xml:space="preserve">[46] </w:t>
      </w:r>
      <w:hyperlink r:id="rId670">
        <w:r>
          <w:rPr>
            <w:color w:val="1155CC"/>
            <w:u w:val="single"/>
          </w:rPr>
          <w:t>配电网微弱扰动事件识别与定位的双流时频多任务学习</w:t>
        </w:r>
      </w:hyperlink>
    </w:p>
    <w:p>
      <w:pPr>
        <w:spacing w:before="0" w:after="80"/>
      </w:pPr>
      <w:r>
        <w:rPr>
          <w:i/>
          <w:sz w:val="20"/>
        </w:rPr>
        <w:t>EN: Dual-stream time-frequency multi-task learning for weak disturbance event identification and localisation in power distribution networks</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671">
        <w:r>
          <w:rPr>
            <w:color w:val="1155CC"/>
            <w:u w:val="single"/>
          </w:rPr>
          <w:t>10.1016/j.apenergy.2026.128614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672">
        <w:r>
          <w:rPr>
            <w:color w:val="1155CC"/>
            <w:u w:val="single"/>
          </w:rPr>
          <w:t>银硒化铬尖晶石的合成及磁性</w:t>
        </w:r>
      </w:hyperlink>
    </w:p>
    <w:p>
      <w:pPr>
        <w:spacing w:before="0" w:after="80"/>
      </w:pPr>
      <w:r>
        <w:rPr>
          <w:i/>
          <w:sz w:val="20"/>
        </w:rPr>
        <w:t>EN: Synthesis and Magnetism of Silver Chromium Selenide Spinels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73">
        <w:r>
          <w:rPr>
            <w:color w:val="1155CC"/>
            <w:u w:val="single"/>
          </w:rPr>
          <w:t>10.1021/jacs.6c09346</w:t>
        </w:r>
      </w:hyperlink>
    </w:p>
    <w:p>
      <w:pPr>
        <w:spacing w:before="0" w:after="120"/>
      </w:pPr>
      <w:r>
        <w:rPr>
          <w:b/>
        </w:rPr>
        <w:t xml:space="preserve">Notes: </w:t>
      </w:r>
      <w:r>
        <w:t>abstract_source=crossref</w:t>
      </w:r>
    </w:p>
    <w:p>
      <w:pPr>
        <w:spacing w:before="0" w:after="80" w:lineRule="auto" w:line="276"/>
      </w:pPr>
      <w:r>
        <w:rPr>
          <w:b/>
        </w:rPr>
        <w:t xml:space="preserve">摘要（ZH）: </w:t>
      </w:r>
      <w:r>
        <w:t>摘要 硫族尖晶石具有可通过晶格占据和组成进行调节的电子和磁性特性。在这里，我们报告了尖晶石相 Ag2Cr2Se4 和 AgCr2Se4 的首次合成，并证明了氧化诱导的铁磁到亚铁磁转变，伴随着与 Ag+ 位点占用变化相关的 TC 大幅增加 &gt;250 K。 Ag 尖晶石是通过过量 AgNO3 驱动的 CuCr2Se4 纳米晶体的无空气阳离子交换合成的，产生铁磁性 Ag2Cr2Se4（a = 10.838(4) Å，TC = 152 K，2 K 饱和度 = 3.1 μB/Cr），其中 Ag+ 占据 Td 8a 和 Oh 16c 位点。暴露在空气中后，Ag2Cr2Se4 通过失去 Oh-Ag+ 并形成 Ag2Se，转化为亚铁磁性 AgCr2Se4（a = 10.6085(19) Å，TC &gt; 400 K，2 K 饱和度 = 2.2 μB/Cr）。我们将铁磁到亚铁磁的转变归因于 Ag-Se 带中空穴的产生，这些空穴与 Cr3+ 反铁磁耦合。这种 Ag-Cr-Se 尖晶石体系展示了所报道的 TC 的最大变化，并为进一步探索磁耦合作为氧化和结构的函数提供了一个极好的框架。</w:t>
      </w:r>
    </w:p>
    <w:p>
      <w:pPr>
        <w:spacing w:before="0" w:after="200" w:lineRule="auto" w:line="276"/>
      </w:pPr>
      <w:r>
        <w:rPr>
          <w:b/>
        </w:rPr>
        <w:t xml:space="preserve">Abstract (EN): </w:t>
      </w:r>
      <w:r>
        <w:t>Chalcogenide spinels exhibit electronic and magnetic properties that are tunable through lattice occupancy and composition. Here, we report the first synthesis of spinel-phase Ag2Cr2Se4 and AgCr2Se4 and demonstrate an oxidation-induced ferro-to-ferrimagnetic transition accompanied by a massive increase in TC of &amp;gt;250 K associated with changes in Ag+ site occupancy. The Ag spinels are synthesized through air-free cation exchange of CuCr2Se4 nanocrystals driven by excess AgNO3 to yield ferromagnetic Ag2Cr2Se4 (a = 10.838(4) Å, TC = 152 K, 2 K saturation = 3.1 μB/Cr) with Ag+ occupying both Td 8a and Oh 16c sites. Upon air exposure, Ag2Cr2Se4 converts to ferrimagnetic AgCr2Se4 (a = 10.6085(19) Å, TC &amp;gt; 400 K, 2 K saturation = 2.2 μB/Cr) through a loss of Oh-Ag+ alongside the formation of Ag2Se. We attribute the ferro-to-ferrimagnetic transition to the generation of holes in Ag–Se bands, which couple antiferromagnetically to Cr3+. This Ag–Cr–Se spinel system demonstrates the largest change in TC reported and provides an excellent framework for further exploration of magnetic coupling as a function of oxidation and structure.</w:t>
      </w:r>
    </w:p>
    <w:p>
      <w:pPr>
        <w:spacing w:before="120" w:after="120"/>
      </w:pPr>
      <w:r>
        <w:rPr>
          <w:sz w:val="18"/>
        </w:rPr>
        <w:t>——————————————————————————————————————————————————————————————————————</w:t>
      </w:r>
    </w:p>
    <w:p>
      <w:pPr>
        <w:spacing w:before="160" w:after="40" w:line="240" w:lineRule="auto"/>
      </w:pPr>
      <w:r>
        <w:rPr>
          <w:b/>
        </w:rPr>
        <w:t xml:space="preserve">[48] </w:t>
      </w:r>
      <w:hyperlink r:id="rId674">
        <w:r>
          <w:rPr>
            <w:color w:val="1155CC"/>
            <w:u w:val="single"/>
          </w:rPr>
          <w:t>晶格嵌入的 Rh 单位点的可逆局部配位弛豫可实现高效且持久的丙烯氢甲酰化</w:t>
        </w:r>
      </w:hyperlink>
    </w:p>
    <w:p>
      <w:pPr>
        <w:spacing w:before="0" w:after="80"/>
      </w:pPr>
      <w:r>
        <w:rPr>
          <w:i/>
          <w:sz w:val="20"/>
        </w:rPr>
        <w:t>EN: Reversible Local Coordination Relaxation of Lattice-Embedded Rh Single Sites Enables Efficient and Durable Propene Hydroformylation</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75">
        <w:r>
          <w:rPr>
            <w:color w:val="1155CC"/>
            <w:u w:val="single"/>
          </w:rPr>
          <w:t>10.1021/jacs.6c10198</w:t>
        </w:r>
      </w:hyperlink>
    </w:p>
    <w:p>
      <w:pPr>
        <w:spacing w:before="0" w:after="120"/>
      </w:pPr>
      <w:r>
        <w:rPr>
          <w:b/>
        </w:rPr>
        <w:t xml:space="preserve">Notes: </w:t>
      </w:r>
      <w:r>
        <w:t>abstract_source=crossref</w:t>
      </w:r>
    </w:p>
    <w:p>
      <w:pPr>
        <w:spacing w:before="0" w:after="80" w:lineRule="auto" w:line="276"/>
      </w:pPr>
      <w:r>
        <w:rPr>
          <w:b/>
        </w:rPr>
        <w:t xml:space="preserve">摘要（ZH）: </w:t>
      </w:r>
      <w:r>
        <w:t>摘要 用于丙烯加氢甲酰化的高效原子分散 Rh 催化剂需要将周转过程中的配位灵活性与抗浸出和聚集性结合起来的活性位点。在这里，我们报道了Rh1@ZnO，其中Rh单位点被纳入ZnO晶格中的阳离子空位中，以将配位适应性与晶格限制结合起来。在丙烯氢甲酰化中，Rh1@ZnO 以 1.6 × 105 h–1 的周转频率提供具有 100% 化学选择性的 C4 醛，并达到 2.2 × 105 的累积周转数，同时表现出强大的稳定性，优于表面结合的 Rh1/ZnO 和均匀的 Rh 基准。动力学分析表明，Rh1@ZnO 仍处于 CO 抑制状态，但将速率控制区域转向涉及 H2 的步骤。 DFT 计算表明，嵌入的 Rh 位点经历可逆的局部配位弛豫，从而 CO 配位放松了特定的 Rh-O 晶格约束，并减轻了 CO 插入过程中的局部几何应变，从而降低了酰化势垒。 C-C 键形成后，Rh 位点松弛恢复 Rh-O 晶格锚定。这些结果将晶格嵌入与可逆局部配位弛豫相结合，作为异质氢甲酰化中自适应且持久的 Rh 单位点的设计原则。</w:t>
      </w:r>
    </w:p>
    <w:p>
      <w:pPr>
        <w:spacing w:before="0" w:after="200" w:lineRule="auto" w:line="276"/>
      </w:pPr>
      <w:r>
        <w:rPr>
          <w:b/>
        </w:rPr>
        <w:t xml:space="preserve">Abstract (EN): </w:t>
      </w:r>
      <w:r>
        <w:t>Efficient atomically dispersed Rh catalysts for propene hydroformylation require active sites that combine coordination flexibility during turnover with resistance to leaching and aggregation. Here we report Rh1@ZnO, in which Rh single sites are incorporated into cation vacancies in the ZnO lattice to couple coordination adaptability with lattice confinement. In propene hydroformylation, Rh1@ZnO affords C4 aldehydes with 100% chemoselectivity at a turnover frequency of 1.6 × 105 h–1 and reaches a cumulative turnover number of 2.2 × 105 while showing robust stability, outperforming surface-bound Rh1/ZnO and a homogeneous Rh benchmark. Kinetic analysis shows that Rh1@ZnO remains in a CO-inhibited regime but shifts the rate-controlling region toward steps involving H2. DFT calculations reveal that the embedded Rh site undergoes reversible local coordination relaxation, whereby CO coordination relaxes specific Rh–O lattice constraints and relieves local geometric strain during CO insertion, lowering the acylation barrier. Following C–C bond formation, the Rh site relaxes back to restore Rh–O lattice anchoring. These results establish lattice embedding coupled with reversible local coordination relaxation as a design principle for adaptive yet persistent Rh single sites in heterogeneous hydroformylation.</w:t>
      </w:r>
    </w:p>
    <w:p>
      <w:pPr>
        <w:spacing w:before="120" w:after="120"/>
      </w:pPr>
      <w:r>
        <w:rPr>
          <w:sz w:val="18"/>
        </w:rPr>
        <w:t>——————————————————————————————————————————————————————————————————————</w:t>
      </w:r>
    </w:p>
    <w:p>
      <w:pPr>
        <w:spacing w:before="160" w:after="40" w:line="240" w:lineRule="auto"/>
      </w:pPr>
      <w:r>
        <w:rPr>
          <w:b/>
        </w:rPr>
        <w:t xml:space="preserve">[49] </w:t>
      </w:r>
      <w:hyperlink r:id="rId676">
        <w:r>
          <w:rPr>
            <w:color w:val="1155CC"/>
            <w:u w:val="single"/>
          </w:rPr>
          <w:t>GDP 负载的 K-Ras 瞬时与效应器 B-Raf RBD 结合，反映了活性 GTP 负载复合物的结构</w:t>
        </w:r>
      </w:hyperlink>
    </w:p>
    <w:p>
      <w:pPr>
        <w:spacing w:before="0" w:after="80"/>
      </w:pPr>
      <w:r>
        <w:rPr>
          <w:i/>
          <w:sz w:val="20"/>
        </w:rPr>
        <w:t>EN: GDP-Loaded K-Ras Transiently Binds to Effector B-Raf RBD, Mirroring the Structure of the Active GTP-Loaded Complex</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77">
        <w:r>
          <w:rPr>
            <w:color w:val="1155CC"/>
            <w:u w:val="single"/>
          </w:rPr>
          <w:t>10.1021/jacs.6c09870</w:t>
        </w:r>
      </w:hyperlink>
    </w:p>
    <w:p>
      <w:pPr>
        <w:spacing w:before="0" w:after="120"/>
      </w:pPr>
      <w:r>
        <w:rPr>
          <w:b/>
        </w:rPr>
        <w:t xml:space="preserve">Notes: </w:t>
      </w:r>
      <w:r>
        <w:t>abstract_source=crossref</w:t>
      </w:r>
    </w:p>
    <w:p>
      <w:pPr>
        <w:spacing w:before="0" w:after="80" w:lineRule="auto" w:line="276"/>
      </w:pPr>
      <w:r>
        <w:rPr>
          <w:b/>
        </w:rPr>
        <w:t xml:space="preserve">摘要（ZH）: </w:t>
      </w:r>
      <w:r>
        <w:t>摘要 Ras-Raf 蛋白关联启动下游丝裂原激活蛋白激酶 (MAPK) 信号级联。这种相互作用取决于 Ras-核苷酸配体，因此 Raf 优先与 Ras 的活性三磷酸鸟苷 (GTP) 负载状态结合，而不是与二磷酸鸟苷 (GDP) 负载状态结合。然而，GDP 结合的 Ras 是否也可以与 Raf 形成特定的蛋白质-蛋白质相互作用仍不清楚。在这里，我们通过溶液 NMR 表征了两种核苷酸状态下的人类 K-Ras 与 B-Raf 的 Ras 结合域 (RBD) 之间的相互作用。活性 K-Ras·GTP 与 RBD 形成紧密的构象限制复合物，在结合界面处引起明显的化学位移扰动，与现有的冷冻电镜和 X 射线晶体学结构一致。令人惊讶的是，我们检测到“无活性”野生型 K-Ras·GDP 与 RBD 在毫摩尔亲和力范围内的特异性结合，从而 K-Ras 的致癌 G12D 突变体进一步增强了这种相互作用。 NMR 弛豫色散和化学交换饱和转移 (CEST) 实验可以对瞬态 K-Ras·GDP·RBD 复合物进行详细的结构表征，并确定相互作用亲和力和动力学。结果表明，瞬时 K-Ras·GDP·RBD 结合态与活性 K-Ras·GTP·RBD 复合物非常相似，提供了对核苷酸特异性 K-Ras-Raf 相互作用的主链 15N 水平的定量理解。这些发现强调了 K-Ras 高度适应性的 GDP 结合状态对于信号传导和作为信号传导的前景。</w:t>
      </w:r>
    </w:p>
    <w:p>
      <w:pPr>
        <w:spacing w:before="0" w:after="200" w:lineRule="auto" w:line="276"/>
      </w:pPr>
      <w:r>
        <w:rPr>
          <w:b/>
        </w:rPr>
        <w:t xml:space="preserve">Abstract (EN): </w:t>
      </w:r>
      <w:r>
        <w:t>The Ras-Raf protein association initiates the downstream mitogen-activated protein kinase (MAPK) signaling cascade. This interaction depends on the Ras-nucleotide ligand, whereby Raf preferentially binds to the active guanosine triphosphate (GTP)-loaded state over the guanosine diphosphate (GDP)-loaded state of Ras. Whether GDP-bound Ras can also form specific protein–protein interactions with Raf, however, remains unclear. Here, we characterize the interaction between human K-Ras in both nucleotide states and the Ras-binding domain (RBD) of B-Raf by solution NMR. Active K-Ras·GTP forms a tight, conformationally restricted complex with RBD, causing pronounced chemical shift perturbations at the binding interface consistent with existing cryo-EM and X-ray crystallography structures. Surprisingly, we detect specific binding between “inactive” wild-type K-Ras·GDP with RBD in the millimolar affinity range, whereby the oncogenic G12D mutant of K-Ras further strengthens this interaction. NMR relaxation dispersion and chemical exchange saturation transfer (CEST) experiments allow the detailed structural characterization of the transient K-Ras·GDP·RBD complex, along with the determination of the interaction affinity and kinetics. The results demonstrate that the transient K-Ras·GDP·RBD bound state closely resembles the active K-Ras·GTP·RBD complex, providing a quantitative understanding at the backbone 15N-level of the nucleotide-specific K-Ras-Raf interaction. These findings underscore the prospect of the highly adaptable GDP-bound state of K-Ras for both signaling and as a drug target.</w:t>
      </w:r>
    </w:p>
    <w:p>
      <w:pPr>
        <w:spacing w:before="120" w:after="120"/>
      </w:pPr>
      <w:r>
        <w:rPr>
          <w:sz w:val="18"/>
        </w:rPr>
        <w:t>——————————————————————————————————————————————————————————————————————</w:t>
      </w:r>
    </w:p>
    <w:p>
      <w:pPr>
        <w:spacing w:before="160" w:after="40" w:line="240" w:lineRule="auto"/>
      </w:pPr>
      <w:r>
        <w:rPr>
          <w:b/>
        </w:rPr>
        <w:t xml:space="preserve">[50] </w:t>
      </w:r>
      <w:hyperlink r:id="rId678">
        <w:r>
          <w:rPr>
            <w:color w:val="1155CC"/>
            <w:u w:val="single"/>
          </w:rPr>
          <w:t>无催化剂硫醇-炔亲核光点击化学</w:t>
        </w:r>
      </w:hyperlink>
    </w:p>
    <w:p>
      <w:pPr>
        <w:spacing w:before="0" w:after="80"/>
      </w:pPr>
      <w:r>
        <w:rPr>
          <w:i/>
          <w:sz w:val="20"/>
        </w:rPr>
        <w:t>EN: Catalyst-Free Thiol–yne Nucleophilic Photoclick 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79">
        <w:r>
          <w:rPr>
            <w:color w:val="1155CC"/>
            <w:u w:val="single"/>
          </w:rPr>
          <w:t>10.1021/jacs.6c09543</w:t>
        </w:r>
      </w:hyperlink>
    </w:p>
    <w:p>
      <w:pPr>
        <w:spacing w:before="0" w:after="120"/>
      </w:pPr>
      <w:r>
        <w:rPr>
          <w:b/>
        </w:rPr>
        <w:t xml:space="preserve">Notes: </w:t>
      </w:r>
      <w:r>
        <w:t>abstract_source=crossref</w:t>
      </w:r>
    </w:p>
    <w:p>
      <w:pPr>
        <w:spacing w:before="0" w:after="80" w:lineRule="auto" w:line="276"/>
      </w:pPr>
      <w:r>
        <w:rPr>
          <w:b/>
        </w:rPr>
        <w:t xml:space="preserve">摘要（ZH）: </w:t>
      </w:r>
      <w:r>
        <w:t>摘要 X-yne 亲核加成反应是实现功能性和刺激响应材料的一系列合成路线中必不可少且强大的工具。不幸的是，这些反应中缺乏时空控制以及需要添加催化剂限制了它们在合成和基于材料的应用中的全部潜力，包括光驱动的 3D 打印。在这里，我们弥补了这一关键差距，并利用螺噻喃（STP）光开关作为光诱导和无催化剂的硫醇-炔点击反应的合成子，这是一类重要的X-yne点击化学。我们进一步利用基于光开关的实体进行快速、简便的后聚合改性以及在非常温和和有氧条件下的光聚合。</w:t>
      </w:r>
    </w:p>
    <w:p>
      <w:pPr>
        <w:spacing w:before="0" w:after="200" w:lineRule="auto" w:line="276"/>
      </w:pPr>
      <w:r>
        <w:rPr>
          <w:b/>
        </w:rPr>
        <w:t xml:space="preserve">Abstract (EN): </w:t>
      </w:r>
      <w:r>
        <w:t>X-yne nucleophilic addition reactions are essential and powerful tools in a range of synthetic routes for realizing functional and stimuli-responsive materials. Unfortunately, the lack of spatiotemporal control and the requirement for catalyst addition in these reactions limit their full potential in synthetic and materials-based applications, including in light-driven 3D printing. Herein, we close this critical gap and exploit a spirothiopyran (STP) photoswitch as a synthon for photoinduced and catalyst-free thiol–yne click reactions, an important class of X-yne click chemistries. We further employ our photoswitch-based entity for rapid and facile postpolymerization modification as well as photopolymerization under very mild and aerobic conditions.</w:t>
      </w:r>
    </w:p>
    <w:p>
      <w:pPr>
        <w:spacing w:before="120" w:after="120"/>
      </w:pPr>
      <w:r>
        <w:rPr>
          <w:sz w:val="18"/>
        </w:rPr>
        <w:t>——————————————————————————————————————————————————————————————————————</w:t>
      </w:r>
    </w:p>
    <w:p>
      <w:pPr>
        <w:spacing w:before="160" w:after="40" w:line="240" w:lineRule="auto"/>
      </w:pPr>
      <w:r>
        <w:rPr>
          <w:b/>
        </w:rPr>
        <w:t xml:space="preserve">[51] </w:t>
      </w:r>
      <w:hyperlink r:id="rId680">
        <w:r>
          <w:rPr>
            <w:color w:val="1155CC"/>
            <w:u w:val="single"/>
          </w:rPr>
          <w:t>病毒体包膜上 HIV-1 包膜蛋白的结构和动力学</w:t>
        </w:r>
      </w:hyperlink>
    </w:p>
    <w:p>
      <w:pPr>
        <w:spacing w:before="0" w:after="80"/>
      </w:pPr>
      <w:r>
        <w:rPr>
          <w:i/>
          <w:sz w:val="20"/>
        </w:rPr>
        <w:t>EN: Structure and Dynamics of the HIV-1 Envelope Protein on the Virion Envelope</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81">
        <w:r>
          <w:rPr>
            <w:color w:val="1155CC"/>
            <w:u w:val="single"/>
          </w:rPr>
          <w:t>10.1021/jacs.6c10101</w:t>
        </w:r>
      </w:hyperlink>
    </w:p>
    <w:p>
      <w:pPr>
        <w:spacing w:before="0" w:after="120"/>
      </w:pPr>
      <w:r>
        <w:rPr>
          <w:b/>
        </w:rPr>
        <w:t xml:space="preserve">Notes: </w:t>
      </w:r>
      <w:r>
        <w:t>abstract_source=crossref</w:t>
      </w:r>
    </w:p>
    <w:p>
      <w:pPr>
        <w:spacing w:before="0" w:after="80" w:lineRule="auto" w:line="276"/>
      </w:pPr>
      <w:r>
        <w:rPr>
          <w:b/>
        </w:rPr>
        <w:t xml:space="preserve">摘要（ZH）: </w:t>
      </w:r>
      <w:r>
        <w:t>摘要来自受感染细胞的 HIV-1 芽是未成熟的病毒粒子，其包膜上分布有分散的包膜糖蛋白 (Env)。然后它经历成熟，在此期间病毒蛋白酶在多个位点裂解 Gag 多蛋白，导致病毒颗粒的结构重组和 Env 蛋白的横向重新分布，最终使病毒粒子具有感染性。然而，成熟诱导的环境重组的潜在机制仍然难以捉摸。在这项研究中，我们结合微秒长的全原子（AA）和自下而上的粗粒度（CG）分子动力学模拟和基于扩散模型的反向映射来研究病毒膜中Env的结构组织和关键相互作用。首先对嵌入 HIV-1 模拟不对称双层中的完全糖基化的 Env 进行 AA 模拟，以表征其构象动力学和 Env-脂质相互作用。然后，我们根据 AA 数据开发了一个自下而上的糖基化 Env CG 模型，并模拟了包含多个 Env 蛋白的成熟 HIV-1 病毒体包膜。 CG 模拟预测 Env 蛋白通过细胞质尾部结构域介导的相互作用形成簇，并在这些簇内采用不同的倾斜构象。然后将这些 CG 模拟反向映射到 AA 分辨率，并进行进一步的 AA 模拟以详细识别 Env 簇中的特定相互作用残基。此外，表位可及性分析表明，针对 V1/V2 和 V3 环的广泛中和抗体 (bnAb) 可以有效地介导</w:t>
      </w:r>
    </w:p>
    <w:p>
      <w:pPr>
        <w:spacing w:before="0" w:after="200" w:lineRule="auto" w:line="276"/>
      </w:pPr>
      <w:r>
        <w:rPr>
          <w:b/>
        </w:rPr>
        <w:t xml:space="preserve">Abstract (EN): </w:t>
      </w:r>
      <w:r>
        <w:t>HIV-1 buds from infected cells as immature virion particles with a scattered envelope glycoprotein (Env) distribution on their envelope. It then undergoes maturation, during which the viral protease cleaves the Gag polyprotein at multiple sites, leading to structural reorganization of the viral particle and lateral redistribution of Env proteins, ultimately rendering the virion infectious. However, the underlying mechanism of maturation-induced Env reorganization remains elusive. In this study, we combine microsecond-long all-atom (AA) and bottom-up coarse-grained (CG) molecular dynamics simulations and diffusion model-based backmapping to investigate the structural organization and key interactions of Env in viral membranes. AA simulations of fully glycosylated Env embedded in HIV-1 mimetic asymmetric bilayers were first performed to characterize its conformational dynamics and Env–lipid interactions. We then developed a bottom-up CG model of glycosylated Env from the AA data and simulated the mature HIV-1 virion envelope containing multiple Env proteins. The CG simulations predict that Env proteins form clusters through interactions mediated by the cytoplasmic tail domain and adopt diverse tilted conformations within these clusters. These CG simulations were then backmapped to AA resolution, and further AA simulations were carried out to identify, in detail, the specific interacting residues in the Env clusters. Additionally, analysis of epitope accessibility shows that broadly neutralizing antibodies (bnAbs) targeting the V1/V2 and V3 loops may efficiently interact with Env clusters on the mature virion surface. Together, these results provide a molecular mechanism for Env oligomerization during viral maturation and offer new insights into the accessibility of bnAb epitopes on Env clusters.</w:t>
      </w:r>
    </w:p>
    <w:p>
      <w:pPr>
        <w:spacing w:before="120" w:after="120"/>
      </w:pPr>
      <w:r>
        <w:rPr>
          <w:sz w:val="18"/>
        </w:rPr>
        <w:t>——————————————————————————————————————————————————————————————————————</w:t>
      </w:r>
    </w:p>
    <w:p>
      <w:pPr>
        <w:spacing w:before="160" w:after="40" w:line="240" w:lineRule="auto"/>
      </w:pPr>
      <w:r>
        <w:rPr>
          <w:b/>
        </w:rPr>
        <w:t xml:space="preserve">[52] </w:t>
      </w:r>
      <w:hyperlink r:id="rId682">
        <w:r>
          <w:rPr>
            <w:color w:val="1155CC"/>
            <w:u w:val="single"/>
          </w:rPr>
          <w:t>无辅因子的 Tau 丝是动态的，并经历热力学控制驱动的结构进化</w:t>
        </w:r>
      </w:hyperlink>
    </w:p>
    <w:p>
      <w:pPr>
        <w:spacing w:before="0" w:after="80"/>
      </w:pPr>
      <w:r>
        <w:rPr>
          <w:i/>
          <w:sz w:val="20"/>
        </w:rPr>
        <w:t>EN: Cofactor-Free Tau Filaments Are Dynamic and Undergo Structural Evolution Driven by Thermodynamic Control</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683">
        <w:r>
          <w:rPr>
            <w:color w:val="1155CC"/>
            <w:u w:val="single"/>
          </w:rPr>
          <w:t>10.1021/jacs.6c04928</w:t>
        </w:r>
      </w:hyperlink>
    </w:p>
    <w:p>
      <w:pPr>
        <w:spacing w:before="0" w:after="120"/>
      </w:pPr>
      <w:r>
        <w:rPr>
          <w:b/>
        </w:rPr>
        <w:t xml:space="preserve">Notes: </w:t>
      </w:r>
      <w:r>
        <w:t>abstract_source=crossref</w:t>
      </w:r>
    </w:p>
    <w:p>
      <w:pPr>
        <w:spacing w:before="0" w:after="80" w:lineRule="auto" w:line="276"/>
      </w:pPr>
      <w:r>
        <w:rPr>
          <w:b/>
        </w:rPr>
        <w:t xml:space="preserve">摘要（ZH）: </w:t>
      </w:r>
      <w:r>
        <w:t>摘要 Tau 丝是神经退行性 tau 病的标志，例如阿尔茨海默病 (AD)。结构研究表明，患者来源的 tau 原纤维在不同的 tau 病中采用不同的折叠方式。然而，尚不清楚是什么力量引导这一过程。为了探索这个问题，我们研究了包含四种疾病相关磷酸模拟物（称为 Tau(297–407)-4D）的 tau 片段的体外组装。在无辅因子和静止条件下，大约 7 天后，Tau(297–407)-4D 形成具有部分类似于 AD 折叠的核心结构的原纤维。引人注目的是，我们注意到这种细丝表现为水凝胶，并随着其在接下来的 35 天的老化而演变成两种新的多晶型物。因此，在无辅因子条件下形成的 tau 原纤维是动态的，表现出显着的非平衡行为。为了探究哪些类型的扰动可以稳定这些结构，我们应用机械搅拌，以与奥斯特瓦尔德成熟为固相微米尺寸颗粒一致的机制驱动细丝达到热力学平衡。同样，根据溶解度平衡和化学变性实验判断，向预先形成的 Tau(297–407)-4D 原纤维中添加聚阴离子辅助因子可显着稳定它们。聚阴离子的一个子集还重塑了原纤维结构并调整了原纤维与原纤维相互作用的程度（即“结块”）。我们得出的结论是，环境因素，例如机械应力和/或聚阴离子，在促进动态 tau 纤维的热力学稳定性方面发挥着重要作用。</w:t>
      </w:r>
    </w:p>
    <w:p>
      <w:pPr>
        <w:spacing w:before="0" w:after="200" w:lineRule="auto" w:line="276"/>
      </w:pPr>
      <w:r>
        <w:rPr>
          <w:b/>
        </w:rPr>
        <w:t xml:space="preserve">Abstract (EN): </w:t>
      </w:r>
      <w:r>
        <w:t>Tau filaments are a hallmark of neurodegenerative tauopathies, such as Alzheimer’s disease (AD). Structural studies have revealed that patient-derived tau fibrils adopt distinct folds in different tauopathies; however, it is unclear what forces guide this process. To explore this question, we investigated the assembly of a tau fragment containing four disease-associated phospho-mimetics (termed Tau(297–407)-4D) in vitro. Under cofactor-free and quiescent conditions, Tau(297–407)-4D forms fibrils with a core structure that partially resembles the AD fold after about 7 days. Strikingly, we noticed that this filament behaves as a hydrogel and evolves into two new polymorphs as it ages over the next 35 days. Thus, tau fibrils formed under cofactor-free conditions are dynamic, exhibiting substantial nonequilibrium behavior. To probe what types of perturbations might stabilize these structures, we applied mechanical agitation, which drove the filaments toward thermodynamic equilibrium in a mechanism consistent with Ostwald ripening into solid-phase, micrometer-sized particles. Likewise, the addition of polyanionic cofactors to preformed Tau(297–407)-4D fibrils significantly stabilized them, as judged by solubility equilibria and chemical denaturation experiments. A subset of the polyanions also remodeled the fibril structure and tuned the extent of fibril–fibril interactions (i.e., “clumping”). We conclude that environmental factors, such as mechanical stress and/or polyanions, play an important role in promoting the thermodynamic stability of otherwise dynamic tau fibrils. We speculate that, in patients, such factors might contribute to the maturation of disease-specific conformers.</w:t>
      </w:r>
    </w:p>
    <w:p>
      <w:pPr>
        <w:spacing w:before="120" w:after="120"/>
      </w:pPr>
      <w:r>
        <w:rPr>
          <w:sz w:val="18"/>
        </w:rPr>
        <w:t>——————————————————————————————————————————————————————————————————————</w:t>
      </w:r>
    </w:p>
    <w:p>
      <w:pPr>
        <w:spacing w:before="160" w:after="40" w:line="240" w:lineRule="auto"/>
      </w:pPr>
      <w:r>
        <w:rPr>
          <w:b/>
        </w:rPr>
        <w:t xml:space="preserve">[53] </w:t>
      </w:r>
      <w:hyperlink r:id="rId684">
        <w:r>
          <w:rPr>
            <w:color w:val="1155CC"/>
            <w:u w:val="single"/>
          </w:rPr>
          <w:t>氢键：水系铵离子电池中的双刃剑</w:t>
        </w:r>
      </w:hyperlink>
    </w:p>
    <w:p>
      <w:pPr>
        <w:spacing w:before="0" w:after="80"/>
      </w:pPr>
      <w:r>
        <w:rPr>
          <w:i/>
          <w:sz w:val="20"/>
        </w:rPr>
        <w:t>EN: Hydrogen bonding: a double-edged sword in aqueous ammonium-ion batteries</w:t>
      </w:r>
    </w:p>
    <w:p>
      <w:pPr>
        <w:spacing w:before="0" w:after="120"/>
      </w:pPr>
      <w:r>
        <w:rPr>
          <w:b/>
        </w:rPr>
        <w:t xml:space="preserve">Source: </w:t>
      </w:r>
      <w:r>
        <w:t>National Science Review Advance Access</w:t>
      </w:r>
      <w:r>
        <w:t xml:space="preserve">    </w:t>
      </w:r>
      <w:r>
        <w:rPr>
          <w:b/>
        </w:rPr>
        <w:t xml:space="preserve">Pub date: </w:t>
      </w:r>
      <w:r>
        <w:t>2026-08-14 00:00:00+00:00</w:t>
      </w:r>
      <w:r>
        <w:t xml:space="preserve">    </w:t>
      </w:r>
      <w:r>
        <w:rPr>
          <w:b/>
        </w:rPr>
        <w:t xml:space="preserve">DOI: </w:t>
      </w:r>
      <w:hyperlink r:id="rId685">
        <w:r>
          <w:rPr>
            <w:color w:val="1155CC"/>
            <w:u w:val="single"/>
          </w:rPr>
          <w:t>10.1093/nsr/nwag490</w:t>
        </w:r>
      </w:hyperlink>
    </w:p>
    <w:p>
      <w:pPr>
        <w:spacing w:before="0" w:after="120"/>
      </w:pPr>
      <w:r>
        <w:rPr>
          <w:b/>
        </w:rPr>
        <w:t xml:space="preserve">Notes: </w:t>
      </w:r>
      <w:r>
        <w:t>abstract_source=crossref</w:t>
      </w:r>
    </w:p>
    <w:p>
      <w:pPr>
        <w:spacing w:before="0" w:after="80" w:lineRule="auto" w:line="276"/>
      </w:pPr>
      <w:r>
        <w:rPr>
          <w:b/>
        </w:rPr>
        <w:t xml:space="preserve">摘要（ZH）: </w:t>
      </w:r>
      <w:r>
        <w:t>氢键在铵离子电池中发挥着双刃作用，促进离子传输和灵活存储，同时引起不稳定性。这些相互作用的合理调节对于实现高绩效至关重要。</w:t>
      </w:r>
    </w:p>
    <w:p>
      <w:pPr>
        <w:spacing w:before="0" w:after="200" w:lineRule="auto" w:line="276"/>
      </w:pPr>
      <w:r>
        <w:rPr>
          <w:b/>
        </w:rPr>
        <w:t xml:space="preserve">Abstract (EN): </w:t>
      </w:r>
      <w:r>
        <w:t>Hydrogen bonding plays a double-edged role in ammonium-ion batteries, facilitating ion transport and flexible storage while inducing instability. Rational regulation of these interactions is crucial for achieving high-performance.</w:t>
      </w:r>
    </w:p>
    <w:p>
      <w:pPr>
        <w:spacing w:before="120" w:after="120"/>
      </w:pPr>
      <w:r>
        <w:rPr>
          <w:sz w:val="18"/>
        </w:rPr>
        <w:t>——————————————————————————————————————————————————————————————————————</w:t>
      </w:r>
    </w:p>
    <w:p>
      <w:pPr>
        <w:spacing w:before="160" w:after="40" w:line="240" w:lineRule="auto"/>
      </w:pPr>
      <w:r>
        <w:rPr>
          <w:b/>
        </w:rPr>
        <w:t xml:space="preserve">[54] </w:t>
      </w:r>
      <w:hyperlink r:id="rId686">
        <w:r>
          <w:rPr>
            <w:color w:val="1155CC"/>
            <w:u w:val="single"/>
          </w:rPr>
          <w:t>深入了解猴痘病毒感染的生命周期和治疗药物</w:t>
        </w:r>
      </w:hyperlink>
    </w:p>
    <w:p>
      <w:pPr>
        <w:spacing w:before="0" w:after="80"/>
      </w:pPr>
      <w:r>
        <w:rPr>
          <w:i/>
          <w:sz w:val="20"/>
        </w:rPr>
        <w:t>EN: Insights into the Life Cycle and Therapeutic Agents for Monkeypox Virus Infection</w:t>
      </w:r>
    </w:p>
    <w:p>
      <w:pPr>
        <w:spacing w:before="0" w:after="120"/>
      </w:pPr>
      <w:r>
        <w:rPr>
          <w:b/>
        </w:rPr>
        <w:t xml:space="preserve">Source: </w:t>
      </w:r>
      <w:r>
        <w:t>Chemical Reviews: Latest Articles (ACS Publications)</w:t>
      </w:r>
      <w:r>
        <w:t xml:space="preserve">    </w:t>
      </w:r>
      <w:r>
        <w:rPr>
          <w:b/>
        </w:rPr>
        <w:t xml:space="preserve">Pub date: </w:t>
      </w:r>
      <w:r>
        <w:t>2026-08-14 00:00:00+00:00</w:t>
      </w:r>
      <w:r>
        <w:t xml:space="preserve">    </w:t>
      </w:r>
      <w:r>
        <w:rPr>
          <w:b/>
        </w:rPr>
        <w:t xml:space="preserve">DOI: </w:t>
      </w:r>
      <w:hyperlink r:id="rId687">
        <w:r>
          <w:rPr>
            <w:color w:val="1155CC"/>
            <w:u w:val="single"/>
          </w:rPr>
          <w:t>10.1021/acs.chemrev.6c00118</w:t>
        </w:r>
      </w:hyperlink>
    </w:p>
    <w:p>
      <w:pPr>
        <w:spacing w:before="0" w:after="120"/>
      </w:pPr>
      <w:r>
        <w:rPr>
          <w:b/>
        </w:rPr>
        <w:t xml:space="preserve">Notes: </w:t>
      </w:r>
      <w:r>
        <w:t>abstract_source=crossref</w:t>
      </w:r>
    </w:p>
    <w:p>
      <w:pPr>
        <w:spacing w:before="0" w:after="80" w:lineRule="auto" w:line="276"/>
      </w:pPr>
      <w:r>
        <w:rPr>
          <w:b/>
        </w:rPr>
        <w:t xml:space="preserve">摘要（ZH）: </w:t>
      </w:r>
      <w:r>
        <w:t>摘要 自 1970 年出现第一例确诊病例以来，猴痘病毒（MPXV）已成为对全球公共卫生的重大威胁。世界卫生组织（WHO）曾两次宣布其为国际关注的突发公共卫生事件（PHEIC）。尽管经过数十年的研究，只有替科维马已获得欧洲药品管理局 (EMA) 批准用于治疗 MPXV 感染。 MPXV 和其他正痘病毒 (OPXV) 的基因组和结构相似，表明用于其他 OPXV 的策略可能适用于 MPXV。这篇综述系统地总结了OPXV，特别是MPXV的基因组、结构和生命周期的关键阶段。根据其不同的作用机制讨论了多种针对 MPXV 和其他 OPXV 的抗病毒药物：1) 阻止病毒进入和融合，2) 抑制 DNA 复制和加工，3) 破坏转录和 mRNA 加工，4) 防止病毒粒子组装、成熟和释放，5) 调节免疫反应，6) 机制未知。总体而言，本文对当前 MPXV 潜在治疗靶点和药物的研究进展进行了系统综述，旨在为开发有效的 MPXV 治疗药物提供创新见解和策略。</w:t>
      </w:r>
    </w:p>
    <w:p>
      <w:pPr>
        <w:spacing w:before="0" w:after="200" w:lineRule="auto" w:line="276"/>
      </w:pPr>
      <w:r>
        <w:rPr>
          <w:b/>
        </w:rPr>
        <w:t xml:space="preserve">Abstract (EN): </w:t>
      </w:r>
      <w:r>
        <w:t>Since the first confirmed case in 1970, the monkeypox virus (MPXV) has emerged as a significant threat to global public health. The World Health Organization (WHO) has declared it a Public Health Emergency of International Concern (PHEIC) on two occasions. Despite decades of research, only tecovirimat has been approved by the European Medicines Agency (EMA) for the treatment of MPXV infection. The genome and structure are similar between MPXV and other orthopoxviruses (OPXVs), suggesting that the strategies used for other OPXVs may be applicable to MPXV. This review systematically summarizes the genome, structure, and critical stages in the life cycle of OPXVs, especially MPXV. A variety of antiviral agents against MPXV and other OPXVs are discussed according to their distinct mechanisms of action: 1) blocking viral entry and fusion, 2) inhibiting DNA replication and processing, 3) disrupting transcription and mRNA processing, 4) preventing virion assembly, maturation and release, 5) modulating immune responses, and 6) mechanism unknown. Overall, this article provides a systematic review of current research progress on potential therapeutic targets and agent for MPXV, aiming to offer innovative insights and strategies for the development of effective therapeutic agents against mpox.</w:t>
      </w:r>
    </w:p>
    <w:p>
      <w:pPr>
        <w:spacing w:before="120" w:after="120"/>
      </w:pPr>
      <w:r>
        <w:rPr>
          <w:sz w:val="18"/>
        </w:rPr>
        <w:t>——————————————————————————————————————————————————————————————————————</w:t>
      </w:r>
    </w:p>
    <w:p>
      <w:pPr>
        <w:spacing w:before="160" w:after="40" w:line="240" w:lineRule="auto"/>
      </w:pPr>
      <w:r>
        <w:rPr>
          <w:b/>
        </w:rPr>
        <w:t xml:space="preserve">[55] </w:t>
      </w:r>
      <w:hyperlink r:id="rId688">
        <w:r>
          <w:rPr>
            <w:color w:val="1155CC"/>
            <w:u w:val="single"/>
          </w:rPr>
          <w:t>地缘政治碎片化在能源转型中的调节作用——能源贫困：来自欧洲的交叉分布证据</w:t>
        </w:r>
      </w:hyperlink>
    </w:p>
    <w:p>
      <w:pPr>
        <w:spacing w:before="0" w:after="80"/>
      </w:pPr>
      <w:r>
        <w:rPr>
          <w:i/>
          <w:sz w:val="20"/>
        </w:rPr>
        <w:t>EN: The moderating role of geopolitical fragmentation in energy transition-energy poverty: A cross distribution evidence from Europe</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689">
        <w:r>
          <w:rPr>
            <w:color w:val="1155CC"/>
            <w:u w:val="single"/>
          </w:rPr>
          <w:t>10.1016/j.enpol.2026.115544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690">
        <w:r>
          <w:rPr>
            <w:color w:val="1155CC"/>
            <w:u w:val="single"/>
          </w:rPr>
          <w:t>由可穿戴电子设备控制的可摄入水凝胶封装的光遗传学酵母可实现可编程 IL-10 递送，用于炎症性肠病治疗</w:t>
        </w:r>
      </w:hyperlink>
    </w:p>
    <w:p>
      <w:pPr>
        <w:spacing w:before="0" w:after="80"/>
      </w:pPr>
      <w:r>
        <w:rPr>
          <w:i/>
          <w:sz w:val="20"/>
        </w:rPr>
        <w:t>EN: Ingestible Hydrogel-Encapsulated Optogenetic Yeast Controlled by Wearable Electronics Enables Programmable IL-10 Delivery for Inflammatory Bowel Disease Therapy</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691">
        <w:r>
          <w:rPr>
            <w:color w:val="1155CC"/>
            <w:u w:val="single"/>
          </w:rPr>
          <w:t>10.1021/acsami.6c10319</w:t>
        </w:r>
      </w:hyperlink>
    </w:p>
    <w:p>
      <w:pPr>
        <w:spacing w:before="0" w:after="120"/>
      </w:pPr>
      <w:r>
        <w:rPr>
          <w:b/>
        </w:rPr>
        <w:t xml:space="preserve">Notes: </w:t>
      </w:r>
      <w:r>
        <w:t>abstract_source=crossref</w:t>
      </w:r>
    </w:p>
    <w:p>
      <w:pPr>
        <w:spacing w:before="0" w:after="80" w:lineRule="auto" w:line="276"/>
      </w:pPr>
      <w:r>
        <w:rPr>
          <w:b/>
        </w:rPr>
        <w:t xml:space="preserve">摘要（ZH）: </w:t>
      </w:r>
      <w:r>
        <w:t>摘要 工程酵母活性药物为口服蛋白质治疗提供了巨大的潜力，但仍然受到肠道滞留不良和缺乏对治疗递送的精确时空控制的限制。在这里，我们开发了一种由可穿戴电子设备控制的可摄入水凝胶封装的光遗传学酵母系统，用于在炎症性肠病（IBD）中进行可编程白细胞介素 10（IL-10）输送。我们利用基于 EL222 的蓝光诱导电路对毕赤酵母进行了改造，实现了快速、严格的 IL-10 分泌（诱导后仅 1 小时内即可达到 50% 饱和浓度）。酵母被封装在可光交联的 HAMA 水凝胶中，在蓝光照射下 60 秒内凝胶化，表现出强大的机械稳定性和组织粘附性。一种轻质（2.27 克）可穿戴蓝牙控制电子设备可透皮传输目标蓝光，从而能够在酵母细胞中同时进行原位水凝胶交联和光遗传学激活。该系统显着延长了酵母在小鼠肠道中的停留时间，报告基因表达持续超过 5 小时，而未封装的对照组持续时间不到 2 小时。在 DSS 诱导的结肠炎小鼠中，我们的策略将促炎细胞因子（IL-1β、IL-6 和 TNF-α）减少了 60% 以上，恢复了肠道屏障完整性，并将肠道微生物群多样性正常化到接近健康的水平，其表现明显优于其他组。这种集成的“体外指令-体内反应”范式为精准活体生物建立了数字可编程平台</w:t>
      </w:r>
    </w:p>
    <w:p>
      <w:pPr>
        <w:spacing w:before="0" w:after="200" w:lineRule="auto" w:line="276"/>
      </w:pPr>
      <w:r>
        <w:rPr>
          <w:b/>
        </w:rPr>
        <w:t xml:space="preserve">Abstract (EN): </w:t>
      </w:r>
      <w:r>
        <w:t>Engineered yeast-living drugs offer significant potential for oral protein therapy but remain limited by poor intestinal retention and lack of precise spatiotemporal control over therapeutic delivery. Here, we developed an ingestible hydrogel-encapsulated optogenetic yeast system controlled by a wearable electronic device for programmable interleukin-10 (IL-10) delivery in inflammatory bowel disease (IBD). We engineered Pichia pastoris with an EL222-based blue-light-inducible circuit achieving rapid, stringent IL-10 secretion (50% saturated concentration within just 1 h upon induction). The yeast was encapsulated in a photo-crosslinkable HAMA hydrogel that was gelated within 60 s upon blue-light exposure, exhibiting robust mechanical stability and tissue adhesion. A lightweight (2.27 g) wearable Bluetooth-controlled electronic device delivered targeted blue light transdermally, enabling simultaneous in situ hydrogel crosslinking and optogenetic activation in yeast cells. This system significantly extended the time yeast stays in the mouse gut, with reporter gene expression lasting over 5 h, while the unencapsulated control group lasted less than 2 h. In DSS-induced colitis mice, our strategy reduced proinflammatory cytokines (IL-1β, IL-6, and TNF-α) by &amp;gt;60%, restored intestinal barrier integrity, and normalized gut microbiota diversity to near-healthy levels, which performed significantly better than in other groups. This integrated “extracorporeal instruction−intracorporeal response” paradigm establishes a digitally programmable platform for precision live biotherapeutics. However, limited blue-light tissue penetration remains a key constraint; future work should focus on near-infrared photosensitive systems, programmable-degradation hydrogels, and wireless closed‑loop feedback to advance clinical translation.</w:t>
      </w:r>
    </w:p>
    <w:p>
      <w:pPr>
        <w:spacing w:before="120" w:after="120"/>
      </w:pPr>
      <w:r>
        <w:rPr>
          <w:sz w:val="18"/>
        </w:rPr>
        <w:t>——————————————————————————————————————————————————————————————————————</w:t>
      </w:r>
    </w:p>
    <w:p>
      <w:pPr>
        <w:spacing w:before="160" w:after="40" w:line="240" w:lineRule="auto"/>
      </w:pPr>
      <w:r>
        <w:rPr>
          <w:b/>
        </w:rPr>
        <w:t xml:space="preserve">[57] </w:t>
      </w:r>
      <w:hyperlink r:id="rId692">
        <w:r>
          <w:rPr>
            <w:color w:val="1155CC"/>
            <w:u w:val="single"/>
          </w:rPr>
          <w:t>Se4+ 掺杂铟基钙钛矿通过 NaCl 驱动的结构转变用于多模态防伪和加密中的动态发光调制</w:t>
        </w:r>
      </w:hyperlink>
    </w:p>
    <w:p>
      <w:pPr>
        <w:spacing w:before="0" w:after="80"/>
      </w:pPr>
      <w:r>
        <w:rPr>
          <w:i/>
          <w:sz w:val="20"/>
        </w:rPr>
        <w:t>EN: Se4+-Doped Indium-Based Perovskites via NaCl-Driven Structural Transformation for Dynamic Luminescence Modulation in Multimodal Anti-counterfeiting and Encryption</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693">
        <w:r>
          <w:rPr>
            <w:color w:val="1155CC"/>
            <w:u w:val="single"/>
          </w:rPr>
          <w:t>10.1021/acsami.6c10246</w:t>
        </w:r>
      </w:hyperlink>
    </w:p>
    <w:p>
      <w:pPr>
        <w:spacing w:before="0" w:after="120"/>
      </w:pPr>
      <w:r>
        <w:rPr>
          <w:b/>
        </w:rPr>
        <w:t xml:space="preserve">Notes: </w:t>
      </w:r>
      <w:r>
        <w:t>abstract_source=crossref</w:t>
      </w:r>
    </w:p>
    <w:p>
      <w:pPr>
        <w:spacing w:before="0" w:after="80" w:lineRule="auto" w:line="276"/>
      </w:pPr>
      <w:r>
        <w:rPr>
          <w:b/>
        </w:rPr>
        <w:t xml:space="preserve">摘要（ZH）: </w:t>
      </w:r>
      <w:r>
        <w:t>摘要 日益增长的伪造和信息安全漏洞风险刺激了对高安全性刺激响应光学材料的需求。然而，许多报道的材料表现出不连续的发光切换或需要严酷的外部刺激。在此，我们报告了一种基于铟的钙钛矿的简便发光调制策略，采用 Se4+ 作为有效的发光调制剂，通过温和的 NaCl 触发的 0D 到 3D 相变实现连续颜色演化。在此相变过程中，Se4+ 掺杂的 Cs2InCl5·H2O 转变为 Cs2NaInCl6 相，同时发射颜色从橙红色变为绿色。这种光学演化源于 Se4+ 掺杂剂局部配位环境的改变，它调节自陷激子 (STE) 的形成和发射能量。在实际应用中，通过丝网印刷将所制备的功能墨水制成图案薄膜，通过调节NaCl浓度和温度来实现可调节发射颜色和响应动力学的动态防伪。此外，多级光学加密设计可通过顺序刺激实现三级信息读出。这项工作为铟基钙钛矿建立了一种温和的、相变驱动的发光演化方法，为先进的防伪和信息加密提供了一个具有连续动态颜色演化的多功能平台。</w:t>
      </w:r>
    </w:p>
    <w:p>
      <w:pPr>
        <w:spacing w:before="0" w:after="200" w:lineRule="auto" w:line="276"/>
      </w:pPr>
      <w:r>
        <w:rPr>
          <w:b/>
        </w:rPr>
        <w:t xml:space="preserve">Abstract (EN): </w:t>
      </w:r>
      <w:r>
        <w:t>The growing risks of counterfeiting and information security breaches have spurred the demand for high-security stimuli-responsive optical materials. However, many reported materials exhibit discontinuous luminescence switching or require harsh external stimuli. Herein, we report a facile luminescence modulation strategy for indium-based perovskites by employing Se4+ as an efficient luminescent modulator, which enables continuous color evolution via a mild NaCl-triggered 0D-to-3D phase transition. During this phase transition, the Se4+-doped Cs2InCl5·H2O converts to the Cs2NaInCl6 phase, accompanied by emission color evolution from orange-red to green. This optical evolution stems from the altered local coordination environment of Se4+ dopants, which modulates the formation and emission energy of self-trapped excitons (STEs). For practical applications, the as-prepared functional ink is fabricated into patterned films via screen printing to realize dynamic anti-counterfeiting with tunable emission colors and response kinetics by adjusting NaCl concentration and temperature. Furthermore, a multi-level optical encryption design enables three-stage information readout through sequential stimuli. This work establishes a mild, phase-transition-driven luminescence evolution approach for indium-based perovskites, providing a versatile platform with continuous dynamic color evolution for advanced anti-counterfeiting and information encryption.</w:t>
      </w:r>
    </w:p>
    <w:p>
      <w:pPr>
        <w:spacing w:before="120" w:after="120"/>
      </w:pPr>
      <w:r>
        <w:rPr>
          <w:sz w:val="18"/>
        </w:rPr>
        <w:t>——————————————————————————————————————————————————————————————————————</w:t>
      </w:r>
    </w:p>
    <w:p>
      <w:pPr>
        <w:spacing w:before="160" w:after="40" w:line="240" w:lineRule="auto"/>
      </w:pPr>
      <w:r>
        <w:rPr>
          <w:b/>
        </w:rPr>
        <w:t xml:space="preserve">[58] </w:t>
      </w:r>
      <w:hyperlink r:id="rId694">
        <w:r>
          <w:rPr>
            <w:color w:val="1155CC"/>
            <w:u w:val="single"/>
          </w:rPr>
          <w:t>能源贫困：季节性变化、社会经济差异和累积不平等</w:t>
        </w:r>
      </w:hyperlink>
    </w:p>
    <w:p>
      <w:pPr>
        <w:spacing w:before="0" w:after="80"/>
      </w:pPr>
      <w:r>
        <w:rPr>
          <w:i/>
          <w:sz w:val="20"/>
        </w:rPr>
        <w:t>EN: Energy poverty: Seasonal variations, socioeconomic disparities and cumulative inequality</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695">
        <w:r>
          <w:rPr>
            <w:color w:val="1155CC"/>
            <w:u w:val="single"/>
          </w:rPr>
          <w:t>10.1016/j.enpol.2026.115550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696">
        <w:r>
          <w:rPr>
            <w:color w:val="1155CC"/>
            <w:u w:val="single"/>
          </w:rPr>
          <w:t>全球地缘政治风险和能源贫困：来自跨国数据的新证据</w:t>
        </w:r>
      </w:hyperlink>
    </w:p>
    <w:p>
      <w:pPr>
        <w:spacing w:before="0" w:after="80"/>
      </w:pPr>
      <w:r>
        <w:rPr>
          <w:i/>
          <w:sz w:val="20"/>
        </w:rPr>
        <w:t>EN: Global geopolitical risk and energy poverty: New evidence from cross-country data</w:t>
      </w:r>
    </w:p>
    <w:p>
      <w:pPr>
        <w:spacing w:before="0" w:after="120"/>
      </w:pPr>
      <w:r>
        <w:rPr>
          <w:b/>
        </w:rPr>
        <w:t xml:space="preserve">Source: </w:t>
      </w:r>
      <w:r>
        <w:t>ScienceDirect Publication: Energy Policy</w:t>
      </w:r>
      <w:r>
        <w:t xml:space="preserve">    </w:t>
      </w:r>
      <w:r>
        <w:rPr>
          <w:b/>
        </w:rPr>
        <w:t xml:space="preserve">Pub date: </w:t>
      </w:r>
      <w:r>
        <w:t>2026-08-14 00:00:00+00:00</w:t>
      </w:r>
      <w:r>
        <w:t xml:space="preserve">    </w:t>
      </w:r>
      <w:r>
        <w:rPr>
          <w:b/>
        </w:rPr>
        <w:t xml:space="preserve">DOI: </w:t>
      </w:r>
      <w:hyperlink r:id="rId697">
        <w:r>
          <w:rPr>
            <w:color w:val="1155CC"/>
            <w:u w:val="single"/>
          </w:rPr>
          <w:t>10.1016/j.enpol.2026.115548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698">
        <w:r>
          <w:rPr>
            <w:color w:val="1155CC"/>
            <w:u w:val="single"/>
          </w:rPr>
          <w:t>路易斯酸实现有机半导体的降解辅助掺杂</w:t>
        </w:r>
      </w:hyperlink>
    </w:p>
    <w:p>
      <w:pPr>
        <w:spacing w:before="0" w:after="80"/>
      </w:pPr>
      <w:r>
        <w:rPr>
          <w:i/>
          <w:sz w:val="20"/>
        </w:rPr>
        <w:t>EN: Degradation-assisted doping of organic semiconductors enabled by Lewis acids</w:t>
      </w:r>
    </w:p>
    <w:p>
      <w:pPr>
        <w:spacing w:before="0" w:after="120"/>
      </w:pPr>
      <w:r>
        <w:rPr>
          <w:b/>
        </w:rPr>
        <w:t xml:space="preserve">Source: </w:t>
      </w:r>
      <w:r>
        <w:t>Nature Materials</w:t>
      </w:r>
      <w:r>
        <w:t xml:space="preserve">    </w:t>
      </w:r>
      <w:r>
        <w:rPr>
          <w:b/>
        </w:rPr>
        <w:t xml:space="preserve">Pub date: </w:t>
      </w:r>
      <w:r>
        <w:t>2026-08-14 00:00:00+00:00</w:t>
      </w:r>
      <w:r>
        <w:t xml:space="preserve">    </w:t>
      </w:r>
      <w:r>
        <w:rPr>
          <w:b/>
        </w:rPr>
        <w:t xml:space="preserve">DOI: </w:t>
      </w:r>
      <w:hyperlink r:id="rId699">
        <w:r>
          <w:rPr>
            <w:color w:val="1155CC"/>
            <w:u w:val="single"/>
          </w:rPr>
          <w:t>10.1038/s41563-026-02717-0</w:t>
        </w:r>
      </w:hyperlink>
    </w:p>
    <w:p>
      <w:pPr>
        <w:spacing w:before="0" w:after="120"/>
      </w:pPr>
      <w:r>
        <w:rPr>
          <w:b/>
        </w:rPr>
        <w:t xml:space="preserve">Notes: </w:t>
      </w:r>
      <w:r>
        <w:t>abstract_source=pubmed</w:t>
      </w:r>
    </w:p>
    <w:p>
      <w:pPr>
        <w:spacing w:before="0" w:after="80" w:lineRule="auto" w:line="276"/>
      </w:pPr>
      <w:r>
        <w:rPr>
          <w:b/>
        </w:rPr>
        <w:t xml:space="preserve">摘要（ZH）: </w:t>
      </w:r>
      <w:r>
        <w:t>用分子掺杂剂对有机半导体进行化学掺杂对于高性能有机电子器件至关重要。通常使用化学稳定的掺杂剂，使电子转移直至达到热力学平衡，然后终止掺杂过程。在这里，我们证明，使用在电子转移后通过自由基阴离子发生化学降解的 p 掺杂剂可以将半导体主体中的空穴密度增加多达两个数量级。在这种降解辅助掺杂机制中，掺杂剂的电子亲和力只能实现有限量的电荷转移。随后的掺杂剂降解有效地将其产物从共同定义的热力学平衡中去除，从而使掺杂反应持续存在。我们证明了原型路易斯酸三（五氟苯基）硼烷（B（C6F5）3）是降解辅助掺杂的例证，并为这种掺杂策略提供了理论框架，为优化有机半导体中的载流子密度提供了新途径。</w:t>
      </w:r>
    </w:p>
    <w:p>
      <w:pPr>
        <w:spacing w:before="0" w:after="200" w:lineRule="auto" w:line="276"/>
      </w:pPr>
      <w:r>
        <w:rPr>
          <w:b/>
        </w:rPr>
        <w:t xml:space="preserve">Abstract (EN): </w:t>
      </w:r>
      <w:r>
        <w:t>The chemical doping of organic semiconductors with molecular dopants is crucial for high-performance organic electronic devices. Chemically stable dopants are commonly used, enabling electron transfer until a thermodynamic equilibrium is reached, which then terminates the doping process. Here we demonstrate that using p-dopants that chemically degrade after electron transfer via their radical anion can increase the hole densities in the semiconductor host by up to two orders of magnitude. In this degradation-assisted doping mechanism, the electron affinity of the doping agent only enables a limited amount of charge transfer. Subsequent dopant degradation effectively removes its products from co-defining the thermodynamic equilibrium and, thus, allows the doping reaction to persist. We demonstrate that the prototypical Lewis acid tris(pentafluorophenyl)borane (B(C6F5)3) exemplifies degradation-assisted doping, and provide the theoretical framework for this doping strategy offering new avenues for optimizing charge carrier densities in organic semiconductors.</w:t>
      </w:r>
    </w:p>
    <w:p>
      <w:pPr>
        <w:spacing w:before="120" w:after="120"/>
      </w:pPr>
      <w:r>
        <w:rPr>
          <w:sz w:val="18"/>
        </w:rPr>
        <w:t>——————————————————————————————————————————————————————————————————————</w:t>
      </w:r>
    </w:p>
    <w:p>
      <w:pPr>
        <w:spacing w:before="160" w:after="40" w:line="240" w:lineRule="auto"/>
      </w:pPr>
      <w:r>
        <w:rPr>
          <w:b/>
        </w:rPr>
        <w:t xml:space="preserve">[61] </w:t>
      </w:r>
      <w:hyperlink r:id="rId700">
        <w:r>
          <w:rPr>
            <w:color w:val="1155CC"/>
            <w:u w:val="single"/>
          </w:rPr>
          <w:t>GaN与过渡金属二硫属化物异质结的多功能器件设计及应用</w:t>
        </w:r>
      </w:hyperlink>
    </w:p>
    <w:p>
      <w:pPr>
        <w:spacing w:before="0" w:after="80"/>
      </w:pPr>
      <w:r>
        <w:rPr>
          <w:i/>
          <w:sz w:val="20"/>
        </w:rPr>
        <w:t>EN: Multifunctional Device Design and Applications of GaN and Transition Metal Dichalcogenides Heterojunctions</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701">
        <w:r>
          <w:rPr>
            <w:color w:val="1155CC"/>
            <w:u w:val="single"/>
          </w:rPr>
          <w:t>10.1021/acsami.6c08831</w:t>
        </w:r>
      </w:hyperlink>
    </w:p>
    <w:p>
      <w:pPr>
        <w:spacing w:before="0" w:after="120"/>
      </w:pPr>
      <w:r>
        <w:rPr>
          <w:b/>
        </w:rPr>
        <w:t xml:space="preserve">Notes: </w:t>
      </w:r>
      <w:r>
        <w:t>abstract_source=crossref</w:t>
      </w:r>
    </w:p>
    <w:p>
      <w:pPr>
        <w:spacing w:before="0" w:after="80" w:lineRule="auto" w:line="276"/>
      </w:pPr>
      <w:r>
        <w:rPr>
          <w:b/>
        </w:rPr>
        <w:t xml:space="preserve">摘要（ZH）: </w:t>
      </w:r>
      <w:r>
        <w:t>摘要：本文全面探讨了氮化镓（GaN）和二维过渡金属二硫属化物（TMD）异质结在下一代高性能器件中的前沿应用。我们重点关注实际实施，系统地分析了 GaN/TMD 异质结构在电子、光电子、传感和能量转换领域的关键作用。重点介绍了高频晶体管、低功耗神经拟态计算、宽带光电探测器（紫外到近红外）、自供电传感器和高效光催化系统的关键进展。讨论延伸到实现大面积集成和柔性电子产品的创新制造技术。此外，我们还展示了它们在5G通信、人工智能、成像系统、环境监测和清洁能源技术等战略领域的应用潜力。通过解决接口工程、材料合成和器件集成方面的关键挑战，这篇综述为开发高性能、商业上可行的半导体器件提供了有价值的路线图。</w:t>
      </w:r>
    </w:p>
    <w:p>
      <w:pPr>
        <w:spacing w:before="0" w:after="200" w:lineRule="auto" w:line="276"/>
      </w:pPr>
      <w:r>
        <w:rPr>
          <w:b/>
        </w:rPr>
        <w:t xml:space="preserve">Abstract (EN): </w:t>
      </w:r>
      <w:r>
        <w:t>This review comprehensively explores the cutting-edge applications of gallium nitride (GaN) and two-dimensional transition metal dichalcogenides (TMDs) heterojunctions in next-generation high-performance devices. With a strong focus on practical implementation, we systematically analyze the pivotal roles of GaN/TMDs heterostructures across electronics, optoelectronics, sensing, and energy conversion. Key advancements in high-frequency transistors, low-power neuromorphic computing, broadband photodetectors (UV to NIR), self-powered sensors, and efficient photocatalytic systems are highlighted. The discussion extends to innovative fabrication techniques enabling large-area integration and flexible electronics. Furthermore, we showcase their application potential in strategic fields such as 5G communication, artificial intelligence, imaging systems, environmental monitoring, and clean energy technologies. By addressing critical challenges in interface engineering, material synthesis, and device integration, this review provides a valuable roadmap for developing high-performance, commercially viable semiconductor devices.</w:t>
      </w:r>
    </w:p>
    <w:p>
      <w:pPr>
        <w:spacing w:before="120" w:after="120"/>
      </w:pPr>
      <w:r>
        <w:rPr>
          <w:sz w:val="18"/>
        </w:rPr>
        <w:t>——————————————————————————————————————————————————————————————————————</w:t>
      </w:r>
    </w:p>
    <w:p>
      <w:pPr>
        <w:spacing w:before="160" w:after="40" w:line="240" w:lineRule="auto"/>
      </w:pPr>
      <w:r>
        <w:rPr>
          <w:b/>
        </w:rPr>
        <w:t xml:space="preserve">[62] </w:t>
      </w:r>
      <w:hyperlink r:id="rId702">
        <w:r>
          <w:rPr>
            <w:color w:val="1155CC"/>
            <w:u w:val="single"/>
          </w:rPr>
          <w:t>调节三线态能级和分子内运动：用于近红外 I 型光动力/光热协同治疗的聚集诱导发射 BODIPY</w:t>
        </w:r>
      </w:hyperlink>
    </w:p>
    <w:p>
      <w:pPr>
        <w:spacing w:before="0" w:after="80"/>
      </w:pPr>
      <w:r>
        <w:rPr>
          <w:i/>
          <w:sz w:val="20"/>
        </w:rPr>
        <w:t>EN: Regulating Triplet Energy Level and Intramolecular Motion: An Aggregation-Induced Emission BODIPY for Near-Infrared Type I Photodynamic/Photothermal Synergistic Therapy</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703">
        <w:r>
          <w:rPr>
            <w:color w:val="1155CC"/>
            <w:u w:val="single"/>
          </w:rPr>
          <w:t>10.1021/acsami.6c11599</w:t>
        </w:r>
      </w:hyperlink>
    </w:p>
    <w:p>
      <w:pPr>
        <w:spacing w:before="0" w:after="120"/>
      </w:pPr>
      <w:r>
        <w:rPr>
          <w:b/>
        </w:rPr>
        <w:t xml:space="preserve">Notes: </w:t>
      </w:r>
      <w:r>
        <w:t>abstract_source=crossref</w:t>
      </w:r>
    </w:p>
    <w:p>
      <w:pPr>
        <w:spacing w:before="0" w:after="80" w:lineRule="auto" w:line="276"/>
      </w:pPr>
      <w:r>
        <w:rPr>
          <w:b/>
        </w:rPr>
        <w:t xml:space="preserve">摘要（ZH）: </w:t>
      </w:r>
      <w:r>
        <w:t>摘要 光动力疗法（PDT）和光热疗法（PTT）的结合在癌症治疗中具有广阔的前景，但传统的II型PDT受到肿瘤缺氧的强烈限制。在这里，我们通过整合四苯乙烯单元和可旋转的 N,N-二乙基苯胺部分，设计了一种基于 D-π-A-π-D BODIPY 的近红外聚集诱导发射（AIE）光敏剂 TBSN。理论计算确定S1→T2是主要的系间穿越路径，并表明N,N-二乙基苯胺单元参与了T2态的电子重新分布。计算得出的 T1 → S0 能量为 0.42 eV，这使得单线态氧敏化所需的能量转移过程在热力学上不利。电子顺磁共振 (EPR) 自旋捕获实验检测到光诱导的超氧自由基阴离子 (O2·–) 和羟基自由基 (·OH)，但没有可辨别的单线态氧 (1O2) 信号，主要支持 I 型活性氧 (ROS) 的生成。分子动力学模拟进一步表明，分子转子在聚集后保留了相当大的旋转自由度，与54.44%的光热转换效率一致。用 DSPE-PEG2000 封装后，TBSN@PEG 保留了显着的 ROS 生成和光热活性，并在常氧和缺氧条件下表现出有效的光细胞毒性。瘤内给药和 730 nm 照射后，TBSN@PEG 产生局部加热并显着抑制 4T1 肿瘤生长，同时显示出良好的初步短期双</w:t>
      </w:r>
    </w:p>
    <w:p>
      <w:pPr>
        <w:spacing w:before="0" w:after="200" w:lineRule="auto" w:line="276"/>
      </w:pPr>
      <w:r>
        <w:rPr>
          <w:b/>
        </w:rPr>
        <w:t xml:space="preserve">Abstract (EN): </w:t>
      </w:r>
      <w:r>
        <w:t>The combination of photodynamic therapy (PDT) and photothermal therapy (PTT) holds considerable promise for cancer treatment, but conventional Type II PDT is strongly limited by tumor hypoxia. Here, we designed a D-π-A-π-D BODIPY-based near-infrared aggregation-induced emission (AIE) photosensitizer, TBSN, by integrating tetraphenylethylene units and a rotatable N,N-diethylaniline moiety. Theoretical calculations identified S1 → T2 as the predominant intersystem crossing pathway and showed that the N,N-diethylaniline unit participated in the electronic redistribution of the T2 state. The calculated T1 → S0 energy of 0.42 eV made the energy-transfer process required for singlet-oxygen sensitization thermodynamically unfavorable. Electron paramagnetic resonance (EPR) spin-trapping experiments detected light-induced superoxide radical anions (O2·–) and hydroxyl radicals (·OH), but no discernible singlet oxygen (1O2) signal, supporting predominantly Type I reactive oxygen species (ROS) generation. Molecular dynamics simulations further showed that the molecular rotor retained considerable rotational freedom after aggregation, consistent with the photothermal conversion efficiency of 54.44%. After encapsulation with DSPE-PEG2000, TBSN@PEG retained pronounced ROS-generating and photothermal activities and exhibited effective photocytotoxicity under both normoxic and hypoxic conditions. Following intratumoral administration and 730 nm irradiation, TBSN@PEG produced localized heating and markedly inhibited 4T1 tumor growth, while showing favorable preliminary short-term biosafety at the tested dose. These results demonstrate a molecular design strategy that jointly regulates triplet-state electronic structure and residual rotor motion to balance Type I ROS generation and photothermal conversion.</w:t>
      </w:r>
    </w:p>
    <w:p>
      <w:pPr>
        <w:spacing w:before="120" w:after="120"/>
      </w:pPr>
      <w:r>
        <w:rPr>
          <w:sz w:val="18"/>
        </w:rPr>
        <w:t>——————————————————————————————————————————————————————————————————————</w:t>
      </w:r>
    </w:p>
    <w:p>
      <w:pPr>
        <w:spacing w:before="160" w:after="40" w:line="240" w:lineRule="auto"/>
      </w:pPr>
      <w:r>
        <w:rPr>
          <w:b/>
        </w:rPr>
        <w:t xml:space="preserve">[63] </w:t>
      </w:r>
      <w:hyperlink r:id="rId704">
        <w:r>
          <w:rPr>
            <w:color w:val="1155CC"/>
            <w:u w:val="single"/>
          </w:rPr>
          <w:t>干细胞衍生的细胞外基质生物功能化小肠粘膜下层用于修复肩袖撕裂</w:t>
        </w:r>
      </w:hyperlink>
    </w:p>
    <w:p>
      <w:pPr>
        <w:spacing w:before="0" w:after="80"/>
      </w:pPr>
      <w:r>
        <w:rPr>
          <w:i/>
          <w:sz w:val="20"/>
        </w:rPr>
        <w:t>EN: Stem Cell-Derived Extracellular Matrix Biofunctionalized Small Intestinal Submucosa for the Repair of Rotator Cuff Tears</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705">
        <w:r>
          <w:rPr>
            <w:color w:val="1155CC"/>
            <w:u w:val="single"/>
          </w:rPr>
          <w:t>10.1021/acsami.6c07394</w:t>
        </w:r>
      </w:hyperlink>
    </w:p>
    <w:p>
      <w:pPr>
        <w:spacing w:before="0" w:after="120"/>
      </w:pPr>
      <w:r>
        <w:rPr>
          <w:b/>
        </w:rPr>
        <w:t xml:space="preserve">Notes: </w:t>
      </w:r>
      <w:r>
        <w:t>abstract_source=crossref</w:t>
      </w:r>
    </w:p>
    <w:p>
      <w:pPr>
        <w:spacing w:before="0" w:after="80" w:lineRule="auto" w:line="276"/>
      </w:pPr>
      <w:r>
        <w:rPr>
          <w:b/>
        </w:rPr>
        <w:t xml:space="preserve">摘要（ZH）: </w:t>
      </w:r>
      <w:r>
        <w:t>摘要 大到大量的肩袖撕裂（RCT）经常导致较高的再愈合率，小肠粘膜下层（SIS）已应用于RCT修复，但由于再生能力不足而受到限制。为了增强 SIS 的腱骨愈合潜力，我们用源自骨髓间充质干细胞 (BM-MSC) 的细胞外基质 (ECM) 对其进行了修改，生成了一种称为 BME-SIS 的支架。对 BME-SIS 的形貌、表面粗糙度、亲水性、机械性能和生长因子含量进行了系统表征。在体外，BME-SIS 提取物显着促进 BM-MSC 增殖、迁移以及成骨、软骨形成和肌腱谱系相关分化标记物的表达，尽管其机械强度略有降低。在 RCT 大鼠模型中，BME-SIS 被植入腱骨界面 (TBI)，并在术后 4 周和 8 周通过步态分析、生物力学测试、微计算机断层扫描、磁共振成像和组织学评估进行评估。与 SIS 相比，BME-SIS 表现出更高的表面粗糙度、增强的亲水性和丰富的生长因子，从而转化为优异的生物学性能。在体内，BME-SIS 显着改善步态恢复，促进肌腱-骨整合，并促进 TBI 处的软骨再生。总的来说，这些结果表明 BM-MSC 衍生的 ECM 显着增强了 SIS 的修复潜力，凸显了 BME-SIS 作为 RCT 修复有前景的生物材料。</w:t>
      </w:r>
    </w:p>
    <w:p>
      <w:pPr>
        <w:spacing w:before="0" w:after="200" w:lineRule="auto" w:line="276"/>
      </w:pPr>
      <w:r>
        <w:rPr>
          <w:b/>
        </w:rPr>
        <w:t xml:space="preserve">Abstract (EN): </w:t>
      </w:r>
      <w:r>
        <w:t>Large to massive rotator cuff tears (RCTs) frequently lead to high retear rates, and small intestinal submucosa (SIS) has been applied in RCT repair but is limited by insufficient regenerative capacity. To enhance the tendon-bone healing potential of SIS, we modified it with extracellular matrix (ECM) derived from bone marrow−derived mesenchymal stem cells (BM-MSCs), generating a scaffold termed BME-SIS. The morphology, surface roughness, hydrophilicity, mechanical properties, and growth factor content of BME-SIS were systematically characterized. In vitro, the BME-SIS extract significantly promoted BM-MSC proliferation, migration, and the expression of osteogenic, chondrogenic, and tenogenic lineage-related differentiation markers, despite its slightly reduced mechanical strength. In a rat model of RCT, BME-SIS was implanted at the tendon-bone interface (TBI) and evaluated at four and eight weeks post surgery by gait analysis, biomechanical testing, microcomputed tomography, magnetic resonance imaging, and histological assessment. Compared with SIS, BME-SIS exhibited increased surface roughness, enhanced hydrophilicity, and enriched growth factors, which translated into superior biological performance. In vivo, BME-SIS markedly improved gait recovery, facilitated tendon-bone integration, and promoted cartilage regeneration at the TBI. Collectively, these results demonstrate that BM-MSC-derived ECM significantly augments the reparative potential of SIS, highlighting BME-SIS as a promising biomaterial for RCT repair.</w:t>
      </w:r>
    </w:p>
    <w:p>
      <w:pPr>
        <w:spacing w:before="120" w:after="120"/>
      </w:pPr>
      <w:r>
        <w:rPr>
          <w:sz w:val="18"/>
        </w:rPr>
        <w:t>——————————————————————————————————————————————————————————————————————</w:t>
      </w:r>
    </w:p>
    <w:p>
      <w:pPr>
        <w:spacing w:before="160" w:after="40" w:line="240" w:lineRule="auto"/>
      </w:pPr>
      <w:r>
        <w:rPr>
          <w:b/>
        </w:rPr>
        <w:t xml:space="preserve">[64] </w:t>
      </w:r>
      <w:hyperlink r:id="rId706">
        <w:r>
          <w:rPr>
            <w:color w:val="1155CC"/>
            <w:u w:val="single"/>
          </w:rPr>
          <w:t>钴铁氧体中的反常 n−p 传感转换：表面吸附和载流子散射的作用</w:t>
        </w:r>
      </w:hyperlink>
    </w:p>
    <w:p>
      <w:pPr>
        <w:spacing w:before="0" w:after="80"/>
      </w:pPr>
      <w:r>
        <w:rPr>
          <w:i/>
          <w:sz w:val="20"/>
        </w:rPr>
        <w:t>EN: Anomalous n−p Sensing Conversion in Cobalt Ferrite: The Role of Surface Adsorption and Carrier Scattering</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707">
        <w:r>
          <w:rPr>
            <w:color w:val="1155CC"/>
            <w:u w:val="single"/>
          </w:rPr>
          <w:t>10.1021/acsami.6c06641</w:t>
        </w:r>
      </w:hyperlink>
    </w:p>
    <w:p>
      <w:pPr>
        <w:spacing w:before="0" w:after="120"/>
      </w:pPr>
      <w:r>
        <w:rPr>
          <w:b/>
        </w:rPr>
        <w:t xml:space="preserve">Notes: </w:t>
      </w:r>
      <w:r>
        <w:t>abstract_source=crossref</w:t>
      </w:r>
    </w:p>
    <w:p>
      <w:pPr>
        <w:spacing w:before="0" w:after="80" w:lineRule="auto" w:line="276"/>
      </w:pPr>
      <w:r>
        <w:rPr>
          <w:b/>
        </w:rPr>
        <w:t xml:space="preserve">摘要（ZH）: </w:t>
      </w:r>
      <w:r>
        <w:t>摘要 钴铁氧体作为一种多功能气敏材料脱颖而出，提供可调成分和双氧化还原对。我们报告了基于钴铁氧体的传感器中显着的 n−p 传感转换，这是一种与传统的固有半导体行为相矛盾的反常电阻调制。虽然在金属氧化物中偶尔观察到这种现象，但在钴铁氧体中这种现象仍然很大程度上未被探索。在这里，通过调节钴铁氧体中金属元素的比例，我们系统地解耦了非常规传感开关和在 140−230 °C 温度范围内由多种挥发性有机化合物 (VOC) 引起的有趣的动态选择性。利用原位 XPS、拉曼光谱和光致发光 (PL)，我们提出了一个机制框架：表面吸附的氧和载流子散射机制之间的竞争性相互作用控制着电子传输。这项研究不仅阐明了传感转换现象的基本物理原理，而且为先进钴铁氧体气体传感器的合理设计建立了基本的“结构-化学-性能”框架。</w:t>
      </w:r>
    </w:p>
    <w:p>
      <w:pPr>
        <w:spacing w:before="0" w:after="200" w:lineRule="auto" w:line="276"/>
      </w:pPr>
      <w:r>
        <w:rPr>
          <w:b/>
        </w:rPr>
        <w:t xml:space="preserve">Abstract (EN): </w:t>
      </w:r>
      <w:r>
        <w:t>Cobalt ferrite stands out as a versatile gas-sensing material, offering tunable composition and dual redox couples. We report a remarkable n−p sensing conversion in cobalt ferrite-based sensors—an anomalous resistance modulation that contradicts conventional intrinsic semiconductor behavior. While occasionally observed in metal oxides, such phenomena remain largely unexplored in the context of cobalt ferrite. Here, by regulating the proportion of metal elements in cobalt ferrite, we systematically decouple the unconventional sensing switching and the intriguing dynamic selectivity induced by diverse volatile organic compounds (VOCs) across a temperature range of 140−230 °C. Leveraging in situ XPS, Raman spectroscopy, and photoluminescence (PL), we propose a mechanistic framework: the competitive interplay between surface adsorbed oxygen and carrier scattering mechanisms governs the electronic transport. This study not only elucidates the underlying physics of the sensing conversion phenomenon but also establishes a fundamental “structure−chemistry−property” framework for the rational design of advanced cobalt ferrite gas sensors.</w:t>
      </w:r>
    </w:p>
    <w:p>
      <w:pPr>
        <w:spacing w:before="120" w:after="120"/>
      </w:pPr>
      <w:r>
        <w:rPr>
          <w:sz w:val="18"/>
        </w:rPr>
        <w:t>——————————————————————————————————————————————————————————————————————</w:t>
      </w:r>
    </w:p>
    <w:p>
      <w:pPr>
        <w:spacing w:before="160" w:after="40" w:line="240" w:lineRule="auto"/>
      </w:pPr>
      <w:r>
        <w:rPr>
          <w:b/>
        </w:rPr>
        <w:t xml:space="preserve">[65] </w:t>
      </w:r>
      <w:hyperlink r:id="rId708">
        <w:r>
          <w:rPr>
            <w:color w:val="1155CC"/>
            <w:u w:val="single"/>
          </w:rPr>
          <w:t>核壳纳米治疗平台通过双重杀菌和免疫调节作用重新编程感染伤口微环境以加速愈合</w:t>
        </w:r>
      </w:hyperlink>
    </w:p>
    <w:p>
      <w:pPr>
        <w:spacing w:before="0" w:after="80"/>
      </w:pPr>
      <w:r>
        <w:rPr>
          <w:i/>
          <w:sz w:val="20"/>
        </w:rPr>
        <w:t>EN: A Core–Shell Nanotherapeutic Platform Reprograms the Infected Wound Microenvironment through Dual Bactericidal and Immunomodulatory Actions for Accelerated Healing</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709">
        <w:r>
          <w:rPr>
            <w:color w:val="1155CC"/>
            <w:u w:val="single"/>
          </w:rPr>
          <w:t>10.1021/acsami.6c08887</w:t>
        </w:r>
      </w:hyperlink>
    </w:p>
    <w:p>
      <w:pPr>
        <w:spacing w:before="0" w:after="120"/>
      </w:pPr>
      <w:r>
        <w:rPr>
          <w:b/>
        </w:rPr>
        <w:t xml:space="preserve">Notes: </w:t>
      </w:r>
      <w:r>
        <w:t>abstract_source=crossref</w:t>
      </w:r>
    </w:p>
    <w:p>
      <w:pPr>
        <w:spacing w:before="0" w:after="80" w:lineRule="auto" w:line="276"/>
      </w:pPr>
      <w:r>
        <w:rPr>
          <w:b/>
        </w:rPr>
        <w:t xml:space="preserve">摘要（ZH）: </w:t>
      </w:r>
      <w:r>
        <w:t>摘要 耐药细菌引起的伤口的治疗是临床医学的重大挑战。银（Ag）纳米颗粒因其抑制耐药细菌的能力而引起了广泛关注。然而，银纳米颗粒的聚集倾向及其较高的毒性限制了其实际应用。为了解决这个问题，本研究设计了一种核壳型ZnO@ZIF-8/Ag纳米复合材料，该材料结合了高抗菌活性和优异的生物相容性。该材料中Ag纳米粒子的平均直径约为2.4 nm，且高度分散。在伤口微环境中，产生羟基自由基（·OH）、单线态氧（1O2）、Zn2+和Ag+等抗菌因子。该材料通过改变耐药细菌细胞壁的结构来诱导细菌死亡，从而抑制呼吸、裂解磷脂层并导致细胞内容物泄漏。氧化锌（ZnO）的引入显着降低了Ag纳米颗粒的毒性并调节了巨噬细胞极化，抑制了M1型巨噬细胞（M1）分泌肿瘤坏死因子-α（TNF-α）和白细胞介素6（IL-6），同时促进M2型巨噬细胞（M2）分泌白细胞介素-10（IL-10）和血管内皮生长因子。血小板内皮细胞粘附分子-1 (CD31)、I 型胶原/纤连蛋白 (COL-I/FN) 和增殖细胞核抗原 (PCNA) 的表达显着升高。</w:t>
      </w:r>
    </w:p>
    <w:p>
      <w:pPr>
        <w:spacing w:before="0" w:after="200" w:lineRule="auto" w:line="276"/>
      </w:pPr>
      <w:r>
        <w:rPr>
          <w:b/>
        </w:rPr>
        <w:t xml:space="preserve">Abstract (EN): </w:t>
      </w:r>
      <w:r>
        <w:t>The treatment of wounds caused by drug-resistant bacteria is a significant challenge in clinical medicine. Silver (Ag) nanoparticles have attracted considerable attention due to their ability to inhibit drug-resistant bacteria. Nevertheless, the propensity of Ag nanoparticles to aggregate as well as their elevated toxicity have restricted their practical application. To address this issue, this study involved the design of a core–shell-type ZnO@ZIF-8/Ag nanocomposite material that combines high antibacterial activity with excellent biocompatibility. The mean diameter of the Ag nanoparticles in this material was approximately 2.4 nm, and they were highly dispersed. Within the wound microenvironment, antibacterial factors, such as hydroxyl radicals (·OH), singlet oxygen (1O2), Zn2+, and Ag+, were generated. The material induced bacterial death by altering the structure of the cell wall of drug-resistant bacteria, thereby inhibiting respiration, lysing phospholipid layers, and causing cellular content leakage. The introduction of zinc oxide (ZnO) significantly reduced the toxicity of the Ag nanoparticles and regulated macrophage polarization, which inhibited the secretion of tumor necrosis factor-α (TNF-α) and interleukin-6 (IL-6) by M1-type macrophages (M1) while concomitantly promoting the secretion of interleukin-10 (IL-10) and vascular endothelial growth factor by M2-type macrophages (M2). The expression of platelet-endothelial cell adhesion molecule-1 (CD31), type I collagen/fibronectin (COL-I/FN), and proliferating cell nuclear antigen (PCNA) was significantly promoted, which significantly enhanced wound healing in infected wounds. This study thus offers a strategy for developing therapies against drug-resistant bacterial infections with the potential for clinical application.</w:t>
      </w:r>
    </w:p>
    <w:p>
      <w:pPr>
        <w:spacing w:before="120" w:after="120"/>
      </w:pPr>
      <w:r>
        <w:rPr>
          <w:sz w:val="18"/>
        </w:rPr>
        <w:t>——————————————————————————————————————————————————————————————————————</w:t>
      </w:r>
    </w:p>
    <w:p>
      <w:pPr>
        <w:spacing w:before="160" w:after="40" w:line="240" w:lineRule="auto"/>
      </w:pPr>
      <w:r>
        <w:rPr>
          <w:b/>
        </w:rPr>
        <w:t xml:space="preserve">[66] </w:t>
      </w:r>
      <w:hyperlink r:id="rId710">
        <w:r>
          <w:rPr>
            <w:color w:val="1155CC"/>
            <w:u w:val="single"/>
          </w:rPr>
          <w:t>光学透明宽带频率可调微波吸收策略：双法布里-珀罗谐振腔</w:t>
        </w:r>
      </w:hyperlink>
    </w:p>
    <w:p>
      <w:pPr>
        <w:spacing w:before="0" w:after="80"/>
      </w:pPr>
      <w:r>
        <w:rPr>
          <w:i/>
          <w:sz w:val="20"/>
        </w:rPr>
        <w:t>EN: Strategy for Optical Transparent Broadband Frequency-Tunable Microwave Absorption: Double Fabry−Pérot Resonant Cavities</w:t>
      </w:r>
    </w:p>
    <w:p>
      <w:pPr>
        <w:spacing w:before="0" w:after="120"/>
      </w:pPr>
      <w:r>
        <w:rPr>
          <w:b/>
        </w:rPr>
        <w:t xml:space="preserve">Source: </w:t>
      </w:r>
      <w:r>
        <w:t>ACS Applied Materials &amp; Interfaces: Latest Articles (ACS Publications)</w:t>
      </w:r>
      <w:r>
        <w:t xml:space="preserve">    </w:t>
      </w:r>
      <w:r>
        <w:rPr>
          <w:b/>
        </w:rPr>
        <w:t xml:space="preserve">Pub date: </w:t>
      </w:r>
      <w:r>
        <w:t>2026-08-14 00:00:00+00:00</w:t>
      </w:r>
      <w:r>
        <w:t xml:space="preserve">    </w:t>
      </w:r>
      <w:r>
        <w:rPr>
          <w:b/>
        </w:rPr>
        <w:t xml:space="preserve">DOI: </w:t>
      </w:r>
      <w:hyperlink r:id="rId711">
        <w:r>
          <w:rPr>
            <w:color w:val="1155CC"/>
            <w:u w:val="single"/>
          </w:rPr>
          <w:t>10.1021/acsami.6c09899</w:t>
        </w:r>
      </w:hyperlink>
    </w:p>
    <w:p>
      <w:pPr>
        <w:spacing w:before="0" w:after="120"/>
      </w:pPr>
      <w:r>
        <w:rPr>
          <w:b/>
        </w:rPr>
        <w:t xml:space="preserve">Notes: </w:t>
      </w:r>
      <w:r>
        <w:t>abstract_source=crossref</w:t>
      </w:r>
    </w:p>
    <w:p>
      <w:pPr>
        <w:spacing w:before="0" w:after="80" w:lineRule="auto" w:line="276"/>
      </w:pPr>
      <w:r>
        <w:rPr>
          <w:b/>
        </w:rPr>
        <w:t xml:space="preserve">摘要（ZH）: </w:t>
      </w:r>
      <w:r>
        <w:t>摘要 有限的调制范围和光学不透明性长期以来限制了频率可调微波吸收器的实际应用。为了应对这一挑战，我们提出了一种基于双法布里-珀罗（FP）腔和二氧化钒（VO2）网的透明可调谐微波元吸收器。通过热调节VO2网格的薄层电阻，可以在不同光学厚度的FP腔之间切换主导吸收谐振，同时还可以调整与自由空间的阻抗匹配，从而实现4.2 GHz范围内的动态吸收峰值频率调谐，并实现93.15%的高调幅深度。这项工作还利用多光束干涉理论和反射系数机制模型来支持理论分析并揭示可调谐吸收背后的物理机制。实验结果进一步表明，吸收体在380−4000 nm光谱范围内保持超过72.48%的宽带光学透过率。与传统的调谐策略相比，该工作同时实现了结构简单、宽带频率和幅度调制能力以及高光学透明度，为透明电子、智能窗户和电磁调制系统中的应用提供了可行的解决方案。</w:t>
      </w:r>
    </w:p>
    <w:p>
      <w:pPr>
        <w:spacing w:before="0" w:after="200" w:lineRule="auto" w:line="276"/>
      </w:pPr>
      <w:r>
        <w:rPr>
          <w:b/>
        </w:rPr>
        <w:t xml:space="preserve">Abstract (EN): </w:t>
      </w:r>
      <w:r>
        <w:t>The limited modulation range and optical opacity have long restricted the practical application of frequency-tunable microwave absorbers. To address this challenge, we propose a transparent tunable microwave meta-absorber based on double Fabry−Pérot (FP) cavities and a vanadium dioxide (VO2) mesh. By thermally tuning the sheet resistance of the VO2 mesh, the dominant absorption resonance can be switched between FP cavities with different optical thicknesses, while also adjusting the impedance matching with free space, thereby enabling dynamic absorption peak frequency tuning over a 4.2 GHz range and achieving a high amplitude modulation depth of 93.15%. This work also utilizes multibeam interference theory and a reflection coefficient mechanism model to support the theoretical analysis and reveal the physical mechanism underlying the tunable absorption. Experimental results further show that the absorber maintains a broadband optical transmittance exceeding 72.48% across the 380−4000 nm spectral range. Compared with conventional tuning strategies, this work simultaneously achieves structural simplicity, broadband frequency and amplitude modulation capabilities, and high optical transparency, providing a feasible solution for applications in transparent electronics, smart windows, and electromagnetic modulation systems.</w:t>
      </w:r>
    </w:p>
    <w:p>
      <w:pPr>
        <w:spacing w:before="120" w:after="120"/>
      </w:pPr>
      <w:r>
        <w:rPr>
          <w:sz w:val="18"/>
        </w:rPr>
        <w:t>——————————————————————————————————————————————————————————————————————</w:t>
      </w:r>
    </w:p>
    <w:p>
      <w:pPr>
        <w:spacing w:before="160" w:after="40" w:line="240" w:lineRule="auto"/>
      </w:pPr>
      <w:r>
        <w:rPr>
          <w:b/>
        </w:rPr>
        <w:t xml:space="preserve">[67] </w:t>
      </w:r>
      <w:hyperlink r:id="rId712">
        <w:r>
          <w:rPr>
            <w:color w:val="1155CC"/>
            <w:u w:val="single"/>
          </w:rPr>
          <w:t>扭曲菱面体石墨烯中的层工程量子反常霍尔效应</w:t>
        </w:r>
      </w:hyperlink>
    </w:p>
    <w:p>
      <w:pPr>
        <w:spacing w:before="0" w:after="80"/>
      </w:pPr>
      <w:r>
        <w:rPr>
          <w:i/>
          <w:sz w:val="20"/>
        </w:rPr>
        <w:t>EN: Layer-engineered quantum anomalous Hall effect in twisted rhombohedral graphene</w:t>
      </w:r>
    </w:p>
    <w:p>
      <w:pPr>
        <w:spacing w:before="0" w:after="120"/>
      </w:pPr>
      <w:r>
        <w:rPr>
          <w:b/>
        </w:rPr>
        <w:t xml:space="preserve">Source: </w:t>
      </w:r>
      <w:r>
        <w:t>Nature Materials</w:t>
      </w:r>
      <w:r>
        <w:t xml:space="preserve">    </w:t>
      </w:r>
      <w:r>
        <w:rPr>
          <w:b/>
        </w:rPr>
        <w:t xml:space="preserve">Pub date: </w:t>
      </w:r>
      <w:r>
        <w:t>2026-08-14 00:00:00+00:00</w:t>
      </w:r>
      <w:r>
        <w:t xml:space="preserve">    </w:t>
      </w:r>
      <w:r>
        <w:rPr>
          <w:b/>
        </w:rPr>
        <w:t xml:space="preserve">DOI: </w:t>
      </w:r>
      <w:hyperlink r:id="rId713">
        <w:r>
          <w:rPr>
            <w:color w:val="1155CC"/>
            <w:u w:val="single"/>
          </w:rPr>
          <w:t>10.1038/s41563-026-02711-6</w:t>
        </w:r>
      </w:hyperlink>
    </w:p>
    <w:p>
      <w:pPr>
        <w:spacing w:before="0" w:after="120"/>
      </w:pPr>
      <w:r>
        <w:rPr>
          <w:b/>
        </w:rPr>
        <w:t xml:space="preserve">Notes: </w:t>
      </w:r>
      <w:r>
        <w:t>abstract_source=pubmed</w:t>
      </w:r>
    </w:p>
    <w:p>
      <w:pPr>
        <w:spacing w:before="0" w:after="80" w:lineRule="auto" w:line="276"/>
      </w:pPr>
      <w:r>
        <w:rPr>
          <w:b/>
        </w:rPr>
        <w:t xml:space="preserve">摘要（ZH）: </w:t>
      </w:r>
      <w:r>
        <w:t>在量子反常霍尔（QAH）绝缘体中实现可编程拓扑态需要调整其拓扑不变量，陈数C。在这里，我们报告了一种基于扭曲菱面体石墨烯的QAH平台，其中C成为可编程且电可调的自由度。在扭曲的单层-多层(1 + N)菱面体石墨烯中，我们发现C = N的QAH状态，其中层数N = 3,4,5直接设置陈数。我们进一步演示了原位电气控制。在扭曲的单层-三层器件中，C的符号通过静电掺杂或位移场切换。此外，在扭曲的伯纳尔双层-菱面体四层石墨烯中，我们在 C = 3 和 C = 4 的两个不同 QAH 状态之间驱动位移场诱导的拓扑相变。我们的工作建立了一个层工程和电可调平台，可以实现相关拓扑状态的按需工程。</w:t>
      </w:r>
    </w:p>
    <w:p>
      <w:pPr>
        <w:spacing w:before="0" w:after="200" w:lineRule="auto" w:line="276"/>
      </w:pPr>
      <w:r>
        <w:rPr>
          <w:b/>
        </w:rPr>
        <w:t xml:space="preserve">Abstract (EN): </w:t>
      </w:r>
      <w:r>
        <w:t>Realizing programmable topological states in quantum anomalous Hall (QAH) insulators requires tuning their topological invariant, the Chern number C. Here we report a QAH platform based on twisted rhombohedral graphene, in which C becomes a programmable and electrically tunable degree of freedom. In twisted monolayer-multilayer (1 + N) rhombohedral graphene, we find QAH states with C = N, where the layer number N = 3, 4, 5 directly sets the Chern number. We further demonstrate in situ electrical control. In a twisted monolayer-trilayer device, the sign of C is switched by electrostatic doping or displacement field. In addition, in twisted Bernal bilayer-rhombohedral tetralayer graphene, we drive a displacement-field-induced topological phase transition between two distinct QAH states with C = 3 and C = 4. Our work establishes a layer-engineered and electrically tunable platform that could lead to the on-demand engineering of correlated topological states.</w:t>
      </w:r>
    </w:p>
    <w:p>
      <w:pPr>
        <w:spacing w:before="120" w:after="120"/>
      </w:pPr>
      <w:r>
        <w:rPr>
          <w:sz w:val="18"/>
        </w:rPr>
        <w:t>——————————————————————————————————————————————————————————————————————</w:t>
      </w:r>
    </w:p>
    <w:p>
      <w:pPr>
        <w:spacing w:before="160" w:after="40" w:line="240" w:lineRule="auto"/>
      </w:pPr>
      <w:r>
        <w:rPr>
          <w:b/>
        </w:rPr>
        <w:t xml:space="preserve">[68] </w:t>
      </w:r>
      <w:hyperlink r:id="rId714">
        <w:r>
          <w:rPr>
            <w:color w:val="1155CC"/>
            <w:u w:val="single"/>
          </w:rPr>
          <w:t>解开沿海海洋塑料球古菌组</w:t>
        </w:r>
      </w:hyperlink>
    </w:p>
    <w:p>
      <w:pPr>
        <w:spacing w:before="0" w:after="80"/>
      </w:pPr>
      <w:r>
        <w:rPr>
          <w:i/>
          <w:sz w:val="20"/>
        </w:rPr>
        <w:t>EN: Unraveling the coastal marine plastisphere archaeome</w:t>
      </w:r>
    </w:p>
    <w:p>
      <w:pPr>
        <w:spacing w:before="0" w:after="120"/>
      </w:pPr>
      <w:r>
        <w:rPr>
          <w:b/>
        </w:rPr>
        <w:t xml:space="preserve">Source: </w:t>
      </w:r>
      <w:r>
        <w:t>Earth and environmental sciences : Nature Communications subject feeds</w:t>
      </w:r>
      <w:r>
        <w:t xml:space="preserve">    </w:t>
      </w:r>
      <w:r>
        <w:rPr>
          <w:b/>
        </w:rPr>
        <w:t xml:space="preserve">Pub date: </w:t>
      </w:r>
      <w:r>
        <w:t>2026-08-14 00:00:00+00:00</w:t>
      </w:r>
    </w:p>
    <w:p>
      <w:pPr>
        <w:spacing w:before="0" w:after="120"/>
      </w:pPr>
      <w:r>
        <w:rPr>
          <w:b/>
        </w:rPr>
        <w:t xml:space="preserve">Notes: </w:t>
      </w:r>
      <w:r>
        <w:t>abstract_source=nature_html</w:t>
      </w:r>
    </w:p>
    <w:p>
      <w:pPr>
        <w:spacing w:before="0" w:after="80" w:lineRule="auto" w:line="276"/>
      </w:pPr>
      <w:r>
        <w:rPr>
          <w:b/>
        </w:rPr>
        <w:t xml:space="preserve">摘要（ZH）: </w:t>
      </w:r>
      <w:r>
        <w:t>塑料污染创造了一个不断扩大的人为微生物生态位，即塑料圈，引发了有关微生物生态学和相关影响的问题。古细菌是具有基本生态和进化意义的第三个生命领域，但人们对该栖息地的了解仍然知之甚少。在这里，我们使用来自沿海海洋生态系统（日益受到塑料污染威胁的关键古菌栖息地）的配对塑料碎片和大量水样本，通过古菌扩增子测序和宏基因组学来表征塑料球古菌组。我们发现古菌组在塑料圈中显着重塑，表现出更高的分类多样性、更大的群落异质性以及广古菌门和泉古菌门的选择性富集。参与甲烷、氮和硫循环的古菌基因在塑料圈中富集。塑料圈和散装水之间的分类和功能差异随着人为化学压力的增加而增加。这些发现表明，塑料污染可能会改变海洋古菌多样性、生物地理学和生物地球化学潜力，从而将塑料圈影响的理解扩展到古菌领域。</w:t>
      </w:r>
    </w:p>
    <w:p>
      <w:pPr>
        <w:spacing w:before="0" w:after="200" w:lineRule="auto" w:line="276"/>
      </w:pPr>
      <w:r>
        <w:rPr>
          <w:b/>
        </w:rPr>
        <w:t xml:space="preserve">Abstract (EN): </w:t>
      </w:r>
      <w:r>
        <w:t>Plastic pollution has created an expanding anthropogenic microbial niche, the plastisphere, raising questions about microbial ecology and associated impacts. Archaea, the third domain of life with fundamental ecological and evolutionary significance, remain poorly understood in this habitat. Here, using paired plastic debris and bulk-water samples from coastal marine ecosystems, key archaeal habitats increasingly threatened by plastic pollution, we characterize the plastisphere archaeome through archaeal amplicon sequencing and metagenomics. We show that the archaeome is significantly reshaped in the plastisphere, exhibiting higher taxonomic diversity, greater community heterogeneity, and selective enrichment of Euryarchaeota and Crenarchaeota. Archaeal genes involved in methane, nitrogen, and sulfur cycling are enriched in the plastisphere. Taxonomic and functional divergence between the plastisphere and bulk water increases with anthropogenic chemical stress. These findings suggest that plastic pollution could alter marine archaeal diversity, biogeography, and biogeochemical potential, extending understanding of plastisphere impacts to the archaeal domain.</w:t>
      </w:r>
    </w:p>
    <w:p>
      <w:pPr>
        <w:spacing w:before="120" w:after="120"/>
      </w:pPr>
      <w:r>
        <w:rPr>
          <w:sz w:val="18"/>
        </w:rPr>
        <w:t>——————————————————————————————————————————————————————————————————————</w:t>
      </w:r>
    </w:p>
    <w:p>
      <w:pPr>
        <w:spacing w:before="160" w:after="40" w:line="240" w:lineRule="auto"/>
      </w:pPr>
      <w:r>
        <w:rPr>
          <w:b/>
        </w:rPr>
        <w:t xml:space="preserve">[69] </w:t>
      </w:r>
      <w:hyperlink r:id="rId715">
        <w:r>
          <w:rPr>
            <w:color w:val="1155CC"/>
            <w:u w:val="single"/>
          </w:rPr>
          <w:t>非血红素铁酶 Hvm1 连续 C-C 键形成的自由基机制和立体化学控制</w:t>
        </w:r>
      </w:hyperlink>
    </w:p>
    <w:p>
      <w:pPr>
        <w:spacing w:before="0" w:after="80"/>
      </w:pPr>
      <w:r>
        <w:rPr>
          <w:i/>
          <w:sz w:val="20"/>
        </w:rPr>
        <w:t>EN: Radical Mechanism and Stereochemical Control in Consecutive C–C Bond Formation by the Nonheme Iron Enzyme Hvm1</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716">
        <w:r>
          <w:rPr>
            <w:color w:val="1155CC"/>
            <w:u w:val="single"/>
          </w:rPr>
          <w:t>10.1021/jacs.6c05166</w:t>
        </w:r>
      </w:hyperlink>
    </w:p>
    <w:p>
      <w:pPr>
        <w:spacing w:before="0" w:after="120"/>
      </w:pPr>
      <w:r>
        <w:rPr>
          <w:b/>
        </w:rPr>
        <w:t xml:space="preserve">Notes: </w:t>
      </w:r>
      <w:r>
        <w:t>abstract_source=crossref</w:t>
      </w:r>
    </w:p>
    <w:p>
      <w:pPr>
        <w:spacing w:before="0" w:after="80" w:lineRule="auto" w:line="276"/>
      </w:pPr>
      <w:r>
        <w:rPr>
          <w:b/>
        </w:rPr>
        <w:t xml:space="preserve">摘要（ZH）: </w:t>
      </w:r>
      <w:r>
        <w:t>摘要铁(II)/2-氧化戊二酸依赖性 (Fe/2OG) 酶催化连续的 C-C 键形成，组装复杂的杂双环系统，并通过 C(sp3)-H 活化在哌嗪生物碱 Helvamide B 和 arizonamides 中生成三个新的立体中心，这一转变在合成化学中仍然具有挑战性。在这里，我们报告了对 Fe/2OG 酶 Hvm1 催化的这种独特转化的全面机制研究，结合使用氘化底物、带有吸电子取代基的底物类似物和多种光谱方法（LC-MS、X 射线晶体学、CD 光谱和 NMR）。该反应通过连续的类自由基 C-C（C3'-C2 和 C3-C3"）偶联进行，涉及对烯烃和苯甲酰基（Minisci 变体）的连续自由基攻击，由通过 C3' pro-S 氢原子转移 (HAT) 生成的 C3' 自由基引发。第一个 C-C 键 (C3'-C2) 在 C2 的 Si 面上形成，并保留 C3' 构型。相对于第一个新形成的 C3'-C2 键，第二个 C-C 键 (C3-C3") 的形成可以以两种立体化学意义中的任意一种进行：反面或表面 - 相对于第一个新形成的 C3'-C2 键：反面途径通向 helvamide B，而表面途径提供先前未报道的差向异构体，helvamide A。晶体结构分析将 Y67 确定为控制第二个 C-C 键形成中立体化学结果分配的关键残基。此外，helvamide B 的立体化学归属纠正了先前 arizonamides 中 C3' 构型的错误分配。</w:t>
      </w:r>
    </w:p>
    <w:p>
      <w:pPr>
        <w:spacing w:before="0" w:after="200" w:lineRule="auto" w:line="276"/>
      </w:pPr>
      <w:r>
        <w:rPr>
          <w:b/>
        </w:rPr>
        <w:t xml:space="preserve">Abstract (EN): </w:t>
      </w:r>
      <w:r>
        <w:t>Iron(II)/2-oxoglutarate-dependent (Fe/2OG) enzymes catalyze consecutive C–C bond formations to assemble complex heterobicyclic ring systems and generate three new stereocenters in piperazine alkaloids helvamide B and the arizonamides through C(sp3)–H activation─a transformation that remains challenging in synthetic chemistry. Here, we report a comprehensive mechanistic study of this unique transformation catalyzed by the Fe/2OG enzyme Hvm1, using a combination of deuterated substrates, substrate analogs bearing electron-withdrawing substituents, and multiple spectroscopic methods (LC-MS, X-ray crystallography, CD spectroscopy, and NMR). The reaction proceeds via consecutive radicaloid C–C (C3′–C2 and C3–C3″) couplings, involving sequential radical attack on the olefin and benzoyl group (Minisci variant), initiated by a C3′ radical generated through C3′ pro-S hydrogen atom transfer (HAT). The first C–C bond (C3′–C2) is formed on the Si-face of C2 with retention of C3′ configuration. The second C–C bond (C3–C3″) formation can proceed with either of two stereochemical senses─antarafacial or suprafacial─relative to the first newly formed C3′–C2 bond: the antarafacial pathway leads to helvamide B, while the suprafacial pathway affords the previously unreported epimer, helvamide A. Crystal structure analysis identifies Y67 as a key residue governing the partitioning of stereochemical outcomes in the second C–C bond formation. Furthermore, the conclusive stereochemical assignment of helvamide B corrects the prior misassignment of the C3′ configuration in the arizonamides.</w:t>
      </w:r>
    </w:p>
    <w:p>
      <w:pPr>
        <w:spacing w:before="120" w:after="120"/>
      </w:pPr>
      <w:r>
        <w:rPr>
          <w:sz w:val="18"/>
        </w:rPr>
        <w:t>——————————————————————————————————————————————————————————————————————</w:t>
      </w:r>
    </w:p>
    <w:p>
      <w:pPr>
        <w:spacing w:before="160" w:after="40" w:line="240" w:lineRule="auto"/>
      </w:pPr>
      <w:r>
        <w:rPr>
          <w:b/>
        </w:rPr>
        <w:t xml:space="preserve">[70] </w:t>
      </w:r>
      <w:hyperlink r:id="rId717">
        <w:r>
          <w:rPr>
            <w:color w:val="1155CC"/>
            <w:u w:val="single"/>
          </w:rPr>
          <w:t>插入开环聚合 (iROP)：一种扩展的两性离子 ROP，适用于高效合成不含环状低聚物的有机硅</w:t>
        </w:r>
      </w:hyperlink>
    </w:p>
    <w:p>
      <w:pPr>
        <w:spacing w:before="0" w:after="80"/>
      </w:pPr>
      <w:r>
        <w:rPr>
          <w:i/>
          <w:sz w:val="20"/>
        </w:rPr>
        <w:t>EN: Insertion Ring-Opening Polymerization (iROP): An Extended Zwitterionic ROP Applicable for the Efficient Synthesis of Cyclic-Oligomer-Free Silicones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718">
        <w:r>
          <w:rPr>
            <w:color w:val="1155CC"/>
            <w:u w:val="single"/>
          </w:rPr>
          <w:t>10.1021/jacs.6c06615</w:t>
        </w:r>
      </w:hyperlink>
    </w:p>
    <w:p>
      <w:pPr>
        <w:spacing w:before="0" w:after="120"/>
      </w:pPr>
      <w:r>
        <w:rPr>
          <w:b/>
        </w:rPr>
        <w:t xml:space="preserve">Notes: </w:t>
      </w:r>
      <w:r>
        <w:t>abstract_source=crossref</w:t>
      </w:r>
    </w:p>
    <w:p>
      <w:pPr>
        <w:spacing w:before="0" w:after="80" w:lineRule="auto" w:line="276"/>
      </w:pPr>
      <w:r>
        <w:rPr>
          <w:b/>
        </w:rPr>
        <w:t xml:space="preserve">摘要（ZH）: </w:t>
      </w:r>
      <w:r>
        <w:t>摘要 两性离子开环聚合（zROP）是通过中性有机碱与环状单体加成生成的两性离子中间体引发开环聚合过程（ROP）的聚合方法。这一过程往往以带相反电荷的链端重新结合形成环状聚合物而告终，这为无金属环状聚合物合成的发展开辟了道路。在这里，我们提出了 zROP 的另一种途径，即插入 ROP (iROP)，其中通过将两性离子中间体连续插入聚合物链中部来进行传播，从而能够在没有活性链端的情况下延伸线性聚合物。该 iROP 工艺通过 N-杂环烯烃 (NHO) 催化的八甲基环四硅氧烷 (D4) 聚合得到证明，可直接合成不含环状低聚物的聚二甲基硅氧烷 (&gt;99.9%)。实验和理论机理研究表明，聚合反应通过混合工艺进行，先从传统的 ROP 开始，然后是 iROP，不涉及 SiOH 链端，因此没有反咬合反应。 ROP/iROP 状态的转变由缩聚反应控制，缩聚反应将末端 SiOH 基团从生长的聚合物中排除。在六甲基化 NHO 催化剂的情况下，D4 的完全 ROP 是在 50 ppm 的极低催化剂负载量下实现的。</w:t>
      </w:r>
    </w:p>
    <w:p>
      <w:pPr>
        <w:spacing w:before="0" w:after="200" w:lineRule="auto" w:line="276"/>
      </w:pPr>
      <w:r>
        <w:rPr>
          <w:b/>
        </w:rPr>
        <w:t xml:space="preserve">Abstract (EN): </w:t>
      </w:r>
      <w:r>
        <w:t>Zwitterionic ring-opening polymerization (zROP) is a polymerization method in which a zwitterionic intermediate, generated by the addition of a neutral organic base to a cyclic monomer, initiates a ring-opening polymerization process (ROP). This process often ends with the recombination of the oppositely charged chain ends to form a cyclic polymer, which opened the way for the development of metal-free cyclic polymer synthesis. Here, we present an alternative pathway of zROP, insertion ROP (iROP), in which propagation proceeds through successive insertions of the zwitterionic intermediate into the middle of a polymer chain, thus enabling the extension of linear polymers without active chain ends. This iROP process was demonstrated by the polymerization of octamethylcyclotetrasiloxane (D4), catalyzed by N-heterocyclic olefins (NHO), allowing the direct synthesis of cyclic-oligomer-free polydimethylsiloxanes (&amp;gt;99.9%). Experimental and theoretical mechanistic studies indicate that the polymerization proceeds via a hybrid process that starts with conventional ROP, followed by iROP, without the involvement of SiOH chain ends and, thus, without backbiting reactions. The transition of ROP/iROP states is controlled by polycondensation reactions that exclude terminal SiOH groups from the growing polymers. In the case of the hexamethylated NHO catalyst, the complete ROP of D4 was achieved with an extremely low catalyst loading of 50 ppm.</w:t>
      </w:r>
    </w:p>
    <w:p>
      <w:pPr>
        <w:spacing w:before="120" w:after="120"/>
      </w:pPr>
      <w:r>
        <w:rPr>
          <w:sz w:val="18"/>
        </w:rPr>
        <w:t>——————————————————————————————————————————————————————————————————————</w:t>
      </w:r>
    </w:p>
    <w:p>
      <w:pPr>
        <w:spacing w:before="160" w:after="40" w:line="240" w:lineRule="auto"/>
      </w:pPr>
      <w:r>
        <w:rPr>
          <w:b/>
        </w:rPr>
        <w:t xml:space="preserve">[71] </w:t>
      </w:r>
      <w:hyperlink r:id="rId719">
        <w:r>
          <w:rPr>
            <w:color w:val="1155CC"/>
            <w:u w:val="single"/>
          </w:rPr>
          <w:t>将单体与金属匹配：金属催化开环聚合中的量化线性自由能关系</w:t>
        </w:r>
      </w:hyperlink>
    </w:p>
    <w:p>
      <w:pPr>
        <w:spacing w:before="0" w:after="80"/>
      </w:pPr>
      <w:r>
        <w:rPr>
          <w:i/>
          <w:sz w:val="20"/>
        </w:rPr>
        <w:t>EN: Matching Monomers to Metals: Quantified Linear Free Energy Relationships in Metal-Catalyzed Ring-Opening Polymerizations</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720">
        <w:r>
          <w:rPr>
            <w:color w:val="1155CC"/>
            <w:u w:val="single"/>
          </w:rPr>
          <w:t>10.1021/jacs.6c06048</w:t>
        </w:r>
      </w:hyperlink>
    </w:p>
    <w:p>
      <w:pPr>
        <w:spacing w:before="0" w:after="120"/>
      </w:pPr>
      <w:r>
        <w:rPr>
          <w:b/>
        </w:rPr>
        <w:t xml:space="preserve">Notes: </w:t>
      </w:r>
      <w:r>
        <w:t>abstract_source=crossref</w:t>
      </w:r>
    </w:p>
    <w:p>
      <w:pPr>
        <w:spacing w:before="0" w:after="80" w:lineRule="auto" w:line="276"/>
      </w:pPr>
      <w:r>
        <w:rPr>
          <w:b/>
        </w:rPr>
        <w:t xml:space="preserve">摘要（ZH）: </w:t>
      </w:r>
      <w:r>
        <w:t>摘要 尽管金属催化剂对于环酯和碳酸酯开环聚合很重要，但量化且普遍适用的催化剂结构-性能关系仍然难以捉摸。这里，提出了金属活性位点路易斯酸度（如金属阳离子 pKh 值所描述）与开环聚合速率之间的普遍适用的线性相关性。该线性关系适用于五种不同的金属催化剂，每种催化剂用于聚合五种不同的商业单体，包括ε-己内酯、δ-戊内酯、γ-甲基ε-己内酯、三亚甲基碳酸酯和2,2-二甲基三亚甲基碳酸酯。使用微量量热法，确定使用商业金属（2-乙基己酸酯）/苯甲醇催化剂体系进行聚合的聚合速率系数和过渡态势垒，其中金属 = Sn(II)、Zn(II)、Mg(II)、Bi(III)、Zr(IV)。所有聚合反应均在工业相关条件下进行定量，即高温 (140–200 °C)、低催化剂负载量（1:1000 金属:单体）和高浓度（[单体]0 = 6.25 M）或使用纯单体熔体。通常适用的线性自由能关系，与配位插入聚合机制一致，并得到单体光谱表征的支持，表明 Sn(II) 最适合环酯聚合，而 Zn(II) 最适合环状碳酸酯聚合。线性自由能关系预测，使用 Sn(II) 催化剂，L-丙交酯将聚合得最快，这一发现</w:t>
      </w:r>
    </w:p>
    <w:p>
      <w:pPr>
        <w:spacing w:before="0" w:after="200" w:lineRule="auto" w:line="276"/>
      </w:pPr>
      <w:r>
        <w:rPr>
          <w:b/>
        </w:rPr>
        <w:t xml:space="preserve">Abstract (EN): </w:t>
      </w:r>
      <w:r>
        <w:t>Despite the importance of metal catalysts for cyclic ester and -carbonate ring-opening polymerizations, quantified and generally applicable catalyst structure-performance relationships remain elusive. Here, a generally applicable linear correlation between the metal active site Lewis acidity, as described by the metal cation pKh value, and the ring-opening polymerization rate is presented. The linear relationship applies to five different metal catalysts, each used to polymerize five different commercial monomers, including ε-caprolactone, δ-valerolactone, γ-methyl ε-caprolactone, trimethylene carbonate, and 2,2-dimethyltrimethylene carbonate. Using microscale calorimetry, the polymerization rate coefficients and transition state barriers are determined for polymerizations using commercial metal(2-ethylhexanoate)/benzyl alcohol catalyst systems, where the metal = Sn(II), Zn(II), Mg(II), Bi(III), Zr(IV). All polymerizations are quantified under industrially relevant conditions, i.e., at high temperatures (140–200 °C), low catalyst loadings (1:1000 metal:monomer), and either high concentrations ([monomer]0 = 6.25 M) or using neat monomer melts. The generally applicable linear free energy relationships, consistent with the coordination–insertion polymerization mechanism and supported by monomer spectroscopy characterization, reveal that Sn(II) is the best for cyclic ester polymerizations, while Zn(II) is the best for cyclic carbonate polymerizations. The linear free energy relationship predicts that l-lactide will be polymerized fastest using Sn(II) catalysts, a finding which is verified experimentally. It also enables improvements to the activity of Mg(II) catalysts, through ligand modifications, increasing polymerization rates by 3-fold. The generally applicable linear free energy relationships are important to identify the most effective monomer-metal catalyst partnerships, to select optimum polymerization processes, and to streamline future catalyst design targeting next-generation sustainable polymers.</w:t>
      </w:r>
    </w:p>
    <w:p>
      <w:pPr>
        <w:spacing w:before="120" w:after="120"/>
      </w:pPr>
      <w:r>
        <w:rPr>
          <w:sz w:val="18"/>
        </w:rPr>
        <w:t>——————————————————————————————————————————————————————————————————————</w:t>
      </w:r>
    </w:p>
    <w:p>
      <w:pPr>
        <w:spacing w:before="160" w:after="40" w:line="240" w:lineRule="auto"/>
      </w:pPr>
      <w:r>
        <w:rPr>
          <w:b/>
        </w:rPr>
        <w:t xml:space="preserve">[72] </w:t>
      </w:r>
      <w:hyperlink r:id="rId721">
        <w:r>
          <w:rPr>
            <w:color w:val="1155CC"/>
            <w:u w:val="single"/>
          </w:rPr>
          <w:t>通过冷冻电镜和电荷检测质谱解析细菌蛋白酶体激活剂 (Bpa)-底物复合物中隐藏的化学计量</w:t>
        </w:r>
      </w:hyperlink>
    </w:p>
    <w:p>
      <w:pPr>
        <w:spacing w:before="0" w:after="80"/>
      </w:pPr>
      <w:r>
        <w:rPr>
          <w:i/>
          <w:sz w:val="20"/>
        </w:rPr>
        <w:t>EN: Resolving Hidden Stoichiometries in Bacterial Proteasome Activator (Bpa)-Substrate Complexes by Cryo-EM and Charge Detection Mass Spectrometry</w:t>
      </w:r>
    </w:p>
    <w:p>
      <w:pPr>
        <w:spacing w:before="0" w:after="120"/>
      </w:pPr>
      <w:r>
        <w:rPr>
          <w:b/>
        </w:rPr>
        <w:t xml:space="preserve">Source: </w:t>
      </w:r>
      <w:r>
        <w:t>Journal of the American Chemical Society: Latest Articles (ACS Publications)</w:t>
      </w:r>
      <w:r>
        <w:t xml:space="preserve">    </w:t>
      </w:r>
      <w:r>
        <w:rPr>
          <w:b/>
        </w:rPr>
        <w:t xml:space="preserve">Pub date: </w:t>
      </w:r>
      <w:r>
        <w:t>2026-08-14 00:00:00+00:00</w:t>
      </w:r>
      <w:r>
        <w:t xml:space="preserve">    </w:t>
      </w:r>
      <w:r>
        <w:rPr>
          <w:b/>
        </w:rPr>
        <w:t xml:space="preserve">DOI: </w:t>
      </w:r>
      <w:hyperlink r:id="rId722">
        <w:r>
          <w:rPr>
            <w:color w:val="1155CC"/>
            <w:u w:val="single"/>
          </w:rPr>
          <w:t>10.1021/jacs.6c09027</w:t>
        </w:r>
      </w:hyperlink>
    </w:p>
    <w:p>
      <w:pPr>
        <w:spacing w:before="0" w:after="120"/>
      </w:pPr>
      <w:r>
        <w:rPr>
          <w:b/>
        </w:rPr>
        <w:t xml:space="preserve">Notes: </w:t>
      </w:r>
      <w:r>
        <w:t>abstract_source=crossref</w:t>
      </w:r>
    </w:p>
    <w:p>
      <w:pPr>
        <w:spacing w:before="0" w:after="80" w:lineRule="auto" w:line="276"/>
      </w:pPr>
      <w:r>
        <w:rPr>
          <w:b/>
        </w:rPr>
        <w:t xml:space="preserve">摘要（ZH）: </w:t>
      </w:r>
      <w:r>
        <w:t>摘要 细菌蛋白酶体激活剂 (Bpa) 是结核分枝杆菌 (Mtb) 蛋白酶体系统内的一种调节颗粒，可促进不依赖于 ATP 的底物接合并递送至 20S 核心颗粒 (CP) 进行降解。最具特征的 Bpa 底物是 HspR，它是 Mt 应激反应基因的转录抑制因子，其 Bpa 依赖性降解是病原体毒力所必需的。然而，Bpa:HspR 复合物的化学计量、底物结合的分子机制以及所得组装体的异质性仍不清楚。在这里，我们结合电荷检测质谱 (CDMS) 和单粒子电子冷冻显微镜 (cryo-EM) 作为表征 apo 和 HspR 结合 Bpa 的补充方法。 CDMS 揭示了一种先前未报道的十一聚 apo 物种，并定义了具有最小异质性的 Bpa12:HspR2 复合物化学计量。在不使用交联试剂的情况下进行冷冻电镜，独立证实了溶液中十一聚体 Bpa 的存在，以及 Bpa C 端 H4 螺旋的局部底物相关密度。总之，这些互补的单粒子方法为未来针对 Mtb 蛋白酶体系统的努力提供了信息，并为原核生物中蛋白酶体底物识别提供了新的分子见解。</w:t>
      </w:r>
    </w:p>
    <w:p>
      <w:pPr>
        <w:spacing w:before="0" w:after="200" w:lineRule="auto" w:line="276"/>
      </w:pPr>
      <w:r>
        <w:rPr>
          <w:b/>
        </w:rPr>
        <w:t xml:space="preserve">Abstract (EN): </w:t>
      </w:r>
      <w:r>
        <w:t>Bacterial proteasome activator (Bpa) is a regulatory particle within the Mycobacterium tuberculosis (Mtb) proteasome system that facilitates ATP-independent substrate engagement and delivery to the 20S core particle (CP) for degradation. The best characterized Bpa substrate is HspR, a transcriptional repressor of Mt stress-response genes whose Bpa-dependent degradation is required for pathogen virulence. However, the stoichiometry of the Bpa:HspR complex, the molecular mechanism of substrate engagement, and the heterogeneity of the resulting assemblies remain unclear. Here, we combine charge detection mass spectrometry (CDMS) and single-particle electron cryomicroscopy (cryo-EM) as complementary approaches to characterize apo and HspR-bound Bpa. CDMS revealed a previously unreported undecameric apo species and defined a Bpa12:HspR2 complex stoichiometry with minimal heterogeneity. Cryo-EM, performed without the employment of cross-linking reagents, independently confirmed the presence of undecameric Bpa in solution and localized substrate-associated density to the C-terminal H4 helix of Bpa. Together, these complementary single-particle approaches inform future efforts to target the Mtb proteasome system and provide new molecular insight into proteasomal substrate recognition in prokaryotes.</w:t>
      </w:r>
    </w:p>
    <w:p>
      <w:pPr>
        <w:spacing w:before="120" w:after="120"/>
      </w:pPr>
      <w:r>
        <w:rPr>
          <w:sz w:val="18"/>
        </w:rPr>
        <w:t>——————————————————————————————————————————————————————————————————————</w:t>
      </w:r>
    </w:p>
    <w:p>
      <w:pPr>
        <w:spacing w:before="160" w:after="40" w:line="240" w:lineRule="auto"/>
      </w:pPr>
      <w:r>
        <w:rPr>
          <w:b/>
        </w:rPr>
        <w:t xml:space="preserve">[73] </w:t>
      </w:r>
      <w:hyperlink r:id="rId723">
        <w:r>
          <w:rPr>
            <w:color w:val="1155CC"/>
            <w:u w:val="single"/>
          </w:rPr>
          <w:t>社区共享储能存储服务调度与竞价策略协同优化：分布式鲁棒双层模型</w:t>
        </w:r>
      </w:hyperlink>
    </w:p>
    <w:p>
      <w:pPr>
        <w:spacing w:before="0" w:after="80"/>
      </w:pPr>
      <w:r>
        <w:rPr>
          <w:i/>
          <w:sz w:val="20"/>
        </w:rPr>
        <w:t>EN: Co-optimization of storage service scheduling and bidding strategies for community-shared energy storage: a distributionally robust bi-level model</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724">
        <w:r>
          <w:rPr>
            <w:color w:val="1155CC"/>
            <w:u w:val="single"/>
          </w:rPr>
          <w:t>10.1016/j.apenergy.2026.128605</w:t>
        </w:r>
      </w:hyperlink>
    </w:p>
    <w:p>
      <w:pPr>
        <w:spacing w:before="0" w:after="120"/>
      </w:pPr>
      <w:r>
        <w:rPr>
          <w:b/>
        </w:rPr>
        <w:t xml:space="preserve">Notes: </w:t>
      </w:r>
      <w:r>
        <w:t>abstract_source=openalex</w:t>
      </w:r>
    </w:p>
    <w:p>
      <w:pPr>
        <w:spacing w:before="0" w:after="80" w:lineRule="auto" w:line="276"/>
      </w:pPr>
      <w:r>
        <w:rPr>
          <w:b/>
        </w:rPr>
        <w:t xml:space="preserve">摘要（ZH）: </w:t>
      </w:r>
      <w:r>
        <w:t>市场参与和用户侧服务提供的协同优化是保证社区共享储能系统有效运行的关键。在履行这一双重角色时，虽然用户端存储消耗有限的资源，但它为优化市场竞价策略带来了关键的灵活性。然而，文献主要关注孤立的优化，忽视了这种用户侧的灵活性，阻碍了社区共享储能系统在电力市场中最大化其经济效益；因此，仍然存在巨大的研究空白。为了弥补这一差距，本文提出了一种将市场交易与用户侧调度相结合的社区共享储能协同优化框架。通过整合用户侧的灵活性，特别是在建立热惯性方面，该框架缓解了资源冲突并增强了市场竞争力。随后，制定了双层协同优化模型来捕获这种分层联合决策。上层代表社区共享储能运营商通过整合用户侧灵活性响应的利润最大化问题，而下层则表征电力市场出清过程。为了验证该框架，采用了传输受限的IEEE 6总线、14总线和30总线测试系统，数值结果表明，集成用户侧灵活性使社区共享储能的总利润提高了3.2%。所提出的模型有效地实现了社区共享能源</w:t>
      </w:r>
    </w:p>
    <w:p>
      <w:pPr>
        <w:spacing w:before="0" w:after="200" w:lineRule="auto" w:line="276"/>
      </w:pPr>
      <w:r>
        <w:rPr>
          <w:b/>
        </w:rPr>
        <w:t xml:space="preserve">Abstract (EN): </w:t>
      </w:r>
      <w:r>
        <w:t>The co-optimization of market participation and user-side service provision is key to ensuring the effective operation of community-shared energy storage systems. In fulfilling this dual role, while user-side storage consumes finite resources, it introduces critical flexibility for optimizing market bidding strategies. However, the literature has focused primarily on isolated optimizations and neglects this user-side flexibility, preventing community-shared energy storage systems from maximizing their economic benefits in electricity markets; thus, a substantial research gap remains. To bridge this gap, a synergistic optimization framework for community-shared energy storage that couples market trading with user-side scheduling is proposed in this paper. By integrating user-side flexibility, specifically in terms of building thermal inertia, the framework alleviates resource conflicts and enhances market competitiveness. Subsequently, a bi-level co-optimization model is formulated to capture this hierarchical joint decision-making. The upper level represents the profit-maximization problem of the community-shared energy storage operator by integrating user-side flexibility responses, while the lower level characterizes the electricity market-clearing process. To validate this framework, transmission-constrained IEEE 6-bus, 14-bus, and 30-bus test systems were employed and the numerical results demonstrate that integrating user-side flexibility increases the total profit of community-shared energy storage by 3.2%. The proposed model effectively enables community-shared energy storage systems that balance efficient user-side services with optimal market bidding strategies, offering a practical solution for increasing profits.</w:t>
      </w:r>
    </w:p>
    <w:p>
      <w:pPr>
        <w:spacing w:before="120" w:after="120"/>
      </w:pPr>
      <w:r>
        <w:rPr>
          <w:sz w:val="18"/>
        </w:rPr>
        <w:t>——————————————————————————————————————————————————————————————————————</w:t>
      </w:r>
    </w:p>
    <w:p>
      <w:pPr>
        <w:spacing w:before="160" w:after="40" w:line="240" w:lineRule="auto"/>
      </w:pPr>
      <w:r>
        <w:rPr>
          <w:b/>
        </w:rPr>
        <w:t xml:space="preserve">[74] </w:t>
      </w:r>
      <w:hyperlink r:id="rId725">
        <w:r>
          <w:rPr>
            <w:color w:val="1155CC"/>
            <w:u w:val="single"/>
          </w:rPr>
          <w:t>用于极值感知风电预测的频率协调条件扩散模型</w:t>
        </w:r>
      </w:hyperlink>
    </w:p>
    <w:p>
      <w:pPr>
        <w:spacing w:before="0" w:after="80"/>
      </w:pPr>
      <w:r>
        <w:rPr>
          <w:i/>
          <w:sz w:val="20"/>
        </w:rPr>
        <w:t>EN: Frequency-coordinated conditional diffusion model for extreme-value-aware wind power forecasting</w:t>
      </w:r>
    </w:p>
    <w:p>
      <w:pPr>
        <w:spacing w:before="0" w:after="120"/>
      </w:pPr>
      <w:r>
        <w:rPr>
          <w:b/>
        </w:rPr>
        <w:t xml:space="preserve">Source: </w:t>
      </w:r>
      <w:r>
        <w:t>ScienceDirect Publication: Applied Energy</w:t>
      </w:r>
      <w:r>
        <w:t xml:space="preserve">    </w:t>
      </w:r>
      <w:r>
        <w:rPr>
          <w:b/>
        </w:rPr>
        <w:t xml:space="preserve">Pub date: </w:t>
      </w:r>
      <w:r>
        <w:t>2026-08-14 00:00:00+00:00</w:t>
      </w:r>
      <w:r>
        <w:t xml:space="preserve">    </w:t>
      </w:r>
      <w:r>
        <w:rPr>
          <w:b/>
        </w:rPr>
        <w:t xml:space="preserve">DOI: </w:t>
      </w:r>
      <w:hyperlink r:id="rId726">
        <w:r>
          <w:rPr>
            <w:color w:val="1155CC"/>
            <w:u w:val="single"/>
          </w:rPr>
          <w:t>10.1016/j.apenergy.2026.128597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727">
        <w:r>
          <w:rPr>
            <w:color w:val="1155CC"/>
            <w:u w:val="single"/>
          </w:rPr>
          <w:t>用于可持续可穿戴电子产品的激光诱导生物质石墨烯的无损集成</w:t>
        </w:r>
      </w:hyperlink>
    </w:p>
    <w:p>
      <w:pPr>
        <w:spacing w:before="0" w:after="80"/>
      </w:pPr>
      <w:r>
        <w:rPr>
          <w:i/>
          <w:sz w:val="20"/>
        </w:rPr>
        <w:t>EN: Nondestructive Integration of Laser‐Induced Biomass Graphene for Sustainable Wearable Electronics</w:t>
      </w:r>
    </w:p>
    <w:p>
      <w:pPr>
        <w:spacing w:before="0" w:after="120"/>
      </w:pPr>
      <w:r>
        <w:rPr>
          <w:b/>
        </w:rPr>
        <w:t xml:space="preserve">Source: </w:t>
      </w:r>
      <w:r>
        <w:t>Wiley: Advanced Materials: Table of Contents</w:t>
      </w:r>
      <w:r>
        <w:t xml:space="preserve">    </w:t>
      </w:r>
      <w:r>
        <w:rPr>
          <w:b/>
        </w:rPr>
        <w:t xml:space="preserve">Pub date: </w:t>
      </w:r>
      <w:r>
        <w:t>2026-08-14 06:37:48+00:00</w:t>
      </w:r>
      <w:r>
        <w:t xml:space="preserve">    </w:t>
      </w:r>
      <w:r>
        <w:rPr>
          <w:b/>
        </w:rPr>
        <w:t xml:space="preserve">DOI: </w:t>
      </w:r>
      <w:hyperlink r:id="rId728">
        <w:r>
          <w:rPr>
            <w:color w:val="1155CC"/>
            <w:u w:val="single"/>
          </w:rPr>
          <w:t>10.1002/adma.74667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激光诱导石墨烯（LIG）电路由于其优异的化学稳定性和生物相容性，对于可穿戴电子产品具有重大前景。然而，化石衍生的芳香族前体面临有限的可用性和环境负担的挑战，并且高能激光加工会损坏基材并阻碍分离。在这里，我们提出了一种基于植物木质素前体的无损策略，该策略集成了快速散热和无应力图案转移。在分解和重建过程的 ReaxFF 分子动力学模拟指导下，木质素衍生的 LIG 电路具有高阶结构和低至 15 Ω sq 的薄层电阻</w:t>
      </w:r>
      <w:r>
        <w:t xml:space="preserve"> </w:t>
      </w:r>
      <w:r>
        <w:t>−1</w:t>
      </w:r>
      <w:r>
        <w:t xml:space="preserve"> </w:t>
      </w:r>
      <w:r>
        <w:t>获得，并允许完全集成到各种聚合物上，包括那些以前无法获得的超薄（20 µm）、低模量（69 kPa）和低熔点（84°C）轮廓的聚合物。利用上述平台，构建了六种辐射光、电子和热传感应用的柔性器件，展示了其通用性。最后但并非最不重要的一点是，木质素具有高生物合成产量、闭环可回收性和出色的生物降解性，与化石替代品相比，环境足迹减少约 90%。</w:t>
      </w:r>
    </w:p>
    <w:p>
      <w:pPr>
        <w:spacing w:before="0" w:after="200" w:lineRule="auto" w:line="276"/>
      </w:pPr>
      <w:r>
        <w:rPr>
          <w:b/>
        </w:rPr>
        <w:t xml:space="preserve">Abstract (EN): </w:t>
      </w:r>
      <w:r>
        <w:t>Laser‐induced graphene (LIG) circuits hold significant promise for wearable electronics due to their excellent chemical stability and biocompatibility. However, fossil‐derived aromatic precursors are challenged by limited availability and environmental burden, and high energy laser processing damages substrates and hinders separation. Here, we propose a nondestructive strategy that integrates rapid heat dissipation and stress‐free pattern transfer based on a botanical lignin‐based precursor. Guided by the ReaxFF molecular dynamics simulation on the decomposition and reconstruction processes, lignin‐derived LIG circuits with high‐ordered structure and sheet resistance as low as 15 Ω sq</w:t>
      </w:r>
      <w:r>
        <w:t xml:space="preserve"> </w:t>
      </w:r>
      <w:r>
        <w:t>−1</w:t>
      </w:r>
      <w:r>
        <w:t xml:space="preserve"> </w:t>
      </w:r>
      <w:r>
        <w:t>are obtained, and allow for complete integration onto a wide range of polymers, including those with ultrathin (20 µm), low‐modulus (69 kPa), and low‐melting‐point (84°C) profiles previously inaccessible. Leveraging the above platforms, six flexible devices irradiating light, electron, and thermal sensing applications are constructed, demonstrating its universality. Last but not the least, lignin offers high biosynthetic yield, closed‐loop recyclability, and excellent biodegradability, achieving an approximately 90% reduction in environmental footprint compared to fossil‐based alternatives.</w:t>
      </w:r>
    </w:p>
    <w:p>
      <w:pPr>
        <w:spacing w:before="120" w:after="120"/>
      </w:pPr>
      <w:r>
        <w:rPr>
          <w:sz w:val="18"/>
        </w:rPr>
        <w:t>——————————————————————————————————————————————————————————————————————</w:t>
      </w:r>
    </w:p>
    <w:p>
      <w:pPr>
        <w:spacing w:before="160" w:after="40" w:line="240" w:lineRule="auto"/>
      </w:pPr>
      <w:r>
        <w:rPr>
          <w:b/>
        </w:rPr>
        <w:t xml:space="preserve">[76] </w:t>
      </w:r>
      <w:hyperlink r:id="rId729">
        <w:r>
          <w:rPr>
            <w:color w:val="1155CC"/>
            <w:u w:val="single"/>
          </w:rPr>
          <w:t>低维 V-VI 范德华复合光电探测器</w:t>
        </w:r>
      </w:hyperlink>
    </w:p>
    <w:p>
      <w:pPr>
        <w:spacing w:before="0" w:after="80"/>
      </w:pPr>
      <w:r>
        <w:rPr>
          <w:i/>
          <w:sz w:val="20"/>
        </w:rPr>
        <w:t>EN: Low‐Dimensional V–VI van der Waals Compound Photodetectors</w:t>
      </w:r>
    </w:p>
    <w:p>
      <w:pPr>
        <w:spacing w:before="0" w:after="120"/>
      </w:pPr>
      <w:r>
        <w:rPr>
          <w:b/>
        </w:rPr>
        <w:t xml:space="preserve">Source: </w:t>
      </w:r>
      <w:r>
        <w:t>Wiley: Advanced Materials: Table of Contents</w:t>
      </w:r>
      <w:r>
        <w:t xml:space="preserve">    </w:t>
      </w:r>
      <w:r>
        <w:rPr>
          <w:b/>
        </w:rPr>
        <w:t xml:space="preserve">Pub date: </w:t>
      </w:r>
      <w:r>
        <w:t>2026-08-14 06:40:46+00:00</w:t>
      </w:r>
      <w:r>
        <w:t xml:space="preserve">    </w:t>
      </w:r>
      <w:r>
        <w:rPr>
          <w:b/>
        </w:rPr>
        <w:t xml:space="preserve">DOI: </w:t>
      </w:r>
      <w:hyperlink r:id="rId730">
        <w:r>
          <w:rPr>
            <w:color w:val="1155CC"/>
            <w:u w:val="single"/>
          </w:rPr>
          <w:t>10.1002/adma.74622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本综述首次对基于低维 V-VI 范德华化合物的光电探测器进行了全面概述。它从光电探测的基本物理机制和各种 V-VI 范德华化合物的特性开始。然后，提出了生产低维V-VI化合物的制备方法。在此之后，各种基于低维V-VI化合物且具有独特特性的光电探测器被概括为普通半导体和非平凡拓扑绝缘体。随后，引入了基于 V-VI 化合物的异质结构构建的光电探测器，详细阐述了异质结构带来的协作优势。最后，提出了这个新兴领域的未来发展方向。总的来说，这篇综述全面介绍了低维 V-VI 范德华复合光电探测器，强调了实现下一代先进光电器件和系统的替代范例。</w:t>
      </w:r>
    </w:p>
    <w:p>
      <w:pPr>
        <w:spacing w:before="0" w:after="200" w:lineRule="auto" w:line="276"/>
      </w:pPr>
      <w:r>
        <w:rPr>
          <w:b/>
        </w:rPr>
        <w:t xml:space="preserve">Abstract (EN): </w:t>
      </w:r>
      <w:r>
        <w:t>This review for the first time provides a comprehensive overview on the low‐dimensional V–VI van der Waals compounds‐based photodetectors. It begins with the fundamental physical mechanisms for photodetection and the properties of various V–VI van der Waals compounds. Then, the preparation methods for producing low‐dimensional V–VI compounds have been presented. Following this, various photodetectors based on low‐dimensional V–VI compounds with distinct characteristics have been epitomized by categorizing them into trivial semiconductors and non‐trivial topological insulators. Subsequently, photodetectors built of V–VI compounds based heterostructures have been introduced, elaborating on the collaborative benefits enabled by heterostructuring. In the end, the future directions of this burgeoning domain have been proposed. On the whole, this review presents a full landscape of low‐dimensional V–VI van der Waals compound photodetectors, underscoring alternative paradigms for the implementation of the next generation of advanced optoelectronic devices and systems.</w:t>
      </w:r>
    </w:p>
    <w:p>
      <w:pPr>
        <w:spacing w:before="120" w:after="120"/>
      </w:pPr>
      <w:r>
        <w:rPr>
          <w:sz w:val="18"/>
        </w:rPr>
        <w:t>——————————————————————————————————————————————————————————————————————</w:t>
      </w:r>
    </w:p>
    <w:p>
      <w:pPr>
        <w:spacing w:before="160" w:after="40" w:line="240" w:lineRule="auto"/>
      </w:pPr>
      <w:r>
        <w:rPr>
          <w:b/>
        </w:rPr>
        <w:t xml:space="preserve">[77] </w:t>
      </w:r>
      <w:hyperlink r:id="rId731">
        <w:r>
          <w:rPr>
            <w:color w:val="1155CC"/>
            <w:u w:val="single"/>
          </w:rPr>
          <w:t>时空频率信息超表面及其在电磁环境传感中的应用</w:t>
        </w:r>
      </w:hyperlink>
    </w:p>
    <w:p>
      <w:pPr>
        <w:spacing w:before="0" w:after="80"/>
      </w:pPr>
      <w:r>
        <w:rPr>
          <w:i/>
          <w:sz w:val="20"/>
        </w:rPr>
        <w:t>EN: Space‐Time‐Frequency Information Metasurface and Its Application in Electromagnetic Environment Sensing</w:t>
      </w:r>
    </w:p>
    <w:p>
      <w:pPr>
        <w:spacing w:before="0" w:after="120"/>
      </w:pPr>
      <w:r>
        <w:rPr>
          <w:b/>
        </w:rPr>
        <w:t xml:space="preserve">Source: </w:t>
      </w:r>
      <w:r>
        <w:t>Wiley: Advanced Materials: Table of Contents</w:t>
      </w:r>
      <w:r>
        <w:t xml:space="preserve">    </w:t>
      </w:r>
      <w:r>
        <w:rPr>
          <w:b/>
        </w:rPr>
        <w:t xml:space="preserve">Pub date: </w:t>
      </w:r>
      <w:r>
        <w:t>2026-08-14 06:43:01+00:00</w:t>
      </w:r>
      <w:r>
        <w:t xml:space="preserve">    </w:t>
      </w:r>
      <w:r>
        <w:rPr>
          <w:b/>
        </w:rPr>
        <w:t xml:space="preserve">DOI: </w:t>
      </w:r>
      <w:hyperlink r:id="rId732">
        <w:r>
          <w:rPr>
            <w:color w:val="1155CC"/>
            <w:u w:val="single"/>
          </w:rPr>
          <w:t>10.1002/adma.74619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6G通信、物联网、电子战系统向更高频率、更宽带宽、多场景协同方向发展，对实时、高精度电磁场感知提出了越来越严格的要求。然而，效率与复杂性的权衡仍然是空间、时间和时空域传统传感方法的关键瓶颈。为了解决这个问题，我们提出了一种时空频率信息超表面，并研究了其在电磁环境传感中的应用。通过将差异化的频移数字编码合并到元原子中，不同的元原子将独立地调制不同的特征频率，从而形成时空频率编码策略。该联合编码策略能够在单个射频接收通道下实现频域原子级电磁信号的高效解耦和并行提取，显着降低系统复杂度和硬件成本。该方法将信息超表面的调制维度扩展到空时频编码，可能为高维电磁信号处理和传感系统开辟新的途径。</w:t>
      </w:r>
    </w:p>
    <w:p>
      <w:pPr>
        <w:spacing w:before="0" w:after="200" w:lineRule="auto" w:line="276"/>
      </w:pPr>
      <w:r>
        <w:rPr>
          <w:b/>
        </w:rPr>
        <w:t xml:space="preserve">Abstract (EN): </w:t>
      </w:r>
      <w:r>
        <w:t>The advancement of 6G communications, Internet of Things, and electronic warfare systems toward higher frequencies, wider bandwidths, and multi‐scenario cooperation has imposed increasingly stringent demands on real‐time and high‐precision electromagnetic field sensing. However, the efficiency‐complexity trade‐off persists as a critical bottleneck for conventional sensing approaches in the space, time and space‐time domains. To address this problem, we propose a space‐time‐frequency information metasurface and investigate its applications in electromagnetic environment sensing. By incorporating differentiated frequency‐shift digital coding into meta‐atoms, different meta‐atoms will modulate distinct characteristic frequencies independently, resulting in a space‐time‐frequency coding strategy. The joint coding strategy enables efficient decoupling and parallel extraction of atom‐level electromagnetic signals in frequency domain under a single radio‐frequency reception channel, significantly reducing the system complexity and hardware costs. This method extends the modulation dimensions of information metasurface to the space‐time‐frequency coding, and may pave a new pathway for high‐dimensional electromagnetic signal processing and sensing systems.</w:t>
      </w:r>
    </w:p>
    <w:p>
      <w:pPr>
        <w:spacing w:before="120" w:after="120"/>
      </w:pPr>
      <w:r>
        <w:rPr>
          <w:sz w:val="18"/>
        </w:rPr>
        <w:t>——————————————————————————————————————————————————————————————————————</w:t>
      </w:r>
    </w:p>
    <w:p>
      <w:pPr>
        <w:spacing w:before="160" w:after="40" w:line="240" w:lineRule="auto"/>
      </w:pPr>
      <w:r>
        <w:rPr>
          <w:b/>
        </w:rPr>
        <w:t xml:space="preserve">[78] </w:t>
      </w:r>
      <w:hyperlink r:id="rId733">
        <w:r>
          <w:rPr>
            <w:color w:val="1155CC"/>
            <w:u w:val="single"/>
          </w:rPr>
          <w:t>使用碳纳米管内存矩阵乘法进行模拟张量处理，实现边缘计算机视觉加速</w:t>
        </w:r>
      </w:hyperlink>
    </w:p>
    <w:p>
      <w:pPr>
        <w:spacing w:before="0" w:after="80"/>
      </w:pPr>
      <w:r>
        <w:rPr>
          <w:i/>
          <w:sz w:val="20"/>
        </w:rPr>
        <w:t>EN: Analog Tensor Processing With Carbon Nanotube In‐Memory Matrix Multiplications for Edge Computer Vision Acceleration</w:t>
      </w:r>
    </w:p>
    <w:p>
      <w:pPr>
        <w:spacing w:before="0" w:after="120"/>
      </w:pPr>
      <w:r>
        <w:rPr>
          <w:b/>
        </w:rPr>
        <w:t xml:space="preserve">Source: </w:t>
      </w:r>
      <w:r>
        <w:t>Wiley: Advanced Materials: Table of Contents</w:t>
      </w:r>
      <w:r>
        <w:t xml:space="preserve">    </w:t>
      </w:r>
      <w:r>
        <w:rPr>
          <w:b/>
        </w:rPr>
        <w:t xml:space="preserve">Pub date: </w:t>
      </w:r>
      <w:r>
        <w:t>2026-08-14 06:45:33+00:00</w:t>
      </w:r>
      <w:r>
        <w:t xml:space="preserve">    </w:t>
      </w:r>
      <w:r>
        <w:rPr>
          <w:b/>
        </w:rPr>
        <w:t xml:space="preserve">DOI: </w:t>
      </w:r>
      <w:hyperlink r:id="rId734">
        <w:r>
          <w:rPr>
            <w:color w:val="1155CC"/>
            <w:u w:val="single"/>
          </w:rPr>
          <w:t>10.1002/adma.74633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计算机视觉需要密集的张量运算，主要是矩阵乘法，提出了大量的计算需求。使用 GPU 和 ASIC 等硬件进行加速提供了可行的解决方案。然而，它们在边缘的应用可能会受到计算架构的复杂性以及与模拟系统的不兼容性的限制。在这里，我们设计了一个基于碳纳米管电荷捕获非易失性存储器的模拟张量核心，用于边缘计算机视觉加速。该存储器具有约 100 个线性、对称模拟权重，具有快速编程 (500 ns) 和数据处理 (1 Mbit/s)，可实现内存中矩阵乘法，促进紧凑的张量核心设计以及视觉任务中向量和标量的操作。作为演示，模拟张量核心证明了三维 (3D) 空间变换的误差小于 2.81%，边缘检测的信噪比大于 22 dB，这增强了其在自动驾驶、VR/AR、机器人导航和工业自动化等领域加速计算机视觉任务的潜力。概念验证模拟通过使用我们的模拟张量核心进行大规模并行单层张量处理，实现了街景鱼眼捕获的视场畸变校正和边缘检测。</w:t>
      </w:r>
    </w:p>
    <w:p>
      <w:pPr>
        <w:spacing w:before="0" w:after="200" w:lineRule="auto" w:line="276"/>
      </w:pPr>
      <w:r>
        <w:rPr>
          <w:b/>
        </w:rPr>
        <w:t xml:space="preserve">Abstract (EN): </w:t>
      </w:r>
      <w:r>
        <w:t>Computer vision requires intense tensor operations, primarily matrix multiplications, imposing substantial computation demands. Using hardware such as GPU and ASICs for acceleration offers a viable solution. Their application at edge, however, can be constrained by complexity in the computing architecture and incompatibility with analog systems. Here, we prototype an analog tensor core based on carbon nanotube charge‐trapping nonvolatile memory for edge computer vision acceleration. The memory, exhibiting ∼100 linear, symmetric analog weights with fast programming (500 ns) and data processing (1 Mbit/s), enables in‐memory matrix multiplications, facilitating compact tensor core design and operation of vectors and scalars in visual tasks. As demonstrations, the analog tensor core proves three‐dimensional (3D) spatial transformation with an error of &amp;lt;2.81% and edge detection with a signal‐to‐noise ratio of &amp;gt;22 dB, underpinning its potential for accelerating computer vision tasks in, for example, autonomous driving, VR/AR, robot navigation, and industrial automation. Proof‐of‐concept simulation achieves viewfield distortion correction and edge detection of street view fisheye captures by parallel single‐layer tensor processing using our analog tensor core in large scales.</w:t>
      </w:r>
    </w:p>
    <w:p>
      <w:pPr>
        <w:spacing w:before="120" w:after="120"/>
      </w:pPr>
      <w:r>
        <w:rPr>
          <w:sz w:val="18"/>
        </w:rPr>
        <w:t>——————————————————————————————————————————————————————————————————————</w:t>
      </w:r>
    </w:p>
    <w:p>
      <w:pPr>
        <w:spacing w:before="160" w:after="40" w:line="240" w:lineRule="auto"/>
      </w:pPr>
      <w:r>
        <w:rPr>
          <w:b/>
        </w:rPr>
        <w:t xml:space="preserve">[79] </w:t>
      </w:r>
      <w:hyperlink r:id="rId735">
        <w:r>
          <w:rPr>
            <w:color w:val="1155CC"/>
            <w:u w:val="single"/>
          </w:rPr>
          <w:t>体内孤立突触电位的高度衰减的树突传播</w:t>
        </w:r>
      </w:hyperlink>
    </w:p>
    <w:p>
      <w:pPr>
        <w:spacing w:before="0" w:after="80"/>
      </w:pPr>
      <w:r>
        <w:rPr>
          <w:i/>
          <w:sz w:val="20"/>
        </w:rPr>
        <w:t>EN: Highly attenuated dendritic propagation of isolated synaptic potentials in vivo</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36">
        <w:r>
          <w:rPr>
            <w:color w:val="1155CC"/>
            <w:u w:val="single"/>
          </w:rPr>
          <w:t>10.1126/sciadv.adz4123</w:t>
        </w:r>
      </w:hyperlink>
    </w:p>
    <w:p>
      <w:pPr>
        <w:spacing w:before="0" w:after="120"/>
      </w:pPr>
      <w:r>
        <w:rPr>
          <w:b/>
        </w:rPr>
        <w:t xml:space="preserve">Notes: </w:t>
      </w:r>
      <w:r>
        <w:t>abstract_source=crossref</w:t>
      </w:r>
    </w:p>
    <w:p>
      <w:pPr>
        <w:spacing w:before="0" w:after="80" w:lineRule="auto" w:line="276"/>
      </w:pPr>
      <w:r>
        <w:rPr>
          <w:b/>
        </w:rPr>
        <w:t xml:space="preserve">摘要（ZH）: </w:t>
      </w:r>
      <w:r>
        <w:t>突触输入的整合是神经元的基本功能。在传统模型中，兴奋性输入在躯体处求和以产生动作电位。然而，突触输入如何在体内被树突整合的研究仍然很少。我们使用带有基因编码电压指示器（动作电位加速传感器 5）的活体双光子树突成像以及体细胞全细胞膜片钳记录来研究突触去极化如何转移到小鼠体感皮层锥体神经元的体细胞。我们研究了自发和感觉诱发条件下突触输入的整合，以及电刺激和光遗传学刺激。在所有情况下，虽然多个输入在细胞体中引起可测量的去极化，但孤立的突触电位被强烈减弱。我们的结果表明，孤立的突触输入对体细胞去极化的贡献最小，而短时间窗口内的一致输入更有效，表明树突整合机制有利于皮质网络中的一致或聚集的神经元活动。</w:t>
      </w:r>
    </w:p>
    <w:p>
      <w:pPr>
        <w:spacing w:before="0" w:after="200" w:lineRule="auto" w:line="276"/>
      </w:pPr>
      <w:r>
        <w:rPr>
          <w:b/>
        </w:rPr>
        <w:t xml:space="preserve">Abstract (EN): </w:t>
      </w:r>
      <w:r>
        <w:t>The integration of synaptic inputs is a fundamental function of neurons. In the traditional model, excitatory inputs are summed at the soma to generate action potentials. However, how synaptic inputs are integrated by dendrites in vivo remains poorly explored. We used intravital two-photon dendritic imaging with a genetically encoded voltage indicator (accelerated sensor of action potentials 5) together with somatic whole-cell patch clamp recordings to investigate how synaptic depolarizations are transferred to the soma in pyramidal neurons of the mouse somatosensory cortex. We studied the integration of synaptic inputs under spontaneous and sensory-evoked conditions, as well as following electrical and optogenetic stimulation. In all cases, while multiple inputs evoked measurable depolarizations in the cell body, isolated synaptic potentials were strongly attenuated. Our results suggest that isolated synaptic inputs have a minimal contribution to somatic depolarization, whereas coincident inputs within short temporal windows are more effective, indicating a regime of dendritic integration that favors coincident or clustered neuronal activity in cortical networks.</w:t>
      </w:r>
    </w:p>
    <w:p>
      <w:pPr>
        <w:spacing w:before="120" w:after="120"/>
      </w:pPr>
      <w:r>
        <w:rPr>
          <w:sz w:val="18"/>
        </w:rPr>
        <w:t>——————————————————————————————————————————————————————————————————————</w:t>
      </w:r>
    </w:p>
    <w:p>
      <w:pPr>
        <w:spacing w:before="160" w:after="40" w:line="240" w:lineRule="auto"/>
      </w:pPr>
      <w:r>
        <w:rPr>
          <w:b/>
        </w:rPr>
        <w:t xml:space="preserve">[80] </w:t>
      </w:r>
      <w:hyperlink r:id="rId737">
        <w:r>
          <w:rPr>
            <w:color w:val="1155CC"/>
            <w:u w:val="single"/>
          </w:rPr>
          <w:t>基因组折叠和核斑点汇聚以协调成纤维细胞激活</w:t>
        </w:r>
      </w:hyperlink>
    </w:p>
    <w:p>
      <w:pPr>
        <w:spacing w:before="0" w:after="80"/>
      </w:pPr>
      <w:r>
        <w:rPr>
          <w:i/>
          <w:sz w:val="20"/>
        </w:rPr>
        <w:t>EN: Genome folding and nuclear speckles converge to orchestrate fibroblast activation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38">
        <w:r>
          <w:rPr>
            <w:color w:val="1155CC"/>
            <w:u w:val="single"/>
          </w:rPr>
          <w:t>10.1126/sciadv.aec3453</w:t>
        </w:r>
      </w:hyperlink>
    </w:p>
    <w:p>
      <w:pPr>
        <w:spacing w:before="0" w:after="120"/>
      </w:pPr>
      <w:r>
        <w:rPr>
          <w:b/>
        </w:rPr>
        <w:t xml:space="preserve">Notes: </w:t>
      </w:r>
      <w:r>
        <w:t>abstract_source=crossref</w:t>
      </w:r>
    </w:p>
    <w:p>
      <w:pPr>
        <w:spacing w:before="0" w:after="80" w:lineRule="auto" w:line="276"/>
      </w:pPr>
      <w:r>
        <w:rPr>
          <w:b/>
        </w:rPr>
        <w:t xml:space="preserve">摘要（ZH）: </w:t>
      </w:r>
      <w:r>
        <w:t>成纤维细胞响应诱导信号而采取不同的细胞状态以维持组织稳态。我们利用这种细胞状态可塑性来定义基因组组织如何促进细胞身份的变化。我们发现，TGF-β 在成纤维细胞活化为肌成纤维细胞期间上调的基因上重新配置了拓扑关联结构域和染色质环。成纤维细胞激活过程中的基因诱导需要粘连蛋白，增强的粘连蛋白稳定性足以绕过 TGF-β 信号传导并驱动肌成纤维细胞样状态。新的证据表明染色质相对于核斑点的空间定位可以调节基因表达。因此，我们研究了关键的核斑点成分 SON 的作用，并表明它是肌成纤维细胞基因表达所必需的。值得注意的是，增强基因组折叠可以部分挽救具有 SON 耗尽核斑点的成纤维细胞中的基因表达。总之，这些发现增进了我们对纤维化的理解，并支持了一个模型，在该模型中，基因组组织的不同方面汇聚在一起协调细胞状态转变。</w:t>
      </w:r>
    </w:p>
    <w:p>
      <w:pPr>
        <w:spacing w:before="0" w:after="200" w:lineRule="auto" w:line="276"/>
      </w:pPr>
      <w:r>
        <w:rPr>
          <w:b/>
        </w:rPr>
        <w:t xml:space="preserve">Abstract (EN): </w:t>
      </w:r>
      <w:r>
        <w:t>Fibroblasts adopt diverse cell states in response to inductive cues to maintain tissue homeostasis. We leveraged this cell-state plasticity to define how genome organization contributes to changes in cellular identity. We show that TGF-β reconfigures topologically associating domains and chromatin loops at genes upregulated during fibroblast activation into myofibroblasts. Cohesin is required for gene induction during fibroblast activation, and enhanced cohesin stability is sufficient to bypass TGF-β signaling and drive a myofibroblast-like state. Emerging evidence suggests chromatin spatial positioning relative to nuclear speckles can regulate gene expression. Therefore, we examined the role of the critical nuclear speckle component SON and showed that it is required for myofibroblast gene expression. Notably, enhancing genome folding partially rescued gene expression in fibroblasts with SON-depleted nuclear speckles. Together, these findings advance our understanding of fibrosis and support a model in which distinct facets of genome organization converge to orchestrate cell-state transitions.</w:t>
      </w:r>
    </w:p>
    <w:p>
      <w:pPr>
        <w:spacing w:before="120" w:after="120"/>
      </w:pPr>
      <w:r>
        <w:rPr>
          <w:sz w:val="18"/>
        </w:rPr>
        <w:t>——————————————————————————————————————————————————————————————————————</w:t>
      </w:r>
    </w:p>
    <w:p>
      <w:pPr>
        <w:spacing w:before="160" w:after="40" w:line="240" w:lineRule="auto"/>
      </w:pPr>
      <w:r>
        <w:rPr>
          <w:b/>
        </w:rPr>
        <w:t xml:space="preserve">[81] </w:t>
      </w:r>
      <w:hyperlink r:id="rId739">
        <w:r>
          <w:rPr>
            <w:color w:val="1155CC"/>
            <w:u w:val="single"/>
          </w:rPr>
          <w:t>酉表示和冯诺依曼的连续几何</w:t>
        </w:r>
      </w:hyperlink>
    </w:p>
    <w:p>
      <w:pPr>
        <w:spacing w:before="0" w:after="80"/>
      </w:pPr>
      <w:r>
        <w:rPr>
          <w:i/>
          <w:sz w:val="20"/>
        </w:rPr>
        <w:t>EN: Unitary representations and von Neumann’s continuous geometries</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40">
        <w:r>
          <w:rPr>
            <w:color w:val="1155CC"/>
            <w:u w:val="single"/>
          </w:rPr>
          <w:t>10.1073/pnas.2615658123</w:t>
        </w:r>
      </w:hyperlink>
    </w:p>
    <w:p>
      <w:pPr>
        <w:spacing w:before="0" w:after="120"/>
      </w:pPr>
      <w:r>
        <w:rPr>
          <w:b/>
        </w:rPr>
        <w:t xml:space="preserve">Notes: </w:t>
      </w:r>
      <w:r>
        <w:t>abstract_source=rss_pnas_summary</w:t>
      </w:r>
    </w:p>
    <w:p>
      <w:pPr>
        <w:spacing w:before="0" w:after="80" w:lineRule="auto" w:line="276"/>
      </w:pPr>
      <w:r>
        <w:rPr>
          <w:b/>
        </w:rPr>
        <w:t xml:space="preserve">摘要（ZH）: </w:t>
      </w:r>
      <w:r>
        <w:t>意义我们揭示了冯·诺依曼通过连续几何建模量子逻辑的程序的一个显着局限性。连续几何具有自然对称群，它们作为坐标环的单位群出现。我们的主要...</w:t>
      </w:r>
    </w:p>
    <w:p>
      <w:pPr>
        <w:spacing w:before="0" w:after="200" w:lineRule="auto" w:line="276"/>
      </w:pPr>
      <w:r>
        <w:rPr>
          <w:b/>
        </w:rPr>
        <w:t xml:space="preserve">Abstract (EN): </w:t>
      </w:r>
      <w:r>
        <w:t>SignificanceWe unveil a striking limitation in von Neumann’s program of modeling quantum logic through continuous geometries. Continuous geometries have natural groups of symmetries, which arise as the unit groups of their coordinate rings. Our main ...</w:t>
      </w:r>
    </w:p>
    <w:p>
      <w:pPr>
        <w:spacing w:before="120" w:after="120"/>
      </w:pPr>
      <w:r>
        <w:rPr>
          <w:sz w:val="18"/>
        </w:rPr>
        <w:t>——————————————————————————————————————————————————————————————————————</w:t>
      </w:r>
    </w:p>
    <w:p>
      <w:pPr>
        <w:spacing w:before="160" w:after="40" w:line="240" w:lineRule="auto"/>
      </w:pPr>
      <w:r>
        <w:rPr>
          <w:b/>
        </w:rPr>
        <w:t xml:space="preserve">[82] </w:t>
      </w:r>
      <w:hyperlink r:id="rId741">
        <w:r>
          <w:rPr>
            <w:color w:val="1155CC"/>
            <w:u w:val="single"/>
          </w:rPr>
          <w:t>超越“不显着”的结果：为什么以及如何测试实际等效性</w:t>
        </w:r>
      </w:hyperlink>
    </w:p>
    <w:p>
      <w:pPr>
        <w:spacing w:before="0" w:after="80"/>
      </w:pPr>
      <w:r>
        <w:rPr>
          <w:i/>
          <w:sz w:val="20"/>
        </w:rPr>
        <w:t>EN: Beyond “non-significant” results: Why and how to test for practical equivalence</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42">
        <w:r>
          <w:rPr>
            <w:color w:val="1155CC"/>
            <w:u w:val="single"/>
          </w:rPr>
          <w:t>10.1073/pnas.2611548123</w:t>
        </w:r>
      </w:hyperlink>
    </w:p>
    <w:p>
      <w:pPr>
        <w:spacing w:before="0" w:after="120"/>
      </w:pPr>
      <w:r>
        <w:rPr>
          <w:b/>
        </w:rPr>
        <w:t xml:space="preserve">Notes: </w:t>
      </w:r>
      <w:r>
        <w:t>abstract_source=crossref</w:t>
      </w:r>
    </w:p>
    <w:p>
      <w:pPr>
        <w:spacing w:before="0" w:after="80" w:lineRule="auto" w:line="276"/>
      </w:pPr>
      <w:r>
        <w:rPr>
          <w:b/>
        </w:rPr>
        <w:t xml:space="preserve">摘要（ZH）: </w:t>
      </w:r>
      <w:r>
        <w:t>报告比较</w:t>
      </w:r>
      <w:r>
        <w:t xml:space="preserve"> </w:t>
      </w:r>
      <w:r>
        <w:t>磷</w:t>
      </w:r>
      <w:r>
        <w:t xml:space="preserve"> </w:t>
      </w:r>
      <w:r>
        <w:t>≥ 0.05 表示“无影响”或“无差异”仍然是科学文献中最普遍和最有问题的误解之一。统计上不显着的结果仅表明数据没有为差异提供有力的证据。这种区别很重要，因为此类发现可能因两个截然不同的原因而出现：要么没有有意义的差异，要么存在有意义的差异，但由于样本量有限或变异性高而无法可靠地检测到。我们强调等效性测试作为区分这些可能性的实用框架。使用两个单边检验（TOST）方法，研究人员可以正式测试是否可以排除大到足以具有科学、临床或实际意义的影响。我们解释了 TOST 的逻辑，展示了它如何区分实际等效性和非结论性证据，并说明了它在配对和非配对比较中的使用。为了支持更广泛的采用，我们还推出了一个免费的在线计算器，使研究人员能够在无需编码的情况下执行常见的等价测试。</w:t>
      </w:r>
    </w:p>
    <w:p>
      <w:pPr>
        <w:spacing w:before="0" w:after="200" w:lineRule="auto" w:line="276"/>
      </w:pPr>
      <w:r>
        <w:rPr>
          <w:b/>
        </w:rPr>
        <w:t xml:space="preserve">Abstract (EN): </w:t>
      </w:r>
      <w:r>
        <w:t>Reporting comparisons with</w:t>
      </w:r>
      <w:r>
        <w:t xml:space="preserve"> </w:t>
      </w:r>
      <w:r>
        <w:t>P</w:t>
      </w:r>
      <w:r>
        <w:t xml:space="preserve"> </w:t>
      </w:r>
      <w:r>
        <w:t>≥ 0.05 as showing “no effect” or “no difference” remains one of the most widespread and problematic misinterpretations in the scientific literature. A statistically nonsignificant result shows only that the data do not provide strong evidence for a difference. This distinction matters because such findings can arise for two very different reasons: Either there is no meaningful difference, or a meaningful difference is present but cannot be detected reliably because of limited sample size or high variability. We highlight equivalence testing as a practical framework for distinguishing between these possibilities. Using the two one-sided tests (TOST) approach, investigators can formally test whether effects large enough to be scientifically, clinically, or practically meaningful can be ruled out. We explain the logic of TOST, show how it distinguishes practical equivalence from inconclusive evidence, and illustrate its use in paired and unpaired comparisons. To support broader adoption, we also introduce a freely available online calculator that enables researchers to perform common equivalence tests without coding.</w:t>
      </w:r>
    </w:p>
    <w:p>
      <w:pPr>
        <w:spacing w:before="120" w:after="120"/>
      </w:pPr>
      <w:r>
        <w:rPr>
          <w:sz w:val="18"/>
        </w:rPr>
        <w:t>——————————————————————————————————————————————————————————————————————</w:t>
      </w:r>
    </w:p>
    <w:p>
      <w:pPr>
        <w:spacing w:before="160" w:after="40" w:line="240" w:lineRule="auto"/>
      </w:pPr>
      <w:r>
        <w:rPr>
          <w:b/>
        </w:rPr>
        <w:t xml:space="preserve">[83] </w:t>
      </w:r>
      <w:hyperlink r:id="rId743">
        <w:r>
          <w:rPr>
            <w:color w:val="1155CC"/>
            <w:u w:val="single"/>
          </w:rPr>
          <w:t>铜绿假单胞菌中儿茶酚铁载体转运蛋白的独特转录逻辑可有效获取铁</w:t>
        </w:r>
      </w:hyperlink>
    </w:p>
    <w:p>
      <w:pPr>
        <w:spacing w:before="0" w:after="80"/>
      </w:pPr>
      <w:r>
        <w:rPr>
          <w:i/>
          <w:sz w:val="20"/>
        </w:rPr>
        <w:t>EN: Distinct transcriptional logics of catechol siderophore transporters in Pseudomonas aeruginosa for efficient iron acquisition</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44">
        <w:r>
          <w:rPr>
            <w:color w:val="1155CC"/>
            <w:u w:val="single"/>
          </w:rPr>
          <w:t>10.1073/pnas.2602150123</w:t>
        </w:r>
      </w:hyperlink>
    </w:p>
    <w:p>
      <w:pPr>
        <w:spacing w:before="0" w:after="120"/>
      </w:pPr>
      <w:r>
        <w:rPr>
          <w:b/>
        </w:rPr>
        <w:t xml:space="preserve">Notes: </w:t>
      </w:r>
      <w:r>
        <w:t>abstract_source=crossref</w:t>
      </w:r>
    </w:p>
    <w:p>
      <w:pPr>
        <w:spacing w:before="0" w:after="80" w:lineRule="auto" w:line="276"/>
      </w:pPr>
      <w:r>
        <w:rPr>
          <w:b/>
        </w:rPr>
        <w:t xml:space="preserve">摘要（ZH）: </w:t>
      </w:r>
      <w:r>
        <w:t>拥有 21 个专门用于铁获取的外膜转运蛋白，</w:t>
      </w:r>
      <w:r>
        <w:t xml:space="preserve"> </w:t>
      </w:r>
      <w:r>
        <w:t>铜绿假单胞菌</w:t>
      </w:r>
      <w:r>
        <w:t xml:space="preserve"> </w:t>
      </w:r>
      <w:r>
        <w:t>拥有广泛的工具包来获取这种必需营养素，但仅激活与其直接环境相关的表达。其中十八条途径依赖于铁载体，其中两条由铁载体产生</w:t>
      </w:r>
      <w:r>
        <w:t xml:space="preserve"> </w:t>
      </w:r>
      <w:r>
        <w:t>铜绿假单胞菌</w:t>
      </w:r>
      <w:r>
        <w:t xml:space="preserve"> </w:t>
      </w:r>
      <w:r>
        <w:t>以及其他通过铁载体盗版策略从邻近微生物获得的。使用荧光报告基因和数学模型，我们量化了儿茶酚型铁载体如何调节其匹配的转运蛋白 PfeA、FvbA、PirA 和 PiuA 的转录。</w:t>
      </w:r>
      <w:r>
        <w:t xml:space="preserve"> </w:t>
      </w:r>
      <w:r>
        <w:t>聚苯胺</w:t>
      </w:r>
      <w:r>
        <w:t xml:space="preserve"> </w:t>
      </w:r>
      <w:r>
        <w:t>和</w:t>
      </w:r>
      <w:r>
        <w:t xml:space="preserve"> </w:t>
      </w:r>
      <w:r>
        <w:t>血红蛋白A</w:t>
      </w:r>
      <w:r>
        <w:t xml:space="preserve"> </w:t>
      </w:r>
      <w:r>
        <w:t>显示肠杆菌素和弧菌素的开关样诱导，从大约 100 nM 开始，在 1 µM 达到稳定水平。相比之下，</w:t>
      </w:r>
      <w:r>
        <w:t xml:space="preserve"> </w:t>
      </w:r>
      <w:r>
        <w:t>氮</w:t>
      </w:r>
      <w:r>
        <w:t xml:space="preserve"> </w:t>
      </w:r>
      <w:r>
        <w:t>-(2,3-二羟基苯甲酰基)-L-丝氨酸，一种肠杆菌素降解产物，选择性诱导</w:t>
      </w:r>
      <w:r>
        <w:t xml:space="preserve"> </w:t>
      </w:r>
      <w:r>
        <w:t>皮乌A</w:t>
      </w:r>
      <w:r>
        <w:t xml:space="preserve"> </w:t>
      </w:r>
      <w:r>
        <w:t>仅在缺乏内源铁载体的菌株中通过跨越 250 nM 至 100 µM 的逐渐响应进行转录。</w:t>
      </w:r>
      <w:r>
        <w:t xml:space="preserve"> </w:t>
      </w:r>
      <w:r>
        <w:t>吡阿</w:t>
      </w:r>
      <w:r>
        <w:t xml:space="preserve"> </w:t>
      </w:r>
      <w:r>
        <w:t>转录受到宿主儿茶酚胺的强烈诱导，肾上腺素的激活阈值为 1 µM，去甲肾上腺素为 5 µM，L-DOPA 为 10 µM，并稳定在 30 至 150 µM 之间。铁抑制揭示了不同的监管制度：</w:t>
      </w:r>
      <w:r>
        <w:t xml:space="preserve"> </w:t>
      </w:r>
      <w:r>
        <w:t>聚苯胺</w:t>
      </w:r>
      <w:r>
        <w:t xml:space="preserve"> </w:t>
      </w:r>
      <w:r>
        <w:t>,</w:t>
      </w:r>
      <w:r>
        <w:t xml:space="preserve"> </w:t>
      </w:r>
      <w:r>
        <w:t>fvbA,</w:t>
      </w:r>
      <w:r>
        <w:t xml:space="preserve"> </w:t>
      </w:r>
      <w:r>
        <w:t>和</w:t>
      </w:r>
      <w:r>
        <w:t xml:space="preserve"> </w:t>
      </w:r>
      <w:r>
        <w:t>p</w:t>
      </w:r>
    </w:p>
    <w:p>
      <w:pPr>
        <w:spacing w:before="0" w:after="200" w:lineRule="auto" w:line="276"/>
      </w:pPr>
      <w:r>
        <w:rPr>
          <w:b/>
        </w:rPr>
        <w:t xml:space="preserve">Abstract (EN): </w:t>
      </w:r>
      <w:r>
        <w:t>With 21 outer-membrane transporters dedicated to iron acquisition,</w:t>
      </w:r>
      <w:r>
        <w:t xml:space="preserve"> </w:t>
      </w:r>
      <w:r>
        <w:t>Pseudomonas aeruginosa</w:t>
      </w:r>
      <w:r>
        <w:t xml:space="preserve"> </w:t>
      </w:r>
      <w:r>
        <w:t>possesses an extensive toolkit for securing this essential nutrient, but activates the expression only of those relevant to its immediate environment. Eighteen of these pathways rely on siderophores, two produced by</w:t>
      </w:r>
      <w:r>
        <w:t xml:space="preserve"> </w:t>
      </w:r>
      <w:r>
        <w:t>P. aeruginosa</w:t>
      </w:r>
      <w:r>
        <w:t xml:space="preserve"> </w:t>
      </w:r>
      <w:r>
        <w:t>and the others acquired from neighboring microorganisms through a siderophore-piracy strategy. Using fluorescent reporters and mathematical modeling, we quantified how catechol-type siderophores regulate transcription of their matched transporters, PfeA, FvbA, PirA, and PiuA.</w:t>
      </w:r>
      <w:r>
        <w:t xml:space="preserve"> </w:t>
      </w:r>
      <w:r>
        <w:t>pfeA</w:t>
      </w:r>
      <w:r>
        <w:t xml:space="preserve"> </w:t>
      </w:r>
      <w:r>
        <w:t>and</w:t>
      </w:r>
      <w:r>
        <w:t xml:space="preserve"> </w:t>
      </w:r>
      <w:r>
        <w:t>fvbA</w:t>
      </w:r>
      <w:r>
        <w:t xml:space="preserve"> </w:t>
      </w:r>
      <w:r>
        <w:t>showed switch-like induction by enterobactin and vibriobactin, starting at around 100 nM and plateauing at 1 µM. In contrast,</w:t>
      </w:r>
      <w:r>
        <w:t xml:space="preserve"> </w:t>
      </w:r>
      <w:r>
        <w:t>N</w:t>
      </w:r>
      <w:r>
        <w:t xml:space="preserve"> </w:t>
      </w:r>
      <w:r>
        <w:t>-(2,3-dihydroxybenzoyl)-L-serine, an enterobactin degradation product, selectively induced</w:t>
      </w:r>
      <w:r>
        <w:t xml:space="preserve"> </w:t>
      </w:r>
      <w:r>
        <w:t>piuA</w:t>
      </w:r>
      <w:r>
        <w:t xml:space="preserve"> </w:t>
      </w:r>
      <w:r>
        <w:t>transcription only in strains lacking endogenous siderophores, via a gradual response spanning 250 nM to 100 µM.</w:t>
      </w:r>
      <w:r>
        <w:t xml:space="preserve"> </w:t>
      </w:r>
      <w:r>
        <w:t>pirA</w:t>
      </w:r>
      <w:r>
        <w:t xml:space="preserve"> </w:t>
      </w:r>
      <w:r>
        <w:t>transcription was strongly induced by host catecholamines, with activation thresholds of 1 µM for epinephrine, 5 µM for norepinephrine, and 10 µM for L-DOPA, and plateaus between 30 and 150 µM. Iron repression uncovered distinct regulatory regimes:</w:t>
      </w:r>
      <w:r>
        <w:t xml:space="preserve"> </w:t>
      </w:r>
      <w:r>
        <w:t>pfeA</w:t>
      </w:r>
      <w:r>
        <w:t xml:space="preserve"> </w:t>
      </w:r>
      <w:r>
        <w:t>,</w:t>
      </w:r>
      <w:r>
        <w:t xml:space="preserve"> </w:t>
      </w:r>
      <w:r>
        <w:t>fvbA,</w:t>
      </w:r>
      <w:r>
        <w:t xml:space="preserve"> </w:t>
      </w:r>
      <w:r>
        <w:t>and</w:t>
      </w:r>
      <w:r>
        <w:t xml:space="preserve"> </w:t>
      </w:r>
      <w:r>
        <w:t>pirA</w:t>
      </w:r>
      <w:r>
        <w:t xml:space="preserve"> </w:t>
      </w:r>
      <w:r>
        <w:t>display biphasic Fur-dependent repression, with transcription decreasing beginning at 4 to 16 nM Fe and fully repressed by 32 µM, whereas</w:t>
      </w:r>
      <w:r>
        <w:t xml:space="preserve"> </w:t>
      </w:r>
      <w:r>
        <w:t>piuA</w:t>
      </w:r>
      <w:r>
        <w:t xml:space="preserve"> </w:t>
      </w:r>
      <w:r>
        <w:t>transcription began to decrease at 8 µM iron and was not fully repressed even at 2 mM. Together, these results reveal distinct transcriptional logics that allow</w:t>
      </w:r>
      <w:r>
        <w:t xml:space="preserve"> </w:t>
      </w:r>
      <w:r>
        <w:t>P. aeruginosa</w:t>
      </w:r>
      <w:r>
        <w:t xml:space="preserve"> </w:t>
      </w:r>
      <w:r>
        <w:t>to sense and decode a wide array of environmental catechols, integrate this information with iron availability, and thereby deploy an iron-uptake strategy finely tuned to competitive and host-associated niches.</w:t>
      </w:r>
    </w:p>
    <w:p>
      <w:pPr>
        <w:spacing w:before="120" w:after="120"/>
      </w:pPr>
      <w:r>
        <w:rPr>
          <w:sz w:val="18"/>
        </w:rPr>
        <w:t>——————————————————————————————————————————————————————————————————————</w:t>
      </w:r>
    </w:p>
    <w:p>
      <w:pPr>
        <w:spacing w:before="160" w:after="40" w:line="240" w:lineRule="auto"/>
      </w:pPr>
      <w:r>
        <w:rPr>
          <w:b/>
        </w:rPr>
        <w:t xml:space="preserve">[84] </w:t>
      </w:r>
      <w:hyperlink r:id="rId745">
        <w:r>
          <w:rPr>
            <w:color w:val="1155CC"/>
            <w:u w:val="single"/>
          </w:rPr>
          <w:t>利用中枢神经系统克服血脑屏障——获取脂质纳米粒子以增强 mRNA 疗法</w:t>
        </w:r>
      </w:hyperlink>
    </w:p>
    <w:p>
      <w:pPr>
        <w:spacing w:before="0" w:after="80"/>
      </w:pPr>
      <w:r>
        <w:rPr>
          <w:i/>
          <w:sz w:val="20"/>
        </w:rPr>
        <w:t>EN: Overcoming the blood–brain barrier using central nervous system–accessing lipid nanoparticles for enhanced mRNA therapeutics</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46">
        <w:r>
          <w:rPr>
            <w:color w:val="1155CC"/>
            <w:u w:val="single"/>
          </w:rPr>
          <w:t>10.1073/pnas.2538147123</w:t>
        </w:r>
      </w:hyperlink>
    </w:p>
    <w:p>
      <w:pPr>
        <w:spacing w:before="0" w:after="120"/>
      </w:pPr>
      <w:r>
        <w:rPr>
          <w:b/>
        </w:rPr>
        <w:t xml:space="preserve">Notes: </w:t>
      </w:r>
      <w:r>
        <w:t>abstract_source=crossref</w:t>
      </w:r>
    </w:p>
    <w:p>
      <w:pPr>
        <w:spacing w:before="0" w:after="80" w:lineRule="auto" w:line="276"/>
      </w:pPr>
      <w:r>
        <w:rPr>
          <w:b/>
        </w:rPr>
        <w:t xml:space="preserve">摘要（ZH）: </w:t>
      </w:r>
      <w:r>
        <w:t>信使 RNA (mRNA) 疗法具有治疗中枢神经系统 (CNS) 疾病的潜力。然而，血脑屏障（BBB）是一个主要障碍，阻止 mRNA 有效输送到大脑中。为了克服这一挑战，我们设计、合成和测试了一系列可电离脂质，并将它们配制成可进入中枢神经系统的脂质纳米颗粒 (CA LNP) 以传递 mRNA。其中的主要候选者 CA2d LNP 在静脉注射后表现出有效的 mRNA 跨 BBB 传递。在野生型小鼠、Ai14 小鼠和非人灵长类动物中，CA2d LNP 有效地将各种 mRNA 货物递送到不同大脑区域的多个关键 CNS 细胞中，包括神经元、小胶质细胞和星形胶质细胞。在缺血性中风大鼠模型中，CA2d LNPs 共同递送溶栓剂和神经保护性 mRNA，减少了梗塞体积并改善了神经功能。总的来说，这个 CNS 访问 LNP 平台为克服 BBB 并为广泛的 CNS 疾病提供有效的基于 mRNA 的治疗提供了一种有前途的策略。</w:t>
      </w:r>
    </w:p>
    <w:p>
      <w:pPr>
        <w:spacing w:before="0" w:after="200" w:lineRule="auto" w:line="276"/>
      </w:pPr>
      <w:r>
        <w:rPr>
          <w:b/>
        </w:rPr>
        <w:t xml:space="preserve">Abstract (EN): </w:t>
      </w:r>
      <w:r>
        <w:t>Messenger RNA (mRNA) therapeutics hold potential for central nervous system (CNS) disease treatment. However, the blood–brain barrier (BBB) presents a major obstacle, preventing efficient delivery of mRNA into the brain. To overcome this challenge, we designed, synthesized, and tested a series of ionizable lipids and formulated them into CNS-accessing lipid nanoparticles (CA LNPs) to deliver mRNA. The lead candidate among them, CA2d LNP, demonstrated efficient mRNA delivery across the BBB following intravenous injection. In wild-type mice, Ai14 mice, and nonhuman primates, CA2d LNPs effectively delivered various mRNA cargos into multiple key CNS cells, including neurons, microglia, and astrocytes, across different brain regions. In an ischemic stroke rat model, CA2d LNPs codelivering thrombolytic agent and neuroprotective mRNAs reduced infarct volume and improved neurological function. Collectively, this CNS-accessing LNP platform provides a promising strategy for overcoming the BBB and enabling effective mRNA-based therapies for a broad range of CNS disorders.</w:t>
      </w:r>
    </w:p>
    <w:p>
      <w:pPr>
        <w:spacing w:before="120" w:after="120"/>
      </w:pPr>
      <w:r>
        <w:rPr>
          <w:sz w:val="18"/>
        </w:rPr>
        <w:t>——————————————————————————————————————————————————————————————————————</w:t>
      </w:r>
    </w:p>
    <w:p>
      <w:pPr>
        <w:spacing w:before="160" w:after="40" w:line="240" w:lineRule="auto"/>
      </w:pPr>
      <w:r>
        <w:rPr>
          <w:b/>
        </w:rPr>
        <w:t xml:space="preserve">[85] </w:t>
      </w:r>
      <w:hyperlink r:id="rId747">
        <w:r>
          <w:rPr>
            <w:color w:val="1155CC"/>
            <w:u w:val="single"/>
          </w:rPr>
          <w:t>地球上生物特征的出现及其对生命探测的影响</w:t>
        </w:r>
      </w:hyperlink>
    </w:p>
    <w:p>
      <w:pPr>
        <w:spacing w:before="0" w:after="80"/>
      </w:pPr>
      <w:r>
        <w:rPr>
          <w:i/>
          <w:sz w:val="20"/>
        </w:rPr>
        <w:t>EN: Emergence of biosignatures on Earth and implications for life detection</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48">
        <w:r>
          <w:rPr>
            <w:color w:val="1155CC"/>
            <w:u w:val="single"/>
          </w:rPr>
          <w:t>10.1073/pnas.2520594123</w:t>
        </w:r>
      </w:hyperlink>
    </w:p>
    <w:p>
      <w:pPr>
        <w:spacing w:before="0" w:after="120"/>
      </w:pPr>
      <w:r>
        <w:rPr>
          <w:b/>
        </w:rPr>
        <w:t xml:space="preserve">Notes: </w:t>
      </w:r>
      <w:r>
        <w:t>abstract_source=crossref</w:t>
      </w:r>
    </w:p>
    <w:p>
      <w:pPr>
        <w:spacing w:before="0" w:after="80" w:lineRule="auto" w:line="276"/>
      </w:pPr>
      <w:r>
        <w:rPr>
          <w:b/>
        </w:rPr>
        <w:t xml:space="preserve">摘要（ZH）: </w:t>
      </w:r>
      <w:r>
        <w:t>地球从非生物到生命起源前再到生物的有机化学演化（OCE）提供了重要的见解，可能对我们如何解释生命探测行星任务的观测结果产生影响。为了寻找其他星球上的生命，天体生物学家寻找生物特征：表明我们所知的现存或灭绝生命存在的特征。然而，由于假定的地外生物圈的年龄未知，生命出现时或出现后不久存在的生物特征可能已被生命起源或非生物特征稀释。因此，生物特征的出现及其形成背景是任务解释的关键考虑因素，特别是在没有明显普遍存在的生物圈的情况下。在这里，我们提供了一种结构化方法来解释行星体 OCE 连续体的化学状态。我们区分一个世界的通用生物特征和与该世界的环境或时间条件相关的特定生物特征。然后我们考虑随着时间的推移，行星体的演化将如何影响这些特征的表达。活性益生元化学的检测——即益生元和生命系统之间模糊过渡的特征——将是一个标志性的发现，提供对生命起源的洞察，并证明对进一步探索这些世界的投资是合理的。以地球为例，我们认为，虽然任务观测可能比以前想象的更难以解释，但它们也可能为更富有成效地探索我们的星球打开大门。</w:t>
      </w:r>
    </w:p>
    <w:p>
      <w:pPr>
        <w:spacing w:before="0" w:after="200" w:lineRule="auto" w:line="276"/>
      </w:pPr>
      <w:r>
        <w:rPr>
          <w:b/>
        </w:rPr>
        <w:t xml:space="preserve">Abstract (EN): </w:t>
      </w:r>
      <w:r>
        <w:t>Earth’s organic chemical evolution (OCE) from abiotic to prebiotic to biotic provides critical insights that may have implications for how we interpret observations made by life-detection planetary missions. To search for life on other worlds, astrobiologists seek biosignatures: features that indicate the presence of extant or extinct life as we know it. However, because the age of putative extraterrestrial biospheres is unknown, biosignatures present at or shortly after life’s emergence may have been diluted with prebiotic or abiotic signatures. Thus, the emergence of biosignatures and their formation context are critical considerations for mission interpretations, especially where there is no obvious pervasive biosphere. Here, we provide a structured approach for interpreting chemical states across the continuum of OCE on a planetary body. We distinguish between universal biosignatures of a world vs. specific biosignatures that are tied to environmental or temporal conditions of that world. We then consider how the evolution of a planetary body would impact the expression of these signatures over time. The detection of active prebiotic chemistry—that is, signatures that fall in the ambiguous transition between prebiotic and living systems—would be a hallmark discovery, providing insight into life’s origins and justifying investment in further exploration of such worlds. Leveraging Earth as an example, we suggest that while mission observations may be more challenging to interpret than previously thought, they may also open doors to a more productive exploration of our planetary neighbors.</w:t>
      </w:r>
    </w:p>
    <w:p>
      <w:pPr>
        <w:spacing w:before="120" w:after="120"/>
      </w:pPr>
      <w:r>
        <w:rPr>
          <w:sz w:val="18"/>
        </w:rPr>
        <w:t>——————————————————————————————————————————————————————————————————————</w:t>
      </w:r>
    </w:p>
    <w:p>
      <w:pPr>
        <w:spacing w:before="160" w:after="40" w:line="240" w:lineRule="auto"/>
      </w:pPr>
      <w:r>
        <w:rPr>
          <w:b/>
        </w:rPr>
        <w:t xml:space="preserve">[86] </w:t>
      </w:r>
      <w:hyperlink r:id="rId749">
        <w:r>
          <w:rPr>
            <w:color w:val="1155CC"/>
            <w:u w:val="single"/>
          </w:rPr>
          <w:t>炎症激酶 TBK1 抑制同源重组 DNA 修复，使肿瘤对化疗敏感</w:t>
        </w:r>
      </w:hyperlink>
    </w:p>
    <w:p>
      <w:pPr>
        <w:spacing w:before="0" w:after="80"/>
      </w:pPr>
      <w:r>
        <w:rPr>
          <w:i/>
          <w:sz w:val="20"/>
        </w:rPr>
        <w:t>EN: Inflammatory kinase TBK1 suppresses homologous recombination DNA repair to sensitize tumors to chemotherapy</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50">
        <w:r>
          <w:rPr>
            <w:color w:val="1155CC"/>
            <w:u w:val="single"/>
          </w:rPr>
          <w:t>10.1073/pnas.2533402123</w:t>
        </w:r>
      </w:hyperlink>
    </w:p>
    <w:p>
      <w:pPr>
        <w:spacing w:before="0" w:after="120"/>
      </w:pPr>
      <w:r>
        <w:rPr>
          <w:b/>
        </w:rPr>
        <w:t xml:space="preserve">Notes: </w:t>
      </w:r>
      <w:r>
        <w:t>abstract_source=crossref</w:t>
      </w:r>
    </w:p>
    <w:p>
      <w:pPr>
        <w:spacing w:before="0" w:after="80" w:lineRule="auto" w:line="276"/>
      </w:pPr>
      <w:r>
        <w:rPr>
          <w:b/>
        </w:rPr>
        <w:t xml:space="preserve">摘要（ZH）: </w:t>
      </w:r>
      <w:r>
        <w:t>炎症对肿瘤进展和治疗反应产生环境依赖性影响。尽管化疗仍然是癌症治疗的基石，但其与炎症信号传导的功能相互作用仍不完全清楚。在这里，我们通过对 DNA 损伤修复的影响，将 TANK 结合激酶 1 (TBK1) 确定为化疗效果的关键调节剂。 TBK1 激活通过促进 DNA 损伤和削弱同源重组 (HR) 修复来增强化疗药物诱导的癌细胞死亡。这种效应的发生与典型的炎症细胞因子无关，如 IRF3- 和 p65- 双缺陷细胞中所证明的那样。从机制上讲，TBK1 以激酶活性依赖性但不依赖于细胞因子的方式抑制 DNA 损伤位点上关键 HR 因子减数分裂重组 11 同源物 1 (MRE11) 向 PARP1 的募集。此外，TBK1 激活与 p53 信号传导增强和基因组不稳定性相关，为其化疗下的促死亡作用提供了分子基础。总的来说，这些发现揭示了 TBK1 在调节 DNA 损伤反应、将炎症信号传导与基因组不稳定联系起来以及将 TBK1-MRE11 轴确定为增强化疗效果的潜在靶点方面的先前未被认识的功能。</w:t>
      </w:r>
    </w:p>
    <w:p>
      <w:pPr>
        <w:spacing w:before="0" w:after="200" w:lineRule="auto" w:line="276"/>
      </w:pPr>
      <w:r>
        <w:rPr>
          <w:b/>
        </w:rPr>
        <w:t xml:space="preserve">Abstract (EN): </w:t>
      </w:r>
      <w:r>
        <w:t>Inflammation exerts context-dependent influences on tumor progression and therapeutic response. Although chemotherapy remains a cornerstone of cancer treatment, its functional interplay with inflammatory signaling is still incompletely understood. Here, we identify TANK-binding kinase 1 (TBK1) as a critical modulator of chemotherapeutic efficacy through its impact on DNA damage repair. TBK1 activation potentiates cancer-cell death induced by chemotherapeutic agents by promoting DNA damage and impairing homologous recombination (HR) repair. This effect occurs independently of canonical inflammatory cytokines, as demonstrated in IRF3- and p65- double deficient cells. Mechanistically, TBK1 suppresses recruitment of the key HR factor Meiotic Recombination 11 Homolog 1 (MRE11) to PARP1 at DNA-damage sites in a kinase-activity-dependent yet cytokine-independent manner. Furthermore, TBK1 activation correlates with enhanced p53 signaling and genomic instability, providing a molecular basis for its pro-death effects under chemotherapy. Collectively, these findings reveal a previously unrecognized function of TBK1 in modulating the DNA-damage response, linking inflammatory signaling to genome destabilization and identifying the TBK1–MRE11 axis as a potential target to enhance chemotherapeutic efficacy.</w:t>
      </w:r>
    </w:p>
    <w:p>
      <w:pPr>
        <w:spacing w:before="120" w:after="120"/>
      </w:pPr>
      <w:r>
        <w:rPr>
          <w:sz w:val="18"/>
        </w:rPr>
        <w:t>——————————————————————————————————————————————————————————————————————</w:t>
      </w:r>
    </w:p>
    <w:p>
      <w:pPr>
        <w:spacing w:before="160" w:after="40" w:line="240" w:lineRule="auto"/>
      </w:pPr>
      <w:r>
        <w:rPr>
          <w:b/>
        </w:rPr>
        <w:t xml:space="preserve">[87] </w:t>
      </w:r>
      <w:hyperlink r:id="rId751">
        <w:r>
          <w:rPr>
            <w:color w:val="1155CC"/>
            <w:u w:val="single"/>
          </w:rPr>
          <w:t>甘油和水通过人水通道蛋白 10 协同渗透的机制见解</w:t>
        </w:r>
      </w:hyperlink>
    </w:p>
    <w:p>
      <w:pPr>
        <w:spacing w:before="0" w:after="80"/>
      </w:pPr>
      <w:r>
        <w:rPr>
          <w:i/>
          <w:sz w:val="20"/>
        </w:rPr>
        <w:t>EN: Mechanistic insights into cooperative permeation of glycerol and water through human aquaporin-10</w:t>
      </w:r>
    </w:p>
    <w:p>
      <w:pPr>
        <w:spacing w:before="0" w:after="120"/>
      </w:pPr>
      <w:r>
        <w:rPr>
          <w:b/>
        </w:rPr>
        <w:t xml:space="preserve">Source: </w:t>
      </w:r>
      <w:r>
        <w:t>Proceedings of the National Academy of Sciences: Keyword search for query</w:t>
      </w:r>
      <w:r>
        <w:t xml:space="preserve">    </w:t>
      </w:r>
      <w:r>
        <w:rPr>
          <w:b/>
        </w:rPr>
        <w:t xml:space="preserve">Pub date: </w:t>
      </w:r>
      <w:r>
        <w:t>2026-08-14 07:00:00+00:00</w:t>
      </w:r>
      <w:r>
        <w:t xml:space="preserve">    </w:t>
      </w:r>
      <w:r>
        <w:rPr>
          <w:b/>
        </w:rPr>
        <w:t xml:space="preserve">DOI: </w:t>
      </w:r>
      <w:hyperlink r:id="rId752">
        <w:r>
          <w:rPr>
            <w:color w:val="1155CC"/>
            <w:u w:val="single"/>
          </w:rPr>
          <w:t>10.1073/pnas.2606178123</w:t>
        </w:r>
      </w:hyperlink>
    </w:p>
    <w:p>
      <w:pPr>
        <w:spacing w:before="0" w:after="120"/>
      </w:pPr>
      <w:r>
        <w:rPr>
          <w:b/>
        </w:rPr>
        <w:t xml:space="preserve">Notes: </w:t>
      </w:r>
      <w:r>
        <w:t>abstract_source=crossref</w:t>
      </w:r>
    </w:p>
    <w:p>
      <w:pPr>
        <w:spacing w:before="0" w:after="80" w:lineRule="auto" w:line="276"/>
      </w:pPr>
      <w:r>
        <w:rPr>
          <w:b/>
        </w:rPr>
        <w:t xml:space="preserve">摘要（ZH）: </w:t>
      </w:r>
      <w:r>
        <w:t>人水通道蛋白是促进小分子跨膜运输的完整膜蛋白。在该家族的 13 个成员中，pH 调节的人水通道蛋白 10 (hAQP10) 在甘油代谢和脂质稳态中发挥着关键作用。在分子水平上了解水和甘油通过 hAQP10 纳米孔的运输对于实现合理的治疗干预至关重要。我们提出了一项全原子分子动力学（MD）模拟研究，表征了嵌入脂质双层膜中的四聚体 hAQP10 通道的纳米级结构、热力学稳定性和甘油渗透性。利用平衡和高级采样 MD 模拟，我们研究了水和甘油通过通道的协同扩散。来自复制品交换伞采样模拟的自由能 (ΔG) 景观揭示了多个结合位点和几千个能量势垒</w:t>
      </w:r>
      <w:r>
        <w:t xml:space="preserve"> </w:t>
      </w:r>
      <w:r>
        <w:t>乙</w:t>
      </w:r>
      <w:r>
        <w:t xml:space="preserve"> </w:t>
      </w:r>
      <w:r>
        <w:t>T 沿通道轴。将 (ΔG) 曲线与非均匀溶解度扩散模型相结合，我们估计甘油通过 hAQP10 的单通道扩散渗透率为 4 × 10</w:t>
      </w:r>
      <w:r>
        <w:t xml:space="preserve"> </w:t>
      </w:r>
      <w:r>
        <w:t>−17</w:t>
      </w:r>
      <w:r>
        <w:t xml:space="preserve"> </w:t>
      </w:r>
      <w:r>
        <w:t>厘米</w:t>
      </w:r>
      <w:r>
        <w:rPr>
          <w:vertAlign w:val="subscript"/>
        </w:rPr>
        <w:t>3</w:t>
      </w:r>
      <w:r>
        <w:t>/s，浓度为 100 mM。无偏模拟期间甘油在通道中的停留时间范围从纳秒到微秒。传输动力学，使用由粗粒度全原子模拟轨迹导出的理论模型来表征，表明了几个麦克风的平均首次通过时间</w:t>
      </w:r>
    </w:p>
    <w:p>
      <w:pPr>
        <w:spacing w:before="0" w:after="200" w:lineRule="auto" w:line="276"/>
      </w:pPr>
      <w:r>
        <w:rPr>
          <w:b/>
        </w:rPr>
        <w:t xml:space="preserve">Abstract (EN): </w:t>
      </w:r>
      <w:r>
        <w:t>Human aquaporins are integral membrane proteins that facilitate transmembrane transport of small molecules. Among the 13 members of this family, pH-regulated human aquaporin-10 (hAQP10) plays a critical role in glycerol metabolism and lipid homeostasis. A molecular-level understanding of water and glycerol transport through hAQP10 nanopores is essential for enabling rational therapeutic interventions. We present an all-atom molecular dynamics (MD) simulation study characterizing the nanoscale structure, thermodynamic stability, and glycerol permeability of tetrameric hAQP10 channels embedded in lipid bilayer membranes. Using equilibrium and advanced sampling MD simulations, we investigate the cooperative diffusion of water and glycerol through the channel. Free energy (ΔG) landscape derived from replica-exchange umbrella sampling simulations reveals multiple binding sites and energy barriers of a few k</w:t>
      </w:r>
      <w:r>
        <w:t xml:space="preserve"> </w:t>
      </w:r>
      <w:r>
        <w:t>B</w:t>
      </w:r>
      <w:r>
        <w:t xml:space="preserve"> </w:t>
      </w:r>
      <w:r>
        <w:t>T along the channel axis. Integrating the (ΔG) profile with the inhomogeneous solubility-diffusion model, we estimate a single channel diffusive permeability of glycerol through hAQP10 to be 4 × 10</w:t>
      </w:r>
      <w:r>
        <w:t xml:space="preserve"> </w:t>
      </w:r>
      <w:r>
        <w:t>−17</w:t>
      </w:r>
      <w:r>
        <w:t xml:space="preserve"> </w:t>
      </w:r>
      <w:r>
        <w:t>cm</w:t>
      </w:r>
      <w:r>
        <w:rPr>
          <w:vertAlign w:val="subscript"/>
        </w:rPr>
        <w:t>3</w:t>
      </w:r>
      <w:r>
        <w:t>/s at a concentration of 100 mM. Glycerol residence times in the channel during unbiased simulations range from nanoseconds to microseconds. Transport kinetics, characterized using a theoretical model derived by coarse-graining all-atom simulation trajectories, indicate a mean first-passage time of several microseconds. Steered molecular dynamics simulations comparing water and glycerol permeation energetics reveal similar barriers in the open conformation. Together, these findings provide a comprehensive quantitative picture of glycerol and water permeation through hAQP10, with potential implications in understanding physiological role of hAQP10 in human health.</w:t>
      </w:r>
    </w:p>
    <w:p>
      <w:pPr>
        <w:spacing w:before="120" w:after="120"/>
      </w:pPr>
      <w:r>
        <w:rPr>
          <w:sz w:val="18"/>
        </w:rPr>
        <w:t>——————————————————————————————————————————————————————————————————————</w:t>
      </w:r>
    </w:p>
    <w:p>
      <w:pPr>
        <w:spacing w:before="160" w:after="40" w:line="240" w:lineRule="auto"/>
      </w:pPr>
      <w:r>
        <w:rPr>
          <w:b/>
        </w:rPr>
        <w:t xml:space="preserve">[88] </w:t>
      </w:r>
      <w:hyperlink r:id="rId753">
        <w:r>
          <w:rPr>
            <w:color w:val="1155CC"/>
            <w:u w:val="single"/>
          </w:rPr>
          <w:t>促炎蛋白酶活性的多模式分析将 caspase-1 确定为肺癌拦截的靶标</w:t>
        </w:r>
      </w:hyperlink>
    </w:p>
    <w:p>
      <w:pPr>
        <w:spacing w:before="0" w:after="80"/>
      </w:pPr>
      <w:r>
        <w:rPr>
          <w:i/>
          <w:sz w:val="20"/>
        </w:rPr>
        <w:t>EN: Multimodal profiling of pro-inflammatory protease activity identifies caspase-1 as a target for lung cancer interception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54">
        <w:r>
          <w:rPr>
            <w:color w:val="1155CC"/>
            <w:u w:val="single"/>
          </w:rPr>
          <w:t>10.1126/sciadv.adz4263</w:t>
        </w:r>
      </w:hyperlink>
    </w:p>
    <w:p>
      <w:pPr>
        <w:spacing w:before="0" w:after="120"/>
      </w:pPr>
      <w:r>
        <w:rPr>
          <w:b/>
        </w:rPr>
        <w:t xml:space="preserve">Notes: </w:t>
      </w:r>
      <w:r>
        <w:t>abstract_source=crossref</w:t>
      </w:r>
    </w:p>
    <w:p>
      <w:pPr>
        <w:spacing w:before="0" w:after="80" w:lineRule="auto" w:line="276"/>
      </w:pPr>
      <w:r>
        <w:rPr>
          <w:b/>
        </w:rPr>
        <w:t xml:space="preserve">摘要（ZH）: </w:t>
      </w:r>
      <w:r>
        <w:t>白细胞介素-1b (IL-1b) 的全身抑制已被证明可以在治疗后数年内降低患者肺癌的发病率，但围绕其激活和在肿瘤微环境中的作用的知识差距阻碍了癌症拦截。我们开发了基于活动的技术来探测早期肺癌的炎症，并确定了候选转化目标。设计了对 IL-1b 激活蛋白酶敏感的探针，并将其应用于炎性肺癌的小鼠模型，</w:t>
      </w:r>
      <w:r>
        <w:t xml:space="preserve"> </w:t>
      </w:r>
      <w:r>
        <w:t>克拉斯/色氨酸53</w:t>
      </w:r>
      <w:r>
        <w:t xml:space="preserve"> </w:t>
      </w:r>
      <w:r>
        <w:t>-具有SIINFEKL表达(KPS)的突变小鼠。我们的纳米传感器揭示了肿瘤中 caspase-1 表达和活性升高，强调了 caspase-1 处理 IL-1b 在癌症发展过程中的重要性。我们通过 IL-1b 阻断和 caspase-1 抑制进行了临床前联合治疗试验。我们观察到肺癌显着减少，包括近 20% 的 KPS 小鼠肿瘤发病率完全消除。我们了解蛋白酶活性和细胞因子激活相互作用的方法支持减轻炎症和阻止肺癌进展的新策略。</w:t>
      </w:r>
    </w:p>
    <w:p>
      <w:pPr>
        <w:spacing w:before="0" w:after="200" w:lineRule="auto" w:line="276"/>
      </w:pPr>
      <w:r>
        <w:rPr>
          <w:b/>
        </w:rPr>
        <w:t xml:space="preserve">Abstract (EN): </w:t>
      </w:r>
      <w:r>
        <w:t>Systemic inhibition of interleukin-1b (IL-1b) has been shown to reduce the incidence of lung cancer in patients in years after treatment, but knowledge gaps surrounding its activation and role in the tumor microenvironment hinder cancer interception. We developed activity-based technologies to probe inflammation in early lung cancer and identified a translational target candidate. Probes sensitive to IL-1b–activating proteases were designed and applied to a murine model of inflammatory lung cancer,</w:t>
      </w:r>
      <w:r>
        <w:t xml:space="preserve"> </w:t>
      </w:r>
      <w:r>
        <w:t>Kras/Trp53</w:t>
      </w:r>
      <w:r>
        <w:t xml:space="preserve"> </w:t>
      </w:r>
      <w:r>
        <w:t>-mutant mice with SIINFEKL expression (KPS). Our nanosensors revealed elevated caspase-1 expression and activity in tumors, highlighting the importance of caspase-1 processing IL-1b during cancer development. We conducted a preclinical combination therapy trial by administering IL-1b blockade and caspase-1 inhibition. We observed significant reduction in lung cancer, including complete ablation of tumor incidence in nearly 20% of KPS mice. Our approach to understanding the interplay of protease activity and cytokine activation supports new strategies to mitigate inflammation and intercept lung cancer progression.</w:t>
      </w:r>
    </w:p>
    <w:p>
      <w:pPr>
        <w:spacing w:before="120" w:after="120"/>
      </w:pPr>
      <w:r>
        <w:rPr>
          <w:sz w:val="18"/>
        </w:rPr>
        <w:t>——————————————————————————————————————————————————————————————————————</w:t>
      </w:r>
    </w:p>
    <w:p>
      <w:pPr>
        <w:spacing w:before="160" w:after="40" w:line="240" w:lineRule="auto"/>
      </w:pPr>
      <w:r>
        <w:rPr>
          <w:b/>
        </w:rPr>
        <w:t xml:space="preserve">[89] </w:t>
      </w:r>
      <w:hyperlink r:id="rId755">
        <w:r>
          <w:rPr>
            <w:color w:val="1155CC"/>
            <w:u w:val="single"/>
          </w:rPr>
          <w:t>干旱动态解释了巴西百年一遇的黄热病病毒爆发对气候变化的影响</w:t>
        </w:r>
      </w:hyperlink>
    </w:p>
    <w:p>
      <w:pPr>
        <w:spacing w:before="0" w:after="80"/>
      </w:pPr>
      <w:r>
        <w:rPr>
          <w:i/>
          <w:sz w:val="20"/>
        </w:rPr>
        <w:t>EN: Drought dynamics explain once in a century yellow fever virus outbreak in Brazil with implications for climate change</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56">
        <w:r>
          <w:rPr>
            <w:color w:val="1155CC"/>
            <w:u w:val="single"/>
          </w:rPr>
          <w:t>10.1126/sciadv.adz6832</w:t>
        </w:r>
      </w:hyperlink>
    </w:p>
    <w:p>
      <w:pPr>
        <w:spacing w:before="0" w:after="120"/>
      </w:pPr>
      <w:r>
        <w:rPr>
          <w:b/>
        </w:rPr>
        <w:t xml:space="preserve">Notes: </w:t>
      </w:r>
      <w:r>
        <w:t>abstract_source=crossref</w:t>
      </w:r>
    </w:p>
    <w:p>
      <w:pPr>
        <w:spacing w:before="0" w:after="80" w:lineRule="auto" w:line="276"/>
      </w:pPr>
      <w:r>
        <w:rPr>
          <w:b/>
        </w:rPr>
        <w:t xml:space="preserve">摘要（ZH）: </w:t>
      </w:r>
      <w:r>
        <w:t>虽然过量降雨与蚊媒疾病有关，因为它支持蚊子繁殖，但干旱也可能通过改变蚊子和宿主的行为来增加疾病传播，这与直觉相反。理解这种现象很重要，因为气候变化预计会增加极端降雨和干旱。在这项研究中，我们调查了季节性驱动的蚊子和灵长类动物行为在多大程度上推动了巴西城市地区近一个世纪以来首次黄热病病毒（YFV）流行，同时恰逢同样罕见的干旱，并评估了干预措施在结束疫情中的作用。我们假设，类似干旱的条件在疫情爆发动态中发挥了关键作用，因为它驱使森林蚊子和非人类灵长类动物向城市寻找水源，并且蚊子更频繁地叮咬以避免干燥。动态 YFV 模型支持这些假设，表明需要两种行为变化来解释爆发时间和发生率。此外，媒介控制、保护措施和疫苗接种的结合有助于结束疫情，其中疫苗接种的效果最强。总之，这些结果表明，未来几十年该地区可能会更加频繁的干旱可能会极大地影响蚊媒疾病的传播，而持续的控制需要采取多种干预措施。</w:t>
      </w:r>
    </w:p>
    <w:p>
      <w:pPr>
        <w:spacing w:before="0" w:after="200" w:lineRule="auto" w:line="276"/>
      </w:pPr>
      <w:r>
        <w:rPr>
          <w:b/>
        </w:rPr>
        <w:t xml:space="preserve">Abstract (EN): </w:t>
      </w:r>
      <w:r>
        <w:t>While excess rainfall is associated with mosquito-borne disease because it supports mosquito breeding, drought may also counterintuitively increase disease transmission by altering mosquito and host behavior. This phenomenon is important to understand because climate change is projected to increase both extreme rainfall and drought. In this study, we investigated the extent to which seasonally driven mosquito and primate behavior drove the first yellow fever virus (YFV) epidemic in an urban area in Brazil in nearly a century, coinciding with an equally rare drought, and assessed the role of interventions in ending the outbreak. We hypothesized that drought-like conditions played a key role in the outbreak dynamics by driving the forest mosquitoes and nonhuman primates toward the city in search of water and that the mosquitoes were biting more frequently to avoid desiccation. A dynamical YFV model supports these hypotheses, showing that both behavioral changes were needed to explain the outbreak timing and incidence. Furthermore, a combination of vector control, conservation measures, and vaccination contributed to ending the outbreak, with the strongest effects from vaccination. Together, these results suggest that drought, likely to become more frequent in this region in the coming decades, can considerably influence mosquito-borne disease transmission and that sustained control will require multiple interventions.</w:t>
      </w:r>
    </w:p>
    <w:p>
      <w:pPr>
        <w:spacing w:before="120" w:after="120"/>
      </w:pPr>
      <w:r>
        <w:rPr>
          <w:sz w:val="18"/>
        </w:rPr>
        <w:t>——————————————————————————————————————————————————————————————————————</w:t>
      </w:r>
    </w:p>
    <w:p>
      <w:pPr>
        <w:spacing w:before="160" w:after="40" w:line="240" w:lineRule="auto"/>
      </w:pPr>
      <w:r>
        <w:rPr>
          <w:b/>
        </w:rPr>
        <w:t xml:space="preserve">[90] </w:t>
      </w:r>
      <w:hyperlink r:id="rId757">
        <w:r>
          <w:rPr>
            <w:color w:val="1155CC"/>
            <w:u w:val="single"/>
          </w:rPr>
          <w:t>核RSK1介导人原代巨噬细胞和人源化小鼠中干扰素-γ诱导的促炎症激活</w:t>
        </w:r>
      </w:hyperlink>
    </w:p>
    <w:p>
      <w:pPr>
        <w:spacing w:before="0" w:after="80"/>
      </w:pPr>
      <w:r>
        <w:rPr>
          <w:i/>
          <w:sz w:val="20"/>
        </w:rPr>
        <w:t>EN: Nuclear RSK1 mediates interferon-γ–induced proinflammatory activation in human primary macrophages and humanized mice</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58">
        <w:r>
          <w:rPr>
            <w:color w:val="1155CC"/>
            <w:u w:val="single"/>
          </w:rPr>
          <w:t>10.1126/sciadv.ady4193</w:t>
        </w:r>
      </w:hyperlink>
    </w:p>
    <w:p>
      <w:pPr>
        <w:spacing w:before="0" w:after="120"/>
      </w:pPr>
      <w:r>
        <w:rPr>
          <w:b/>
        </w:rPr>
        <w:t xml:space="preserve">Notes: </w:t>
      </w:r>
      <w:r>
        <w:t>abstract_source=crossref</w:t>
      </w:r>
    </w:p>
    <w:p>
      <w:pPr>
        <w:spacing w:before="0" w:after="80" w:lineRule="auto" w:line="276"/>
      </w:pPr>
      <w:r>
        <w:rPr>
          <w:b/>
        </w:rPr>
        <w:t xml:space="preserve">摘要（ZH）: </w:t>
      </w:r>
      <w:r>
        <w:t>巨噬细胞的促炎激活促进各种炎症性疾病。巨噬细胞激活的分子机制，特别是在促炎反应介质的核易位的背景下，仍然不清楚。我们使用系统方法来探索巨噬细胞激活的关键调节因子，使用定量蛋白质组学来监测干扰素-γ (IFN-γ) 诱导的蛋白质易位到人类原代巨噬细胞的细胞核。无偏见的生物信息学确定了几个候选者，包括 RSK1，一种核糖体蛋白激酶。网络分析将 RSK1 与多种炎症性疾病的人类基因模块联系起来。体外机制实验表明 IFN-γ 刺激促进 RSK1 Ser 磷酸化</w:t>
      </w:r>
      <w:r>
        <w:rPr>
          <w:vertAlign w:val="subscript"/>
        </w:rPr>
        <w:t>380</w:t>
      </w:r>
      <w:r>
        <w:t>通过 JAK 信号传导，导致 STAT1 Ser 磷酸化</w:t>
      </w:r>
      <w:r>
        <w:t xml:space="preserve"> </w:t>
      </w:r>
      <w:r>
        <w:t>第727章</w:t>
      </w:r>
      <w:r>
        <w:t xml:space="preserve"> </w:t>
      </w:r>
      <w:r>
        <w:t>，在巨噬细胞的细胞核中。与这些结果一致，RSK1 沉默或缺陷阻碍了 IFN-γ 诱导的人原代巨噬细胞中促炎趋化因子的分泌。此外，人类白细胞中的 RSK1 缺陷改变了人源化小鼠中 IFN-γ 诱导的反应。我们的研究结果证明 RSK1 是介导巨噬细胞促炎激活的关键核穿梭酶。</w:t>
      </w:r>
    </w:p>
    <w:p>
      <w:pPr>
        <w:spacing w:before="0" w:after="200" w:lineRule="auto" w:line="276"/>
      </w:pPr>
      <w:r>
        <w:rPr>
          <w:b/>
        </w:rPr>
        <w:t xml:space="preserve">Abstract (EN): </w:t>
      </w:r>
      <w:r>
        <w:t>Proinflammatory activation of macrophages promotes various inflammatory disorders. The molecular mechanisms underlying macrophage activation, particularly in the context of nuclear translocation of proinflammatory response mediators, remain obscure. We have used a systems approach to explore key regulators of macrophage activation using quantitative proteomics to monitor protein translocation to the nuclei of human primary macrophages elicited with interferon-γ (IFN-γ). Unbiased bioinformatics identified several candidates, including RSK1, a ribosomal protein kinase. Network analysis linked RSK1 with human gene modules for various inflammatory disorders. In vitro mechanistic experiments showed that IFN-γ stimulation promotes RSK1 phosphorylation at Ser</w:t>
      </w:r>
      <w:r>
        <w:rPr>
          <w:vertAlign w:val="subscript"/>
        </w:rPr>
        <w:t>380</w:t>
      </w:r>
      <w:r>
        <w:t>via JAK signaling, resulting in STAT1 phosphorylation at Ser</w:t>
      </w:r>
      <w:r>
        <w:rPr>
          <w:vertAlign w:val="subscript"/>
        </w:rPr>
        <w:t>727</w:t>
      </w:r>
      <w:r>
        <w:t>, in the nuclei of macrophages. In concert with these results, RSK1 silencing or deficiency hinders IFN-γ–induced secretion of proinflammatory chemokines in human primary macrophages. Furthermore, RSK1 deficiency in human leukocytes altered IFN-γ–induced responses in humanized mice. Our findings provide evidence that RSK1 is a key nuclear shuttling enzyme that mediates proinflammatory activation of macrophages.</w:t>
      </w:r>
    </w:p>
    <w:p>
      <w:pPr>
        <w:spacing w:before="120" w:after="120"/>
      </w:pPr>
      <w:r>
        <w:rPr>
          <w:sz w:val="18"/>
        </w:rPr>
        <w:t>——————————————————————————————————————————————————————————————————————</w:t>
      </w:r>
    </w:p>
    <w:p>
      <w:pPr>
        <w:spacing w:before="160" w:after="40" w:line="240" w:lineRule="auto"/>
      </w:pPr>
      <w:r>
        <w:rPr>
          <w:b/>
        </w:rPr>
        <w:t xml:space="preserve">[91] </w:t>
      </w:r>
      <w:hyperlink r:id="rId759">
        <w:r>
          <w:rPr>
            <w:color w:val="1155CC"/>
            <w:u w:val="single"/>
          </w:rPr>
          <w:t>声学虚拟墙实现开放、可扩展和可编程的微流体</w:t>
        </w:r>
      </w:hyperlink>
    </w:p>
    <w:p>
      <w:pPr>
        <w:spacing w:before="0" w:after="80"/>
      </w:pPr>
      <w:r>
        <w:rPr>
          <w:i/>
          <w:sz w:val="20"/>
        </w:rPr>
        <w:t>EN: Acoustic virtual walls enable open, scalable, and programmable microfluidics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60">
        <w:r>
          <w:rPr>
            <w:color w:val="1155CC"/>
            <w:u w:val="single"/>
          </w:rPr>
          <w:t>10.1126/sciadv.aec0104</w:t>
        </w:r>
      </w:hyperlink>
    </w:p>
    <w:p>
      <w:pPr>
        <w:spacing w:before="0" w:after="120"/>
      </w:pPr>
      <w:r>
        <w:rPr>
          <w:b/>
        </w:rPr>
        <w:t xml:space="preserve">Notes: </w:t>
      </w:r>
      <w:r>
        <w:t>abstract_source=crossref</w:t>
      </w:r>
    </w:p>
    <w:p>
      <w:pPr>
        <w:spacing w:before="0" w:after="80" w:lineRule="auto" w:line="276"/>
      </w:pPr>
      <w:r>
        <w:rPr>
          <w:b/>
        </w:rPr>
        <w:t xml:space="preserve">摘要（ZH）: </w:t>
      </w:r>
      <w:r>
        <w:t>微流控平台广泛应用于生物医学研究、化学合成、诊断、环境监测和材料科学，用于精确操纵少量流体和悬浮颗粒。然而，传统系统依赖于易于堵塞的狭窄物理通道、由于高液压阻力而导致的有限体积吞吐量以及可能损坏敏感细胞和易碎材料的过度剪切应力。为了克服这些限制，我们通过用声学虚拟墙代替固体边界，在宽阔、开放的流体室中引入声通道。这些壁是由工程二维波导产生的渐逝声压场形成的，可抑制内部波传播并产生高度局部化的亚波长场。这种架构最大限度地减少了剪切应力，同时引导粒子沿着精确定义的轨迹运动。电子可调声场可实现可编程、远程和实时的粒子控制。在模拟的支持下，我们展示了多样化的通道设计、高效的颗粒收集和特定材料的分离。该平台以每分钟毫升的流速运行，比传统微流体系统高两个数量级，可为高通量和稳健的应用提供可扩展、无堵塞的微流体。</w:t>
      </w:r>
    </w:p>
    <w:p>
      <w:pPr>
        <w:spacing w:before="0" w:after="200" w:lineRule="auto" w:line="276"/>
      </w:pPr>
      <w:r>
        <w:rPr>
          <w:b/>
        </w:rPr>
        <w:t xml:space="preserve">Abstract (EN): </w:t>
      </w:r>
      <w:r>
        <w:t>Microfluidic platforms are widely used across biomedical research, chemical synthesis, diagnostics, environmental monitoring, and materials science for precisely manipulating small volumes of fluids and suspended particles. However, conventional systems rely on narrow physical channels that are prone to clogging, limited volumetric throughput due to high hydraulic resistance, and excessive shear stress that can damage sensitive cells and fragile materials. To overcome these constraints, we introduce acoustic channeling within a wide, open fluid chamber by replacing solid boundaries with acoustic virtual walls. These walls are formed by evanescent acoustic pressure fields generated from an engineered two-dimensional waveguide that suppresses internal wave propagation and produces highly localized subwavelength fields. This architecture minimizes shear stress while guiding particles along precisely defined trajectories. The electronically tunable acoustic field enables programmable, remote, and real-time particle control. Supported by simulations, we demonstrate diverse channeling designs, efficient particle collection, and material-specific separation. Operating at milliliter-per-minute flow rates, two orders of magnitude higher than conventional microfluidic systems, this platform enables scalable, clog-free microfluidics for high-throughput and robust applications.</w:t>
      </w:r>
    </w:p>
    <w:p>
      <w:pPr>
        <w:spacing w:before="120" w:after="120"/>
      </w:pPr>
      <w:r>
        <w:rPr>
          <w:sz w:val="18"/>
        </w:rPr>
        <w:t>——————————————————————————————————————————————————————————————————————</w:t>
      </w:r>
    </w:p>
    <w:p>
      <w:pPr>
        <w:spacing w:before="160" w:after="40" w:line="240" w:lineRule="auto"/>
      </w:pPr>
      <w:r>
        <w:rPr>
          <w:b/>
        </w:rPr>
        <w:t xml:space="preserve">[92] </w:t>
      </w:r>
      <w:hyperlink r:id="rId761">
        <w:r>
          <w:rPr>
            <w:color w:val="1155CC"/>
            <w:u w:val="single"/>
          </w:rPr>
          <w:t>沿着不同的视觉路径学习不同的皮质空间表征</w:t>
        </w:r>
      </w:hyperlink>
    </w:p>
    <w:p>
      <w:pPr>
        <w:spacing w:before="0" w:after="80"/>
      </w:pPr>
      <w:r>
        <w:rPr>
          <w:i/>
          <w:sz w:val="20"/>
        </w:rPr>
        <w:t>EN: Distinct cortical spatial representations learned along disparate visual pathways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62">
        <w:r>
          <w:rPr>
            <w:color w:val="1155CC"/>
            <w:u w:val="single"/>
          </w:rPr>
          <w:t>10.1126/sciadv.aea1037</w:t>
        </w:r>
      </w:hyperlink>
    </w:p>
    <w:p>
      <w:pPr>
        <w:spacing w:before="0" w:after="120"/>
      </w:pPr>
      <w:r>
        <w:rPr>
          <w:b/>
        </w:rPr>
        <w:t xml:space="preserve">Notes: </w:t>
      </w:r>
      <w:r>
        <w:t>abstract_source=crossref</w:t>
      </w:r>
    </w:p>
    <w:p>
      <w:pPr>
        <w:spacing w:before="0" w:after="80" w:lineRule="auto" w:line="276"/>
      </w:pPr>
      <w:r>
        <w:rPr>
          <w:b/>
        </w:rPr>
        <w:t xml:space="preserve">摘要（ZH）: </w:t>
      </w:r>
      <w:r>
        <w:t>最近的实验研究发现了鼻后皮层 (POR) 神经元的不同空间特性，例如头部方向调节和自我中心调节，并揭示了 POR 空间表征与压后皮质 (RSC) 的不同之处。然而，POR 神经元的这些空间特性是如何出现的尚不清楚，并且不同皮质空间表征的原因也不清楚。我们之前基于对源自 LGN-V1 通路的静态视觉特征的处理在 RSC 中对空间调谐进行了建模。然而，最近的研究表明，POR 的视觉输入主要反映源自上丘 (SC) 的运动处理。在这里，我们基于 SC 中光流信息的计算构建了一个新的学习模型。这种基于 SC 的光流模型产生具有空间调谐的模拟神经元，反映了 POR 神经元的不同空间特性。此外，将新的光流模型与我们之前提出的静态特征模型进行比较，我们发现与 POR 和 RSC 中发现的相似的不同皮质空间表征可以沿着不同的视觉通路（起源于 SC 和 V1）学习，这表明不同视觉通路中编码的不同特征有助于下游皮质区域的不同空间特性。</w:t>
      </w:r>
    </w:p>
    <w:p>
      <w:pPr>
        <w:spacing w:before="0" w:after="200" w:lineRule="auto" w:line="276"/>
      </w:pPr>
      <w:r>
        <w:rPr>
          <w:b/>
        </w:rPr>
        <w:t xml:space="preserve">Abstract (EN): </w:t>
      </w:r>
      <w:r>
        <w:t>Recent experimental studies have found diverse spatial properties, such as head direction tuning and egocentric tuning, of neurons in the postrhinal cortex (POR) and revealed how the POR spatial representations are distinct from the retrosplenial cortex (RSC). However, how these spatial properties of POR neurons emerge is unknown, and the cause of distinct cortical spatial representations is also unclear. We have previously modeled spatial tuning in RSC based on processing of static visual features originating from the LGN-V1 pathway. However, recent studies have indicated that visual inputs to POR primarily reflect motion processing originating in the superior colliculus (SC). Here, we build a new learning model based on the computation of optic flow information in the SC. This SC-based optic flow model produces simulated neurons with spatial tuning that reflects the diverse spatial properties of POR neurons. Moreover, comparing the new optic flow model with our previously proposed static feature model, we show that distinct cortical spatial representations similar to those found in POR and RSC can be learned along disparate visual pathways (originating in SC and V1), suggesting that the varying features encoded in different visual pathways contribute to the distinct spatial properties in downstream cortical areas.</w:t>
      </w:r>
    </w:p>
    <w:p>
      <w:pPr>
        <w:spacing w:before="120" w:after="120"/>
      </w:pPr>
      <w:r>
        <w:rPr>
          <w:sz w:val="18"/>
        </w:rPr>
        <w:t>——————————————————————————————————————————————————————————————————————</w:t>
      </w:r>
    </w:p>
    <w:p>
      <w:pPr>
        <w:spacing w:before="160" w:after="40" w:line="240" w:lineRule="auto"/>
      </w:pPr>
      <w:r>
        <w:rPr>
          <w:b/>
        </w:rPr>
        <w:t xml:space="preserve">[93] </w:t>
      </w:r>
      <w:hyperlink r:id="rId763">
        <w:r>
          <w:rPr>
            <w:color w:val="1155CC"/>
            <w:u w:val="single"/>
          </w:rPr>
          <w:t>直接无毒效应器-受体相互作用赋予小麦对昆虫的免疫力</w:t>
        </w:r>
      </w:hyperlink>
    </w:p>
    <w:p>
      <w:pPr>
        <w:spacing w:before="0" w:after="80"/>
      </w:pPr>
      <w:r>
        <w:rPr>
          <w:i/>
          <w:sz w:val="20"/>
        </w:rPr>
        <w:t>EN: Direct avirulence effector-receptor interaction confers wheat immunity against insects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64">
        <w:r>
          <w:rPr>
            <w:color w:val="1155CC"/>
            <w:u w:val="single"/>
          </w:rPr>
          <w:t>10.1126/sciadv.aef4700</w:t>
        </w:r>
      </w:hyperlink>
    </w:p>
    <w:p>
      <w:pPr>
        <w:spacing w:before="0" w:after="120"/>
      </w:pPr>
      <w:r>
        <w:rPr>
          <w:b/>
        </w:rPr>
        <w:t xml:space="preserve">Notes: </w:t>
      </w:r>
      <w:r>
        <w:t>abstract_source=crossref</w:t>
      </w:r>
    </w:p>
    <w:p>
      <w:pPr>
        <w:spacing w:before="0" w:after="80" w:lineRule="auto" w:line="276"/>
      </w:pPr>
      <w:r>
        <w:rPr>
          <w:b/>
        </w:rPr>
        <w:t xml:space="preserve">摘要（ZH）: </w:t>
      </w:r>
      <w:r>
        <w:t>小麦对全球害虫黑森蝇的免疫力是在基因对基因的基础上发挥作用的，但由于缺乏任何克隆的昆虫抗性基因，抗性与无毒力相互作用的分子机制在过去的五十多年来一直难以捉摸。在这里，我们克隆了</w:t>
      </w:r>
      <w:r>
        <w:t xml:space="preserve"> </w:t>
      </w:r>
      <w:r>
        <w:t>H13</w:t>
      </w:r>
      <w:r>
        <w:t xml:space="preserve"> </w:t>
      </w:r>
      <w:r>
        <w:t>编码卷曲螺旋/核苷酸结合/富含亮氨酸重复蛋白的抗性基因，可保护小麦免受多种黑森蝇生物型的侵害，并证明与其同源无毒效应子 vH13 存在直接分子相互作用。 H13-vH13 识别通过钙信号、氧化爆发、茉莉酸和乙烯（但不是水杨酸）信号通路激活效应子触发的免疫，从而导致幼虫抗菌。值得注意的是，H13 在进化上是独特的，与其他小麦抗病或植物抗虫蛋白缺乏相似性。这项研究为理解和设计作物的持久抗虫性提供了一个机制模型。</w:t>
      </w:r>
    </w:p>
    <w:p>
      <w:pPr>
        <w:spacing w:before="0" w:after="200" w:lineRule="auto" w:line="276"/>
      </w:pPr>
      <w:r>
        <w:rPr>
          <w:b/>
        </w:rPr>
        <w:t xml:space="preserve">Abstract (EN): </w:t>
      </w:r>
      <w:r>
        <w:t>Wheat immunity against the global pest Hessian fly operates on a gene-for-gene basis, yet molecular mechanisms underlying resistance-avirulence interactions have remained elusive for over five decades due to the absence of any cloned insect-resistance gene. Here, we cloned the</w:t>
      </w:r>
      <w:r>
        <w:t xml:space="preserve"> </w:t>
      </w:r>
      <w:r>
        <w:t>H13</w:t>
      </w:r>
      <w:r>
        <w:t xml:space="preserve"> </w:t>
      </w:r>
      <w:r>
        <w:t>resistance gene encoding a coiled-coil/nucleotide-binding/leucine-rich repeat protein that protects wheat against multiple Hessian fly biotypes, and demonstrate direct molecular interaction with its cognate avirulence effector, vH13. H13-vH13 recognition activates effector-triggered immunity through calcium signaling, oxidative burst, jasmonic acid and ethylene, but not salicylic acid, signaling pathways, leading to larval antibiosis. Notably, H13 is evolutionarily unique, lacking similarity with other wheat disease- or plant insect-resistance proteins. This study provides a mechanistic model for understanding and engineering durable insect resistance in crops.</w:t>
      </w:r>
    </w:p>
    <w:p>
      <w:pPr>
        <w:spacing w:before="120" w:after="120"/>
      </w:pPr>
      <w:r>
        <w:rPr>
          <w:sz w:val="18"/>
        </w:rPr>
        <w:t>——————————————————————————————————————————————————————————————————————</w:t>
      </w:r>
    </w:p>
    <w:p>
      <w:pPr>
        <w:spacing w:before="160" w:after="40" w:line="240" w:lineRule="auto"/>
      </w:pPr>
      <w:r>
        <w:rPr>
          <w:b/>
        </w:rPr>
        <w:t xml:space="preserve">[94] </w:t>
      </w:r>
      <w:hyperlink r:id="rId765">
        <w:r>
          <w:rPr>
            <w:color w:val="1155CC"/>
            <w:u w:val="single"/>
          </w:rPr>
          <w:t>HSP27 调节力协调的 DDR1 冷凝分解和液体到凝胶的相变</w:t>
        </w:r>
      </w:hyperlink>
    </w:p>
    <w:p>
      <w:pPr>
        <w:spacing w:before="0" w:after="80"/>
      </w:pPr>
      <w:r>
        <w:rPr>
          <w:i/>
          <w:sz w:val="20"/>
        </w:rPr>
        <w:t>EN: HSP27 regulates force-coordinated DDR1 condensate disassembly and liquid-to-gel phase transition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66">
        <w:r>
          <w:rPr>
            <w:color w:val="1155CC"/>
            <w:u w:val="single"/>
          </w:rPr>
          <w:t>10.1126/sciadv.aec2282</w:t>
        </w:r>
      </w:hyperlink>
    </w:p>
    <w:p>
      <w:pPr>
        <w:spacing w:before="0" w:after="120"/>
      </w:pPr>
      <w:r>
        <w:rPr>
          <w:b/>
        </w:rPr>
        <w:t xml:space="preserve">Notes: </w:t>
      </w:r>
      <w:r>
        <w:t>abstract_source=crossref</w:t>
      </w:r>
    </w:p>
    <w:p>
      <w:pPr>
        <w:spacing w:before="0" w:after="80" w:lineRule="auto" w:line="276"/>
      </w:pPr>
      <w:r>
        <w:rPr>
          <w:b/>
        </w:rPr>
        <w:t xml:space="preserve">摘要（ZH）: </w:t>
      </w:r>
      <w:r>
        <w:t>尽管血流模式对 EC 信号传导的影响尚不完全清楚，但内皮细胞 (EC) 机械传感对于血管稳态和动脉粥样硬化的发展至关重要。盘状结构域受体 1 (DDR1) 是一种酪氨酸激酶受体，充当将剪切力与内皮反应联系起来的机械传感器。动脉粥样硬化保护层流剪切流通过液-液相分离诱导快速、瞬时的 DDR1 激活和凝结，而不会产生有害影响，而致动脉粥样硬化剪切流则导致延迟、持续凝结，从而导致 Yes 相关蛋白 (YAP) 激活和下游病理信号传导。我们证明热休克蛋白 27 (HSP27) 调节剪切依赖性 DDR1 缩合和相变。具体来说，DDR1 和 HSP27 之间由各自结构域介导的相互作用对于 DDR1 凝聚体分解至关重要。与动脉粥样硬化保护性剪切不同，致动脉粥样硬化剪切会触发长时间的 DDR1 介导的 HSP27 磷酸化，促进 DDR1 凝胶转变并激活 YAP 信号传导。 DDR1-HSP27 轴是体内内皮 YAP 激活和动脉粥样硬化形成的关键。针对这一途径可能为预防内皮功能障碍和动脉粥样硬化提供治疗潜力。</w:t>
      </w:r>
    </w:p>
    <w:p>
      <w:pPr>
        <w:spacing w:before="0" w:after="200" w:lineRule="auto" w:line="276"/>
      </w:pPr>
      <w:r>
        <w:rPr>
          <w:b/>
        </w:rPr>
        <w:t xml:space="preserve">Abstract (EN): </w:t>
      </w:r>
      <w:r>
        <w:t>Endothelial cell (EC) mechanosensing is essential for vascular homeostasis and atherosclerosis development, though the influence of blood flow patterns on EC signaling is not fully understood. Discoidin domain receptor 1 (DDR1), a tyrosine kinase receptor, acts as a mechanosensor linking shear force to endothelial responses. Atheroprotective laminar shear flow induces rapid, transient DDR1 activation and condensation through liquid-liquid phase separation without harmful effects, while atherogenic shear causes delayed, sustained condensation, leading to Yes-associated protein (YAP) activation and downstream pathological signaling. We show that heat shock protein 27 (HSP27) regulates shear-dependent DDR1 condensation and phase transition. Specifically, the interaction between DDR1 and HSP27, mediated by their respective domains, is crucial for DDR1 condensate disassembly. Atherogenic shear, unlike atheroprotective shear, triggers prolonged DDR1-mediated HSP27 phosphorylation, promoting DDR1 gel transition and activating YAP signaling. The DDR1-HSP27 axis is key in endothelial YAP activation and atherogenesis in vivo. Targeting this pathway may offer therapeutic potential for preventing endothelial dysfunction and atherosclerosis.</w:t>
      </w:r>
    </w:p>
    <w:p>
      <w:pPr>
        <w:spacing w:before="120" w:after="120"/>
      </w:pPr>
      <w:r>
        <w:rPr>
          <w:sz w:val="18"/>
        </w:rPr>
        <w:t>——————————————————————————————————————————————————————————————————————</w:t>
      </w:r>
    </w:p>
    <w:p>
      <w:pPr>
        <w:spacing w:before="160" w:after="40" w:line="240" w:lineRule="auto"/>
      </w:pPr>
      <w:r>
        <w:rPr>
          <w:b/>
        </w:rPr>
        <w:t xml:space="preserve">[95] </w:t>
      </w:r>
      <w:hyperlink r:id="rId767">
        <w:r>
          <w:rPr>
            <w:color w:val="1155CC"/>
            <w:u w:val="single"/>
          </w:rPr>
          <w:t>原位深海表面增强拉曼散射传感器揭示氰化物是冷泉氮循环的关键因素</w:t>
        </w:r>
      </w:hyperlink>
    </w:p>
    <w:p>
      <w:pPr>
        <w:spacing w:before="0" w:after="80"/>
      </w:pPr>
      <w:r>
        <w:rPr>
          <w:i/>
          <w:sz w:val="20"/>
        </w:rPr>
        <w:t>EN: In situ deep-sea surface-enhanced Raman scattering sensor reveals cyanide as a key factor in cold seep nitrogen cycling</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68">
        <w:r>
          <w:rPr>
            <w:color w:val="1155CC"/>
            <w:u w:val="single"/>
          </w:rPr>
          <w:t>10.1126/sciadv.aef5836</w:t>
        </w:r>
      </w:hyperlink>
    </w:p>
    <w:p>
      <w:pPr>
        <w:spacing w:before="0" w:after="120"/>
      </w:pPr>
      <w:r>
        <w:rPr>
          <w:b/>
        </w:rPr>
        <w:t xml:space="preserve">Notes: </w:t>
      </w:r>
      <w:r>
        <w:t>abstract_source=crossref</w:t>
      </w:r>
    </w:p>
    <w:p>
      <w:pPr>
        <w:spacing w:before="0" w:after="80" w:lineRule="auto" w:line="276"/>
      </w:pPr>
      <w:r>
        <w:rPr>
          <w:b/>
        </w:rPr>
        <w:t xml:space="preserve">摘要（ZH）: </w:t>
      </w:r>
      <w:r>
        <w:t>深海热液喷口和冷泉是典型的碳丰富但氮有限的生态系统，支持微生物的蓬勃发展。氮的来源长期以来一直是科学研究的重点。尽管培养实验已经证实存在多种固氮微生物，但缺乏直接的原位证据。因此，开发了深海原位表面增强拉曼散射传感器。能适应极端环境（≥350℃、≥2000米深度、LOD&lt;10</w:t>
      </w:r>
      <w:r>
        <w:t xml:space="preserve"> </w:t>
      </w:r>
      <w:r>
        <w:t>−7</w:t>
      </w:r>
      <w:r>
        <w:t xml:space="preserve"> </w:t>
      </w:r>
      <w:r>
        <w:t>M)并具有良好的深海应用潜力。至关重要的是，该传感器实现了冷泉中氰化物 (-CN) (&gt;5.7 μM) 的原位检测，为微生物群落中高效节能的固氮途径提供了直接证据。同时，梯度检测结果表明CN被作为微生物的“流通货币”而消耗。这一发现为理解冷泉碳、氮、硫循环的耦合机制提供了关键的原位证据，标志着深海传感技术的重大突破。</w:t>
      </w:r>
    </w:p>
    <w:p>
      <w:pPr>
        <w:spacing w:before="0" w:after="200" w:lineRule="auto" w:line="276"/>
      </w:pPr>
      <w:r>
        <w:rPr>
          <w:b/>
        </w:rPr>
        <w:t xml:space="preserve">Abstract (EN): </w:t>
      </w:r>
      <w:r>
        <w:t>Deep-sea hydrothermal vents and cold seeps, typical ecosystems characterized by abundant carbon but limited nitrogen, support thriving microbial activities. The source of nitrogen has long been a key focus in scientific research. Although cultivation experiments have confirmed the presence of diverse nitrogen-fixing microorganisms, direct in situ evidence has been lacking. Therefore, a deep-sea in situ surface-enhanced Raman scattering sensor has been developed. It can adapt to extreme environment (≥350°C and ≥2000-m depth and LOD &amp;lt; 10</w:t>
      </w:r>
      <w:r>
        <w:t xml:space="preserve"> </w:t>
      </w:r>
      <w:r>
        <w:t>−7</w:t>
      </w:r>
      <w:r>
        <w:t xml:space="preserve"> </w:t>
      </w:r>
      <w:r>
        <w:t>M) and has excellent deep-sea application potential. Crucially, the sensor achieved the in situ detection of cyanide (-CN) (&amp;gt;5.7 μM) at cold seep, providing direct evidence for an energy-efficient nitrogen fixation pathway in the microbial communities. Concurrently, the gradient detection results indicated that CN was consumed as a microbial “circulating currency.” This finding offers critical in situ evidence for understanding the coupling mechanisms of cold seep carbon, nitrogen, and sulfur cycles, marking a substantial breakthrough in deep-sea sensing technology.</w:t>
      </w:r>
    </w:p>
    <w:p>
      <w:pPr>
        <w:spacing w:before="120" w:after="120"/>
      </w:pPr>
      <w:r>
        <w:rPr>
          <w:sz w:val="18"/>
        </w:rPr>
        <w:t>——————————————————————————————————————————————————————————————————————</w:t>
      </w:r>
    </w:p>
    <w:p>
      <w:pPr>
        <w:spacing w:before="160" w:after="40" w:line="240" w:lineRule="auto"/>
      </w:pPr>
      <w:r>
        <w:rPr>
          <w:b/>
        </w:rPr>
        <w:t xml:space="preserve">[96] </w:t>
      </w:r>
      <w:hyperlink r:id="rId769">
        <w:r>
          <w:rPr>
            <w:color w:val="1155CC"/>
            <w:u w:val="single"/>
          </w:rPr>
          <w:t>功能营养途径将河岸土地利用集约化与河流群落稳定性联系起来</w:t>
        </w:r>
      </w:hyperlink>
    </w:p>
    <w:p>
      <w:pPr>
        <w:spacing w:before="0" w:after="80"/>
      </w:pPr>
      <w:r>
        <w:rPr>
          <w:i/>
          <w:sz w:val="20"/>
        </w:rPr>
        <w:t>EN: A functional-trophic pathway links riparian land use intensification to riverine community stability</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70">
        <w:r>
          <w:rPr>
            <w:color w:val="1155CC"/>
            <w:u w:val="single"/>
          </w:rPr>
          <w:t>10.1126/sciadv.aeg0180</w:t>
        </w:r>
      </w:hyperlink>
    </w:p>
    <w:p>
      <w:pPr>
        <w:spacing w:before="0" w:after="120"/>
      </w:pPr>
      <w:r>
        <w:rPr>
          <w:b/>
        </w:rPr>
        <w:t xml:space="preserve">Notes: </w:t>
      </w:r>
      <w:r>
        <w:t>abstract_source=crossref</w:t>
      </w:r>
    </w:p>
    <w:p>
      <w:pPr>
        <w:spacing w:before="0" w:after="80" w:lineRule="auto" w:line="276"/>
      </w:pPr>
      <w:r>
        <w:rPr>
          <w:b/>
        </w:rPr>
        <w:t xml:space="preserve">摘要（ZH）: </w:t>
      </w:r>
      <w:r>
        <w:t>集约化的土地利用正在改变世界范围内的河流走廊，其中农业和城市土地利用的集约化最为突出。因此，迫切需要了解这些普遍存在的压力如何影响功能和营养群落结构，并最终影响生态系统的稳定性。在这里，我们将 213 个空间和时间分层采样点的高分辨率环境 DNA (eDNA) 调查与功能性状分析和主要亚热带河流中基于元网络的营养网络相结合，理清了农业和城市土地利用变化对水生生态系统的影响。我们发现鱼类、水生昆虫和藻类的功能性状组成具有很强的结构性，并表现出明显的时间重组。河岸土地利用集约化始终与元网衍生的局部营养网络的功能多样性和结构复杂性较低有关，包括沿农业和城市不渗透土地利用梯度的较低模块化性、嵌套性和鲁棒性。功能多样性和营养网络结构是群落稳定性的强有力的正向预测因素，分段结构方程模型表明，增加土地利用强度主要通过抑制功能和结构属性而不是通过直接途径来破坏多营养群落的稳定。总体而言，通过将这两种途径结合在一个实证框架内，我们的研究为预测​​人类土地转变如何破坏生态系统稳定性提供了机制基础，并为</w:t>
      </w:r>
    </w:p>
    <w:p>
      <w:pPr>
        <w:spacing w:before="0" w:after="200" w:lineRule="auto" w:line="276"/>
      </w:pPr>
      <w:r>
        <w:rPr>
          <w:b/>
        </w:rPr>
        <w:t xml:space="preserve">Abstract (EN): </w:t>
      </w:r>
      <w:r>
        <w:t>Intensive land use is transforming river corridors worldwide, with the agricultural and urban land use intensification being most prominent. Understanding how these pervasive pressures affect functional and trophic community structure—and ultimately ecosystem stability—is thus critically needed. Here, we disentangle the contribution of agricultural and urban land use changes on aquatic ecosystems by combining high-resolution environmental DNA (eDNA) surveys across 213 spatially and temporally stratified sampling sites with functional trait profiling and metaweb-based trophic networks in a major subtropical river. We found that the functional trait composition of fish, aquatic insect and algae was strongly structured and exhibited pronounced temporal reorganization. Riparian land use intensification was consistently associated with lower functional diversity and structural complexity of metaweb-derived local trophic networks, including lower modularity, nestedness and robustness, along agricultural and urban impervious land use gradients. Functional diversity and trophic network structure were strong positive predictors of community stability, and piecewise structural equation models indicated that increasing land use intensity destabilizes multitrophic communities primarily by suppressing functional and structural attributes, rather than through direct pathways. Overall, by uniting these two pathways within a single empirical framework, our study provides a mechanistic basis for predicting how human land conversion undermines ecosystem stability and offers a foundation for safeguarding biodiversity in rapidly changing environments.</w:t>
      </w:r>
    </w:p>
    <w:p>
      <w:pPr>
        <w:spacing w:before="120" w:after="120"/>
      </w:pPr>
      <w:r>
        <w:rPr>
          <w:sz w:val="18"/>
        </w:rPr>
        <w:t>——————————————————————————————————————————————————————————————————————</w:t>
      </w:r>
    </w:p>
    <w:p>
      <w:pPr>
        <w:spacing w:before="160" w:after="40" w:line="240" w:lineRule="auto"/>
      </w:pPr>
      <w:r>
        <w:rPr>
          <w:b/>
        </w:rPr>
        <w:t xml:space="preserve">[97] </w:t>
      </w:r>
      <w:hyperlink r:id="rId771">
        <w:r>
          <w:rPr>
            <w:color w:val="1155CC"/>
            <w:u w:val="single"/>
          </w:rPr>
          <w:t>视网膜无长突细胞的极端多样性具有深厚的进化根源</w:t>
        </w:r>
      </w:hyperlink>
    </w:p>
    <w:p>
      <w:pPr>
        <w:spacing w:before="0" w:after="80"/>
      </w:pPr>
      <w:r>
        <w:rPr>
          <w:i/>
          <w:sz w:val="20"/>
        </w:rPr>
        <w:t>EN: The extreme diversity of retinal amacrine cells has deep evolutionary roots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72">
        <w:r>
          <w:rPr>
            <w:color w:val="1155CC"/>
            <w:u w:val="single"/>
          </w:rPr>
          <w:t>10.1126/sciadv.aeg3223</w:t>
        </w:r>
      </w:hyperlink>
    </w:p>
    <w:p>
      <w:pPr>
        <w:spacing w:before="0" w:after="120"/>
      </w:pPr>
      <w:r>
        <w:rPr>
          <w:b/>
        </w:rPr>
        <w:t xml:space="preserve">Notes: </w:t>
      </w:r>
      <w:r>
        <w:t>abstract_source=crossref</w:t>
      </w:r>
    </w:p>
    <w:p>
      <w:pPr>
        <w:spacing w:before="0" w:after="80" w:lineRule="auto" w:line="276"/>
      </w:pPr>
      <w:r>
        <w:rPr>
          <w:b/>
        </w:rPr>
        <w:t xml:space="preserve">摘要（ZH）: </w:t>
      </w:r>
      <w:r>
        <w:t>无长突细胞（AC）由脊椎动物视网膜中的一类异质抑制性神经元组成，其形态和功能的复杂性可与皮质中间神经元相媲美。在这里，我们整合了 24 个脊椎动物物种的单细胞和单核转录组图谱，以重建这种极端多样性的进化起源。我们鉴定了 42 种直系同源 AC 类型，其中大多数在羊膜动物之间、在许多情况下在脊椎动物之间表现出一一对应的关系。虽然核心分子特性是保守的，但 AC 类型在不同物种的丰度和基因表达上有所不同，这可能反映了对不同视觉生态的适应。 AC 多样性与视网膜神经节细胞 (RGC) 的多样性成比例，表明共同进化。最后，我们认为 AC 起源于 AC-RGC 杂种前体，甘氨酸能 AC 在脊椎动物进化早期出现分歧，随后在 RGC 和 GABA 能 AC 之间出现分歧。总之，这些发现建立了一个统一的进化框架，用于理解脊椎动物中一类抑制性神经元的多样性、发育和功能。</w:t>
      </w:r>
    </w:p>
    <w:p>
      <w:pPr>
        <w:spacing w:before="0" w:after="200" w:lineRule="auto" w:line="276"/>
      </w:pPr>
      <w:r>
        <w:rPr>
          <w:b/>
        </w:rPr>
        <w:t xml:space="preserve">Abstract (EN): </w:t>
      </w:r>
      <w:r>
        <w:t>Amacrine cells (ACs) comprise a heterogeneous class of inhibitory neurons in the vertebrate retina, exhibiting morphological and functional complexity rivaling that of cortical interneurons. Here, we integrate single-cell and single-nucleus transcriptomic atlases from 24 vertebrate species to reconstruct the evolutionary origins of this extreme diversity. We identify 42 orthologous AC types, most of which exhibit a one-to-one correspondence across amniotes and, in many cases, across vertebrates. While core molecular identities are conserved, AC types vary in abundance and gene expression across species, likely reflecting adaptations to distinct visual ecologies. AC diversity scales with that of retinal ganglion cells (RGCs), indicative of coevolution. Last, we suggest that ACs arose from an AC-RGC hybrid precursor, with glycinergic ACs diverging early in vertebrate evolution, followed by a bifurcation between RGCs and GABAergic ACs. Together, these findings establish a unified evolutionary framework for understanding the diversity, development, and function of a class of inhibitory neurons across vertebrates.</w:t>
      </w:r>
    </w:p>
    <w:p>
      <w:pPr>
        <w:spacing w:before="120" w:after="120"/>
      </w:pPr>
      <w:r>
        <w:rPr>
          <w:sz w:val="18"/>
        </w:rPr>
        <w:t>——————————————————————————————————————————————————————————————————————</w:t>
      </w:r>
    </w:p>
    <w:p>
      <w:pPr>
        <w:spacing w:before="160" w:after="40" w:line="240" w:lineRule="auto"/>
      </w:pPr>
      <w:r>
        <w:rPr>
          <w:b/>
        </w:rPr>
        <w:t xml:space="preserve">[98] </w:t>
      </w:r>
      <w:hyperlink r:id="rId773">
        <w:r>
          <w:rPr>
            <w:color w:val="1155CC"/>
            <w:u w:val="single"/>
          </w:rPr>
          <w:t>用于阐明原子间距离可调的铁单原子催化剂选择性 PMS 活化的补充描述符</w:t>
        </w:r>
      </w:hyperlink>
    </w:p>
    <w:p>
      <w:pPr>
        <w:spacing w:before="0" w:after="80"/>
      </w:pPr>
      <w:r>
        <w:rPr>
          <w:i/>
          <w:sz w:val="20"/>
        </w:rPr>
        <w:t>EN: A complementary descriptor for elucidating selective PMS activation by iron single-atom catalysts with tunable interatomic distances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74">
        <w:r>
          <w:rPr>
            <w:color w:val="1155CC"/>
            <w:u w:val="single"/>
          </w:rPr>
          <w:t>10.1126/sciadv.aeg4626</w:t>
        </w:r>
      </w:hyperlink>
    </w:p>
    <w:p>
      <w:pPr>
        <w:spacing w:before="0" w:after="120"/>
      </w:pPr>
      <w:r>
        <w:rPr>
          <w:b/>
        </w:rPr>
        <w:t xml:space="preserve">Notes: </w:t>
      </w:r>
      <w:r>
        <w:t>abstract_source=crossref</w:t>
      </w:r>
    </w:p>
    <w:p>
      <w:pPr>
        <w:spacing w:before="0" w:after="80" w:lineRule="auto" w:line="276"/>
      </w:pPr>
      <w:r>
        <w:rPr>
          <w:b/>
        </w:rPr>
        <w:t xml:space="preserve">摘要（ZH）: </w:t>
      </w:r>
      <w:r>
        <w:t>当使用单原子催化剂（SAC）而不是传统纳米材料时，在高级氧化过程中活化过一硫酸盐（PMS）以选择性生成氧化剂是一个寻求的目标。然而，控制原子级形态和理解影响催化选择性的电子和几何特性之间复杂的相互作用的挑战阻碍了合理的材料设计。为了解决这个问题，我们开发了一个铁单原子催化剂 (FeSAC) 库，其原子间距离可调，范围为 2.6 至 10.5 埃，有助于电子和几何效应的独立研究。我们提出了一个集成电子效应指数的补充描述符（CD）（</w:t>
      </w:r>
      <w:r>
        <w:t xml:space="preserve"> </w:t>
      </w:r>
      <w:r>
        <w:t>我</w:t>
      </w:r>
      <w:r>
        <w:t xml:space="preserve"> </w:t>
      </w:r>
      <w:r>
        <w:t>电子工程</w:t>
      </w:r>
      <w:r>
        <w:t xml:space="preserve"> </w:t>
      </w:r>
      <w:r>
        <w:t>）和几何效应指数（</w:t>
      </w:r>
      <w:r>
        <w:t xml:space="preserve"> </w:t>
      </w:r>
      <w:r>
        <w:t>我</w:t>
      </w:r>
      <w:r>
        <w:t xml:space="preserve"> </w:t>
      </w:r>
      <w:r>
        <w:t>通用电气</w:t>
      </w:r>
      <w:r>
        <w:t xml:space="preserve"> </w:t>
      </w:r>
      <w:r>
        <w:t>）在加权预测框架中。 CD 与单线态氧密切相关（</w:t>
      </w:r>
      <w:r>
        <w:rPr>
          <w:vertAlign w:val="subscript"/>
        </w:rPr>
        <w:t>1</w:t>
      </w:r>
      <w:r>
        <w:t>氧</w:t>
      </w:r>
      <w:r>
        <w:rPr>
          <w:vertAlign w:val="subscript"/>
        </w:rPr>
        <w:t>2</w:t>
      </w:r>
      <w:r>
        <w:t>）通过 FeSAC 系列进行选择性 PMS 激活生产。具体来说，优化后的 FeSAC</w:t>
      </w:r>
      <w:r>
        <w:t xml:space="preserve"> </w:t>
      </w:r>
      <w:r>
        <w:t>5.0</w:t>
      </w:r>
      <w:r>
        <w:t xml:space="preserve"> </w:t>
      </w:r>
      <w:r>
        <w:t>交付率 94.2%</w:t>
      </w:r>
      <w:r>
        <w:rPr>
          <w:vertAlign w:val="subscript"/>
        </w:rPr>
        <w:t>1</w:t>
      </w:r>
      <w:r>
        <w:t>氧</w:t>
      </w:r>
      <w:r>
        <w:rPr>
          <w:vertAlign w:val="subscript"/>
        </w:rPr>
        <w:t>2</w:t>
      </w:r>
      <w:r>
        <w:t>富电子微污染物的选择性和几乎完全降解。该 CD 框架为基于电子和几何标准的高性能 SAC 的合理设计提供了通用策略。</w:t>
      </w:r>
    </w:p>
    <w:p>
      <w:pPr>
        <w:spacing w:before="0" w:after="200" w:lineRule="auto" w:line="276"/>
      </w:pPr>
      <w:r>
        <w:rPr>
          <w:b/>
        </w:rPr>
        <w:t xml:space="preserve">Abstract (EN): </w:t>
      </w:r>
      <w:r>
        <w:t>The activation of peroxymonosulfate (PMS) for selective oxidant generation in advanced oxidation process is a sought objective when using single-atom catalysts (SACs) over conventional nanomaterials. However, challenges in controlling atomic-level morphology and understanding the intricate interplay between electronic and geometric properties that affect catalytic selectivity hinder rational material design. To address this issue, we developed a library of iron single-atom catalysts (FeSACs) featuring tunable interatomic distances ranging from 2.6 to 10.5 angstroms, facilitating the independent investigation of electronic and geometric effects. We propose a complementary descriptor (CD) integrating electronic effect index (</w:t>
      </w:r>
      <w:r>
        <w:t xml:space="preserve"> </w:t>
      </w:r>
      <w:r>
        <w:t>I</w:t>
      </w:r>
      <w:r>
        <w:t xml:space="preserve"> </w:t>
      </w:r>
      <w:r>
        <w:t>EE</w:t>
      </w:r>
      <w:r>
        <w:t xml:space="preserve"> </w:t>
      </w:r>
      <w:r>
        <w:t>) and geometric effect index (</w:t>
      </w:r>
      <w:r>
        <w:t xml:space="preserve"> </w:t>
      </w:r>
      <w:r>
        <w:t>I</w:t>
      </w:r>
      <w:r>
        <w:t xml:space="preserve"> </w:t>
      </w:r>
      <w:r>
        <w:t>GE</w:t>
      </w:r>
      <w:r>
        <w:t xml:space="preserve"> </w:t>
      </w:r>
      <w:r>
        <w:t>) in a weighted predictive framework. The CD strongly correlates with singlet oxygen (</w:t>
      </w:r>
      <w:r>
        <w:rPr>
          <w:vertAlign w:val="subscript"/>
        </w:rPr>
        <w:t>1</w:t>
      </w:r>
      <w:r>
        <w:t>O</w:t>
      </w:r>
      <w:r>
        <w:rPr>
          <w:vertAlign w:val="subscript"/>
        </w:rPr>
        <w:t>2</w:t>
      </w:r>
      <w:r>
        <w:t>) production in selective PMS activation by the FeSAC series. Specifically, the optimized FeSAC</w:t>
      </w:r>
      <w:r>
        <w:t xml:space="preserve"> </w:t>
      </w:r>
      <w:r>
        <w:t>5.0</w:t>
      </w:r>
      <w:r>
        <w:t xml:space="preserve"> </w:t>
      </w:r>
      <w:r>
        <w:t>delivers 94.2%</w:t>
      </w:r>
      <w:r>
        <w:rPr>
          <w:vertAlign w:val="subscript"/>
        </w:rPr>
        <w:t>1</w:t>
      </w:r>
      <w:r>
        <w:t>O</w:t>
      </w:r>
      <w:r>
        <w:rPr>
          <w:vertAlign w:val="subscript"/>
        </w:rPr>
        <w:t>2</w:t>
      </w:r>
      <w:r>
        <w:t>selectivity and nearly complete degradation of electron-rich micropollutants. This CD framework offers a universal strategy for the rational design of high-performance SACs grounded in electronic and geometric criteria.</w:t>
      </w:r>
    </w:p>
    <w:p>
      <w:pPr>
        <w:spacing w:before="120" w:after="120"/>
      </w:pPr>
      <w:r>
        <w:rPr>
          <w:sz w:val="18"/>
        </w:rPr>
        <w:t>——————————————————————————————————————————————————————————————————————</w:t>
      </w:r>
    </w:p>
    <w:p>
      <w:pPr>
        <w:spacing w:before="160" w:after="40" w:line="240" w:lineRule="auto"/>
      </w:pPr>
      <w:r>
        <w:rPr>
          <w:b/>
        </w:rPr>
        <w:t xml:space="preserve">[99] </w:t>
      </w:r>
      <w:hyperlink r:id="rId775">
        <w:r>
          <w:rPr>
            <w:color w:val="1155CC"/>
            <w:u w:val="single"/>
          </w:rPr>
          <w:t>终止子依赖性促进 RNA 聚合酶 III 的再循环提供体内基因特异性转录激活</w:t>
        </w:r>
      </w:hyperlink>
    </w:p>
    <w:p>
      <w:pPr>
        <w:spacing w:before="0" w:after="80"/>
      </w:pPr>
      <w:r>
        <w:rPr>
          <w:i/>
          <w:sz w:val="20"/>
        </w:rPr>
        <w:t>EN: Terminator-dependent facilitated recycling of RNA polymerase III provides gene-specific transcriptional activation in vivo</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76">
        <w:r>
          <w:rPr>
            <w:color w:val="1155CC"/>
            <w:u w:val="single"/>
          </w:rPr>
          <w:t>10.1126/sciadv.aeg6231</w:t>
        </w:r>
      </w:hyperlink>
    </w:p>
    <w:p>
      <w:pPr>
        <w:spacing w:before="0" w:after="120"/>
      </w:pPr>
      <w:r>
        <w:rPr>
          <w:b/>
        </w:rPr>
        <w:t xml:space="preserve">Notes: </w:t>
      </w:r>
      <w:r>
        <w:t>abstract_source=crossref</w:t>
      </w:r>
    </w:p>
    <w:p>
      <w:pPr>
        <w:spacing w:before="0" w:after="80" w:lineRule="auto" w:line="276"/>
      </w:pPr>
      <w:r>
        <w:rPr>
          <w:b/>
        </w:rPr>
        <w:t xml:space="preserve">摘要（ZH）: </w:t>
      </w:r>
      <w:r>
        <w:t>由酵母 RNA 聚合酶 (Pol) III 转录的基因大多位于高转录、基因组脆弱和复制叉停滞的位点。转录终止子依赖的促进 Pol III 在裸 DNA 模板上的回收可促进体外转录；其在体内的可操作性尚不清楚。同一模板的回收将转录输出直接与重新启动频率联系起来。使用回收缺陷的 Pol III 或终止子缺陷的模板，我们发现终止子对于耦合促进的 Pol III 回收和染色质重塑以实现高转录激活至关重要。完全激活过程的机制由三个相互关联的步骤组成：抗抑制、染色质重塑和 Pol III 回收。通常，高转录需求是通过终止子促进的基因上的 Pol III 回收来满足的，而不同的回收频率会导致不同的 Pol III 占据和基因特异性转录本产量。回收频率的异常增加可能会导致正常细胞中基因组位点的脆弱性或癌细胞或其他相关疾病中 Pol III 转录的高度升高。</w:t>
      </w:r>
    </w:p>
    <w:p>
      <w:pPr>
        <w:spacing w:before="0" w:after="200" w:lineRule="auto" w:line="276"/>
      </w:pPr>
      <w:r>
        <w:rPr>
          <w:b/>
        </w:rPr>
        <w:t xml:space="preserve">Abstract (EN): </w:t>
      </w:r>
      <w:r>
        <w:t>Genes transcribed by the RNA polymerase (Pol) III of yeast are mostly found at sites of high transcription, genomic fragility, and replication fork stalling. Transcription terminator–dependent facilitated recycling of Pol III on naked DNA templates boosts transcription in vitro; its operability in vivo is not known. Recycling on the same template links transcriptional output directly to the reinitiation frequency. Using recycling-deficient Pol III or terminator-deficient templates, we found that terminator is essential to couple the facilitated Pol III recycling and chromatin remodeling for achieving high transcriptional activation. Mechanism of the full activation process constitutes three linked steps, antirepression, chromatin remodeling, and Pol III recycling. Normally high transcriptional demands are met by the terminator-facilitated Pol III recycling on genes, while different recycling frequencies result in different Pol III occupancies and gene-specific transcript yields. Abnormal increase in recycling frequency may cause the genomic sites fragility in normal cells or highly elevated Pol III transcription in cancerous cells or other related disorders.</w:t>
      </w:r>
    </w:p>
    <w:p>
      <w:pPr>
        <w:spacing w:before="120" w:after="120"/>
      </w:pPr>
      <w:r>
        <w:rPr>
          <w:sz w:val="18"/>
        </w:rPr>
        <w:t>——————————————————————————————————————————————————————————————————————</w:t>
      </w:r>
    </w:p>
    <w:p>
      <w:pPr>
        <w:spacing w:before="160" w:after="40" w:line="240" w:lineRule="auto"/>
      </w:pPr>
      <w:r>
        <w:rPr>
          <w:b/>
        </w:rPr>
        <w:t xml:space="preserve">[100] </w:t>
      </w:r>
      <w:hyperlink r:id="rId777">
        <w:r>
          <w:rPr>
            <w:color w:val="1155CC"/>
            <w:u w:val="single"/>
          </w:rPr>
          <w:t>光子晶体液压测压法可量化上皮基底压力，以进行快速、无标记的功能筛查</w:t>
        </w:r>
      </w:hyperlink>
    </w:p>
    <w:p>
      <w:pPr>
        <w:spacing w:before="0" w:after="80"/>
      </w:pPr>
      <w:r>
        <w:rPr>
          <w:i/>
          <w:sz w:val="20"/>
        </w:rPr>
        <w:t>EN: Photonic-crystal hydraulic manometry quantifies epithelial basal compression for rapid, label-free functional screening</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78">
        <w:r>
          <w:rPr>
            <w:color w:val="1155CC"/>
            <w:u w:val="single"/>
          </w:rPr>
          <w:t>10.1126/sciadv.aeg7095</w:t>
        </w:r>
      </w:hyperlink>
    </w:p>
    <w:p>
      <w:pPr>
        <w:spacing w:before="0" w:after="120"/>
      </w:pPr>
      <w:r>
        <w:rPr>
          <w:b/>
        </w:rPr>
        <w:t xml:space="preserve">Notes: </w:t>
      </w:r>
      <w:r>
        <w:t>abstract_source=crossref</w:t>
      </w:r>
    </w:p>
    <w:p>
      <w:pPr>
        <w:spacing w:before="0" w:after="80" w:lineRule="auto" w:line="276"/>
      </w:pPr>
      <w:r>
        <w:rPr>
          <w:b/>
        </w:rPr>
        <w:t xml:space="preserve">摘要（ZH）: </w:t>
      </w:r>
      <w:r>
        <w:t>极化上皮整合了屏障密封、矢量离子水传输和细胞骨架力学，但实时报告这种耦合功能状态的可扩展测定仍然有限。在这里，我们介绍光子晶体液压测压法（PCHM），它可以从标准培养格式的单帧反射图像中量化面外机械状态。使用 PCHM，我们发现上皮单层在细胞-基质界面处维持千帕级的基础压缩（~3 千帕）。涵盖离子传输和肌动球蛋白收缩性的系统扰动面板定义了读数的灵敏度、动态范围和可逆性，将基础压缩确立为上皮生理学的可操作状态变量。利用这一生理学锚定指标，我们检测到柯萨奇病毒的早期感染，即 2 小时内基础压缩崩溃，远早于细胞病变效应变得明显（48 小时）。在严重急性呼吸综合征冠状病毒 2 假病毒中和测定中，PCHM 提供的 2 小时读数与匹配的 48 小时荧光素酶结果一致。在病毒滴定测定中，相对于匹配的 48 小时荧光素酶终点，相同的 2 小时 PCHM 读数将可检测的低输入范围扩大了大约一个数量级。 PCHM 将上皮运输和力学与可扩展、免染色的检测框架联系起来，用于上皮病理生理学和治疗筛选。</w:t>
      </w:r>
    </w:p>
    <w:p>
      <w:pPr>
        <w:spacing w:before="0" w:after="200" w:lineRule="auto" w:line="276"/>
      </w:pPr>
      <w:r>
        <w:rPr>
          <w:b/>
        </w:rPr>
        <w:t xml:space="preserve">Abstract (EN): </w:t>
      </w:r>
      <w:r>
        <w:t>Polarized epithelia integrate barrier sealing, vectorial ion-water transport, and cytoskeletal mechanics, yet scalable assays that report this coupled functional state in real time remain limited. Here, we introduce photonic-crystal hydraulic manometry (PCHM), which quantifies out-of-plane mechanical states from single-frame reflection images in standard culture formats. Using PCHM, we find that epithelial monolayers maintain a kilopascal-scale basal compression (∼3 kilopascals) at the cell-substrate interface. A systematic perturbation panel spanning ion transport and actomyosin contractility defines the sensitivity, dynamic range, and reversibility of the readout, establishing basal compression as an actionable state variable of epithelial physiology. Leveraging this physiology-anchored metric, we detect early infection with coxsackievirus as a collapse of basal compression within 2 hours, well before cytopathic effects become apparent (48 hours). In severe acute respiratory syndrome coronavirus 2 pseudovirus neutralization assays, PCHM provided a 2-hour readout that was consistent with matched 48-hour luciferase results. In viral titration assays, the same 2-hour PCHM readout extended the detectable low-input range by approximately one order of magnitude relative to the matched 48-hour luciferase end point. Together, PCHM links epithelial transport and mechanics to a scalable, stain-free assay framework for epithelial pathophysiology and therapeutic screening.</w:t>
      </w:r>
    </w:p>
    <w:p>
      <w:pPr>
        <w:spacing w:before="120" w:after="120"/>
      </w:pPr>
      <w:r>
        <w:rPr>
          <w:sz w:val="18"/>
        </w:rPr>
        <w:t>——————————————————————————————————————————————————————————————————————</w:t>
      </w:r>
    </w:p>
    <w:p>
      <w:pPr>
        <w:spacing w:before="160" w:after="40" w:line="240" w:lineRule="auto"/>
      </w:pPr>
      <w:r>
        <w:rPr>
          <w:b/>
        </w:rPr>
        <w:t xml:space="preserve">[101] </w:t>
      </w:r>
      <w:hyperlink r:id="rId779">
        <w:r>
          <w:rPr>
            <w:color w:val="1155CC"/>
            <w:u w:val="single"/>
          </w:rPr>
          <w:t>超越聚合物网络动力学的黄金法则：组织模拟粘弹性的设计原则</w:t>
        </w:r>
      </w:hyperlink>
    </w:p>
    <w:p>
      <w:pPr>
        <w:spacing w:before="0" w:after="80"/>
      </w:pPr>
      <w:r>
        <w:rPr>
          <w:i/>
          <w:sz w:val="20"/>
        </w:rPr>
        <w:t>EN: Beyond the golden rule of polymer network dynamics: Design principles for tissue-mimetic viscoelasticity</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80">
        <w:r>
          <w:rPr>
            <w:color w:val="1155CC"/>
            <w:u w:val="single"/>
          </w:rPr>
          <w:t>10.1126/sciadv.aeg8172</w:t>
        </w:r>
      </w:hyperlink>
    </w:p>
    <w:p>
      <w:pPr>
        <w:spacing w:before="0" w:after="120"/>
      </w:pPr>
      <w:r>
        <w:rPr>
          <w:b/>
        </w:rPr>
        <w:t xml:space="preserve">Notes: </w:t>
      </w:r>
      <w:r>
        <w:t>abstract_source=crossref</w:t>
      </w:r>
    </w:p>
    <w:p>
      <w:pPr>
        <w:spacing w:before="0" w:after="80" w:lineRule="auto" w:line="276"/>
      </w:pPr>
      <w:r>
        <w:rPr>
          <w:b/>
        </w:rPr>
        <w:t xml:space="preserve">摘要（ZH）: </w:t>
      </w:r>
      <w:r>
        <w:t>从交通运输到生物医学设备等技术都依赖于软材料，其性能取决于刚度和阻尼的平衡。然而，在传统的聚合物网络中，这些特性通常是耦合的：较软的材料本质上更耗散，反映了聚合物动力学中长期存在的相关性，严重限制了可访问的设计空间。在这里，我们使用刷状聚合物网络突破了这一长期限制，其结构与化学相结合控制粘弹性响应。通过独立调节链体积和柔韧性，我们可以在几个数量级上改变弹性模量，同时保持几乎恒定的松弛时间，而不改变网络化学性质。我们的研究结果建立了一个编码聚合物网络中粘弹性响应的通用框架，从而能够设计具有可编程平衡刚度和速率相关耗散的组织模拟材料。</w:t>
      </w:r>
    </w:p>
    <w:p>
      <w:pPr>
        <w:spacing w:before="0" w:after="200" w:lineRule="auto" w:line="276"/>
      </w:pPr>
      <w:r>
        <w:rPr>
          <w:b/>
        </w:rPr>
        <w:t xml:space="preserve">Abstract (EN): </w:t>
      </w:r>
      <w:r>
        <w:t>Technologies ranging from transportation to biomedical devices rely on soft materials whose performance hinges on balancing stiffness and damping. In conventional polymer networks, however, these properties are typically coupled: Softer materials are intrinsically more dissipative, reflecting a long-standing correlation in polymer dynamics that severely restricts the accessible design space. Here, we move beyond this longstanding constraint using brush-like polymer networks whose architecture in combination with chemistry governs viscoelastic response. By independently tuning strand volume and flexibility, we vary the elastic modulus over orders of magnitude while maintaining nearly constant relaxation time without altering network chemistry. Our findings establish a general framework for encoding viscoelastic responses in polymer networks, enabling the design of tissue-mimetic materials with programmable equilibrium stiffness and rate-dependent dissipation.</w:t>
      </w:r>
    </w:p>
    <w:p>
      <w:pPr>
        <w:spacing w:before="120" w:after="120"/>
      </w:pPr>
      <w:r>
        <w:rPr>
          <w:sz w:val="18"/>
        </w:rPr>
        <w:t>——————————————————————————————————————————————————————————————————————</w:t>
      </w:r>
    </w:p>
    <w:p>
      <w:pPr>
        <w:spacing w:before="160" w:after="40" w:line="240" w:lineRule="auto"/>
      </w:pPr>
      <w:r>
        <w:rPr>
          <w:b/>
        </w:rPr>
        <w:t xml:space="preserve">[102] </w:t>
      </w:r>
      <w:hyperlink r:id="rId781">
        <w:r>
          <w:rPr>
            <w:color w:val="1155CC"/>
            <w:u w:val="single"/>
          </w:rPr>
          <w:t>预测处理作为体现多任务智能的可扩展计算原理</w:t>
        </w:r>
      </w:hyperlink>
    </w:p>
    <w:p>
      <w:pPr>
        <w:spacing w:before="0" w:after="80"/>
      </w:pPr>
      <w:r>
        <w:rPr>
          <w:i/>
          <w:sz w:val="20"/>
        </w:rPr>
        <w:t>EN: Predictive processing as a scalable computational principle for embodied multitask intelligence</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82">
        <w:r>
          <w:rPr>
            <w:color w:val="1155CC"/>
            <w:u w:val="single"/>
          </w:rPr>
          <w:t>10.1126/sciadv.aed7511</w:t>
        </w:r>
      </w:hyperlink>
    </w:p>
    <w:p>
      <w:pPr>
        <w:spacing w:before="0" w:after="120"/>
      </w:pPr>
      <w:r>
        <w:rPr>
          <w:b/>
        </w:rPr>
        <w:t xml:space="preserve">Notes: </w:t>
      </w:r>
      <w:r>
        <w:t>abstract_source=crossref</w:t>
      </w:r>
    </w:p>
    <w:p>
      <w:pPr>
        <w:spacing w:before="0" w:after="80" w:lineRule="auto" w:line="276"/>
      </w:pPr>
      <w:r>
        <w:rPr>
          <w:b/>
        </w:rPr>
        <w:t xml:space="preserve">摘要（ZH）: </w:t>
      </w:r>
      <w:r>
        <w:t>人类在适应多样化和不确定的环境方面表现出非凡的灵活性，这是大脑将多模态感觉流整合到连贯的预测模型中的能力的标志。利用这一原理，我们引入了一种基于自由能原理下的预测处理的可扩展分层多模态循环神经网络，能够直接集成超过 30,000 维的视觉本体输入，无需降维或手工预处理。使用全尺寸物理人形机器人的远程操作中的传感数据来执行两项护理相关任务（刚体重新定位和柔性毛巾擦拭），该模型学习端到端地预测高维视觉本体感受流。在开环自适应推理实验中，该框架表现出三个新兴特性：（i）自组织分层潜在动态控制任务转换、不确定性和遮挡推理； (ii) 通过多模式整合增强对视力退化的鲁棒性； (iii) 多任务学习中的不对称干扰。尽管在模拟中进行了评估，但该框架可扩展到闭环机器人控制，并通过本体感觉预测驱动动作，从而建立连接大脑理论、人工智能和具体机器人技术的通用计算基础。</w:t>
      </w:r>
    </w:p>
    <w:p>
      <w:pPr>
        <w:spacing w:before="0" w:after="200" w:lineRule="auto" w:line="276"/>
      </w:pPr>
      <w:r>
        <w:rPr>
          <w:b/>
        </w:rPr>
        <w:t xml:space="preserve">Abstract (EN): </w:t>
      </w:r>
      <w:r>
        <w:t>Humans exhibit remarkable flexibility in adapting to diverse and uncertain environments—a hallmark arising from the brain’s ability to integrate multimodal sensory streams into coherent predictive models. Drawing on this principle, we introduce a scalable hierarchical multimodal recurrent neural network grounded in predictive processing under the free-energy principle, capable of directly integrating more than 30,000-dimensional visuo-proprioceptive inputs without dimensionality reduction or handcrafted preprocessing. Using sensory data from teleoperation of a full-scale physical humanoid robot performing two caregiving-related tasks—rigid-body repositioning and flexible-towel wiping—the model learns to predict high-dimensional visuo-proprioceptive streams end to end. In open-loop adaptive inference experiments, the framework exhibits three emergent properties: (i) self-organized hierarchical latent dynamics governing task transitions, uncertainty, and occlusion inference; (ii) robustness to degraded vision via multimodal integration; and (iii) asymmetric interference in multitask learning. Although evaluated in simulations, the framework is extensible to closed-loop robot control, with proprioceptive predictions driving action, thereby establishing a generalizable computational foundation bridging brain theory, artificial intelligence, and embodied robotics.</w:t>
      </w:r>
    </w:p>
    <w:p>
      <w:pPr>
        <w:spacing w:before="120" w:after="120"/>
      </w:pPr>
      <w:r>
        <w:rPr>
          <w:sz w:val="18"/>
        </w:rPr>
        <w:t>——————————————————————————————————————————————————————————————————————</w:t>
      </w:r>
    </w:p>
    <w:p>
      <w:pPr>
        <w:spacing w:before="160" w:after="40" w:line="240" w:lineRule="auto"/>
      </w:pPr>
      <w:r>
        <w:rPr>
          <w:b/>
        </w:rPr>
        <w:t xml:space="preserve">[103] </w:t>
      </w:r>
      <w:hyperlink r:id="rId783">
        <w:r>
          <w:rPr>
            <w:color w:val="1155CC"/>
            <w:u w:val="single"/>
          </w:rPr>
          <w:t>CA3锥体神经元中不同类型的树突Ca2+尖峰与导航过程中神经元活动变化相关</w:t>
        </w:r>
      </w:hyperlink>
    </w:p>
    <w:p>
      <w:pPr>
        <w:spacing w:before="0" w:after="80"/>
      </w:pPr>
      <w:r>
        <w:rPr>
          <w:i/>
          <w:sz w:val="20"/>
        </w:rPr>
        <w:t>EN: Distinct types of dendritic Ca2+ spikes in CA3 pyramidal neurons associated with neuronal activity changes during navigation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84">
        <w:r>
          <w:rPr>
            <w:color w:val="1155CC"/>
            <w:u w:val="single"/>
          </w:rPr>
          <w:t>10.1126/sciadv.aec6015</w:t>
        </w:r>
      </w:hyperlink>
    </w:p>
    <w:p>
      <w:pPr>
        <w:spacing w:before="0" w:after="120"/>
      </w:pPr>
      <w:r>
        <w:rPr>
          <w:b/>
        </w:rPr>
        <w:t xml:space="preserve">Notes: </w:t>
      </w:r>
      <w:r>
        <w:t>abstract_source=crossref</w:t>
      </w:r>
    </w:p>
    <w:p>
      <w:pPr>
        <w:spacing w:before="0" w:after="80" w:lineRule="auto" w:line="276"/>
      </w:pPr>
      <w:r>
        <w:rPr>
          <w:b/>
        </w:rPr>
        <w:t xml:space="preserve">摘要（ZH）: </w:t>
      </w:r>
      <w:r>
        <w:t>主动树突通过执行非线性输入积分（包括生成树突尖峰）来丰富单神经元计算。在体外的各种皮质神经元类别中发现了不同的树突尖峰类型；然而，它们在体内的普遍性和作用仍然难以捉摸。我们在小鼠虚拟导航过程中测量了海马区 CA3 (CA3PC) 顶端树突和锥体细胞胞体的钙活性。尽管树突活动通常与体体同步，但它们的相关性随着树突距离的增加而降低。我们确定了两种类型的再生树突活动：缓慢、大幅度的全局 Ca</w:t>
      </w:r>
      <w:r>
        <w:t xml:space="preserve"> </w:t>
      </w:r>
      <w:r>
        <w:t>2+</w:t>
      </w:r>
      <w:r>
        <w:t xml:space="preserve"> </w:t>
      </w:r>
      <w:r>
        <w:t>代表假定 Ca 的事件</w:t>
      </w:r>
      <w:r>
        <w:t xml:space="preserve"> </w:t>
      </w:r>
      <w:r>
        <w:t>2+</w:t>
      </w:r>
      <w:r>
        <w:t xml:space="preserve"> </w:t>
      </w:r>
      <w:r>
        <w:t>高原和快钙</w:t>
      </w:r>
      <w:r>
        <w:t xml:space="preserve"> </w:t>
      </w:r>
      <w:r>
        <w:t>2+</w:t>
      </w:r>
      <w:r>
        <w:t xml:space="preserve"> </w:t>
      </w:r>
      <w:r>
        <w:t>树突到体体衰减较大的事件，代表假定的树突引发的 Ca</w:t>
      </w:r>
      <w:r>
        <w:t xml:space="preserve"> </w:t>
      </w:r>
      <w:r>
        <w:t>2+</w:t>
      </w:r>
      <w:r>
        <w:t xml:space="preserve"> </w:t>
      </w:r>
      <w:r>
        <w:t>尖峰。钙</w:t>
      </w:r>
      <w:r>
        <w:t xml:space="preserve"> </w:t>
      </w:r>
      <w:r>
        <w:t>2+</w:t>
      </w:r>
      <w:r>
        <w:t xml:space="preserve"> </w:t>
      </w:r>
      <w:r>
        <w:t>高原有助于空间调节活动，但只是偶尔诱导新的位置场，这表明突触可塑性的条件诱导。相比之下，快钙</w:t>
      </w:r>
      <w:r>
        <w:t xml:space="preserve"> </w:t>
      </w:r>
      <w:r>
        <w:t>2+</w:t>
      </w:r>
      <w:r>
        <w:t xml:space="preserve"> </w:t>
      </w:r>
      <w:r>
        <w:t>峰值之后通常会出现体细胞活动的短暂增加，而无需空间调整，这表明兴奋性输入或兴奋性增加。我们的结果揭示了之前未知的机制，即树突活性影响体内 CA3PC 的输出。</w:t>
      </w:r>
    </w:p>
    <w:p>
      <w:pPr>
        <w:spacing w:before="0" w:after="200" w:lineRule="auto" w:line="276"/>
      </w:pPr>
      <w:r>
        <w:rPr>
          <w:b/>
        </w:rPr>
        <w:t xml:space="preserve">Abstract (EN): </w:t>
      </w:r>
      <w:r>
        <w:t>Active dendrites enrich single-neuron computations by performing nonlinear input integration, including generation of dendritic spikes. Diverse dendritic spike types have been found in various cortical neuron classes in vitro; however, their in vivo prevalence and roles remained elusive. We measured calcium activity in apical dendrites and soma of pyramidal cells in the hippocampal area CA3 (CA3PCs) during virtual navigation in mice. Although dendritic activity was generally synchronous with the soma, their correlation decreased with dendritic distance. We identified two types of regenerative dendritic activities: slow, large-amplitude global Ca</w:t>
      </w:r>
      <w:r>
        <w:t xml:space="preserve"> </w:t>
      </w:r>
      <w:r>
        <w:t>2+</w:t>
      </w:r>
      <w:r>
        <w:t xml:space="preserve"> </w:t>
      </w:r>
      <w:r>
        <w:t>events representing putative Ca</w:t>
      </w:r>
      <w:r>
        <w:t xml:space="preserve"> </w:t>
      </w:r>
      <w:r>
        <w:t>2+</w:t>
      </w:r>
      <w:r>
        <w:t xml:space="preserve"> </w:t>
      </w:r>
      <w:r>
        <w:t>plateaus and fast Ca</w:t>
      </w:r>
      <w:r>
        <w:t xml:space="preserve"> </w:t>
      </w:r>
      <w:r>
        <w:t>2+</w:t>
      </w:r>
      <w:r>
        <w:t xml:space="preserve"> </w:t>
      </w:r>
      <w:r>
        <w:t>events with large dendrite-to-soma attenuation, representing putative dendritically initiated Ca</w:t>
      </w:r>
      <w:r>
        <w:t xml:space="preserve"> </w:t>
      </w:r>
      <w:r>
        <w:t>2+</w:t>
      </w:r>
      <w:r>
        <w:t xml:space="preserve"> </w:t>
      </w:r>
      <w:r>
        <w:t>spikes. Ca</w:t>
      </w:r>
      <w:r>
        <w:t xml:space="preserve"> </w:t>
      </w:r>
      <w:r>
        <w:t>2+</w:t>
      </w:r>
      <w:r>
        <w:t xml:space="preserve"> </w:t>
      </w:r>
      <w:r>
        <w:t>plateaus contributed to spatially tuned activity but only occasionally induced new place fields, suggesting conditional induction of synaptic plasticity. In contrast, fast Ca</w:t>
      </w:r>
      <w:r>
        <w:t xml:space="preserve"> </w:t>
      </w:r>
      <w:r>
        <w:t>2+</w:t>
      </w:r>
      <w:r>
        <w:t xml:space="preserve"> </w:t>
      </w:r>
      <w:r>
        <w:t>spikes were often followed by transient increase in somatic activity without spatial tuning, suggesting increased excitatory inputs or excitability. Our results unveil previously unidentified mechanisms whereby dendritic activity shapes output of CA3PCs in vivo.</w:t>
      </w:r>
    </w:p>
    <w:p>
      <w:pPr>
        <w:spacing w:before="120" w:after="120"/>
      </w:pPr>
      <w:r>
        <w:rPr>
          <w:sz w:val="18"/>
        </w:rPr>
        <w:t>——————————————————————————————————————————————————————————————————————</w:t>
      </w:r>
    </w:p>
    <w:p>
      <w:pPr>
        <w:spacing w:before="160" w:after="40" w:line="240" w:lineRule="auto"/>
      </w:pPr>
      <w:r>
        <w:rPr>
          <w:b/>
        </w:rPr>
        <w:t xml:space="preserve">[104] </w:t>
      </w:r>
      <w:hyperlink r:id="rId785">
        <w:r>
          <w:rPr>
            <w:color w:val="1155CC"/>
            <w:u w:val="single"/>
          </w:rPr>
          <w:t>在适应性强的金属有机框架中分离二甲苯异构体</w:t>
        </w:r>
      </w:hyperlink>
    </w:p>
    <w:p>
      <w:pPr>
        <w:spacing w:before="0" w:after="80"/>
      </w:pPr>
      <w:r>
        <w:rPr>
          <w:i/>
          <w:sz w:val="20"/>
        </w:rPr>
        <w:t>EN: Separation of xylene isomers in an adaptable metal-organic framework</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86">
        <w:r>
          <w:rPr>
            <w:color w:val="1155CC"/>
            <w:u w:val="single"/>
          </w:rPr>
          <w:t>10.1126/sciadv.aeg1691</w:t>
        </w:r>
      </w:hyperlink>
    </w:p>
    <w:p>
      <w:pPr>
        <w:spacing w:before="0" w:after="120"/>
      </w:pPr>
      <w:r>
        <w:rPr>
          <w:b/>
        </w:rPr>
        <w:t xml:space="preserve">Notes: </w:t>
      </w:r>
      <w:r>
        <w:t>abstract_source=crossref</w:t>
      </w:r>
    </w:p>
    <w:p>
      <w:pPr>
        <w:spacing w:before="0" w:after="80" w:lineRule="auto" w:line="276"/>
      </w:pPr>
      <w:r>
        <w:rPr>
          <w:b/>
        </w:rPr>
        <w:t xml:space="preserve">摘要（ZH）: </w:t>
      </w:r>
      <w:r>
        <w:t>由于二甲苯异构体的分子相似性导致选择性不足，通过吸附有效分离二甲苯异构体仍然具有挑战性。我们报告了一种适应性强的金属有机框架，Ni(BIC)</w:t>
      </w:r>
      <w:r>
        <w:rPr>
          <w:vertAlign w:val="subscript"/>
        </w:rPr>
        <w:t>2</w:t>
      </w:r>
      <w:r>
        <w:t>[1-</w:t>
      </w:r>
      <w:r>
        <w:t>H</w:t>
      </w:r>
      <w:r>
        <w:t xml:space="preserve"> </w:t>
      </w:r>
      <w:r>
        <w:t>-苯并咪唑-5-羧酸 (HBIC)]，对</w:t>
      </w:r>
      <w:r>
        <w:t xml:space="preserve"> </w:t>
      </w:r>
      <w:r>
        <w:t>帕拉</w:t>
      </w:r>
      <w:r>
        <w:t xml:space="preserve"> </w:t>
      </w:r>
      <w:r>
        <w:t>-二甲苯优于其他二甲苯异构体。镍(BIC)</w:t>
      </w:r>
      <w:r>
        <w:rPr>
          <w:vertAlign w:val="subscript"/>
        </w:rPr>
        <w:t>2</w:t>
      </w:r>
      <w:r>
        <w:t>具有客体自适应一维通道，可精确匹配分子投影尺寸</w:t>
      </w:r>
      <w:r>
        <w:t xml:space="preserve"> </w:t>
      </w:r>
      <w:r>
        <w:t>帕拉</w:t>
      </w:r>
      <w:r>
        <w:t xml:space="preserve"> </w:t>
      </w:r>
      <w:r>
        <w:t>-二甲苯，能够从二甲苯异构体的四元混合物中进行筛分。 Ni(BIC)的结构转变</w:t>
      </w:r>
      <w:r>
        <w:rPr>
          <w:vertAlign w:val="subscript"/>
        </w:rPr>
        <w:t>2</w:t>
      </w:r>
      <w:r>
        <w:t>客体吸附后，大大扩大了之间的结合能差异</w:t>
      </w:r>
      <w:r>
        <w:t xml:space="preserve"> </w:t>
      </w:r>
      <w:r>
        <w:t>帕拉</w:t>
      </w:r>
      <w:r>
        <w:t xml:space="preserve"> </w:t>
      </w:r>
      <w:r>
        <w:t>-二甲苯及其类似物。弱吸附组分转化为非吸附实体，导致与温度无关的</w:t>
      </w:r>
      <w:r>
        <w:t xml:space="preserve"> </w:t>
      </w:r>
      <w:r>
        <w:t>帕拉</w:t>
      </w:r>
      <w:r>
        <w:t xml:space="preserve"> </w:t>
      </w:r>
      <w:r>
        <w:t>-排除时的二甲苯吸收</w:t>
      </w:r>
      <w:r>
        <w:t xml:space="preserve"> </w:t>
      </w:r>
      <w:r>
        <w:t>元</w:t>
      </w:r>
      <w:r>
        <w:t xml:space="preserve"> </w:t>
      </w:r>
      <w:r>
        <w:t>-二甲苯和</w:t>
      </w:r>
      <w:r>
        <w:t xml:space="preserve"> </w:t>
      </w:r>
      <w:r>
        <w:t>正射</w:t>
      </w:r>
      <w:r>
        <w:t xml:space="preserve"> </w:t>
      </w:r>
      <w:r>
        <w:t>-二甲苯。突破性实验证明了卓越的动态选择性，可提供高纯度</w:t>
      </w:r>
      <w:r>
        <w:t xml:space="preserve"> </w:t>
      </w:r>
      <w:r>
        <w:t>帕拉</w:t>
      </w:r>
      <w:r>
        <w:t xml:space="preserve"> </w:t>
      </w:r>
      <w:r>
        <w:t>对二甲苯在单一固定床吸附过程中。模拟移动床 (SMB) 过程分析表明 Ni(BIC)</w:t>
      </w:r>
      <w:r>
        <w:rPr>
          <w:vertAlign w:val="subscript"/>
        </w:rPr>
        <w:t>2</w:t>
      </w:r>
      <w:r>
        <w:t>产量增加 3.2 倍</w:t>
      </w:r>
    </w:p>
    <w:p>
      <w:pPr>
        <w:spacing w:before="0" w:after="200" w:lineRule="auto" w:line="276"/>
      </w:pPr>
      <w:r>
        <w:rPr>
          <w:b/>
        </w:rPr>
        <w:t xml:space="preserve">Abstract (EN): </w:t>
      </w:r>
      <w:r>
        <w:t>Efficient separation of xylene isomers by adsorption remains challenging due to insufficient selectivity arising from their molecular similarity. We report an adaptable metal-organic framework, Ni(BIC)</w:t>
      </w:r>
      <w:r>
        <w:rPr>
          <w:vertAlign w:val="subscript"/>
        </w:rPr>
        <w:t>2</w:t>
      </w:r>
      <w:r>
        <w:t>[1-</w:t>
      </w:r>
      <w:r>
        <w:t>H</w:t>
      </w:r>
      <w:r>
        <w:t xml:space="preserve"> </w:t>
      </w:r>
      <w:r>
        <w:t>-benzimidazole-5-carboxylic acid (HBIC)], that exhibits high selectivity for</w:t>
      </w:r>
      <w:r>
        <w:t xml:space="preserve"> </w:t>
      </w:r>
      <w:r>
        <w:t>para</w:t>
      </w:r>
      <w:r>
        <w:t xml:space="preserve"> </w:t>
      </w:r>
      <w:r>
        <w:t>-xylene over other xylene isomers. Ni(BIC)</w:t>
      </w:r>
      <w:r>
        <w:rPr>
          <w:vertAlign w:val="subscript"/>
        </w:rPr>
        <w:t>2</w:t>
      </w:r>
      <w:r>
        <w:t>features a guest-adaptive one-dimensional channel that precisely matches the molecular projection dimensions of</w:t>
      </w:r>
      <w:r>
        <w:t xml:space="preserve"> </w:t>
      </w:r>
      <w:r>
        <w:t>para</w:t>
      </w:r>
      <w:r>
        <w:t xml:space="preserve"> </w:t>
      </w:r>
      <w:r>
        <w:t>-xylene, enabling sieving from a quaternary mixture of xylene isomers. The structural transformation of Ni(BIC)</w:t>
      </w:r>
      <w:r>
        <w:rPr>
          <w:vertAlign w:val="subscript"/>
        </w:rPr>
        <w:t>2</w:t>
      </w:r>
      <w:r>
        <w:t>upon guest adsorption substantially widens the disparity in binding energies between</w:t>
      </w:r>
      <w:r>
        <w:t xml:space="preserve"> </w:t>
      </w:r>
      <w:r>
        <w:t>para</w:t>
      </w:r>
      <w:r>
        <w:t xml:space="preserve"> </w:t>
      </w:r>
      <w:r>
        <w:t>-xylene and its counterparts. Weakly adsorbed components are converted into nonadsorbed entities, leading to temperature-independent</w:t>
      </w:r>
      <w:r>
        <w:t xml:space="preserve"> </w:t>
      </w:r>
      <w:r>
        <w:t>para</w:t>
      </w:r>
      <w:r>
        <w:t xml:space="preserve"> </w:t>
      </w:r>
      <w:r>
        <w:t>-xylene uptake while excluding</w:t>
      </w:r>
      <w:r>
        <w:t xml:space="preserve"> </w:t>
      </w:r>
      <w:r>
        <w:t>meta</w:t>
      </w:r>
      <w:r>
        <w:t xml:space="preserve"> </w:t>
      </w:r>
      <w:r>
        <w:t>-xylene and</w:t>
      </w:r>
      <w:r>
        <w:t xml:space="preserve"> </w:t>
      </w:r>
      <w:r>
        <w:t>ortho</w:t>
      </w:r>
      <w:r>
        <w:t xml:space="preserve"> </w:t>
      </w:r>
      <w:r>
        <w:t>-xylene. Breakthrough experiments demonstrate remarkable dynamic selectivity, delivering high-purity</w:t>
      </w:r>
      <w:r>
        <w:t xml:space="preserve"> </w:t>
      </w:r>
      <w:r>
        <w:t>para</w:t>
      </w:r>
      <w:r>
        <w:t xml:space="preserve"> </w:t>
      </w:r>
      <w:r>
        <w:t>-xylene within a single fixed-bed adsorption process. Simulated moving bed (SMB) process analysis demonstrates that Ni(BIC)</w:t>
      </w:r>
      <w:r>
        <w:rPr>
          <w:vertAlign w:val="subscript"/>
        </w:rPr>
        <w:t>2</w:t>
      </w:r>
      <w:r>
        <w:t>delivers a 3.2-fold increase in production efficiency relative to conventional zeolite under milder operating conditions.</w:t>
      </w:r>
    </w:p>
    <w:p>
      <w:pPr>
        <w:spacing w:before="120" w:after="120"/>
      </w:pPr>
      <w:r>
        <w:rPr>
          <w:sz w:val="18"/>
        </w:rPr>
        <w:t>——————————————————————————————————————————————————————————————————————</w:t>
      </w:r>
    </w:p>
    <w:p>
      <w:pPr>
        <w:spacing w:before="160" w:after="40" w:line="240" w:lineRule="auto"/>
      </w:pPr>
      <w:r>
        <w:rPr>
          <w:b/>
        </w:rPr>
        <w:t xml:space="preserve">[105] </w:t>
      </w:r>
      <w:hyperlink r:id="rId787">
        <w:r>
          <w:rPr>
            <w:color w:val="1155CC"/>
            <w:u w:val="single"/>
          </w:rPr>
          <w:t>谱系主调节因子和癌症选择性伴侣转录因子重新连接 3D 基因组拓扑以实现肿瘤特异性基因控制</w:t>
        </w:r>
      </w:hyperlink>
    </w:p>
    <w:p>
      <w:pPr>
        <w:spacing w:before="0" w:after="80"/>
      </w:pPr>
      <w:r>
        <w:rPr>
          <w:i/>
          <w:sz w:val="20"/>
        </w:rPr>
        <w:t>EN: Lineage master regulator and cancer-selective partner transcription factors rewire 3D genome topology for tumor-specific gene control</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88">
        <w:r>
          <w:rPr>
            <w:color w:val="1155CC"/>
            <w:u w:val="single"/>
          </w:rPr>
          <w:t>10.1126/sciadv.adz9441</w:t>
        </w:r>
      </w:hyperlink>
    </w:p>
    <w:p>
      <w:pPr>
        <w:spacing w:before="0" w:after="120"/>
      </w:pPr>
      <w:r>
        <w:rPr>
          <w:b/>
        </w:rPr>
        <w:t xml:space="preserve">Notes: </w:t>
      </w:r>
      <w:r>
        <w:t>abstract_source=crossref</w:t>
      </w:r>
    </w:p>
    <w:p>
      <w:pPr>
        <w:spacing w:before="0" w:after="80" w:lineRule="auto" w:line="276"/>
      </w:pPr>
      <w:r>
        <w:rPr>
          <w:b/>
        </w:rPr>
        <w:t xml:space="preserve">摘要（ZH）: </w:t>
      </w:r>
      <w:r>
        <w:t>谱系决定转录因子 (TF)，例如上皮组织中的 p63，建立正常组织身份，但也可以驱动癌发生。然而，这些不同效应的表观遗传基础尚不清楚。在这里，我们发现 p63 通过与肿瘤选择性伙伴 TF FOXK1 合作，重组鳞状细胞癌 (SCC) 中的三维 (3D) 染色质拓扑。正常和恶性状态的多组学分析表明，p63 增强癌基因附近顺式调控元件之间的连接性，并促进二级增强子循环结构，其中 p63 和 FOXK1 富集的增强子通过缺乏 p63 结合的 FOXK1 相关中间锚点间接接触靶启动子。 FOXK1 介导 p63 依赖性染色质环，因为 FOXK1 丢失选择性地削弱 p63 依赖性环并减少相关靶基因的转录。 p63-FOXK1 相互作用在人类肿瘤样本中观察到，但在正常组织中未观察到。总之，我们的研究结果定义了一种表观遗传机制，通过该机制，谱系主 TF 和肿瘤限制伙伴 TF 重塑 3D 染色质结构以驱动致癌转录，这对肿瘤细胞识别和治疗具有影响。</w:t>
      </w:r>
    </w:p>
    <w:p>
      <w:pPr>
        <w:spacing w:before="0" w:after="200" w:lineRule="auto" w:line="276"/>
      </w:pPr>
      <w:r>
        <w:rPr>
          <w:b/>
        </w:rPr>
        <w:t xml:space="preserve">Abstract (EN): </w:t>
      </w:r>
      <w:r>
        <w:t>Lineage-determining transcription factors (TFs), such as p63 in epithelial tissues, establish normal tissue identity but can also drive carcinogenesis. The epigenetic basis for these divergent effects, however, is unclear. Here, we show that p63 reorganizes three-dimensional (3D) chromatin topology in squamous cell carcinoma (SCC) through cooperation with the tumor-selective partner TF, FOXK1. Multi-omic profiling across normal and malignant states reveals that p63 enhances connectivity between cis-regulatory elements near oncogenes and promotes a secondary enhancer looping architecture, in which p63 and FOXK1-enriched enhancers indirectly contact target promoters via FOXK1-associated intermediate anchors lacking p63 binding. FOXK1 mediates p63-dependent chromatin looping, as FOXK1 loss selectively weakens p63-dependent loops and reduces transcription of associated target genes. The p63–FOXK1 interaction is observed in human tumor samples but not in normal tissues. Together, our findings define an epigenetic mechanism by which a lineage master TF and tumor-restricted partner TF reshape 3D chromatin structure to drive oncogenic transcription, with implications for tumor cell identity and therapy.</w:t>
      </w:r>
    </w:p>
    <w:p>
      <w:pPr>
        <w:spacing w:before="120" w:after="120"/>
      </w:pPr>
      <w:r>
        <w:rPr>
          <w:sz w:val="18"/>
        </w:rPr>
        <w:t>——————————————————————————————————————————————————————————————————————</w:t>
      </w:r>
    </w:p>
    <w:p>
      <w:pPr>
        <w:spacing w:before="160" w:after="40" w:line="240" w:lineRule="auto"/>
      </w:pPr>
      <w:r>
        <w:rPr>
          <w:b/>
        </w:rPr>
        <w:t xml:space="preserve">[106] </w:t>
      </w:r>
      <w:hyperlink r:id="rId789">
        <w:r>
          <w:rPr>
            <w:color w:val="1155CC"/>
            <w:u w:val="single"/>
          </w:rPr>
          <w:t>乙烯调节的二聚体 ETR1 激酶揭示了延迟更年期成熟的肽靶向的多位点 EIN2 对接</w:t>
        </w:r>
      </w:hyperlink>
    </w:p>
    <w:p>
      <w:pPr>
        <w:spacing w:before="0" w:after="80"/>
      </w:pPr>
      <w:r>
        <w:rPr>
          <w:i/>
          <w:sz w:val="20"/>
        </w:rPr>
        <w:t>EN: Ethylene-regulated dimeric ETR1 kinase reveals multi-site EIN2 docking targeted by peptides that delay climacteric ripening</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90">
        <w:r>
          <w:rPr>
            <w:color w:val="1155CC"/>
            <w:u w:val="single"/>
          </w:rPr>
          <w:t>10.1126/sciadv.aef8713</w:t>
        </w:r>
      </w:hyperlink>
    </w:p>
    <w:p>
      <w:pPr>
        <w:spacing w:before="0" w:after="120"/>
      </w:pPr>
      <w:r>
        <w:rPr>
          <w:b/>
        </w:rPr>
        <w:t xml:space="preserve">Notes: </w:t>
      </w:r>
      <w:r>
        <w:t>abstract_source=crossref</w:t>
      </w:r>
    </w:p>
    <w:p>
      <w:pPr>
        <w:spacing w:before="0" w:after="80" w:lineRule="auto" w:line="276"/>
      </w:pPr>
      <w:r>
        <w:rPr>
          <w:b/>
        </w:rPr>
        <w:t xml:space="preserve">摘要（ZH）: </w:t>
      </w:r>
      <w:r>
        <w:t>乙烯受体是内质网膜组氨酸激酶，可抑制乙烯反应，而中枢转导器 ETHYLENE INSENSITIVE 2 (EIN2) 通过其 C 末端尾部与受体对接。这里我们表达全长</w:t>
      </w:r>
      <w:r>
        <w:t xml:space="preserve"> </w:t>
      </w:r>
      <w:r>
        <w:t>拟南芥</w:t>
      </w:r>
      <w:r>
        <w:t xml:space="preserve"> </w:t>
      </w:r>
      <w:r>
        <w:t>ETR1 中</w:t>
      </w:r>
      <w:r>
        <w:t xml:space="preserve"> </w:t>
      </w:r>
      <w:r>
        <w:t>毕赤酵母</w:t>
      </w:r>
      <w:r>
        <w:t xml:space="preserve"> </w:t>
      </w:r>
      <w:r>
        <w:t>并表明乙烯选择性抑制二聚体的自激酶活性，建立配体响应性受体制剂。生物层干涉测量显示 EIN2-C 以低微摩尔亲和力结合全长 ETR1 和分离的跨膜-GAF 模块。用 ETR1-GAF 滴定的 EIN2-C 的 NMR 图谱识别出三个离散的对接片段，包括已知的 NOP-1 八肽和两个额外的肽（DP1 和 DP2）。合成肽以独特的动力学和亲和力与 ETR1-GAF 结合，对接模型将 DP2 置于 GAF 二聚体界面的疏水口袋中。当用作番茄和芒果的表面涂层时，这些肽会按结合强度的比例延迟成熟。因此，EIN2-ETR1 界面的多位点竞争性抑制提供了调节乙烯信号传导和延长更年期水果保质期的可调策略。</w:t>
      </w:r>
    </w:p>
    <w:p>
      <w:pPr>
        <w:spacing w:before="0" w:after="200" w:lineRule="auto" w:line="276"/>
      </w:pPr>
      <w:r>
        <w:rPr>
          <w:b/>
        </w:rPr>
        <w:t xml:space="preserve">Abstract (EN): </w:t>
      </w:r>
      <w:r>
        <w:t>Ethylene receptors are ER membrane histidine kinases that repress ethylene responses, and the central transducer ETHYLENE INSENSITIVE 2 (EIN2) docks to receptors through its C-terminal tail. Here we express full-length</w:t>
      </w:r>
      <w:r>
        <w:t xml:space="preserve"> </w:t>
      </w:r>
      <w:r>
        <w:t>Arabidopsis</w:t>
      </w:r>
      <w:r>
        <w:t xml:space="preserve"> </w:t>
      </w:r>
      <w:r>
        <w:t>ETR1 in</w:t>
      </w:r>
      <w:r>
        <w:t xml:space="preserve"> </w:t>
      </w:r>
      <w:r>
        <w:t>Pichia pastoris</w:t>
      </w:r>
      <w:r>
        <w:t xml:space="preserve"> </w:t>
      </w:r>
      <w:r>
        <w:t>and show that ethylene selectively suppresses the autokinase activity of the dimer, establishing a ligand-responsive receptor preparation. Bio-layer interferometry shows that EIN2-C binds both full-length ETR1 and an isolated transmembrane–GAF module with low-micromolar affinity. NMR mapping of EIN2-C titrated with ETR1-GAF identifies three discrete docking segments, including the known NOP-1 octapeptide and two additional peptides (DP1 and DP2). Synthetic peptides engage ETR1-GAF with distinct kinetics and affinities, and docking models place DP2 in a hydrophobic pocket at the GAF dimer interface. When applied as surface coatings to tomato and mango, these peptides delay ripening in proportion to binding strength. Multi-site competitive inhibition at the EIN2–ETR1 interface thus provides a tunable strategy to modulate ethylene signaling and extend climacteric fruit shelf life.</w:t>
      </w:r>
    </w:p>
    <w:p>
      <w:pPr>
        <w:spacing w:before="120" w:after="120"/>
      </w:pPr>
      <w:r>
        <w:rPr>
          <w:sz w:val="18"/>
        </w:rPr>
        <w:t>——————————————————————————————————————————————————————————————————————</w:t>
      </w:r>
    </w:p>
    <w:p>
      <w:pPr>
        <w:spacing w:before="160" w:after="40" w:line="240" w:lineRule="auto"/>
      </w:pPr>
      <w:r>
        <w:rPr>
          <w:b/>
        </w:rPr>
        <w:t xml:space="preserve">[107] </w:t>
      </w:r>
      <w:hyperlink r:id="rId791">
        <w:r>
          <w:rPr>
            <w:color w:val="1155CC"/>
            <w:u w:val="single"/>
          </w:rPr>
          <w:t>人工智能辅助光电动控制主动自推进微电机，实现多模式运动独立导航</w:t>
        </w:r>
      </w:hyperlink>
    </w:p>
    <w:p>
      <w:pPr>
        <w:spacing w:before="0" w:after="80"/>
      </w:pPr>
      <w:r>
        <w:rPr>
          <w:i/>
          <w:sz w:val="20"/>
        </w:rPr>
        <w:t>EN: AI-assisted optoelectrokinetic control of active self-propelling micromotors for independent navigation with multimode motions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92">
        <w:r>
          <w:rPr>
            <w:color w:val="1155CC"/>
            <w:u w:val="single"/>
          </w:rPr>
          <w:t>10.1126/sciadv.aef0741</w:t>
        </w:r>
      </w:hyperlink>
    </w:p>
    <w:p>
      <w:pPr>
        <w:spacing w:before="0" w:after="120"/>
      </w:pPr>
      <w:r>
        <w:rPr>
          <w:b/>
        </w:rPr>
        <w:t xml:space="preserve">Notes: </w:t>
      </w:r>
      <w:r>
        <w:t>abstract_source=crossref</w:t>
      </w:r>
    </w:p>
    <w:p>
      <w:pPr>
        <w:spacing w:before="0" w:after="80" w:lineRule="auto" w:line="276"/>
      </w:pPr>
      <w:r>
        <w:rPr>
          <w:b/>
        </w:rPr>
        <w:t xml:space="preserve">摘要（ZH）: </w:t>
      </w:r>
      <w:r>
        <w:t>敏捷且可控的运动对于主动微电机导航各种微尺度场景和操纵微观世界至关重要，其中并行导航和独立控制是非常需要的。然而，大多数微电机导航策略的灵活性有限且可预测性差，运动通常仅限于沿预定轨迹的单微电机自推进。在此，我们提出了一种人工智能（AI）辅助光电控制策略，该策略涉及通过协同利用多种电动机制将随机微电机自推进转换为可控的全向运动。该策略能够实现各个微电机的独立导航，同时支持并行操作。通过时空配置两个或多个光学模式，开发了敏捷运动基元，例如定向推进、被动推进、原位掉头以及运动暂停和重新启动。为了提高耦合动电效应下的导航鲁棒性，开发了时空人工智能模型来准确预测微电机运动，以促进动态制导方案的优化。这些运动基元沿着长期、可重新配置的轨迹顺序集成并自动切换，从而实现由离散光学模式引导的连续导航。通过并行操纵多个 Janus 微电机（这些微电机在复杂的网络中导航），证明了主动微电机的独立控制，其中</w:t>
      </w:r>
    </w:p>
    <w:p>
      <w:pPr>
        <w:spacing w:before="0" w:after="200" w:lineRule="auto" w:line="276"/>
      </w:pPr>
      <w:r>
        <w:rPr>
          <w:b/>
        </w:rPr>
        <w:t xml:space="preserve">Abstract (EN): </w:t>
      </w:r>
      <w:r>
        <w:t>Agile and controllable motion is essential for active micromotors to navigate various microscale scenarios and manipulate the microscopic world, where parallel navigation and independent control are highly desirable. However, most micromotor navigation strategies suffer from limited agility and poor predictability, with motion typically confined to single-micromotor self-propulsion along predetermined trajectories. Herein, we propose an artificial intelligence (AI)–assisted optoelectronic control strategy that involves converting stochastic micromotor self-propulsion into controllable omnidirectional motion by synergistically exploiting multiple electrokinetic mechanisms. This strategy enables independent navigation of individual micromotors while simultaneously supporting parallel manipulation. By spatiotemporally configuring two or more optical patterns, agile motion primitives, such as directional propulsion, passive propulsion, in situ U-turns, and motion pause and restarting, were developed. To improve navigation robustness under coupled electrokinetic effects, a spatial-temporal AI model was developed for accurately predicting micromotor motion to facilitate the optimization of dynamic guidance schemes. These motion primitives are sequentially integrated and automatedly switched along long-term, reconfigurable trajectories, thereby enabling continuous navigation guided by discrete optical patterns. Independent control of active micromotors was demonstrated through the parallel manipulation of multiple Janus micromotors that were navigating intricate networks, in which each micromotor followed individual trajectories and adapted in real time to local terrain variations. This work showcased an agile and predictable navigation strategy for active micromotors that facilitates independent and massively parallel manipulation in intricate terrains, thus opening further possibilities for advanced applications.</w:t>
      </w:r>
    </w:p>
    <w:p>
      <w:pPr>
        <w:spacing w:before="120" w:after="120"/>
      </w:pPr>
      <w:r>
        <w:rPr>
          <w:sz w:val="18"/>
        </w:rPr>
        <w:t>——————————————————————————————————————————————————————————————————————</w:t>
      </w:r>
    </w:p>
    <w:p>
      <w:pPr>
        <w:spacing w:before="160" w:after="40" w:line="240" w:lineRule="auto"/>
      </w:pPr>
      <w:r>
        <w:rPr>
          <w:b/>
        </w:rPr>
        <w:t xml:space="preserve">[108] </w:t>
      </w:r>
      <w:hyperlink r:id="rId793">
        <w:r>
          <w:rPr>
            <w:color w:val="1155CC"/>
            <w:u w:val="single"/>
          </w:rPr>
          <w:t>用于认知刺激的可穿戴透明 OLED 眼镜：通过伽马夹带增强大脑连接</w:t>
        </w:r>
      </w:hyperlink>
    </w:p>
    <w:p>
      <w:pPr>
        <w:spacing w:before="0" w:after="80"/>
      </w:pPr>
      <w:r>
        <w:rPr>
          <w:i/>
          <w:sz w:val="20"/>
        </w:rPr>
        <w:t>EN: Wearable transparent OLED glasses for cognitive stimulation: Enhancing brain connectivity through gamma entrainment</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94">
        <w:r>
          <w:rPr>
            <w:color w:val="1155CC"/>
            <w:u w:val="single"/>
          </w:rPr>
          <w:t>10.1126/sciadv.aee5504</w:t>
        </w:r>
      </w:hyperlink>
    </w:p>
    <w:p>
      <w:pPr>
        <w:spacing w:before="0" w:after="120"/>
      </w:pPr>
      <w:r>
        <w:rPr>
          <w:b/>
        </w:rPr>
        <w:t xml:space="preserve">Notes: </w:t>
      </w:r>
      <w:r>
        <w:t>abstract_source=crossref</w:t>
      </w:r>
    </w:p>
    <w:p>
      <w:pPr>
        <w:spacing w:before="0" w:after="80" w:lineRule="auto" w:line="276"/>
      </w:pPr>
      <w:r>
        <w:rPr>
          <w:b/>
        </w:rPr>
        <w:t xml:space="preserve">摘要（ZH）: </w:t>
      </w:r>
      <w:r>
        <w:t>伽马波夹带是改善认知功能的一种有前途的方法，特别是在阿尔茨海默病的早期阶段。然而，对于日常治疗来说，在提供有效刺激的同时保持可见性的光源系统对于患者的舒适度和实用性至关重要。为了满足这一需求，我们开发了有机发光二极管 (OLED) 玻璃，其中具有优化的大面积透明 OLED，用于伽马波夹带。优化涉及器件的所有层，包括封装，以实现高透光率（75%）、均匀性（超过90%）和电气性能，确保适用于可穿戴应用。在现实条件下（透视可见度和环境光存在），透明 OLED 眼镜成功诱导伽马节律夹带，增强枕叶和额叶区域之间的大脑连接。与非透明 OLED 相比，它们还显着减少了视觉不适，并显示出增强连接性的趋势。这些结果凸显了这种无创可穿戴技术在早期认知干预方面的潜力，可提供舒适的治疗性光刺激。</w:t>
      </w:r>
    </w:p>
    <w:p>
      <w:pPr>
        <w:spacing w:before="0" w:after="200" w:lineRule="auto" w:line="276"/>
      </w:pPr>
      <w:r>
        <w:rPr>
          <w:b/>
        </w:rPr>
        <w:t xml:space="preserve">Abstract (EN): </w:t>
      </w:r>
      <w:r>
        <w:t>Gamma wave entrainment is a promising approach for improving cognitive function, particularly in the early stages of Alzheimer’s disease. However, for everyday treatment, a light source system that maintains visibility while delivering effective stimulation is essential for patient comfort and practicality. To address this need, we developed organic light-emitting diode (OLED) glasses with optimized large-area transparent OLEDs for gamma wave entrainment. The optimization involved all layers of the device, including encapsulation, to achieve high luminous transmittance (75%), uniformity (over 90%), and electrical performance, ensuring suitability for wearable applications. Under real-world conditions (see-through visibility and ambient light present), the transparent OLED glasses successfully induced gamma rhythm entrainment, enhancing brain connectivity between the occipital and frontal regions. They also notably reduced visual discomfort and showed a trend of enhanced connectivity compared to nontransparent OLEDs. These results highlight the potential of this noninvasive wearable technology for early cognitive intervention, providing comfortable therapeutic light stimulation.</w:t>
      </w:r>
    </w:p>
    <w:p>
      <w:pPr>
        <w:spacing w:before="120" w:after="120"/>
      </w:pPr>
      <w:r>
        <w:rPr>
          <w:sz w:val="18"/>
        </w:rPr>
        <w:t>——————————————————————————————————————————————————————————————————————</w:t>
      </w:r>
    </w:p>
    <w:p>
      <w:pPr>
        <w:spacing w:before="160" w:after="40" w:line="240" w:lineRule="auto"/>
      </w:pPr>
      <w:r>
        <w:rPr>
          <w:b/>
        </w:rPr>
        <w:t xml:space="preserve">[109] </w:t>
      </w:r>
      <w:hyperlink r:id="rId795">
        <w:r>
          <w:rPr>
            <w:color w:val="1155CC"/>
            <w:u w:val="single"/>
          </w:rPr>
          <w:t>压缩时流体压力升高有利于弯曲反向断层</w:t>
        </w:r>
      </w:hyperlink>
    </w:p>
    <w:p>
      <w:pPr>
        <w:spacing w:before="0" w:after="80"/>
      </w:pPr>
      <w:r>
        <w:rPr>
          <w:i/>
          <w:sz w:val="20"/>
        </w:rPr>
        <w:t>EN: Elevated fluid pressure in compression facilitates flexural reverse faulting</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96">
        <w:r>
          <w:rPr>
            <w:color w:val="1155CC"/>
            <w:u w:val="single"/>
          </w:rPr>
          <w:t>10.1126/sciadv.aef2975</w:t>
        </w:r>
      </w:hyperlink>
    </w:p>
    <w:p>
      <w:pPr>
        <w:spacing w:before="0" w:after="120"/>
      </w:pPr>
      <w:r>
        <w:rPr>
          <w:b/>
        </w:rPr>
        <w:t xml:space="preserve">Notes: </w:t>
      </w:r>
      <w:r>
        <w:t>abstract_source=crossref</w:t>
      </w:r>
    </w:p>
    <w:p>
      <w:pPr>
        <w:spacing w:before="0" w:after="80" w:lineRule="auto" w:line="276"/>
      </w:pPr>
      <w:r>
        <w:rPr>
          <w:b/>
        </w:rPr>
        <w:t xml:space="preserve">摘要（ZH）: </w:t>
      </w:r>
      <w:r>
        <w:t>构造板块的弹性弯曲塑造了大范围的地形特征，并能在岩石圈尺度的断层上引起显着的滑动。在大洋中脊，最近的证据表明，在轴向山谷内形成的伸展断层偏移中，高达 50% 可以通过穿过山谷侧面的压缩滑移而逆转。虽然标准模型预测了断层的位置，但它们始终低估了压缩的深度范围和相关的表面偏移。在这里，我们使用数值模型表明，压缩过程中孔隙流体压力的升高会导致弯曲驱动的反向断层上的滑动增加。只有当反向断层中的孔隙流体压力接近岩石静压水平时，模拟和观测推断的反向断层弯曲应变之间才能实现定量一致。这些发现强调了遗传性结构异质性和高孔隙流体压力在促进岩石圈不弯曲过程中深层逆断层作用中的关键作用。这种机制还可能放大大陆前隆起的弯曲诱发的地震活动，例如 2001 年的普杰地震（震级为 7.6），并强调孔隙压力调节作为对全球构造灾害的基本控制。</w:t>
      </w:r>
    </w:p>
    <w:p>
      <w:pPr>
        <w:spacing w:before="0" w:after="200" w:lineRule="auto" w:line="276"/>
      </w:pPr>
      <w:r>
        <w:rPr>
          <w:b/>
        </w:rPr>
        <w:t xml:space="preserve">Abstract (EN): </w:t>
      </w:r>
      <w:r>
        <w:t>Elastic flexure of tectonic plates shapes large-scale topographic features and can induce notable slip on lithosphere-scale faults. At mid-ocean ridges, recent evidence shows that up to 50% of extensional fault offsets formed within axial valleys can be reversed by compressional slip across valley flanks. While standard models predict the location of this faulting, they consistently underpredict the depth-extent of compression and related surface offsets. Here, using numerical models, we show that elevated pore fluid pressures in compression allow increased slip on flexure-driven reverse faults. Quantitative agreement between modeled and observationally inferred reverse fault–bending strain is achieved only when pore-fluid pressures in reverse faults approach lithostatic levels. These findings highlight the critical role of inherited structural heterogeneities and high pore-fluid pressures in facilitating deep-seated reverse faulting during lithospheric unbending. This mechanism may also amplify flexure-induced seismicity in continental forebulges, such as the 2001 Bhuj earthquake (moment magnitude, 7.6), and underscores pore-pressure modulation as a fundamental control on global tectonic hazards.</w:t>
      </w:r>
    </w:p>
    <w:p>
      <w:pPr>
        <w:spacing w:before="120" w:after="120"/>
      </w:pPr>
      <w:r>
        <w:rPr>
          <w:sz w:val="18"/>
        </w:rPr>
        <w:t>——————————————————————————————————————————————————————————————————————</w:t>
      </w:r>
    </w:p>
    <w:p>
      <w:pPr>
        <w:spacing w:before="160" w:after="40" w:line="240" w:lineRule="auto"/>
      </w:pPr>
      <w:r>
        <w:rPr>
          <w:b/>
        </w:rPr>
        <w:t xml:space="preserve">[110] </w:t>
      </w:r>
      <w:hyperlink r:id="rId797">
        <w:r>
          <w:rPr>
            <w:color w:val="1155CC"/>
            <w:u w:val="single"/>
          </w:rPr>
          <w:t>通过现实世界的自由空间链接光学斯格明子的拓扑鲁棒性</w:t>
        </w:r>
      </w:hyperlink>
    </w:p>
    <w:p>
      <w:pPr>
        <w:spacing w:before="0" w:after="80"/>
      </w:pPr>
      <w:r>
        <w:rPr>
          <w:i/>
          <w:sz w:val="20"/>
        </w:rPr>
        <w:t>EN: Topological robustness of optical skyrmions through a real-world free-space link</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798">
        <w:r>
          <w:rPr>
            <w:color w:val="1155CC"/>
            <w:u w:val="single"/>
          </w:rPr>
          <w:t>10.1126/sciadv.aee2671</w:t>
        </w:r>
      </w:hyperlink>
    </w:p>
    <w:p>
      <w:pPr>
        <w:spacing w:before="0" w:after="120"/>
      </w:pPr>
      <w:r>
        <w:rPr>
          <w:b/>
        </w:rPr>
        <w:t xml:space="preserve">Notes: </w:t>
      </w:r>
      <w:r>
        <w:t>abstract_source=crossref</w:t>
      </w:r>
    </w:p>
    <w:p>
      <w:pPr>
        <w:spacing w:before="0" w:after="80" w:lineRule="auto" w:line="276"/>
      </w:pPr>
      <w:r>
        <w:rPr>
          <w:b/>
        </w:rPr>
        <w:t xml:space="preserve">摘要（ZH）: </w:t>
      </w:r>
      <w:r>
        <w:t>结构光为现代光网络日益增长的数据需求提供了一种有前途的解决方案，它提供了可用于更大通道容量和每光子更多比特的自由度。然而，其实现受到现实世界扭曲的阻碍，例如自由空间中的大气湍流，其严重且快速演变的相位扰动会改变光束的幅度、相位和矢量偏振结构。在这里，我们证明了斯格明子形式的光学拓扑对于现实世界大气湍流的影响具有很强的弹性。我们通过 270 米自由空间光学链路创建并传输这些粒子状光拓扑，揭示了它们在各种条件和湍流强度下的鲁棒性。虽然我们观察到状态的基本自由度存在严重扭曲，但我们表明拓扑数在所有情况下都得到保留。我们通过探测状态的退相干来解释介质的快速变化，其中通道产生统计平均结果，表明虽然偏振度因此衰减，但拓扑保持完整。使用拓扑结构，我们表明，在大多数情况下，信息可以通过通道以几乎完美的保真度 (&gt;98%) 传输，在最严酷的测试条件下，保真度只会下降到 86%。这项工作展示了光学拓扑作为现实环境中可靠且强大的信息载体的潜力，并指出了其他复杂通道的潜力，提供了有吸引力的壮举</w:t>
      </w:r>
    </w:p>
    <w:p>
      <w:pPr>
        <w:spacing w:before="0" w:after="200" w:lineRule="auto" w:line="276"/>
      </w:pPr>
      <w:r>
        <w:rPr>
          <w:b/>
        </w:rPr>
        <w:t xml:space="preserve">Abstract (EN): </w:t>
      </w:r>
      <w:r>
        <w:t>Structured light offers a promising solution for the increasing data demands of modern optical networks, opening up degrees of freedom that can be leveraged for greater channel capacity and more bits per photon. However, its implementation is hindered by real-world distortions, for example, atmospheric turbulence in free space, with severe and rapidly evolving phase perturbations that alter the amplitude, phase, and vectorial polarization structure of the beam. Here, we demonstrate that optical topologies in the form of skyrmions are highly resilient to the effects of real-world atmospheric turbulence. We create and transmit these particle-like topologies of light through a 270-meter free-space optical link, revealing their robustness across a wide variety of conditions and turbulence strengths. While we observe severe distortion in the states’ underlying degrees of freedom, we show that the topological numbers are preserved in all cases. We account for fast changes to the medium, where the channel produces statistically averaged outcomes, by probing the state’s decoherence, showing that while the degree of polarization consequently decays, the topology remains intact. Using topology, we show that information can be transmitted through the channel with almost perfect fidelity (&amp;gt;98%) in most cases, only decreasing to 86% in the most severe conditions tested. This work idemonstrates the potential for optical topologies as reliable and robust information carriers in a real-world environment and points to the potential for other complex channels too, offering attractive features for classical and quantum communication alike.</w:t>
      </w:r>
    </w:p>
    <w:p>
      <w:pPr>
        <w:spacing w:before="120" w:after="120"/>
      </w:pPr>
      <w:r>
        <w:rPr>
          <w:sz w:val="18"/>
        </w:rPr>
        <w:t>——————————————————————————————————————————————————————————————————————</w:t>
      </w:r>
    </w:p>
    <w:p>
      <w:pPr>
        <w:spacing w:before="160" w:after="40" w:line="240" w:lineRule="auto"/>
      </w:pPr>
      <w:r>
        <w:rPr>
          <w:b/>
        </w:rPr>
        <w:t xml:space="preserve">[111] </w:t>
      </w:r>
      <w:hyperlink r:id="rId799">
        <w:r>
          <w:rPr>
            <w:color w:val="1155CC"/>
            <w:u w:val="single"/>
          </w:rPr>
          <w:t>人工智能代理可以通过超越人类规模的多数追随来进行协调</w:t>
        </w:r>
      </w:hyperlink>
    </w:p>
    <w:p>
      <w:pPr>
        <w:spacing w:before="0" w:after="80"/>
      </w:pPr>
      <w:r>
        <w:rPr>
          <w:i/>
          <w:sz w:val="20"/>
        </w:rPr>
        <w:t>EN: AI agents can coordinate via majority-following beyond human scale</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00">
        <w:r>
          <w:rPr>
            <w:color w:val="1155CC"/>
            <w:u w:val="single"/>
          </w:rPr>
          <w:t>10.1126/sciadv.aea6091</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LLM）越来越多地部署在协作任务中，形成“人工智能代理社会”，代理之间相互作用并影响彼此。这些群体是否能够在没有外部影响的情况下自发协调，这是人类社会自组织监管的标志，仍然是一个悬而未决的问题。在这里，我们利用复杂性和行为科学的原理，通过多数服从来研究人工智能代理群体的协调，这是自发形成共识的基本机制。使用跨多个 LLM 架构和群体规模的二元意见动态实验，我们发现代理表现出多数追随的特征，其特征是具有单个参数（“多数力量”）的通用函数形式。随着群体规模的增加，这种多数力量会减弱，导致达到一个临界规模，超过这个规模就无法实现协调。关键群体规模随着模型能力的增长而迅速增长，对于高级 LLM 来说，超过 1000 名代理人，比典型的人类非正式群体还要大。我们的研究结果对于设计协作人工智能系统具有影响，其中协调可能有益或构成安全威胁。</w:t>
      </w:r>
    </w:p>
    <w:p>
      <w:pPr>
        <w:spacing w:before="0" w:after="200" w:lineRule="auto" w:line="276"/>
      </w:pPr>
      <w:r>
        <w:rPr>
          <w:b/>
        </w:rPr>
        <w:t xml:space="preserve">Abstract (EN): </w:t>
      </w:r>
      <w:r>
        <w:t>Large language models (LLMs) are increasingly deployed in collaborative tasks forming “AI agent societies” where agents interact and influence one another. Whether such groups can spontaneously coordinate without external influence, a hallmark of self-organized regulation in human societies, remains an open question. Here, we use principles from complexity and behavioral science to investigate coordination in AI agent groups through majority-following, a fundamental mechanism for spontaneous consensus formation. Using binary opinion dynamics experiments across multiple LLM architectures and group sizes, we find that agents exhibit majority-following characterized by a universal functional form with a single parameter, the “majority force.” This majority force diminishes as group size increases, leading to a critical size beyond which coordination becomes unattainable. The critical group size grows rapidly with model capabilities and, for advanced LLMs, exceeds 1000 agents, larger than typical human informal groups. Our findings have implications for designing collaborative AI systems where coordination could be beneficial or pose safety threats.</w:t>
      </w:r>
    </w:p>
    <w:p>
      <w:pPr>
        <w:spacing w:before="120" w:after="120"/>
      </w:pPr>
      <w:r>
        <w:rPr>
          <w:sz w:val="18"/>
        </w:rPr>
        <w:t>——————————————————————————————————————————————————————————————————————</w:t>
      </w:r>
    </w:p>
    <w:p>
      <w:pPr>
        <w:spacing w:before="160" w:after="40" w:line="240" w:lineRule="auto"/>
      </w:pPr>
      <w:r>
        <w:rPr>
          <w:b/>
        </w:rPr>
        <w:t xml:space="preserve">[112] </w:t>
      </w:r>
      <w:hyperlink r:id="rId801">
        <w:r>
          <w:rPr>
            <w:color w:val="1155CC"/>
            <w:u w:val="single"/>
          </w:rPr>
          <w:t>配体调节的胞外域动力学与粘附 GPCR 中的信号传导状态相关</w:t>
        </w:r>
      </w:hyperlink>
    </w:p>
    <w:p>
      <w:pPr>
        <w:spacing w:before="0" w:after="80"/>
      </w:pPr>
      <w:r>
        <w:rPr>
          <w:i/>
          <w:sz w:val="20"/>
        </w:rPr>
        <w:t>EN: Ligand-tuned extracellular domain dynamics are correlated with signaling states in an adhesion GPCR</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02">
        <w:r>
          <w:rPr>
            <w:color w:val="1155CC"/>
            <w:u w:val="single"/>
          </w:rPr>
          <w:t>10.1126/sciadv.aea8715</w:t>
        </w:r>
      </w:hyperlink>
    </w:p>
    <w:p>
      <w:pPr>
        <w:spacing w:before="0" w:after="120"/>
      </w:pPr>
      <w:r>
        <w:rPr>
          <w:b/>
        </w:rPr>
        <w:t xml:space="preserve">Notes: </w:t>
      </w:r>
      <w:r>
        <w:t>abstract_source=crossref</w:t>
      </w:r>
    </w:p>
    <w:p>
      <w:pPr>
        <w:spacing w:before="0" w:after="80" w:lineRule="auto" w:line="276"/>
      </w:pPr>
      <w:r>
        <w:rPr>
          <w:b/>
        </w:rPr>
        <w:t xml:space="preserve">摘要（ZH）: </w:t>
      </w:r>
      <w:r>
        <w:t>粘附 G 蛋白偶联受体 (aGPCR) 通过其大的细胞外区域 (ECR) 与粘附伙伴的结合来转导信号。 ADGRG6 (GPR126) 是一种 aGPCR，对于多个器官的发育和髓鞘形成至关重要。 ADGRG6 的 ECR 构象动力学已被证明可以调节 aGPCR 信号传导和体内功能。然而，人们对粘附伙伴如何调节 ECR 构象动力学知之甚少。在这里，我们使用单分子 FRET (smFRET) 和细胞内信号转导测定研究了 ADGRG6 的激活。我们揭示了 ADGRG6 ECR 在三种构象状态之间动态转变。将 ECR 共价锁定在闭合构象中，使受体陷​​入低活性状态。激动剂结合在物理上限制 ECR 只能访问与较高活性相关的状态。这种对 ECR 动力学对 ADGRG6 变构调节的详细机制的了解为靶向治疗的开发提供了途径。</w:t>
      </w:r>
    </w:p>
    <w:p>
      <w:pPr>
        <w:spacing w:before="0" w:after="200" w:lineRule="auto" w:line="276"/>
      </w:pPr>
      <w:r>
        <w:rPr>
          <w:b/>
        </w:rPr>
        <w:t xml:space="preserve">Abstract (EN): </w:t>
      </w:r>
      <w:r>
        <w:t>Adhesion G protein–coupled receptors (aGPCRs) transduce signals via engagement of their large extracellular regions (ECRs) with adhesion partners. ADGRG6 (GPR126) is an aGPCR vital for the development of multiple organs and myelination. ECR conformational dynamics of ADGRG6 has been shown to modulate aGPCR signaling and in vivo function. Yet, how adhesion partners regulate ECR conformational dynamics is poorly understood. Here, we studied activation of ADGRG6 using single-molecule FRET (smFRET) and intracellular signaling assays. We reveal that the ADGRG6 ECR dynamically transitions between three conformational states. Covalently locking the ECR in the closed conformation traps the receptor in a low-activity state. Agonist binding physically restricts the ECR to only access states associated with higher activity. This detailed mechanistic insight into ADGRG6 allosteric regulation by ECR dynamics offers avenues for targeted therapeutic development.</w:t>
      </w:r>
    </w:p>
    <w:p>
      <w:pPr>
        <w:spacing w:before="120" w:after="120"/>
      </w:pPr>
      <w:r>
        <w:rPr>
          <w:sz w:val="18"/>
        </w:rPr>
        <w:t>——————————————————————————————————————————————————————————————————————</w:t>
      </w:r>
    </w:p>
    <w:p>
      <w:pPr>
        <w:spacing w:before="160" w:after="40" w:line="240" w:lineRule="auto"/>
      </w:pPr>
      <w:r>
        <w:rPr>
          <w:b/>
        </w:rPr>
        <w:t xml:space="preserve">[113] </w:t>
      </w:r>
      <w:hyperlink r:id="rId803">
        <w:r>
          <w:rPr>
            <w:color w:val="1155CC"/>
            <w:u w:val="single"/>
          </w:rPr>
          <w:t>上层皮层局部聚集神经元的强连接是精神分裂症相关听觉偏差检测的基础</w:t>
        </w:r>
      </w:hyperlink>
    </w:p>
    <w:p>
      <w:pPr>
        <w:spacing w:before="0" w:after="80"/>
      </w:pPr>
      <w:r>
        <w:rPr>
          <w:i/>
          <w:sz w:val="20"/>
        </w:rPr>
        <w:t>EN: Strong connections of locally clustered neurons in the upper-layer cortex underlie schizophrenia-related auditory deviance detection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04">
        <w:r>
          <w:rPr>
            <w:color w:val="1155CC"/>
            <w:u w:val="single"/>
          </w:rPr>
          <w:t>10.1126/sciadv.aeb4666</w:t>
        </w:r>
      </w:hyperlink>
    </w:p>
    <w:p>
      <w:pPr>
        <w:spacing w:before="0" w:after="120"/>
      </w:pPr>
      <w:r>
        <w:rPr>
          <w:b/>
        </w:rPr>
        <w:t xml:space="preserve">Notes: </w:t>
      </w:r>
      <w:r>
        <w:t>abstract_source=crossref</w:t>
      </w:r>
    </w:p>
    <w:p>
      <w:pPr>
        <w:spacing w:before="0" w:after="80" w:lineRule="auto" w:line="276"/>
      </w:pPr>
      <w:r>
        <w:rPr>
          <w:b/>
        </w:rPr>
        <w:t xml:space="preserve">摘要（ZH）: </w:t>
      </w:r>
      <w:r>
        <w:t>人们认为，意外声音的检测或听觉偏差检测是通过比较听觉皮层中的预测信号和感觉输入来实现的。这一过程在精神分裂症患者中明显受损。然而，对于异常检测背后的局部电路特性，以及它们在精神分裂症相关疾病中的功能障碍，仍然知之甚少。我们使用双光子钙成像来监测听觉偏差检测过程中皮质神经元的群体活动。异常检测成分主要存在于高阶听觉皮层的 2/3 层神经元中。异常检测细胞在空间上聚集，表现出强大的同步性，并且组成型表达立即早期基因。在 22q11.2 缺失综合征（一种精神分裂症模型）的 Del(1.5 兆碱基)/+ 小鼠模型中，上层网络中的异常检测活动被破坏，并伴有基因表达失调和即早期基因阳性神经元中树突棘的选择性丢失。我们的研究结果支持这样的假设：该神经元亚群的整体激活会放大意外的输入，驱动错误信号传播到更高阶的皮质区域。</w:t>
      </w:r>
    </w:p>
    <w:p>
      <w:pPr>
        <w:spacing w:before="0" w:after="200" w:lineRule="auto" w:line="276"/>
      </w:pPr>
      <w:r>
        <w:rPr>
          <w:b/>
        </w:rPr>
        <w:t xml:space="preserve">Abstract (EN): </w:t>
      </w:r>
      <w:r>
        <w:t>The detection of unexpected sounds, or auditory deviance detection, is thought to be achieved by comparing prediction signals and sensory inputs in the auditory cortex. This process is markedly impaired in patients with schizophrenia. However, the local circuit properties underlying deviance detection, together with their dysfunction in schizophrenia-related conditions, remain poorly understood. We used two-photon calcium imaging to monitor the population activity of cortical neurons during auditory deviance detection. The deviance-detecting component was predominant in layer 2/3 neurons of the higher-order auditory cortex. The deviance-detecting cells were spatially clustered, exhibited robust synchronization, and constitutively expressed immediate-early genes. In the Del(1.5 megabase)/+ mouse model of 22q11.2 deletion syndrome, a model of schizophrenia, deviance-detecting activity in the upper-layer network was disrupted, accompanied by dysregulated gene expression and selective loss of dendritic spines in immediate-early gene–positive neurons. Our findings support the hypothesis that ensemble activation of this neuronal subpopulation amplifies unexpected inputs, driving error signals that propagate to higher-order cortical areas.</w:t>
      </w:r>
    </w:p>
    <w:p>
      <w:pPr>
        <w:spacing w:before="120" w:after="120"/>
      </w:pPr>
      <w:r>
        <w:rPr>
          <w:sz w:val="18"/>
        </w:rPr>
        <w:t>——————————————————————————————————————————————————————————————————————</w:t>
      </w:r>
    </w:p>
    <w:p>
      <w:pPr>
        <w:spacing w:before="160" w:after="40" w:line="240" w:lineRule="auto"/>
      </w:pPr>
      <w:r>
        <w:rPr>
          <w:b/>
        </w:rPr>
        <w:t xml:space="preserve">[114] </w:t>
      </w:r>
      <w:hyperlink r:id="rId805">
        <w:r>
          <w:rPr>
            <w:color w:val="1155CC"/>
            <w:u w:val="single"/>
          </w:rPr>
          <w:t>氨氧化古菌中产氧作为电子溢出途径</w:t>
        </w:r>
      </w:hyperlink>
    </w:p>
    <w:p>
      <w:pPr>
        <w:spacing w:before="0" w:after="80"/>
      </w:pPr>
      <w:r>
        <w:rPr>
          <w:i/>
          <w:sz w:val="20"/>
        </w:rPr>
        <w:t>EN: Oxygen production as an electron overflow pathway in ammonia-oxidizing archaea</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06">
        <w:r>
          <w:rPr>
            <w:color w:val="1155CC"/>
            <w:u w:val="single"/>
          </w:rPr>
          <w:t>10.1126/sciadv.aee5234</w:t>
        </w:r>
      </w:hyperlink>
    </w:p>
    <w:p>
      <w:pPr>
        <w:spacing w:before="0" w:after="120"/>
      </w:pPr>
      <w:r>
        <w:rPr>
          <w:b/>
        </w:rPr>
        <w:t xml:space="preserve">Notes: </w:t>
      </w:r>
      <w:r>
        <w:t>abstract_source=crossref</w:t>
      </w:r>
    </w:p>
    <w:p>
      <w:pPr>
        <w:spacing w:before="0" w:after="80" w:lineRule="auto" w:line="276"/>
      </w:pPr>
      <w:r>
        <w:rPr>
          <w:b/>
        </w:rPr>
        <w:t xml:space="preserve">摘要（ZH）: </w:t>
      </w:r>
      <w:r>
        <w:t>氨氧化古菌（AOA）在自然界中广泛存在，有助于全球碳和氮循环。虽然它们的能量产生是一个有氧过程，但 AOA 发生在低氧环境和完全缺氧的区域。最近，证明了缺氧条件下氧气的产生，提出了这种活性可以维持氧依赖性氨氧化的假设。在这里介绍的工作中，通过产生大量氧气</w:t>
      </w:r>
      <w:r>
        <w:t xml:space="preserve"> </w:t>
      </w:r>
      <w:r>
        <w:t>维也纳亚硝化球菌</w:t>
      </w:r>
      <w:r>
        <w:t xml:space="preserve"> </w:t>
      </w:r>
      <w:r>
        <w:t>缺氧时依赖的是亚硝酸盐，而不是氨。氧气的产生不但没有带来生理益处，反而损害了缺氧的恢复。产生的氧气大部分没有被消耗，因此在没有外部氧气的情况下不能维持氨氧化。相反，它与最近的精力充沛的活动紧密相关。这些观察结果表明，氧气的产生代表了减轻氨氧化途径中反应中间体潜在积累的一般生理策略，类似于氨氧化细菌中的硝化菌反硝化作用。</w:t>
      </w:r>
    </w:p>
    <w:p>
      <w:pPr>
        <w:spacing w:before="0" w:after="200" w:lineRule="auto" w:line="276"/>
      </w:pPr>
      <w:r>
        <w:rPr>
          <w:b/>
        </w:rPr>
        <w:t xml:space="preserve">Abstract (EN): </w:t>
      </w:r>
      <w:r>
        <w:t>Ammonia-oxidizing archaea (AOA) are widespread in nature and contribute to global carbon and nitrogen cycling. Although their energy production is an aerobic process, AOA occur in environments of low oxygen and in fully anoxic zones. Recently, oxygen production under anoxic conditions was demonstrated, raising the hypothesis that this activity can sustain oxygen dependent ammonia oxidation. In the work presented here, the production of high amounts of oxygen by</w:t>
      </w:r>
      <w:r>
        <w:t xml:space="preserve"> </w:t>
      </w:r>
      <w:r>
        <w:t>Nitrososphaera viennensis</w:t>
      </w:r>
      <w:r>
        <w:t xml:space="preserve"> </w:t>
      </w:r>
      <w:r>
        <w:t>under anoxia is dependent on nitrite, but not ammonia. Rather than conferring a physiological benefit, oxygen production impaired recovery from anoxia. Produced oxygen is mostly not consumed and, therefore, cannot sustain ammonia oxidation in the absence of external oxygen. Instead, it is tightly linked to recent energetic activity. These observations indicate that oxygen production represents a general physiological strategy for alleviating the potential accumulation of reactive intermediates in the ammonia oxidation pathway, analogous to nitrifier denitrification in ammonia-oxidizing bacteria.</w:t>
      </w:r>
    </w:p>
    <w:p>
      <w:pPr>
        <w:spacing w:before="120" w:after="120"/>
      </w:pPr>
      <w:r>
        <w:rPr>
          <w:sz w:val="18"/>
        </w:rPr>
        <w:t>——————————————————————————————————————————————————————————————————————</w:t>
      </w:r>
    </w:p>
    <w:p>
      <w:pPr>
        <w:spacing w:before="160" w:after="40" w:line="240" w:lineRule="auto"/>
      </w:pPr>
      <w:r>
        <w:rPr>
          <w:b/>
        </w:rPr>
        <w:t xml:space="preserve">[115] </w:t>
      </w:r>
      <w:hyperlink r:id="rId807">
        <w:r>
          <w:rPr>
            <w:color w:val="1155CC"/>
            <w:u w:val="single"/>
          </w:rPr>
          <w:t>用于假肢实时多轴力映射的刺绣纺织传感器</w:t>
        </w:r>
      </w:hyperlink>
    </w:p>
    <w:p>
      <w:pPr>
        <w:spacing w:before="0" w:after="80"/>
      </w:pPr>
      <w:r>
        <w:rPr>
          <w:i/>
          <w:sz w:val="20"/>
        </w:rPr>
        <w:t>EN: Embroidered textile sensors for real-time multiaxial force mapping in prosthetics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08">
        <w:r>
          <w:rPr>
            <w:color w:val="1155CC"/>
            <w:u w:val="single"/>
          </w:rPr>
          <w:t>10.1126/sciadv.aec9270</w:t>
        </w:r>
      </w:hyperlink>
    </w:p>
    <w:p>
      <w:pPr>
        <w:spacing w:before="0" w:after="120"/>
      </w:pPr>
      <w:r>
        <w:rPr>
          <w:b/>
        </w:rPr>
        <w:t xml:space="preserve">Notes: </w:t>
      </w:r>
      <w:r>
        <w:t>abstract_source=crossref</w:t>
      </w:r>
    </w:p>
    <w:p>
      <w:pPr>
        <w:spacing w:before="0" w:after="80" w:lineRule="auto" w:line="276"/>
      </w:pPr>
      <w:r>
        <w:rPr>
          <w:b/>
        </w:rPr>
        <w:t xml:space="preserve">摘要（ZH）: </w:t>
      </w:r>
      <w:r>
        <w:t>实时监测肢体插座界面的压力和剪切力对于优化假肢贴合度、舒适度和皮肤健康至关重要。尤其是剪切力，会加剧刺激并导致骨突出附近溃疡，因此它们的检测与压力一样重要。然而，当前的插座内传感系统（通常基于应变计、压阻膜或光学机制）仍然很大程度上局限于正常压力检测，并且通常依赖于插座修改或刚性多层组件，限制了与兼容肢体插座接口的无缝集成。在这里，我们展示了带有机绣传感器阵列的纺织假肢护套，可实现法向力和剪切力的同步实时监测。该系统无线传输数据以进行三维压力测绘，并采用刺绣电致发光显示器，提供直观的身体视觉反馈。对经胫骨假肢用户进行的测试表明，能够捕获日常活动期间的动态压力和剪切力分布，地面反应和加速度数据可提供对步态对称性和肢体动力学的补充见解。这些结果将刺绣纺织品传感器确立为改善假肢贴合性、舒适度和步态稳定性的实用途径，并突显了它们在康复机器人和人机界面方面的更广泛潜力。</w:t>
      </w:r>
    </w:p>
    <w:p>
      <w:pPr>
        <w:spacing w:before="0" w:after="200" w:lineRule="auto" w:line="276"/>
      </w:pPr>
      <w:r>
        <w:rPr>
          <w:b/>
        </w:rPr>
        <w:t xml:space="preserve">Abstract (EN): </w:t>
      </w:r>
      <w:r>
        <w:t>Real-time monitoring of pressure and shear forces at the limb-socket interface is essential for optimizing prosthetic fit, comfort, and skin health. Shear forces, in particular, can aggravate irritation and cause ulceration near bony prominences, making their detection as important as pressure. However, current in-socket sensing systems—typically based on strain gages, piezoresistive films, or optical mechanisms—remain largely limited to normal pressure detection and often rely on socket modifications or rigid multilayered components, constraining seamless integration with the compliant limb-socket interface. Here, we present textile prosthetic sheaths with machine-embroidered sensor arrays that achieve simultaneous, real-time monitoring of normal and shear forces. The system wirelessly streams data for three-dimensional pressure mapping and incorporates an embroidered electroluminescent display for intuitive, on-body visual feedback. Testing with a transtibial prosthetic user demonstrated the ability to capture dynamic pressure and shear distributions during daily activities, with ground reaction and acceleration data providing complementary insights into gait symmetry and limb dynamics. These results establish embroidered textile sensors as a practical route to improving prosthetic fit, comfort, and gait stability and highlight their broader potential in rehabilitation robotics and human-machine interfaces.</w:t>
      </w:r>
    </w:p>
    <w:p>
      <w:pPr>
        <w:spacing w:before="120" w:after="120"/>
      </w:pPr>
      <w:r>
        <w:rPr>
          <w:sz w:val="18"/>
        </w:rPr>
        <w:t>——————————————————————————————————————————————————————————————————————</w:t>
      </w:r>
    </w:p>
    <w:p>
      <w:pPr>
        <w:spacing w:before="160" w:after="40" w:line="240" w:lineRule="auto"/>
      </w:pPr>
      <w:r>
        <w:rPr>
          <w:b/>
        </w:rPr>
        <w:t xml:space="preserve">[116] </w:t>
      </w:r>
      <w:hyperlink r:id="rId809">
        <w:r>
          <w:rPr>
            <w:color w:val="1155CC"/>
            <w:u w:val="single"/>
          </w:rPr>
          <w:t>打破磁隧道结中超低能量开关的压控磁各向异性-磁阻权衡</w:t>
        </w:r>
      </w:hyperlink>
    </w:p>
    <w:p>
      <w:pPr>
        <w:spacing w:before="0" w:after="80"/>
      </w:pPr>
      <w:r>
        <w:rPr>
          <w:i/>
          <w:sz w:val="20"/>
        </w:rPr>
        <w:t>EN: Breaking voltage-controlled magnetic anisotropy–magnetoresistance trade-off for ultralow-energy switching in magnetic tunnel junctions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10">
        <w:r>
          <w:rPr>
            <w:color w:val="1155CC"/>
            <w:u w:val="single"/>
          </w:rPr>
          <w:t>10.1126/sciadv.aef6328</w:t>
        </w:r>
      </w:hyperlink>
    </w:p>
    <w:p>
      <w:pPr>
        <w:spacing w:before="0" w:after="120"/>
      </w:pPr>
      <w:r>
        <w:rPr>
          <w:b/>
        </w:rPr>
        <w:t xml:space="preserve">Notes: </w:t>
      </w:r>
      <w:r>
        <w:t>abstract_source=crossref</w:t>
      </w:r>
    </w:p>
    <w:p>
      <w:pPr>
        <w:spacing w:before="0" w:after="80" w:lineRule="auto" w:line="276"/>
      </w:pPr>
      <w:r>
        <w:rPr>
          <w:b/>
        </w:rPr>
        <w:t xml:space="preserve">摘要（ZH）: </w:t>
      </w:r>
      <w:r>
        <w:t>自旋态的电场控制为磁隧道结（MTJ）等自旋电子器件中的超低功耗、超快磁化切换提供了一条有前途的途径。然而，通过界面工程增强压控磁各向异性（VCMA）通常会破坏相干隧道效应并抑制隧道磁阻（TMR），从而限制了实际器件的性能。在这里，我们通过实验证明了 MTJ 中高能效、电压驱动的磁化开关，这是通过远程铱 (Ir) 掺杂策略实现的，该策略可调整自由层中 MgO/CoFeB 界面附近的 Ir 浓度。通过在远离隧道势垒的位置插入超薄 Ir 层并在退火过程中利用受控扩散，我们在纳米级 MTJ 中实现了每比特能量仅为 3.5 飞焦耳的亚纳秒开关，同时在 400°C 后退火后保持高达 160% 的 TMR 比率。这些结果解决了长期存在的 VCMA-TMR 权衡问题，并在严格的能量和尺寸限制下建立了一条通往超低功耗非易失性自旋电子器件的可扩展途径。</w:t>
      </w:r>
    </w:p>
    <w:p>
      <w:pPr>
        <w:spacing w:before="0" w:after="200" w:lineRule="auto" w:line="276"/>
      </w:pPr>
      <w:r>
        <w:rPr>
          <w:b/>
        </w:rPr>
        <w:t xml:space="preserve">Abstract (EN): </w:t>
      </w:r>
      <w:r>
        <w:t>Electric-field control of spin states offers a promising route to ultralow-power, ultrafast magnetization switching in spintronic devices such as magnetic tunnel junctions (MTJs). However, enhancing voltage-controlled magnetic anisotropy (VCMA) through interfacial engineering often disrupts coherent tunneling and suppresses tunnel magnetoresistance (TMR), limiting practical device performance. Here, we experimentally demonstrate highly energy-efficient, voltage-driven magnetization switching in MTJs enabled by a remote iridium (Ir) doping strategy that tailors the Ir concentration near the MgO/CoFeB interface in the free layer. By inserting an ultrathin Ir layer away from the tunnel barrier and leveraging controlled diffusion during annealing, we achieve sub-nanosecond switching with an energy of only 3.5 femtojoules per bit in nanoscale MTJs while maintaining a TMR ratio up to 160% after 400°C postannealing. These results resolve a long-standing VCMA-TMR trade-off and establish a scalable pathway toward ultralow-power nonvolatile spintronic devices under aggressive energy and scaling constraints.</w:t>
      </w:r>
    </w:p>
    <w:p>
      <w:pPr>
        <w:spacing w:before="120" w:after="120"/>
      </w:pPr>
      <w:r>
        <w:rPr>
          <w:sz w:val="18"/>
        </w:rPr>
        <w:t>——————————————————————————————————————————————————————————————————————</w:t>
      </w:r>
    </w:p>
    <w:p>
      <w:pPr>
        <w:spacing w:before="160" w:after="40" w:line="240" w:lineRule="auto"/>
      </w:pPr>
      <w:r>
        <w:rPr>
          <w:b/>
        </w:rPr>
        <w:t xml:space="preserve">[117] </w:t>
      </w:r>
      <w:hyperlink r:id="rId811">
        <w:r>
          <w:rPr>
            <w:color w:val="1155CC"/>
            <w:u w:val="single"/>
          </w:rPr>
          <w:t>淀粉颗粒是水凝胶复合材料中协同增强和消散的指导性支架</w:t>
        </w:r>
      </w:hyperlink>
    </w:p>
    <w:p>
      <w:pPr>
        <w:spacing w:before="0" w:after="80"/>
      </w:pPr>
      <w:r>
        <w:rPr>
          <w:i/>
          <w:sz w:val="20"/>
        </w:rPr>
        <w:t>EN: Starch granules are instructive scaffolds for synergistic reinforcement and dissipation in hydrogel composites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12">
        <w:r>
          <w:rPr>
            <w:color w:val="1155CC"/>
            <w:u w:val="single"/>
          </w:rPr>
          <w:t>10.1126/sciadv.aef4627</w:t>
        </w:r>
      </w:hyperlink>
    </w:p>
    <w:p>
      <w:pPr>
        <w:spacing w:before="0" w:after="120"/>
      </w:pPr>
      <w:r>
        <w:rPr>
          <w:b/>
        </w:rPr>
        <w:t xml:space="preserve">Notes: </w:t>
      </w:r>
      <w:r>
        <w:t>abstract_source=crossref</w:t>
      </w:r>
    </w:p>
    <w:p>
      <w:pPr>
        <w:spacing w:before="0" w:after="80" w:lineRule="auto" w:line="276"/>
      </w:pPr>
      <w:r>
        <w:rPr>
          <w:b/>
        </w:rPr>
        <w:t xml:space="preserve">摘要（ZH）: </w:t>
      </w:r>
      <w:r>
        <w:t>软材料设计的一个基本挑战是刚性和动态性之间的竞争，因为硬化机制通常会抑制能量耗散。在这里，我们证明淀粉颗粒可以作为克服这一限制的指导性支架，从而能够协同放大水凝胶中的弹性增强和动态耗散。我们表明，对填料-基体界面的电荷和结构进行设计可以增强这种协同响应，我们认为这种协同响应源于双重作用的物理机制：填料诱导的聚合物基体的聚合物束提供了结构增强，而瞬态填料-基体氢键则促进了耗散。此外，我们发现不同填料种类的二元混合物出乎意料地抑制了这些新出现的特性，我们认为这些特性是由增强的熵混合引起的。我们的研究结果提供了一个物理框架，以克服软复合材料当前的设计限制，并塑造从协同增强到战略抑制的粘弹性响应，适用于从高性能软机器人到仿生组织工程的应用。</w:t>
      </w:r>
    </w:p>
    <w:p>
      <w:pPr>
        <w:spacing w:before="0" w:after="200" w:lineRule="auto" w:line="276"/>
      </w:pPr>
      <w:r>
        <w:rPr>
          <w:b/>
        </w:rPr>
        <w:t xml:space="preserve">Abstract (EN): </w:t>
      </w:r>
      <w:r>
        <w:t>A fundamental challenge in soft material design is the competition between rigidity and dynamicity, as stiffening mechanisms typically suppress energy dissipation. Here, we demonstrate that starch granules serve as instructive scaffolds that overcome this constraint, enabling the synergistic amplification of both elastic reinforcement and dynamic dissipation in hydrogels. We show that engineering the charge and structure of the filler-matrix interface enhances this synergistic response, which we propose arises from a dual-action physical mechanism: Filler-induced polymer bundling of the polymer matrix provides structural reinforcement, while transient filler-matrix hydrogen bonding facilitates dissipation. Moreover, we reveal that binary blends of disparate filler species unexpectedly suppress these emergent properties, which we argue arises from enhanced entropic mixing. Our results provide a physical framework to overcome current design limitations in soft composites and sculpt their viscoelastic response from synergistic enhancement to strategic suppression for applications ranging from high-performance soft robotics to biomimetic tissue engineering.</w:t>
      </w:r>
    </w:p>
    <w:p>
      <w:pPr>
        <w:spacing w:before="120" w:after="120"/>
      </w:pPr>
      <w:r>
        <w:rPr>
          <w:sz w:val="18"/>
        </w:rPr>
        <w:t>——————————————————————————————————————————————————————————————————————</w:t>
      </w:r>
    </w:p>
    <w:p>
      <w:pPr>
        <w:spacing w:before="160" w:after="40" w:line="240" w:lineRule="auto"/>
      </w:pPr>
      <w:r>
        <w:rPr>
          <w:b/>
        </w:rPr>
        <w:t xml:space="preserve">[118] </w:t>
      </w:r>
      <w:hyperlink r:id="rId813">
        <w:r>
          <w:rPr>
            <w:color w:val="1155CC"/>
            <w:u w:val="single"/>
          </w:rPr>
          <w:t>钙钛矿超级球上部结构的协同和集体量子光发射</w:t>
        </w:r>
      </w:hyperlink>
    </w:p>
    <w:p>
      <w:pPr>
        <w:spacing w:before="0" w:after="80"/>
      </w:pPr>
      <w:r>
        <w:rPr>
          <w:i/>
          <w:sz w:val="20"/>
        </w:rPr>
        <w:t>EN: Cooperative and collective quantum light emission from perovskite superball superstructures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14">
        <w:r>
          <w:rPr>
            <w:color w:val="1155CC"/>
            <w:u w:val="single"/>
          </w:rPr>
          <w:t>10.1126/sciadv.aec0398</w:t>
        </w:r>
      </w:hyperlink>
    </w:p>
    <w:p>
      <w:pPr>
        <w:spacing w:before="0" w:after="120"/>
      </w:pPr>
      <w:r>
        <w:rPr>
          <w:b/>
        </w:rPr>
        <w:t xml:space="preserve">Notes: </w:t>
      </w:r>
      <w:r>
        <w:t>abstract_source=crossref</w:t>
      </w:r>
    </w:p>
    <w:p>
      <w:pPr>
        <w:spacing w:before="0" w:after="80" w:lineRule="auto" w:line="276"/>
      </w:pPr>
      <w:r>
        <w:rPr>
          <w:b/>
        </w:rPr>
        <w:t xml:space="preserve">摘要（ZH）: </w:t>
      </w:r>
      <w:r>
        <w:t>超荧光（SF）是同步量子发射器发出的相干光爆发，已在钙钛矿量子点超晶格中得到证实。然而，对自组装、异质性和发射体特性的有限控制阻碍了对合作发射的系统探索及其向集体发射机制（例如放大自发发射（ASE）和激光）的过渡。在这里，我们提出乳液模板钙钛矿超级球（SB）作为一个强大的、可调谐的平台，用于研究集体光物质现象。这种策略可以对钙钛矿纳米晶体（PNC）尺寸、堆积密度、配体化学、光腔结构等进行多种控制。我们确定了在 PNC 系综中触发 SF 的临界堆积密度（∼0.34），与理论计算一致。较大的SB充当自组装微腔，支持具有高品质因数的低阈值激光。可调节的激发注量会导致 SF 和激光模式之间的交叉，而高密度 SB 薄膜也支持 ASE。这些发现使钙钛矿SB成为研究合作和集体发射动力学的多功能平台，这对于推进可扩展的量子光子技术至关重要。</w:t>
      </w:r>
    </w:p>
    <w:p>
      <w:pPr>
        <w:spacing w:before="0" w:after="200" w:lineRule="auto" w:line="276"/>
      </w:pPr>
      <w:r>
        <w:rPr>
          <w:b/>
        </w:rPr>
        <w:t xml:space="preserve">Abstract (EN): </w:t>
      </w:r>
      <w:r>
        <w:t>Superfluorescence (SF), the coherent light burst from synchronized quantum emitters, has been demonstrated in perovskite quantum dot superlattices. However, limited control over self-assembly, heterogeneity and emitter properties has hindered systematic exploration of cooperative emission and its transition to collective emission regimes such as amplified spontaneous emission (ASE) and lasing. Here, we present emulsion-templated perovskite superballs (SBs) as a robust, tunable platform for investigating collective light-matter phenomena. This strategy enables versatile control over perovskite nanocrystal (PNC) size, packing density, ligand chemistry, optical cavity structure, etc. We identify a critical packing density (∼0.34) for triggering SF in PNC ensembles, in agreement with theoretical calculations. Larger SBs function as self-assembled microcavities, supporting low-threshold lasing with high quality factors. Tunable excitation fluence induces a crossover between the SF and lasing regimes, while high-density SB films also support ASE. These findings establish perovskite SBs as a versatile platform for studying cooperative and collective emission dynamics crucial for advancing scalable quantum photonic technologies.</w:t>
      </w:r>
    </w:p>
    <w:p>
      <w:pPr>
        <w:spacing w:before="120" w:after="120"/>
      </w:pPr>
      <w:r>
        <w:rPr>
          <w:sz w:val="18"/>
        </w:rPr>
        <w:t>——————————————————————————————————————————————————————————————————————</w:t>
      </w:r>
    </w:p>
    <w:p>
      <w:pPr>
        <w:spacing w:before="160" w:after="40" w:line="240" w:lineRule="auto"/>
      </w:pPr>
      <w:r>
        <w:rPr>
          <w:b/>
        </w:rPr>
        <w:t xml:space="preserve">[119] </w:t>
      </w:r>
      <w:hyperlink r:id="rId815">
        <w:r>
          <w:rPr>
            <w:color w:val="1155CC"/>
            <w:u w:val="single"/>
          </w:rPr>
          <w:t>FLO6的差异缩合影响水稻籽粒直链淀粉的合成</w:t>
        </w:r>
      </w:hyperlink>
    </w:p>
    <w:p>
      <w:pPr>
        <w:spacing w:before="0" w:after="80"/>
      </w:pPr>
      <w:r>
        <w:rPr>
          <w:i/>
          <w:sz w:val="20"/>
        </w:rPr>
        <w:t>EN: Differential condensation of FLO6 influences grain amylose synthesis in rice</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16">
        <w:r>
          <w:rPr>
            <w:color w:val="1155CC"/>
            <w:u w:val="single"/>
          </w:rPr>
          <w:t>10.1126/sciadv.aec8768</w:t>
        </w:r>
      </w:hyperlink>
    </w:p>
    <w:p>
      <w:pPr>
        <w:spacing w:before="0" w:after="120"/>
      </w:pPr>
      <w:r>
        <w:rPr>
          <w:b/>
        </w:rPr>
        <w:t xml:space="preserve">Notes: </w:t>
      </w:r>
      <w:r>
        <w:t>abstract_source=crossref</w:t>
      </w:r>
    </w:p>
    <w:p>
      <w:pPr>
        <w:spacing w:before="0" w:after="80" w:lineRule="auto" w:line="276"/>
      </w:pPr>
      <w:r>
        <w:rPr>
          <w:b/>
        </w:rPr>
        <w:t xml:space="preserve">摘要（ZH）: </w:t>
      </w:r>
      <w:r>
        <w:t>直链淀粉含量被广泛认为是决定稻米品质的决定性参数之一。然而，不同水稻亚种直链淀粉合成的调控机制仍然知之甚少。在此，我们报道 FLO6（花状胚乳 6）经历相分离形成粘附在淀粉颗粒表面的冷凝物，并且这些冷凝物能够招募 GBSS1（颗粒结合淀粉合酶 1）。单核苷酸多态性（SNP</w:t>
      </w:r>
      <w:r>
        <w:rPr>
          <w:vertAlign w:val="subscript"/>
        </w:rPr>
        <w:t>3194</w:t>
      </w:r>
      <w:r>
        <w:t>）内</w:t>
      </w:r>
      <w:r>
        <w:t xml:space="preserve"> </w:t>
      </w:r>
      <w:r>
        <w:t>弗洛6</w:t>
      </w:r>
      <w:r>
        <w:t xml:space="preserve"> </w:t>
      </w:r>
      <w:r>
        <w:t>基因赋予</w:t>
      </w:r>
      <w:r>
        <w:t xml:space="preserve"> </w:t>
      </w:r>
      <w:r>
        <w:t>弗洛6</w:t>
      </w:r>
      <w:r>
        <w:t xml:space="preserve"> </w:t>
      </w:r>
      <w:r>
        <w:t>等位基因来自</w:t>
      </w:r>
      <w:r>
        <w:t xml:space="preserve"> </w:t>
      </w:r>
      <w:r>
        <w:t>粳稻</w:t>
      </w:r>
      <w:r>
        <w:t xml:space="preserve"> </w:t>
      </w:r>
      <w:r>
        <w:t>和</w:t>
      </w:r>
      <w:r>
        <w:t xml:space="preserve"> </w:t>
      </w:r>
      <w:r>
        <w:t>籼稻</w:t>
      </w:r>
      <w:r>
        <w:t xml:space="preserve"> </w:t>
      </w:r>
      <w:r>
        <w:t>具有独特凝聚特性的亚种。这种差异导致 FLO6 冷凝物中的 GBSS1 活性不同，最终导致谷物直链淀粉含量的差异。虽然众所周知的等位基因变异</w:t>
      </w:r>
      <w:r>
        <w:t xml:space="preserve"> </w:t>
      </w:r>
      <w:r>
        <w:t>GBSS1</w:t>
      </w:r>
      <w:r>
        <w:t xml:space="preserve"> </w:t>
      </w:r>
      <w:r>
        <w:t>建立基线酶丰度后，FLO6-GBSS1 模块的进化适应可作为重要的叠加调节层，微调不同水稻亚种的直链淀粉合成。我们的研究结果为定向改变谷物直链淀粉含量提供了潜在的生物技术途径。</w:t>
      </w:r>
    </w:p>
    <w:p>
      <w:pPr>
        <w:spacing w:before="0" w:after="200" w:lineRule="auto" w:line="276"/>
      </w:pPr>
      <w:r>
        <w:rPr>
          <w:b/>
        </w:rPr>
        <w:t xml:space="preserve">Abstract (EN): </w:t>
      </w:r>
      <w:r>
        <w:t>Amylose content is widely regarded as one of the decisive parameters determining rice grain quality. However, the regulatory mechanisms underlying amylose synthesis across different rice subspecies remain poorly understood. Here, we report that FLO6 (Floury Endosperm 6) undergoes phase separation to form condensates that adhere to the surface of starch granules, and these condensates are capable of recruiting GBSS1 (Granule-Bound Starch Synthase 1). A single-nucleotide polymorphism (SNP</w:t>
      </w:r>
      <w:r>
        <w:rPr>
          <w:vertAlign w:val="subscript"/>
        </w:rPr>
        <w:t>3194</w:t>
      </w:r>
      <w:r>
        <w:t>) within the</w:t>
      </w:r>
      <w:r>
        <w:t xml:space="preserve"> </w:t>
      </w:r>
      <w:r>
        <w:t>FLO6</w:t>
      </w:r>
      <w:r>
        <w:t xml:space="preserve"> </w:t>
      </w:r>
      <w:r>
        <w:t>gene endows the</w:t>
      </w:r>
      <w:r>
        <w:t xml:space="preserve"> </w:t>
      </w:r>
      <w:r>
        <w:t>FLO6</w:t>
      </w:r>
      <w:r>
        <w:t xml:space="preserve"> </w:t>
      </w:r>
      <w:r>
        <w:t>alleles from</w:t>
      </w:r>
      <w:r>
        <w:t xml:space="preserve"> </w:t>
      </w:r>
      <w:r>
        <w:t>japonica</w:t>
      </w:r>
      <w:r>
        <w:t xml:space="preserve"> </w:t>
      </w:r>
      <w:r>
        <w:t>and</w:t>
      </w:r>
      <w:r>
        <w:t xml:space="preserve"> </w:t>
      </w:r>
      <w:r>
        <w:t>indica</w:t>
      </w:r>
      <w:r>
        <w:t xml:space="preserve"> </w:t>
      </w:r>
      <w:r>
        <w:t>subspecies with distinct condensate properties. This divergence results in varying GBSS1 activities within the FLO6 condensates, ultimately contributing to differences in grain amylose content. While the well-known allelic variation of</w:t>
      </w:r>
      <w:r>
        <w:t xml:space="preserve"> </w:t>
      </w:r>
      <w:r>
        <w:t>GBSS1</w:t>
      </w:r>
      <w:r>
        <w:t xml:space="preserve"> </w:t>
      </w:r>
      <w:r>
        <w:t>establishes the baseline enzyme abundance, the evolutionary adaptation of the FLO6-GBSS1 module serves as an essential superimposed regulatory layer that fine-tunes amylose synthesis across different rice subspecies. Our findings offer potential biotechnological avenues for directionally altering grain amylose content.</w:t>
      </w:r>
    </w:p>
    <w:p>
      <w:pPr>
        <w:spacing w:before="120" w:after="120"/>
      </w:pPr>
      <w:r>
        <w:rPr>
          <w:sz w:val="18"/>
        </w:rPr>
        <w:t>——————————————————————————————————————————————————————————————————————</w:t>
      </w:r>
    </w:p>
    <w:p>
      <w:pPr>
        <w:spacing w:before="160" w:after="40" w:line="240" w:lineRule="auto"/>
      </w:pPr>
      <w:r>
        <w:rPr>
          <w:b/>
        </w:rPr>
        <w:t xml:space="preserve">[120] </w:t>
      </w:r>
      <w:hyperlink r:id="rId817">
        <w:r>
          <w:rPr>
            <w:color w:val="1155CC"/>
            <w:u w:val="single"/>
          </w:rPr>
          <w:t>小鼠树突状表皮 T 细胞和朗格汉斯细胞的独特产后轨迹与微生物群无关</w:t>
        </w:r>
      </w:hyperlink>
    </w:p>
    <w:p>
      <w:pPr>
        <w:spacing w:before="0" w:after="80"/>
      </w:pPr>
      <w:r>
        <w:rPr>
          <w:i/>
          <w:sz w:val="20"/>
        </w:rPr>
        <w:t>EN: Distinct postnatal trajectories of mouse dendritic epidermal T cells and Langerhans cells independent of microbiota</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18">
        <w:r>
          <w:rPr>
            <w:color w:val="1155CC"/>
            <w:u w:val="single"/>
          </w:rPr>
          <w:t>10.1126/sciadv.aec9180</w:t>
        </w:r>
      </w:hyperlink>
    </w:p>
    <w:p>
      <w:pPr>
        <w:spacing w:before="0" w:after="120"/>
      </w:pPr>
      <w:r>
        <w:rPr>
          <w:b/>
        </w:rPr>
        <w:t xml:space="preserve">Notes: </w:t>
      </w:r>
      <w:r>
        <w:t>abstract_source=crossref</w:t>
      </w:r>
    </w:p>
    <w:p>
      <w:pPr>
        <w:spacing w:before="0" w:after="80" w:lineRule="auto" w:line="276"/>
      </w:pPr>
      <w:r>
        <w:rPr>
          <w:b/>
        </w:rPr>
        <w:t xml:space="preserve">摘要（ZH）: </w:t>
      </w:r>
      <w:r>
        <w:t>小鼠表皮拥有两个关键的常驻免疫群体——树突状表皮 T 细胞 (DETC)（不变 γδ T 细胞的一个子集）和朗格汉斯细胞 (LC)（专门的组织驻留巨噬细胞）——两者在免疫监视、屏障完整性和组织稳态中发挥着关键作用。虽然它们的胎儿起源已经被确定，但控制它们出生后成熟的机制仍然知之甚少。在这里，我们展示了小鼠从胚胎发生后期到成年期 DETC 和 LC 发育的组合免疫表型和单细胞转录组图谱。我们描绘了以形态、增殖和转录编程的动态变化为特征的不同分化轨迹。使用 γδ T 细胞缺陷小鼠，我们发现 LC 成熟独立于典型的 γδDETC，可能是由于补偿性 αβDETC。对无菌小鼠和野生动物的分析进一步表明，出生后 DETC 和 LC 分化与微生物定植无关。与发育中的人类表皮的比较分析揭示了部分保守的分化程序。总之，我们的研究结果定义了表皮免疫生态位建立的核心原则。</w:t>
      </w:r>
    </w:p>
    <w:p>
      <w:pPr>
        <w:spacing w:before="0" w:after="200" w:lineRule="auto" w:line="276"/>
      </w:pPr>
      <w:r>
        <w:rPr>
          <w:b/>
        </w:rPr>
        <w:t xml:space="preserve">Abstract (EN): </w:t>
      </w:r>
      <w:r>
        <w:t>The mouse epidermis harbors two key resident immune populations—dendritic epidermal T cells (DETCs), a subset of invariant γδ T cells, and Langerhans cells (LCs), specialized tissue-resident macrophages—both of which play critical roles in immune surveillance, barrier integrity, and tissue homeostasis. While their fetal origin has been defined, the mechanisms governing their postnatal maturation remain poorly understood. Here, we present a combined immunophenotypic and single-cell transcriptomic map of DETC and LC development from late embryogenesis through adulthood in mice. We delineate distinct differentiation trajectories characterized by dynamic changes in morphology, proliferation, and transcriptional programming. Using γδ T cell deficient mice, we show that LC maturation proceeds independently of canonical γδDETCs, likely due to compensatory αβDETCs. Analysis of germfree mice and wildlings further demonstrates that the postnatal DETC and LC differentiation is independent of microbial colonization. Comparative analysis with developing human epidermis reveals partially conserved differentiation programs. Together, our findings define core principles underlying establishment of the epidermal immune niche.</w:t>
      </w:r>
    </w:p>
    <w:p>
      <w:pPr>
        <w:spacing w:before="120" w:after="120"/>
      </w:pPr>
      <w:r>
        <w:rPr>
          <w:sz w:val="18"/>
        </w:rPr>
        <w:t>——————————————————————————————————————————————————————————————————————</w:t>
      </w:r>
    </w:p>
    <w:p>
      <w:pPr>
        <w:spacing w:before="160" w:after="40" w:line="240" w:lineRule="auto"/>
      </w:pPr>
      <w:r>
        <w:rPr>
          <w:b/>
        </w:rPr>
        <w:t xml:space="preserve">[121] </w:t>
      </w:r>
      <w:hyperlink r:id="rId819">
        <w:r>
          <w:rPr>
            <w:color w:val="1155CC"/>
            <w:u w:val="single"/>
          </w:rPr>
          <w:t>观测到的全球变暖指纹暴露了区域气候归因的模型偏差</w:t>
        </w:r>
      </w:hyperlink>
    </w:p>
    <w:p>
      <w:pPr>
        <w:spacing w:before="0" w:after="80"/>
      </w:pPr>
      <w:r>
        <w:rPr>
          <w:i/>
          <w:sz w:val="20"/>
        </w:rPr>
        <w:t>EN: Observed fingerprint of global warming exposes model biases in regional climate attribution</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20">
        <w:r>
          <w:rPr>
            <w:color w:val="1155CC"/>
            <w:u w:val="single"/>
          </w:rPr>
          <w:t>10.1126/sciadv.aed1506</w:t>
        </w:r>
      </w:hyperlink>
    </w:p>
    <w:p>
      <w:pPr>
        <w:spacing w:before="0" w:after="120"/>
      </w:pPr>
      <w:r>
        <w:rPr>
          <w:b/>
        </w:rPr>
        <w:t xml:space="preserve">Notes: </w:t>
      </w:r>
      <w:r>
        <w:t>abstract_source=crossref</w:t>
      </w:r>
    </w:p>
    <w:p>
      <w:pPr>
        <w:spacing w:before="0" w:after="80" w:lineRule="auto" w:line="276"/>
      </w:pPr>
      <w:r>
        <w:rPr>
          <w:b/>
        </w:rPr>
        <w:t xml:space="preserve">摘要（ZH）: </w:t>
      </w:r>
      <w:r>
        <w:t>将外部强迫信号与观测到的地表气温 (SAT) 的内部变化分开对于可靠的区域气候检测和归因至关重要。尽管气候模型模拟的模式与观测到的全球变暖大体一致，但持续存在的区域差异，再加上单一观测实现的局限性，阻碍了强有力的区域归因。我们确定了基于观测的 SAT 外部强制信号和内部变异性，这使我们能够将观测到的 SAT 模式与来自七个 CMIP6 单模型初始条件大型集合的模拟对应模式进行比较。完美模型测试证实了稳健的大规模划分，同时表明内部变异占主导地位的保真度降低。我们的结果表明，模型往往高估外部强迫区域的出现时间尺度，但低估内部变异主导区域的出现时间尺度。在几个内部变异主导的区域中，强制信号在观察中仍然检测不到。虽然北极变暖越来越受到外部强迫的影响，但近几十年来，内部变化已经减缓了其速度。在内部变异性主导的区域中，我们确定了适度但一致的外部强迫贡献，观察到的冷却趋势和符号翻转主要由内部变异性驱动。这些发现有助于解决长期存在的区域归因难题，突出关键模型的局限性，并对区域气候预测、归因和判例产生根本性影响。</w:t>
      </w:r>
    </w:p>
    <w:p>
      <w:pPr>
        <w:spacing w:before="0" w:after="200" w:lineRule="auto" w:line="276"/>
      </w:pPr>
      <w:r>
        <w:rPr>
          <w:b/>
        </w:rPr>
        <w:t xml:space="preserve">Abstract (EN): </w:t>
      </w:r>
      <w:r>
        <w:t>Disentangling externally forced signals from internal variability in observed surface air temperature (SAT) is essential for reliable regional climate detection and attribution. Although climate model simulated patterns broadly align with observed global warming, persistent regional discrepancies, compounded by the limitation of a single observational realization, impede robust regional attribution. We identify the observation-based SAT externally forced signals and internal variability, which allows us to compare the observed SAT patterns with the simulated counterparts from seven CMIP6 single-model initial-condition large ensembles. Perfect-model tests confirm robust large-scale partitioning, while indicating reduced fidelity where internal variability dominates. Our results suggest that models tend to overestimate emergence timescales in externally forced regions but underestimate them in internal variability–dominated regions. In several internal variability–dominated regions, the forced signal remains undetectable in observations. While Arctic warming is increasingly dominated by external forcing, internal variability has slowed its rate in recent decades. In internal variability–dominated regions, we identify modest yet consistent externally forced contributions, with observed cooling trends and sign flips primarily driven by internal variability. These findings help to resolve long-standing regional attribution puzzles, highlight critical model limitations, and carry fundamental implications for regional climate projections, attribution, and jurisprudence.</w:t>
      </w:r>
    </w:p>
    <w:p>
      <w:pPr>
        <w:spacing w:before="120" w:after="120"/>
      </w:pPr>
      <w:r>
        <w:rPr>
          <w:sz w:val="18"/>
        </w:rPr>
        <w:t>——————————————————————————————————————————————————————————————————————</w:t>
      </w:r>
    </w:p>
    <w:p>
      <w:pPr>
        <w:spacing w:before="160" w:after="40" w:line="240" w:lineRule="auto"/>
      </w:pPr>
      <w:r>
        <w:rPr>
          <w:b/>
        </w:rPr>
        <w:t xml:space="preserve">[122] </w:t>
      </w:r>
      <w:hyperlink r:id="rId821">
        <w:r>
          <w:rPr>
            <w:color w:val="1155CC"/>
            <w:u w:val="single"/>
          </w:rPr>
          <w:t>原始焦亡的机制和可塑性</w:t>
        </w:r>
      </w:hyperlink>
    </w:p>
    <w:p>
      <w:pPr>
        <w:spacing w:before="0" w:after="80"/>
      </w:pPr>
      <w:r>
        <w:rPr>
          <w:i/>
          <w:sz w:val="20"/>
        </w:rPr>
        <w:t>EN: Mechanism and plasticity of primitive pyroptosis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22">
        <w:r>
          <w:rPr>
            <w:color w:val="1155CC"/>
            <w:u w:val="single"/>
          </w:rPr>
          <w:t>10.1126/sciadv.aed2720</w:t>
        </w:r>
      </w:hyperlink>
    </w:p>
    <w:p>
      <w:pPr>
        <w:spacing w:before="0" w:after="120"/>
      </w:pPr>
      <w:r>
        <w:rPr>
          <w:b/>
        </w:rPr>
        <w:t xml:space="preserve">Notes: </w:t>
      </w:r>
      <w:r>
        <w:t>abstract_source=crossref</w:t>
      </w:r>
    </w:p>
    <w:p>
      <w:pPr>
        <w:spacing w:before="0" w:after="80" w:lineRule="auto" w:line="276"/>
      </w:pPr>
      <w:r>
        <w:rPr>
          <w:b/>
        </w:rPr>
        <w:t xml:space="preserve">摘要（ZH）: </w:t>
      </w:r>
      <w:r>
        <w:t>细胞焦亡是整个生命树中受调节的细胞死亡的促炎症形式。 Gasdermin (GSDM) 蛋白家族通过形成膜孔，充当进化上保守的焦亡细胞死亡刽子手。作为典型的激活机制，蛋白水解裂解驱动 GSDM 孔的形成。与经过充分研究的现代 GSDM 引导的焦亡途径相比，原始 GSDM 孔的生化机制知之甚少。在这里，我们从功能上表征了两种具有细胞毒性的原始 GSDM 变体，其中之一是来自 的细菌同源物（称为 bGSDM）</w:t>
      </w:r>
      <w:r>
        <w:t xml:space="preserve"> </w:t>
      </w:r>
      <w:r>
        <w:t>玉蜀黍</w:t>
      </w:r>
      <w:r>
        <w:t xml:space="preserve"> </w:t>
      </w:r>
      <w:r>
        <w:t>，另一个指的是真菌同系物（fGSDM/HET-Q1）</w:t>
      </w:r>
      <w:r>
        <w:t xml:space="preserve"> </w:t>
      </w:r>
      <w:r>
        <w:t>鹅足孢菌</w:t>
      </w:r>
      <w:r>
        <w:t xml:space="preserve"> </w:t>
      </w:r>
      <w:r>
        <w:t>。两种关系较远的蛋白酶对 bGSDM（或 fGSDM/HET-Q1）的裂解使得能够在脂质体上体外重建 GSDM 祖细胞门控焦亡孔。特别是，我们提出了两个原始焦亡孔的高分辨率冷冻电子显微镜结构，由</w:t>
      </w:r>
      <w:r>
        <w:t xml:space="preserve"> </w:t>
      </w:r>
      <w:r>
        <w:t>鲁尼拉</w:t>
      </w:r>
      <w:r>
        <w:t xml:space="preserve"> </w:t>
      </w:r>
      <w:r>
        <w:t>bGSDM 环为 3.25 埃，a</w:t>
      </w:r>
      <w:r>
        <w:t xml:space="preserve"> </w:t>
      </w:r>
      <w:r>
        <w:t>足孢属</w:t>
      </w:r>
      <w:r>
        <w:t xml:space="preserve"> </w:t>
      </w:r>
      <w:r>
        <w:t>fGSDM 孔径为 2.68 埃。与以46重对称排列的大bGSDM孔不同，最小的fGSDM孔由20个HET-Q1原聚体组成。结构到功能研究阐明了 bGSDM/fGSDM 原聚体如何组装成不同的膜孔。我们还研究了设计原始 GSDM 孔来对抗首要细菌/真菌病原体的可行性。总的来说，o</w:t>
      </w:r>
    </w:p>
    <w:p>
      <w:pPr>
        <w:spacing w:before="0" w:after="200" w:lineRule="auto" w:line="276"/>
      </w:pPr>
      <w:r>
        <w:rPr>
          <w:b/>
        </w:rPr>
        <w:t xml:space="preserve">Abstract (EN): </w:t>
      </w:r>
      <w:r>
        <w:t>Pyroptosis is a proinflammatory form of regulated cell death across the tree of life. The gasdermin (GSDM) protein family functions as an evolutionarily conserved executioner of pyroptotic cell death by forming membrane pores. As the canonical activation mechanism, proteolytic cleavage drives the formation of GSDM pores. In contrast to the well-studied modern GSDM-directed pyroptotic pathway, biochemical mechanisms of primitive GSDM pores are poorly understood. Here, we functionally characterize two primitive GSDM variants with cytotoxicity, one of which is a bacterial homolog (termed bGSDM) from</w:t>
      </w:r>
      <w:r>
        <w:t xml:space="preserve"> </w:t>
      </w:r>
      <w:r>
        <w:t>Runella zeae</w:t>
      </w:r>
      <w:r>
        <w:t xml:space="preserve"> </w:t>
      </w:r>
      <w:r>
        <w:t>, and the other refers to a fungal homolog (fGSDM/HET-Q1) of</w:t>
      </w:r>
      <w:r>
        <w:t xml:space="preserve"> </w:t>
      </w:r>
      <w:r>
        <w:t>Podospora anserina</w:t>
      </w:r>
      <w:r>
        <w:t xml:space="preserve"> </w:t>
      </w:r>
      <w:r>
        <w:t>. The cleavage of bGSDM (or fGSDM/HET-Q1) by two distantly related proteases enables the in vitro reconstitution of GSDM progenitor-gated pyroptotic pores on liposome. In particular, we present high-resolution cryo–electron microscopy structures of two primitive pyroptotic pores, consisting of a</w:t>
      </w:r>
      <w:r>
        <w:t xml:space="preserve"> </w:t>
      </w:r>
      <w:r>
        <w:t>Runella</w:t>
      </w:r>
      <w:r>
        <w:t xml:space="preserve"> </w:t>
      </w:r>
      <w:r>
        <w:t>bGSDM ring at 3.25 angstroms and a</w:t>
      </w:r>
      <w:r>
        <w:t xml:space="preserve"> </w:t>
      </w:r>
      <w:r>
        <w:t>Podospora</w:t>
      </w:r>
      <w:r>
        <w:t xml:space="preserve"> </w:t>
      </w:r>
      <w:r>
        <w:t>fGSDM pore at 2.68 angstroms. Unlike the large bGSDM pore arranged in 46-fold symmetry, the smallest fGSDM pore is composed of 20 HET-Q1 protomers. Structure-to-function studies illuminate how bGSDM/fGSDM protomers assemble into distinct membrane pores. We also investigate the feasibility of engineering primitive GSDM pores to counter top-priority bacterial/fungal pathogens. Collectively, our findings offer a primitive mechanism for lytic cell death executed by flexible pores.</w:t>
      </w:r>
    </w:p>
    <w:p>
      <w:pPr>
        <w:spacing w:before="120" w:after="120"/>
      </w:pPr>
      <w:r>
        <w:rPr>
          <w:sz w:val="18"/>
        </w:rPr>
        <w:t>——————————————————————————————————————————————————————————————————————</w:t>
      </w:r>
    </w:p>
    <w:p>
      <w:pPr>
        <w:spacing w:before="160" w:after="40" w:line="240" w:lineRule="auto"/>
      </w:pPr>
      <w:r>
        <w:rPr>
          <w:b/>
        </w:rPr>
        <w:t xml:space="preserve">[123] </w:t>
      </w:r>
      <w:hyperlink r:id="rId823">
        <w:r>
          <w:rPr>
            <w:color w:val="1155CC"/>
            <w:u w:val="single"/>
          </w:rPr>
          <w:t>用于基于呼吸监测微生物组药物代谢活动的可摄入探针</w:t>
        </w:r>
      </w:hyperlink>
    </w:p>
    <w:p>
      <w:pPr>
        <w:spacing w:before="0" w:after="80"/>
      </w:pPr>
      <w:r>
        <w:rPr>
          <w:i/>
          <w:sz w:val="20"/>
        </w:rPr>
        <w:t>EN: Ingestible probes for breath-based monitoring of drug-metabolizing activity from the microbiome</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24">
        <w:r>
          <w:rPr>
            <w:color w:val="1155CC"/>
            <w:u w:val="single"/>
          </w:rPr>
          <w:t>10.1126/sciadv.aee2632</w:t>
        </w:r>
      </w:hyperlink>
    </w:p>
    <w:p>
      <w:pPr>
        <w:spacing w:before="0" w:after="120"/>
      </w:pPr>
      <w:r>
        <w:rPr>
          <w:b/>
        </w:rPr>
        <w:t xml:space="preserve">Notes: </w:t>
      </w:r>
      <w:r>
        <w:t>abstract_source=crossref</w:t>
      </w:r>
    </w:p>
    <w:p>
      <w:pPr>
        <w:spacing w:before="0" w:after="80" w:lineRule="auto" w:line="276"/>
      </w:pPr>
      <w:r>
        <w:rPr>
          <w:b/>
        </w:rPr>
        <w:t xml:space="preserve">摘要（ZH）: </w:t>
      </w:r>
      <w:r>
        <w:t>由于肠道微生物组中的药物代谢酶 (DME) 对药物活性和安全性的影响，它们是有吸引力的药物靶标，需要采用非侵入性策略来测量其活性。在此，我们报告了可摄入探针的开发，该探针可感知并产生 β-葡萄糖醛酸酶 (GUS) 的呼吸信号，β-葡萄糖醛酸酶 (GUS) 是一种导致药物毒性的微生物组 DME。 GUS 探针包含可安全摄取的成分，并在 GUS 裂解后释放挥发性报告基因。口服给药后，探针完好无损地穿过胃肠道，直到到达大肠中的微生物组。在那里，探针被 GUS 裂解并释放挥发性记者，这些记者迅速呼出，为 GUS 活动提供近乎实时的呼吸信号，可以通过质谱法进行测量。在小鼠研究中，具有表达 GUS 的微生物组的幼稚小鼠会产生呼吸信号，但在微生物组耗尽的小鼠中则不会产生呼吸信号。重复探针给药和呼吸分析能够监测 GUS 活动的动态变化。</w:t>
      </w:r>
    </w:p>
    <w:p>
      <w:pPr>
        <w:spacing w:before="0" w:after="200" w:lineRule="auto" w:line="276"/>
      </w:pPr>
      <w:r>
        <w:rPr>
          <w:b/>
        </w:rPr>
        <w:t xml:space="preserve">Abstract (EN): </w:t>
      </w:r>
      <w:r>
        <w:t>Due to their effects on drug activity and safety, drug-metabolizing enzymes (DMEs) from the gut microbiome are attractive drug targets, and noninvasive strategies are needed to measure their activities. Here, we report the development of ingestible probes that sense and produce breath signals for β-glucuronidase (GUS), a microbiome DME that causes drug toxicity. GUS probes comprise safe-to-ingest components and release volatile reporters upon cleavage by GUS. After oral administration, probes transit the gastrointestinal tract intact until they reach the microbiome in the large intestine. There, probes are cleaved by GUS and release volatile reporters, which are rapidly exhaled to provide a near real-time breath signal for GUS activity that can be measured via mass spectrometry. In mouse studies, breath signals were produced in naïve mice with GUS-expressing microbiome but absent in microbiome-depleted mice. Repeated probe dosing and breath analysis enabled monitoring of dynamic changes in GUS activities.</w:t>
      </w:r>
    </w:p>
    <w:p>
      <w:pPr>
        <w:spacing w:before="120" w:after="120"/>
      </w:pPr>
      <w:r>
        <w:rPr>
          <w:sz w:val="18"/>
        </w:rPr>
        <w:t>——————————————————————————————————————————————————————————————————————</w:t>
      </w:r>
    </w:p>
    <w:p>
      <w:pPr>
        <w:spacing w:before="160" w:after="40" w:line="240" w:lineRule="auto"/>
      </w:pPr>
      <w:r>
        <w:rPr>
          <w:b/>
        </w:rPr>
        <w:t xml:space="preserve">[124] </w:t>
      </w:r>
      <w:hyperlink r:id="rId825">
        <w:r>
          <w:rPr>
            <w:color w:val="1155CC"/>
            <w:u w:val="single"/>
          </w:rPr>
          <w:t>果蝇中的章鱼胺-谷氨酸共传递神经元通过分层抑制控制攻击性升级</w:t>
        </w:r>
      </w:hyperlink>
    </w:p>
    <w:p>
      <w:pPr>
        <w:spacing w:before="0" w:after="80"/>
      </w:pPr>
      <w:r>
        <w:rPr>
          <w:i/>
          <w:sz w:val="20"/>
        </w:rPr>
        <w:t>EN: An octopamine-glutamate cotransmitting neuron gates aggressive escalation through layered inhibition in Drosophila</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26">
        <w:r>
          <w:rPr>
            <w:color w:val="1155CC"/>
            <w:u w:val="single"/>
          </w:rPr>
          <w:t>10.1126/sciadv.aec4153</w:t>
        </w:r>
      </w:hyperlink>
    </w:p>
    <w:p>
      <w:pPr>
        <w:spacing w:before="0" w:after="120"/>
      </w:pPr>
      <w:r>
        <w:rPr>
          <w:b/>
        </w:rPr>
        <w:t xml:space="preserve">Notes: </w:t>
      </w:r>
      <w:r>
        <w:t>abstract_source=crossref</w:t>
      </w:r>
    </w:p>
    <w:p>
      <w:pPr>
        <w:spacing w:before="0" w:after="80" w:lineRule="auto" w:line="276"/>
      </w:pPr>
      <w:r>
        <w:rPr>
          <w:b/>
        </w:rPr>
        <w:t xml:space="preserve">摘要（ZH）: </w:t>
      </w:r>
      <w:r>
        <w:t>攻击性是一种进化上保守的行为，对于生存和繁殖至关重要，但升级到高强度形式会带来巨大的代谢成本和伤害风险，需要精确的神经控制。使用</w:t>
      </w:r>
      <w:r>
        <w:t xml:space="preserve"> </w:t>
      </w:r>
      <w:r>
        <w:t>黑腹果蝇</w:t>
      </w:r>
      <w:r>
        <w:t xml:space="preserve"> </w:t>
      </w:r>
      <w:r>
        <w:t>，我们发现了一种抑制激进升级的多层抑制回路。该回路涉及共同传输的八多巴胺-谷氨酸腹侧配对内侧 4 (VPM4) 神经元及其下游 GABA 能靶标 MBON-11。神经递质特异性操作表明，VPM4 释放的章鱼胺和谷氨酸受突触前 OAα2R 和 mGluR 受体独立调节，提供递质特异性反馈。在突触后，谷氨酸通过 GluClα 受体抑制接近促进 MBON-11 神经元，抑制向高强度攻击的转变，并支持接近/回避行为。此外，MBON-11 神经元内的 Rdl GABAergic 受体提供快速抑制反馈，形成额外的调节层。总之，这些发现揭示了一种回路架构，其中共传递和抑制反馈回路形成了一种分层抑制机制，持续限制升级，表明攻击强度受到积极调节，以使行为与环境和成本效益权衡保持一致。</w:t>
      </w:r>
    </w:p>
    <w:p>
      <w:pPr>
        <w:spacing w:before="0" w:after="200" w:lineRule="auto" w:line="276"/>
      </w:pPr>
      <w:r>
        <w:rPr>
          <w:b/>
        </w:rPr>
        <w:t xml:space="preserve">Abstract (EN): </w:t>
      </w:r>
      <w:r>
        <w:t>Aggression is an evolutionarily conserved behavior essential for survival and reproduction, yet escalation to high-intensity forms entails substantial metabolic costs and injury risks, necessitating precise neural control. Using</w:t>
      </w:r>
      <w:r>
        <w:t xml:space="preserve"> </w:t>
      </w:r>
      <w:r>
        <w:t>Drosophila melanogaster</w:t>
      </w:r>
      <w:r>
        <w:t xml:space="preserve"> </w:t>
      </w:r>
      <w:r>
        <w:t>, we uncovered a multilayered inhibitory circuit that constrains aggressive escalation. This circuit involves a cotransmitting octopamine-glutamate ventral paired medial 4 (VPM4) neuron and its downstream GABAergic target, MBON-11. Neurotransmitter-specific manipulations reveal that octopamine and glutamate release from VPM4 is independently regulated by presynaptic OAα2R and mGluR receptors, providing transmitter-specific feedback. Postsynaptically, glutamate inhibits the approach-promoting MBON-11 neuron via GluClα receptors, restraining transitions to high-intensity aggression and supporting a role in approach/avoidance behaviors. Furthermore, the Rdl GABAergic receptor within MBON-11 neurons provides rapid inhibitory feedback, creating an additional layer of regulation. Together, these findings reveal a circuit architecture in which cotransmission and inhibitory feedback loops form a layered inhibition mechanism that continuously constrains escalation, indicating that aggression intensity is actively regulated to align behavior with context and cost-benefit trade-offs.</w:t>
      </w:r>
    </w:p>
    <w:p>
      <w:pPr>
        <w:spacing w:before="120" w:after="120"/>
      </w:pPr>
      <w:r>
        <w:rPr>
          <w:sz w:val="18"/>
        </w:rPr>
        <w:t>——————————————————————————————————————————————————————————————————————</w:t>
      </w:r>
    </w:p>
    <w:p>
      <w:pPr>
        <w:spacing w:before="160" w:after="40" w:line="240" w:lineRule="auto"/>
      </w:pPr>
      <w:r>
        <w:rPr>
          <w:b/>
        </w:rPr>
        <w:t xml:space="preserve">[125] </w:t>
      </w:r>
      <w:hyperlink r:id="rId827">
        <w:r>
          <w:rPr>
            <w:color w:val="1155CC"/>
            <w:u w:val="single"/>
          </w:rPr>
          <w:t>SMARCB1 缺陷肿瘤中微同源介导的末端连接缺陷</w:t>
        </w:r>
      </w:hyperlink>
    </w:p>
    <w:p>
      <w:pPr>
        <w:spacing w:before="0" w:after="80"/>
      </w:pPr>
      <w:r>
        <w:rPr>
          <w:i/>
          <w:sz w:val="20"/>
        </w:rPr>
        <w:t>EN: Defective microhomology-mediated end joining in SMARCB1-deficient tumors</w:t>
      </w:r>
    </w:p>
    <w:p>
      <w:pPr>
        <w:spacing w:before="0" w:after="120"/>
      </w:pPr>
      <w:r>
        <w:rPr>
          <w:b/>
        </w:rPr>
        <w:t xml:space="preserve">Source: </w:t>
      </w:r>
      <w:r>
        <w:t>AAAS: Science Advances: Table of Contents</w:t>
      </w:r>
      <w:r>
        <w:t xml:space="preserve">    </w:t>
      </w:r>
      <w:r>
        <w:rPr>
          <w:b/>
        </w:rPr>
        <w:t xml:space="preserve">Pub date: </w:t>
      </w:r>
      <w:r>
        <w:t>2026-08-14 07:00:00+00:00</w:t>
      </w:r>
      <w:r>
        <w:t xml:space="preserve">    </w:t>
      </w:r>
      <w:r>
        <w:rPr>
          <w:b/>
        </w:rPr>
        <w:t xml:space="preserve">DOI: </w:t>
      </w:r>
      <w:hyperlink r:id="rId828">
        <w:r>
          <w:rPr>
            <w:color w:val="1155CC"/>
            <w:u w:val="single"/>
          </w:rPr>
          <w:t>10.1126/sciadv.aed7743</w:t>
        </w:r>
      </w:hyperlink>
    </w:p>
    <w:p>
      <w:pPr>
        <w:spacing w:before="0" w:after="120"/>
      </w:pPr>
      <w:r>
        <w:rPr>
          <w:b/>
        </w:rPr>
        <w:t xml:space="preserve">Notes: </w:t>
      </w:r>
      <w:r>
        <w:t>abstract_source=crossref</w:t>
      </w:r>
    </w:p>
    <w:p>
      <w:pPr>
        <w:spacing w:before="0" w:after="80" w:lineRule="auto" w:line="276"/>
      </w:pPr>
      <w:r>
        <w:rPr>
          <w:b/>
        </w:rPr>
        <w:t xml:space="preserve">摘要（ZH）: </w:t>
      </w:r>
      <w:r>
        <w:t>横纹肌样瘤 (RT) 是由双等位基因突变驱动的高度侵袭性癌症</w:t>
      </w:r>
      <w:r>
        <w:t xml:space="preserve"> </w:t>
      </w:r>
      <w:r>
        <w:t>SMARCB1</w:t>
      </w:r>
      <w:r>
        <w:t xml:space="preserve"> </w:t>
      </w:r>
      <w:r>
        <w:t>，BAF (SWI/SNF) 复合体的核心亚基。我们发现</w:t>
      </w:r>
      <w:r>
        <w:t xml:space="preserve"> </w:t>
      </w:r>
      <w:r>
        <w:t>SMARCB1</w:t>
      </w:r>
      <w:r>
        <w:t xml:space="preserve"> </w:t>
      </w:r>
      <w:r>
        <w:t>- 缺陷型肿瘤在微同源介导的末端连接 (MMEJ) 途径中存在缺陷，而 SMARCB1 对于维持核心 MMEJ 蛋白 DNA 聚合酶 theta (Polθ) 的蛋白水平至关重要。从机制上讲，SMARCB1促进了核输出</w:t>
      </w:r>
      <w:r>
        <w:t xml:space="preserve"> </w:t>
      </w:r>
      <w:r>
        <w:t>POLQ</w:t>
      </w:r>
      <w:r>
        <w:t xml:space="preserve"> </w:t>
      </w:r>
      <w:r>
        <w:t>mRNA 通过其与核孔复合物的相互作用。有趣的是，RT 细胞中 MMEJ 的缺失会导致范可尼贫血 (FA)/BRCA 途径的代偿性激活和过度依赖。值得注意的是，RBM39（一种剪接调节剂）的降解剂通过破坏 FA/BRCA 通路，在体外和体内 RT 模型中显示出强大的抗肿瘤功效。 SMARCB1 和其他 cBAF/pBAF 成分对于维持 MMEJ 活性和 Polθ 蛋白水平很重要，这表明 BAF 缺陷的癌症更广泛地可以通过 FA/BRCA 途径的靶向抑制来治疗。</w:t>
      </w:r>
    </w:p>
    <w:p>
      <w:pPr>
        <w:spacing w:before="0" w:after="200" w:lineRule="auto" w:line="276"/>
      </w:pPr>
      <w:r>
        <w:rPr>
          <w:b/>
        </w:rPr>
        <w:t xml:space="preserve">Abstract (EN): </w:t>
      </w:r>
      <w:r>
        <w:t>Rhabdoid tumors (RTs) are highly aggressive cancers driven by biallelic mutation of</w:t>
      </w:r>
      <w:r>
        <w:t xml:space="preserve"> </w:t>
      </w:r>
      <w:r>
        <w:t>SMARCB1</w:t>
      </w:r>
      <w:r>
        <w:t xml:space="preserve"> </w:t>
      </w:r>
      <w:r>
        <w:t>, a core subunit of the BAF (SWI/SNF) complex. We found that</w:t>
      </w:r>
      <w:r>
        <w:t xml:space="preserve"> </w:t>
      </w:r>
      <w:r>
        <w:t>SMARCB1</w:t>
      </w:r>
      <w:r>
        <w:t xml:space="preserve"> </w:t>
      </w:r>
      <w:r>
        <w:t>-deficient tumors have a defect in the microhomology-mediated end joining (MMEJ) pathway, and SMARCB1 is essential for maintaining the protein level of the core MMEJ protein, DNA Polymerase theta (PolΘ). Mechanistically, SMARCB1 facilitates the nuclear export of the</w:t>
      </w:r>
      <w:r>
        <w:t xml:space="preserve"> </w:t>
      </w:r>
      <w:r>
        <w:t>POLQ</w:t>
      </w:r>
      <w:r>
        <w:t xml:space="preserve"> </w:t>
      </w:r>
      <w:r>
        <w:t>mRNA through its interaction with the nuclear pore complex. Interestingly, loss of MMEJ in RT cells leads to a compensatory activation of, and a hyper-dependence on, the Fanconi Anemia (FA)/BRCA pathway. Notably, degraders of RBM39, a splicing modulator, show strong antitumor efficacy in RT models in vitro and in vivo by disrupting FA/BRCA pathway. SMARCB1 and other cBAF/pBAF components are important for maintenance of MMEJ activity and PolΘ protein level, suggesting that BAF-deficient cancers more broadly may be treated by targeted inhibition of the FA/BRCA pathway.</w:t>
      </w:r>
    </w:p>
    <w:p>
      <w:pPr>
        <w:spacing w:before="120" w:after="120"/>
      </w:pPr>
      <w:r>
        <w:rPr>
          <w:sz w:val="18"/>
        </w:rPr>
        <w:t>——————————————————————————————————————————————————————————————————————</w:t>
      </w:r>
    </w:p>
    <w:p>
      <w:pPr>
        <w:spacing w:before="160" w:after="40" w:line="240" w:lineRule="auto"/>
      </w:pPr>
      <w:r>
        <w:rPr>
          <w:b/>
        </w:rPr>
        <w:t xml:space="preserve">[126] </w:t>
      </w:r>
      <w:hyperlink r:id="rId829">
        <w:r>
          <w:rPr>
            <w:color w:val="1155CC"/>
            <w:u w:val="single"/>
          </w:rPr>
          <w:t>新产品</w:t>
        </w:r>
      </w:hyperlink>
    </w:p>
    <w:p>
      <w:pPr>
        <w:spacing w:before="0" w:after="80"/>
      </w:pPr>
      <w:r>
        <w:rPr>
          <w:i/>
          <w:sz w:val="20"/>
        </w:rPr>
        <w:t>EN: New Products</w:t>
      </w:r>
    </w:p>
    <w:p>
      <w:pPr>
        <w:spacing w:before="0" w:after="120"/>
      </w:pPr>
      <w:r>
        <w:rPr>
          <w:b/>
        </w:rPr>
        <w:t xml:space="preserve">Source: </w:t>
      </w:r>
      <w:r>
        <w:t>AAAS: Science: Table of Contents</w:t>
      </w:r>
      <w:r>
        <w:t xml:space="preserve">    </w:t>
      </w:r>
      <w:r>
        <w:rPr>
          <w:b/>
        </w:rPr>
        <w:t xml:space="preserve">Pub date: </w:t>
      </w:r>
      <w:r>
        <w:t>2026-08-14 08:20:27+00:00</w:t>
      </w:r>
      <w:r>
        <w:t xml:space="preserve">    </w:t>
      </w:r>
      <w:r>
        <w:rPr>
          <w:b/>
        </w:rPr>
        <w:t xml:space="preserve">DOI: </w:t>
      </w:r>
      <w:hyperlink r:id="rId830">
        <w:r>
          <w:rPr>
            <w:color w:val="1155CC"/>
            <w:u w:val="single"/>
          </w:rPr>
          <w:t>10.1126/science.ael5176</w:t>
        </w:r>
      </w:hyperlink>
    </w:p>
    <w:p>
      <w:pPr>
        <w:spacing w:before="0" w:after="120"/>
      </w:pPr>
      <w:r>
        <w:rPr>
          <w:b/>
        </w:rPr>
        <w:t xml:space="preserve">Notes: </w:t>
      </w:r>
      <w:r>
        <w:t>abstract_source=crossref</w:t>
      </w:r>
    </w:p>
    <w:p>
      <w:pPr>
        <w:spacing w:before="0" w:after="80" w:lineRule="auto" w:line="276"/>
      </w:pPr>
      <w:r>
        <w:rPr>
          <w:b/>
        </w:rPr>
        <w:t xml:space="preserve">摘要（ZH）: </w:t>
      </w:r>
      <w:r>
        <w:t>每周汇总有关研究人员可能感兴趣的新提供的仪器、设备和实验室材料的信息。</w:t>
      </w:r>
    </w:p>
    <w:p>
      <w:pPr>
        <w:spacing w:before="0" w:after="200" w:lineRule="auto" w:line="276"/>
      </w:pPr>
      <w:r>
        <w:rPr>
          <w:b/>
        </w:rPr>
        <w:t xml:space="preserve">Abstract (EN): </w:t>
      </w:r>
      <w:r>
        <w:t>A weekly roundup of information on newly offered instrumentation, apparatus, and laboratory materials of potential interest to researchers.</w:t>
      </w:r>
    </w:p>
    <w:p>
      <w:pPr>
        <w:spacing w:before="120" w:after="120"/>
      </w:pPr>
      <w:r>
        <w:rPr>
          <w:sz w:val="18"/>
        </w:rPr>
        <w:t>——————————————————————————————————————————————————————————————————————</w:t>
      </w:r>
    </w:p>
    <w:p>
      <w:pPr>
        <w:spacing w:before="160" w:after="40" w:line="240" w:lineRule="auto"/>
      </w:pPr>
      <w:r>
        <w:rPr>
          <w:b/>
        </w:rPr>
        <w:t xml:space="preserve">[127] </w:t>
      </w:r>
      <w:hyperlink r:id="rId831">
        <w:r>
          <w:rPr>
            <w:color w:val="1155CC"/>
            <w:u w:val="single"/>
          </w:rPr>
          <w:t>量子非马尔可夫 Hatano-Nelson 模型</w:t>
        </w:r>
      </w:hyperlink>
    </w:p>
    <w:p>
      <w:pPr>
        <w:spacing w:before="0" w:after="80"/>
      </w:pPr>
      <w:r>
        <w:rPr>
          <w:i/>
          <w:sz w:val="20"/>
        </w:rPr>
        <w:t>EN: Quantum Non-Markovian Hatano-Nelson Model</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32">
        <w:r>
          <w:rPr>
            <w:color w:val="1155CC"/>
            <w:u w:val="single"/>
          </w:rPr>
          <w:t>10.1103/wsvz-mstf</w:t>
        </w:r>
      </w:hyperlink>
    </w:p>
    <w:p>
      <w:pPr>
        <w:spacing w:before="0" w:after="120"/>
      </w:pPr>
      <w:r>
        <w:rPr>
          <w:b/>
        </w:rPr>
        <w:t xml:space="preserve">Notes: </w:t>
      </w:r>
      <w:r>
        <w:t>abstract_source=rss_description</w:t>
      </w:r>
    </w:p>
    <w:p>
      <w:pPr>
        <w:spacing w:before="0" w:after="80" w:lineRule="auto" w:line="276"/>
      </w:pPr>
      <w:r>
        <w:rPr>
          <w:b/>
        </w:rPr>
        <w:t xml:space="preserve">摘要（ZH）: </w:t>
      </w:r>
      <w:r>
        <w:t>作者：Sumit Kumar Jana、Ryo Hanai、Tan Van Vu、Hisao Hayakawa 和 Archak Purkayastha 虽然考虑在存在耗散的情况下出现非厄米哈密顿量，但在大多数情况下，耗散被认为是与频率无关的。然而，这种理想化可能并不总是适用于实验设置，其中耗散可能与频率相关。这种频率深度......[物理。莱特牧师。 137, 070404] 发布于 2026 年 8 月 14 日星期五</w:t>
      </w:r>
    </w:p>
    <w:p>
      <w:pPr>
        <w:spacing w:before="0" w:after="200" w:lineRule="auto" w:line="276"/>
      </w:pPr>
      <w:r>
        <w:rPr>
          <w:b/>
        </w:rPr>
        <w:t xml:space="preserve">Abstract (EN): </w:t>
      </w:r>
      <w:r>
        <w:t>Author(s): Sumit Kumar Jana, Ryo Hanai, Tan Van Vu, Hisao Hayakawa, and Archak PurkayasthaWhile considering non-Hermitian Hamiltonians arising in the presence of dissipation, in most cases, the dissipation is taken to be frequency-independent. However, this idealization may not always be applicable in experimental settings, where dissipation can be frequency-dependent. Such frequency-dep…[Phys. Rev. Lett. 137, 070404] Published Fri Aug 14, 2026</w:t>
      </w:r>
    </w:p>
    <w:p>
      <w:pPr>
        <w:spacing w:before="120" w:after="120"/>
      </w:pPr>
      <w:r>
        <w:rPr>
          <w:sz w:val="18"/>
        </w:rPr>
        <w:t>——————————————————————————————————————————————————————————————————————</w:t>
      </w:r>
    </w:p>
    <w:p>
      <w:pPr>
        <w:spacing w:before="160" w:after="40" w:line="240" w:lineRule="auto"/>
      </w:pPr>
      <w:r>
        <w:rPr>
          <w:b/>
        </w:rPr>
        <w:t xml:space="preserve">[128] </w:t>
      </w:r>
      <w:hyperlink r:id="rId833">
        <w:r>
          <w:rPr>
            <w:color w:val="1155CC"/>
            <w:u w:val="single"/>
          </w:rPr>
          <w:t>接近多体物理量子多参数估计的极限</w:t>
        </w:r>
      </w:hyperlink>
    </w:p>
    <w:p>
      <w:pPr>
        <w:spacing w:before="0" w:after="80"/>
      </w:pPr>
      <w:r>
        <w:rPr>
          <w:i/>
          <w:sz w:val="20"/>
        </w:rPr>
        <w:t>EN: Approaching the Ultimate Limit of Quantum Multiparameter Estimation by Many-Body Physics</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34">
        <w:r>
          <w:rPr>
            <w:color w:val="1155CC"/>
            <w:u w:val="single"/>
          </w:rPr>
          <w:t>10.1103/cghv-j44h</w:t>
        </w:r>
      </w:hyperlink>
    </w:p>
    <w:p>
      <w:pPr>
        <w:spacing w:before="0" w:after="120"/>
      </w:pPr>
      <w:r>
        <w:rPr>
          <w:b/>
        </w:rPr>
        <w:t xml:space="preserve">Notes: </w:t>
      </w:r>
      <w:r>
        <w:t>abstract_source=rss_description</w:t>
      </w:r>
    </w:p>
    <w:p>
      <w:pPr>
        <w:spacing w:before="0" w:after="80" w:lineRule="auto" w:line="276"/>
      </w:pPr>
      <w:r>
        <w:rPr>
          <w:b/>
        </w:rPr>
        <w:t xml:space="preserve">摘要（ZH）: </w:t>
      </w:r>
      <w:r>
        <w:t>作者：Mankei Tsang我提出了一种对多个独立且同分布的量子物体进行物理测量的方案，以接近量子多参数估计的 Holevo-Nagaoka 界限。该方案需要物体与玻色子附属物进行物理相互作用，然后进行一般达因测量……[物理。莱特牧师。 137, 070804] 发布于 2026 年 8 月 14 日星期五</w:t>
      </w:r>
    </w:p>
    <w:p>
      <w:pPr>
        <w:spacing w:before="0" w:after="200" w:lineRule="auto" w:line="276"/>
      </w:pPr>
      <w:r>
        <w:rPr>
          <w:b/>
        </w:rPr>
        <w:t xml:space="preserve">Abstract (EN): </w:t>
      </w:r>
      <w:r>
        <w:t>Author(s): Mankei TsangI propose a physical measurement scheme on multiple independent and identically distributed quantum objects to approach the Holevo-Nagaoka bound for quantum multiparameter estimation. The scheme entails a physical interaction of the objects with bosonic ancillae, followed by a general-dyne measureme…[Phys. Rev. Lett. 137, 070804] Published Fri Aug 14, 2026</w:t>
      </w:r>
    </w:p>
    <w:p>
      <w:pPr>
        <w:spacing w:before="120" w:after="120"/>
      </w:pPr>
      <w:r>
        <w:rPr>
          <w:sz w:val="18"/>
        </w:rPr>
        <w:t>——————————————————————————————————————————————————————————————————————</w:t>
      </w:r>
    </w:p>
    <w:p>
      <w:pPr>
        <w:spacing w:before="160" w:after="40" w:line="240" w:lineRule="auto"/>
      </w:pPr>
      <w:r>
        <w:rPr>
          <w:b/>
        </w:rPr>
        <w:t xml:space="preserve">[129] </w:t>
      </w:r>
      <w:hyperlink r:id="rId835">
        <w:r>
          <w:rPr>
            <w:color w:val="1155CC"/>
            <w:u w:val="single"/>
          </w:rPr>
          <w:t>GW241011 对旋转奇异紧凑物体的影响</w:t>
        </w:r>
      </w:hyperlink>
    </w:p>
    <w:p>
      <w:pPr>
        <w:spacing w:before="0" w:after="80"/>
      </w:pPr>
      <w:r>
        <w:rPr>
          <w:i/>
          <w:sz w:val="20"/>
        </w:rPr>
        <w:t>EN: Implications of GW241011 for Rotating Exotic Compact Objects</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36">
        <w:r>
          <w:rPr>
            <w:color w:val="1155CC"/>
            <w:u w:val="single"/>
          </w:rPr>
          <w:t>10.1103/29y5-nx9y</w:t>
        </w:r>
      </w:hyperlink>
    </w:p>
    <w:p>
      <w:pPr>
        <w:spacing w:before="0" w:after="120"/>
      </w:pPr>
      <w:r>
        <w:rPr>
          <w:b/>
        </w:rPr>
        <w:t xml:space="preserve">Notes: </w:t>
      </w:r>
      <w:r>
        <w:t>abstract_source=rss_description</w:t>
      </w:r>
    </w:p>
    <w:p>
      <w:pPr>
        <w:spacing w:before="0" w:after="80" w:lineRule="auto" w:line="276"/>
      </w:pPr>
      <w:r>
        <w:rPr>
          <w:b/>
        </w:rPr>
        <w:t xml:space="preserve">摘要（ZH）: </w:t>
      </w:r>
      <w:r>
        <w:t>作者：N. V. Krishnendu、Tamara Evstafyeva、Aditya Vijaykumar、William E. East、Rimo Das、Sayantani Datta、Nils Siemonsen、Nami Uchikata、Poulami Dutta Roy、Anuradha Gupta、Ish Gupta、Syed U. Naqvi、Manuel Piarulli、Muhammed Saleem、Elise M. Sänger、 Pratyusava Baral、Sajad A. Bhat、Thomas A. Callister、Mattia Emma 和 Carl-Johan Haster 几个理论建议描述了可以在引力波特征中模仿黑洞的无地平线致密天体；然而，它们的自旋诱导四极矩（SIQM）可能揭示它们独特的性质。使用 GW241011 的 SIQM 的严格界限，我们对 n…[Phys.莱特牧师。 137, 071402] 发布于 2026 年 8 月 14 日星期五</w:t>
      </w:r>
    </w:p>
    <w:p>
      <w:pPr>
        <w:spacing w:before="0" w:after="200" w:lineRule="auto" w:line="276"/>
      </w:pPr>
      <w:r>
        <w:rPr>
          <w:b/>
        </w:rPr>
        <w:t xml:space="preserve">Abstract (EN): </w:t>
      </w:r>
      <w:r>
        <w:t>Author(s): N. V. Krishnendu, Tamara Evstafyeva, Aditya Vijaykumar, William E. East, Rimo Das, Sayantani Datta, Nils Siemonsen, Nami Uchikata, Poulami Dutta Roy, Anuradha Gupta, Ish Gupta, Syed U. Naqvi, Manuel Piarulli, Muhammed Saleem, Elise M. Sänger, Pratyusava Baral, Sajad A. Bhat, Thomas A. Callister, Mattia Emma, and Carl-Johan HasterSeveral theoretical proposals describe horizonless compact objects that can mimic black holes in their gravitational wave signatures; however, their spin-induced quadrupole moments (SIQMs) may reveal their distinct nature. Using the tight bounds on the SIQM of GW241011, we place constraints on the n…[Phys. Rev. Lett. 137, 071402] Published Fri Aug 14, 2026</w:t>
      </w:r>
    </w:p>
    <w:p>
      <w:pPr>
        <w:spacing w:before="120" w:after="120"/>
      </w:pPr>
      <w:r>
        <w:rPr>
          <w:sz w:val="18"/>
        </w:rPr>
        <w:t>——————————————————————————————————————————————————————————————————————</w:t>
      </w:r>
    </w:p>
    <w:p>
      <w:pPr>
        <w:spacing w:before="160" w:after="40" w:line="240" w:lineRule="auto"/>
      </w:pPr>
      <w:r>
        <w:rPr>
          <w:b/>
        </w:rPr>
        <w:t xml:space="preserve">[130] </w:t>
      </w:r>
      <w:hyperlink r:id="rId837">
        <w:r>
          <w:rPr>
            <w:color w:val="1155CC"/>
            <w:u w:val="single"/>
          </w:rPr>
          <w:t>多$\mathrm{Λ}$超子对原子核集体模式的影响</w:t>
        </w:r>
      </w:hyperlink>
    </w:p>
    <w:p>
      <w:pPr>
        <w:spacing w:before="0" w:after="80"/>
      </w:pPr>
      <w:r>
        <w:rPr>
          <w:i/>
          <w:sz w:val="20"/>
        </w:rPr>
        <w:t>EN: Effects of multi-$\mathrm{Λ}$ hyperons on collective modes in nuclei</w:t>
      </w:r>
    </w:p>
    <w:p>
      <w:pPr>
        <w:spacing w:before="0" w:after="120"/>
      </w:pPr>
      <w:r>
        <w:rPr>
          <w:b/>
        </w:rPr>
        <w:t xml:space="preserve">Source: </w:t>
      </w:r>
      <w:r>
        <w:t>Recent Articles in Phys. Rev. C</w:t>
      </w:r>
      <w:r>
        <w:t xml:space="preserve">    </w:t>
      </w:r>
      <w:r>
        <w:rPr>
          <w:b/>
        </w:rPr>
        <w:t xml:space="preserve">Pub date: </w:t>
      </w:r>
      <w:r>
        <w:t>2026-08-14 10:00:00+00:00</w:t>
      </w:r>
      <w:r>
        <w:t xml:space="preserve">    </w:t>
      </w:r>
      <w:r>
        <w:rPr>
          <w:b/>
        </w:rPr>
        <w:t xml:space="preserve">DOI: </w:t>
      </w:r>
      <w:hyperlink r:id="rId838">
        <w:r>
          <w:rPr>
            <w:color w:val="1155CC"/>
            <w:u w:val="single"/>
          </w:rPr>
          <w:t>10.1103/mg5m-b94l</w:t>
        </w:r>
      </w:hyperlink>
    </w:p>
    <w:p>
      <w:pPr>
        <w:spacing w:before="0" w:after="120"/>
      </w:pPr>
      <w:r>
        <w:rPr>
          <w:b/>
        </w:rPr>
        <w:t xml:space="preserve">Notes: </w:t>
      </w:r>
      <w:r>
        <w:t>abstract_source=rss_description</w:t>
      </w:r>
    </w:p>
    <w:p>
      <w:pPr>
        <w:spacing w:before="0" w:after="80" w:lineRule="auto" w:line="276"/>
      </w:pPr>
      <w:r>
        <w:rPr>
          <w:b/>
        </w:rPr>
        <w:t xml:space="preserve">摘要（ZH）: </w:t>
      </w:r>
      <w:r>
        <w:t>作者：Bahruz Suleymanli、Kutsal Bozkurt、Elias Khan、Haşim Güven 和 Jérôme Margueron 使用自洽 Hartree-Fock $+$ 随机相位近似研究 $\mathrm{Λ}$ 超子对闭壳多 $\mathrm{Λ}$ Ca、Ni、Sn 和 Pb 超核激发态性质的动力学影响在坐标空间中。等标量 m 的强度分布...[物理。 Rev. C 114, 024325] 发布于 2026 年 8 月 14 日星期五</w:t>
      </w:r>
    </w:p>
    <w:p>
      <w:pPr>
        <w:spacing w:before="0" w:after="200" w:lineRule="auto" w:line="276"/>
      </w:pPr>
      <w:r>
        <w:rPr>
          <w:b/>
        </w:rPr>
        <w:t xml:space="preserve">Abstract (EN): </w:t>
      </w:r>
      <w:r>
        <w:t>Author(s): Bahruz Suleymanli, Kutsal Bozkurt, Elias Khan, Haşim Güven, and Jérôme MargueronThe dynamical influence of $\mathrm{Λ}$ hyperons on the excited-state properties of closed-shell multi-$\mathrm{Λ}$ Ca, Ni, Sn, and Pb hypernuclei is investigated using the self-consistent Hartree-Fock $+$ Random Phase Approximation in coordinate space. The strength distributions for the isoscalar m…[Phys. Rev. C 114, 024325] Published Fri Aug 14, 2026</w:t>
      </w:r>
    </w:p>
    <w:p>
      <w:pPr>
        <w:spacing w:before="120" w:after="120"/>
      </w:pPr>
      <w:r>
        <w:rPr>
          <w:sz w:val="18"/>
        </w:rPr>
        <w:t>——————————————————————————————————————————————————————————————————————</w:t>
      </w:r>
    </w:p>
    <w:p>
      <w:pPr>
        <w:spacing w:before="160" w:after="40" w:line="240" w:lineRule="auto"/>
      </w:pPr>
      <w:r>
        <w:rPr>
          <w:b/>
        </w:rPr>
        <w:t xml:space="preserve">[131] </w:t>
      </w:r>
      <w:hyperlink r:id="rId839">
        <w:r>
          <w:rPr>
            <w:color w:val="1155CC"/>
            <w:u w:val="single"/>
          </w:rPr>
          <w:t>月球园艺：指导在月球风化层中搜索超新星碎片的平流扩散模型</w:t>
        </w:r>
      </w:hyperlink>
    </w:p>
    <w:p>
      <w:pPr>
        <w:spacing w:before="0" w:after="80"/>
      </w:pPr>
      <w:r>
        <w:rPr>
          <w:i/>
          <w:sz w:val="20"/>
        </w:rPr>
        <w:t>EN: Gardening on the Moon: An Advection-Diffusion Model to Guide the Search for Supernova Debris in the Lunar Regolith</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40">
        <w:r>
          <w:rPr>
            <w:color w:val="1155CC"/>
            <w:u w:val="single"/>
          </w:rPr>
          <w:t>10.1103/14kh-nkgl</w:t>
        </w:r>
      </w:hyperlink>
    </w:p>
    <w:p>
      <w:pPr>
        <w:spacing w:before="0" w:after="120"/>
      </w:pPr>
      <w:r>
        <w:rPr>
          <w:b/>
        </w:rPr>
        <w:t xml:space="preserve">Notes: </w:t>
      </w:r>
      <w:r>
        <w:t>abstract_source=rss_description</w:t>
      </w:r>
    </w:p>
    <w:p>
      <w:pPr>
        <w:spacing w:before="0" w:after="80" w:lineRule="auto" w:line="276"/>
      </w:pPr>
      <w:r>
        <w:rPr>
          <w:b/>
        </w:rPr>
        <w:t xml:space="preserve">摘要（ZH）: </w:t>
      </w:r>
      <w:r>
        <w:t>作者：艾米丽·S·科斯特洛 (Emily S. Costello)、约翰·埃利斯 (John Ellis)、布莱恩·D·菲尔兹 (Brian D. Fields)、丽贝卡·苏尔曼 (Rebecca Surman) 和王西鲁 一个捕捉陨石坑形成影响如何重新分布月球污垢的模型将帮助研究人员解读从月球返回的样本中发现的宇宙时间线。莱特牧师。 137, 071005] 发布于 2026 年 8 月 14 日星期五</w:t>
      </w:r>
    </w:p>
    <w:p>
      <w:pPr>
        <w:spacing w:before="0" w:after="200" w:lineRule="auto" w:line="276"/>
      </w:pPr>
      <w:r>
        <w:rPr>
          <w:b/>
        </w:rPr>
        <w:t xml:space="preserve">Abstract (EN): </w:t>
      </w:r>
      <w:r>
        <w:t>Author(s): Emily S. Costello, John Ellis, Brian D. Fields, Rebecca Surman, and Xilu WangA model that captures how crater-forming impacts redistribute lunar dirt will help researchers read the cosmic timeline found in samples returned from the Moon.[Phys. Rev. Lett. 137, 071005] Published Fri Aug 14, 2026</w:t>
      </w:r>
    </w:p>
    <w:p>
      <w:pPr>
        <w:spacing w:before="120" w:after="120"/>
      </w:pPr>
      <w:r>
        <w:rPr>
          <w:sz w:val="18"/>
        </w:rPr>
        <w:t>——————————————————————————————————————————————————————————————————————</w:t>
      </w:r>
    </w:p>
    <w:p>
      <w:pPr>
        <w:spacing w:before="160" w:after="40" w:line="240" w:lineRule="auto"/>
      </w:pPr>
      <w:r>
        <w:rPr>
          <w:b/>
        </w:rPr>
        <w:t xml:space="preserve">[132] </w:t>
      </w:r>
      <w:hyperlink r:id="rId841">
        <w:r>
          <w:rPr>
            <w:color w:val="1155CC"/>
            <w:u w:val="single"/>
          </w:rPr>
          <w:t>微扰 QCD 对弹性 $ep$ 散射的 $γZ$ 交换贡献</w:t>
        </w:r>
      </w:hyperlink>
    </w:p>
    <w:p>
      <w:pPr>
        <w:spacing w:before="0" w:after="80"/>
      </w:pPr>
      <w:r>
        <w:rPr>
          <w:i/>
          <w:sz w:val="20"/>
        </w:rPr>
        <w:t>EN: $γZ$-exchange contribution in elastic $ep$ scattering by perturbative QCD</w:t>
      </w:r>
    </w:p>
    <w:p>
      <w:pPr>
        <w:spacing w:before="0" w:after="120"/>
      </w:pPr>
      <w:r>
        <w:rPr>
          <w:b/>
        </w:rPr>
        <w:t xml:space="preserve">Source: </w:t>
      </w:r>
      <w:r>
        <w:t>Recent Articles in Phys. Rev. C</w:t>
      </w:r>
      <w:r>
        <w:t xml:space="preserve">    </w:t>
      </w:r>
      <w:r>
        <w:rPr>
          <w:b/>
        </w:rPr>
        <w:t xml:space="preserve">Pub date: </w:t>
      </w:r>
      <w:r>
        <w:t>2026-08-14 10:00:00+00:00</w:t>
      </w:r>
      <w:r>
        <w:t xml:space="preserve">    </w:t>
      </w:r>
      <w:r>
        <w:rPr>
          <w:b/>
        </w:rPr>
        <w:t xml:space="preserve">DOI: </w:t>
      </w:r>
      <w:hyperlink r:id="rId842">
        <w:r>
          <w:rPr>
            <w:color w:val="1155CC"/>
            <w:u w:val="single"/>
          </w:rPr>
          <w:t>10.1103/8j1r-3yxl</w:t>
        </w:r>
      </w:hyperlink>
    </w:p>
    <w:p>
      <w:pPr>
        <w:spacing w:before="0" w:after="120"/>
      </w:pPr>
      <w:r>
        <w:rPr>
          <w:b/>
        </w:rPr>
        <w:t xml:space="preserve">Notes: </w:t>
      </w:r>
      <w:r>
        <w:t>abstract_source=rss_description</w:t>
      </w:r>
    </w:p>
    <w:p>
      <w:pPr>
        <w:spacing w:before="0" w:after="80" w:lineRule="auto" w:line="276"/>
      </w:pPr>
      <w:r>
        <w:rPr>
          <w:b/>
        </w:rPr>
        <w:t xml:space="preserve">摘要（ZH）: </w:t>
      </w:r>
      <w:r>
        <w:t>作者：Qian-Qian Guo、Hui-Yun Cao 和 Hai-Qing Zhou 在这项研究中，我们计算了微扰量子色动力学 (pQCD) 中大动量传递时 $γZ$ 交换对弹性 $ep$ 散射的贡献。我们提出了 $γZ$ 交换对振幅贡献的解析表达式。我们还估计了......[物理。 Rev. C 114, 025204] 发布于 2026 年 8 月 14 日星期五</w:t>
      </w:r>
    </w:p>
    <w:p>
      <w:pPr>
        <w:spacing w:before="0" w:after="200" w:lineRule="auto" w:line="276"/>
      </w:pPr>
      <w:r>
        <w:rPr>
          <w:b/>
        </w:rPr>
        <w:t xml:space="preserve">Abstract (EN): </w:t>
      </w:r>
      <w:r>
        <w:t>Author(s): Qian-Qian Guo, Hui-Yun Cao, and Hai-Qing ZhouIn this study, we calculate the $γZ$-exchange contribution to elastic $ep$ scattering at large momentum transfer within perturbative quantum chromodynamics (pQCD). We present analytical expressions for the $γZ$-exchange contributions to the amplitudes. We also estimate the asymptotic behaviors of th…[Phys. Rev. C 114, 025204] Published Fri Aug 14, 2026</w:t>
      </w:r>
    </w:p>
    <w:p>
      <w:pPr>
        <w:spacing w:before="120" w:after="120"/>
      </w:pPr>
      <w:r>
        <w:rPr>
          <w:sz w:val="18"/>
        </w:rPr>
        <w:t>——————————————————————————————————————————————————————————————————————</w:t>
      </w:r>
    </w:p>
    <w:p>
      <w:pPr>
        <w:spacing w:before="160" w:after="40" w:line="240" w:lineRule="auto"/>
      </w:pPr>
      <w:r>
        <w:rPr>
          <w:b/>
        </w:rPr>
        <w:t xml:space="preserve">[133] </w:t>
      </w:r>
      <w:hyperlink r:id="rId843">
        <w:r>
          <w:rPr>
            <w:color w:val="1155CC"/>
            <w:u w:val="single"/>
          </w:rPr>
          <w:t>共振玻色-费米混合物中的量子液滴</w:t>
        </w:r>
      </w:hyperlink>
    </w:p>
    <w:p>
      <w:pPr>
        <w:spacing w:before="0" w:after="80"/>
      </w:pPr>
      <w:r>
        <w:rPr>
          <w:i/>
          <w:sz w:val="20"/>
        </w:rPr>
        <w:t>EN: Quantum Droplets in a Resonant Bose-Fermi Mixture</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44">
        <w:r>
          <w:rPr>
            <w:color w:val="1155CC"/>
            <w:u w:val="single"/>
          </w:rPr>
          <w:t>10.1103/5pr6-5fmd</w:t>
        </w:r>
      </w:hyperlink>
    </w:p>
    <w:p>
      <w:pPr>
        <w:spacing w:before="0" w:after="120"/>
      </w:pPr>
      <w:r>
        <w:rPr>
          <w:b/>
        </w:rPr>
        <w:t xml:space="preserve">Notes: </w:t>
      </w:r>
      <w:r>
        <w:t>abstract_source=rss_description</w:t>
      </w:r>
    </w:p>
    <w:p>
      <w:pPr>
        <w:spacing w:before="0" w:after="80" w:lineRule="auto" w:line="276"/>
      </w:pPr>
      <w:r>
        <w:rPr>
          <w:b/>
        </w:rPr>
        <w:t xml:space="preserve">摘要（ZH）: </w:t>
      </w:r>
      <w:r>
        <w:t>作者：Sam Foster、Olivier Bleu、Jesper Levinsen 和 Meera M. Parish 我们研究费米气体与弱排斥玻色-爱因斯坦凝聚体在零温度下相互作用的典型问题。为了探索整个玻色子-费米子相互作用的量子相，我们构建了一个多功能的变分 Ansatz，它结合了配对相关性和相关性……[Phys.莱特牧师。 137, 073402] 发布于 2026 年 8 月 14 日星期五</w:t>
      </w:r>
    </w:p>
    <w:p>
      <w:pPr>
        <w:spacing w:before="0" w:after="200" w:lineRule="auto" w:line="276"/>
      </w:pPr>
      <w:r>
        <w:rPr>
          <w:b/>
        </w:rPr>
        <w:t xml:space="preserve">Abstract (EN): </w:t>
      </w:r>
      <w:r>
        <w:t>Author(s): Sam Foster, Olivier Bleu, Jesper Levinsen, and Meera M. ParishWe study the canonical problem of a Fermi gas interacting with a weakly repulsive Bose-Einstein condensate at zero temperature. To explore the quantum phases across the full range of boson-fermion interactions, we construct a versatile variational Ansatz that incorporates pair correlations and corre…[Phys. Rev. Lett. 137, 073402] Published Fri Aug 14, 2026</w:t>
      </w:r>
    </w:p>
    <w:p>
      <w:pPr>
        <w:spacing w:before="120" w:after="120"/>
      </w:pPr>
      <w:r>
        <w:rPr>
          <w:sz w:val="18"/>
        </w:rPr>
        <w:t>——————————————————————————————————————————————————————————————————————</w:t>
      </w:r>
    </w:p>
    <w:p>
      <w:pPr>
        <w:spacing w:before="160" w:after="40" w:line="240" w:lineRule="auto"/>
      </w:pPr>
      <w:r>
        <w:rPr>
          <w:b/>
        </w:rPr>
        <w:t xml:space="preserve">[134] </w:t>
      </w:r>
      <w:hyperlink r:id="rId845">
        <w:r>
          <w:rPr>
            <w:color w:val="1155CC"/>
            <w:u w:val="single"/>
          </w:rPr>
          <w:t>综合维度中的非局部非线性实现的拓扑状态</w:t>
        </w:r>
      </w:hyperlink>
    </w:p>
    <w:p>
      <w:pPr>
        <w:spacing w:before="0" w:after="80"/>
      </w:pPr>
      <w:r>
        <w:rPr>
          <w:i/>
          <w:sz w:val="20"/>
        </w:rPr>
        <w:t>EN: Topological States Enabled by Nonlocal Nonlinearity in Synthetic Dimensions</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46">
        <w:r>
          <w:rPr>
            <w:color w:val="1155CC"/>
            <w:u w:val="single"/>
          </w:rPr>
          <w:t>10.1103/j9hv-7cfg</w:t>
        </w:r>
      </w:hyperlink>
    </w:p>
    <w:p>
      <w:pPr>
        <w:spacing w:before="0" w:after="120"/>
      </w:pPr>
      <w:r>
        <w:rPr>
          <w:b/>
        </w:rPr>
        <w:t xml:space="preserve">Notes: </w:t>
      </w:r>
      <w:r>
        <w:t>abstract_source=rss_description</w:t>
      </w:r>
    </w:p>
    <w:p>
      <w:pPr>
        <w:spacing w:before="0" w:after="80" w:lineRule="auto" w:line="276"/>
      </w:pPr>
      <w:r>
        <w:rPr>
          <w:b/>
        </w:rPr>
        <w:t xml:space="preserve">摘要（ZH）: </w:t>
      </w:r>
      <w:r>
        <w:t>作者：Chong-Xiao Chen、Zheng-Wei Zhou、Han Pu 和 Xi-Wang Luo 拓扑学和非线性之间的相互作用是现代物理学的一个核心挑战。在这里，我们通过考虑具有所有非局域相互作用的合成 Su-Schrieffer-Heeger 晶格来研究这种相互作用。我们发现独特的非线性保持了有效的手性......[物理。莱特牧师。 137, 073803] 发布于 2026 年 8 月 14 日星期五</w:t>
      </w:r>
    </w:p>
    <w:p>
      <w:pPr>
        <w:spacing w:before="0" w:after="200" w:lineRule="auto" w:line="276"/>
      </w:pPr>
      <w:r>
        <w:rPr>
          <w:b/>
        </w:rPr>
        <w:t xml:space="preserve">Abstract (EN): </w:t>
      </w:r>
      <w:r>
        <w:t>Author(s): Chong-Xiao Chen, Zheng-Wei Zhou, Han Pu, and Xi-Wang LuoThe interplay between topology and nonlinearity represents a central challenge in modern physics. Here, we investigate this interplay by considering a synthetic Su-Schrieffer-Heeger lattice with all-to-all nonlocal interactions. We find that the distinctive nonlinearity maintains an effective chiral…[Phys. Rev. Lett. 137, 073803] Published Fri Aug 14, 2026</w:t>
      </w:r>
    </w:p>
    <w:p>
      <w:pPr>
        <w:spacing w:before="120" w:after="120"/>
      </w:pPr>
      <w:r>
        <w:rPr>
          <w:sz w:val="18"/>
        </w:rPr>
        <w:t>——————————————————————————————————————————————————————————————————————</w:t>
      </w:r>
    </w:p>
    <w:p>
      <w:pPr>
        <w:spacing w:before="160" w:after="40" w:line="240" w:lineRule="auto"/>
      </w:pPr>
      <w:r>
        <w:rPr>
          <w:b/>
        </w:rPr>
        <w:t xml:space="preserve">[135] </w:t>
      </w:r>
      <w:hyperlink r:id="rId847">
        <w:r>
          <w:rPr>
            <w:color w:val="1155CC"/>
            <w:u w:val="single"/>
          </w:rPr>
          <w:t>从无序到完美晶体有序极限的通用干扰临界值和自组织原理</w:t>
        </w:r>
      </w:hyperlink>
    </w:p>
    <w:p>
      <w:pPr>
        <w:spacing w:before="0" w:after="80"/>
      </w:pPr>
      <w:r>
        <w:rPr>
          <w:i/>
          <w:sz w:val="20"/>
        </w:rPr>
        <w:t>EN: Universal Jamming Criticality and Self-Organizing Principles from Disorder to the Limit of Perfect Crystalline Order</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48">
        <w:r>
          <w:rPr>
            <w:color w:val="1155CC"/>
            <w:u w:val="single"/>
          </w:rPr>
          <w:t>10.1103/lyqg-k6tk</w:t>
        </w:r>
      </w:hyperlink>
    </w:p>
    <w:p>
      <w:pPr>
        <w:spacing w:before="0" w:after="120"/>
      </w:pPr>
      <w:r>
        <w:rPr>
          <w:b/>
        </w:rPr>
        <w:t xml:space="preserve">Notes: </w:t>
      </w:r>
      <w:r>
        <w:t>abstract_source=rss_description</w:t>
      </w:r>
    </w:p>
    <w:p>
      <w:pPr>
        <w:spacing w:before="0" w:after="80" w:lineRule="auto" w:line="276"/>
      </w:pPr>
      <w:r>
        <w:rPr>
          <w:b/>
        </w:rPr>
        <w:t xml:space="preserve">摘要（ZH）: </w:t>
      </w:r>
      <w:r>
        <w:t>作者：张建华、司嘉琪、徐宁和童华虽然晶体是由周期序定义的，但无定形固体由于其无序、多样化和非平衡结构，其性质仍然难以捉摸。在这里，我们专注于卡住的弹性填料，并系统地调整结构从晶体到完全无序，以揭示......[物理。莱特牧师。 137, 078201] 发布于 2026 年 8 月 14 日星期五</w:t>
      </w:r>
    </w:p>
    <w:p>
      <w:pPr>
        <w:spacing w:before="0" w:after="200" w:lineRule="auto" w:line="276"/>
      </w:pPr>
      <w:r>
        <w:rPr>
          <w:b/>
        </w:rPr>
        <w:t xml:space="preserve">Abstract (EN): </w:t>
      </w:r>
      <w:r>
        <w:t>Author(s): Jianhua Zhang, Jiaqi Si, Ning Xu, and Hua TongWhile crystals are defined by periodic order, the nature of amorphous solids remains elusive due to their disordered, diverse, and nonequilibrium structures. Here, we focus on jammed elastic packings and systematically tune structure from crystalline to fully disordered to unveil the universal under…[Phys. Rev. Lett. 137, 078201] Published Fri Aug 14, 2026</w:t>
      </w:r>
    </w:p>
    <w:p>
      <w:pPr>
        <w:spacing w:before="120" w:after="120"/>
      </w:pPr>
      <w:r>
        <w:rPr>
          <w:sz w:val="18"/>
        </w:rPr>
        <w:t>——————————————————————————————————————————————————————————————————————</w:t>
      </w:r>
    </w:p>
    <w:p>
      <w:pPr>
        <w:spacing w:before="160" w:after="40" w:line="240" w:lineRule="auto"/>
      </w:pPr>
      <w:r>
        <w:rPr>
          <w:b/>
        </w:rPr>
        <w:t xml:space="preserve">[136] </w:t>
      </w:r>
      <w:hyperlink r:id="rId849">
        <w:r>
          <w:rPr>
            <w:color w:val="1155CC"/>
            <w:u w:val="single"/>
          </w:rPr>
          <w:t>拓扑临界点附近半满陈能带的电磁响应</w:t>
        </w:r>
      </w:hyperlink>
    </w:p>
    <w:p>
      <w:pPr>
        <w:spacing w:before="0" w:after="80"/>
      </w:pPr>
      <w:r>
        <w:rPr>
          <w:i/>
          <w:sz w:val="20"/>
        </w:rPr>
        <w:t>EN: Electromagnetic Response of a Half-Filled Chern Band near Topological Criticality</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50">
        <w:r>
          <w:rPr>
            <w:color w:val="1155CC"/>
            <w:u w:val="single"/>
          </w:rPr>
          <w:t>10.1103/v44d-7jr4</w:t>
        </w:r>
      </w:hyperlink>
    </w:p>
    <w:p>
      <w:pPr>
        <w:spacing w:before="0" w:after="120"/>
      </w:pPr>
      <w:r>
        <w:rPr>
          <w:b/>
        </w:rPr>
        <w:t xml:space="preserve">Notes: </w:t>
      </w:r>
      <w:r>
        <w:t>abstract_source=rss_description</w:t>
      </w:r>
    </w:p>
    <w:p>
      <w:pPr>
        <w:spacing w:before="0" w:after="80" w:lineRule="auto" w:line="276"/>
      </w:pPr>
      <w:r>
        <w:rPr>
          <w:b/>
        </w:rPr>
        <w:t xml:space="preserve">摘要（ZH）: </w:t>
      </w:r>
      <w:r>
        <w:t>作者：Xinlei Yue、Fabian Pichler、Michael Knap 和 Ady Stern 我们评估了半填充陈能带中复合费米液体 (CFL) 和费米液体 (FL) 相之间拓扑相变的电磁响应可观测量。虽然 CFL 相深处存在尖锐间隙等离子体模式，但我们证明它在提议的……[物理。莱特牧师。 137, 076505] 发表于 2026 年 8 月 14 日星期五</w:t>
      </w:r>
    </w:p>
    <w:p>
      <w:pPr>
        <w:spacing w:before="0" w:after="200" w:lineRule="auto" w:line="276"/>
      </w:pPr>
      <w:r>
        <w:rPr>
          <w:b/>
        </w:rPr>
        <w:t xml:space="preserve">Abstract (EN): </w:t>
      </w:r>
      <w:r>
        <w:t>Author(s): Xinlei Yue, Fabian Pichler, Michael Knap, and Ady SternWe evaluate electromagnetic-response observables in a half-filled Chern band, across a topological phase transition between a composite Fermi liquid (CFL) and a Fermi liquid (FL) phase. While a sharp gapped plasma mode exists deep in the CFL phase, we demonstrate that it is damped near the proposed …[Phys. Rev. Lett. 137, 076505] Published Fri Aug 14, 2026</w:t>
      </w:r>
    </w:p>
    <w:p>
      <w:pPr>
        <w:spacing w:before="120" w:after="120"/>
      </w:pPr>
      <w:r>
        <w:rPr>
          <w:sz w:val="18"/>
        </w:rPr>
        <w:t>——————————————————————————————————————————————————————————————————————</w:t>
      </w:r>
    </w:p>
    <w:p>
      <w:pPr>
        <w:spacing w:before="160" w:after="40" w:line="240" w:lineRule="auto"/>
      </w:pPr>
      <w:r>
        <w:rPr>
          <w:b/>
        </w:rPr>
        <w:t xml:space="preserve">[137] </w:t>
      </w:r>
      <w:hyperlink r:id="rId851">
        <w:r>
          <w:rPr>
            <w:color w:val="1155CC"/>
            <w:u w:val="single"/>
          </w:rPr>
          <w:t>异金属卟啉二聚体中的巨自旋电耦合</w:t>
        </w:r>
      </w:hyperlink>
    </w:p>
    <w:p>
      <w:pPr>
        <w:spacing w:before="0" w:after="80"/>
      </w:pPr>
      <w:r>
        <w:rPr>
          <w:i/>
          <w:sz w:val="20"/>
        </w:rPr>
        <w:t>EN: Giant Spin-Electric Coupling in Heterometallic Porphyrin Dimers</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52">
        <w:r>
          <w:rPr>
            <w:color w:val="1155CC"/>
            <w:u w:val="single"/>
          </w:rPr>
          <w:t>10.1103/hl44-cn9m</w:t>
        </w:r>
      </w:hyperlink>
    </w:p>
    <w:p>
      <w:pPr>
        <w:spacing w:before="0" w:after="120"/>
      </w:pPr>
      <w:r>
        <w:rPr>
          <w:b/>
        </w:rPr>
        <w:t xml:space="preserve">Notes: </w:t>
      </w:r>
      <w:r>
        <w:t>abstract_source=rss_description</w:t>
      </w:r>
    </w:p>
    <w:p>
      <w:pPr>
        <w:spacing w:before="0" w:after="80" w:lineRule="auto" w:line="276"/>
      </w:pPr>
      <w:r>
        <w:rPr>
          <w:b/>
        </w:rPr>
        <w:t xml:space="preserve">摘要（ZH）: </w:t>
      </w:r>
      <w:r>
        <w:t>作者：Yan Lu、Xilong Xu 和 Li Wang 长期以来，人们一直在寻求表现出明显的自旋电耦合的磁性分子来阐明自旋顺序与电场之间的复杂关系，并推动多功能、节能器件的开发。通过第一原理模拟和旋转支持……[物理。莱特牧师。 137, 076704] 发布于 2026 年 8 月 14 日星期五</w:t>
      </w:r>
    </w:p>
    <w:p>
      <w:pPr>
        <w:spacing w:before="0" w:after="200" w:lineRule="auto" w:line="276"/>
      </w:pPr>
      <w:r>
        <w:rPr>
          <w:b/>
        </w:rPr>
        <w:t xml:space="preserve">Abstract (EN): </w:t>
      </w:r>
      <w:r>
        <w:t>Author(s): Yan Lu, Xilong Xu, and Li WangMagnetic molecules exhibiting pronounced spin-electric coupling have long been sought to elucidate the intricate relationship between spin orders and electric fields, as well as to advance the development of multifunctional, energy-efficient devices. Through first-principles simulations and spin sup…[Phys. Rev. Lett. 137, 076704] Published Fri Aug 14, 2026</w:t>
      </w:r>
    </w:p>
    <w:p>
      <w:pPr>
        <w:spacing w:before="120" w:after="120"/>
      </w:pPr>
      <w:r>
        <w:rPr>
          <w:sz w:val="18"/>
        </w:rPr>
        <w:t>——————————————————————————————————————————————————————————————————————</w:t>
      </w:r>
    </w:p>
    <w:p>
      <w:pPr>
        <w:spacing w:before="160" w:after="40" w:line="240" w:lineRule="auto"/>
      </w:pPr>
      <w:r>
        <w:rPr>
          <w:b/>
        </w:rPr>
        <w:t xml:space="preserve">[138] </w:t>
      </w:r>
      <w:hyperlink r:id="rId853">
        <w:r>
          <w:rPr>
            <w:color w:val="1155CC"/>
            <w:u w:val="single"/>
          </w:rPr>
          <w:t>通过机器学习哈密顿量实时激发态表面上的非绝热分子动力学</w:t>
        </w:r>
      </w:hyperlink>
    </w:p>
    <w:p>
      <w:pPr>
        <w:spacing w:before="0" w:after="80"/>
      </w:pPr>
      <w:r>
        <w:rPr>
          <w:i/>
          <w:sz w:val="20"/>
        </w:rPr>
        <w:t>EN: Nonadiabatic Molecular Dynamics on Real-Time Excited-State Surfaces via Machine Learning Hamiltonians</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54">
        <w:r>
          <w:rPr>
            <w:color w:val="1155CC"/>
            <w:u w:val="single"/>
          </w:rPr>
          <w:t>10.1103/9wbw-h87d</w:t>
        </w:r>
      </w:hyperlink>
    </w:p>
    <w:p>
      <w:pPr>
        <w:spacing w:before="0" w:after="120"/>
      </w:pPr>
      <w:r>
        <w:rPr>
          <w:b/>
        </w:rPr>
        <w:t xml:space="preserve">Notes: </w:t>
      </w:r>
      <w:r>
        <w:t>abstract_source=rss_description</w:t>
      </w:r>
    </w:p>
    <w:p>
      <w:pPr>
        <w:spacing w:before="0" w:after="80" w:lineRule="auto" w:line="276"/>
      </w:pPr>
      <w:r>
        <w:rPr>
          <w:b/>
        </w:rPr>
        <w:t xml:space="preserve">摘要（ZH）: </w:t>
      </w:r>
      <w:r>
        <w:t>作者：张昌伟、钟阳、陶志国、李英洲、兰正刚、Oleg V. Prezhdo、龚新高、褚伟斌和项洪军 模拟电子和原子核的耦合、非平衡动力学是化学、物理和材料科学中的一个核心挑战，它控制从光催化到量子信息的现象。主要瓶颈是缺乏通用、准确、高效的模型方法……[Phys.莱特牧师。 137, 076905] 发布于 2026 年 8 月 14 日星期五</w:t>
      </w:r>
    </w:p>
    <w:p>
      <w:pPr>
        <w:spacing w:before="0" w:after="200" w:lineRule="auto" w:line="276"/>
      </w:pPr>
      <w:r>
        <w:rPr>
          <w:b/>
        </w:rPr>
        <w:t xml:space="preserve">Abstract (EN): </w:t>
      </w:r>
      <w:r>
        <w:t>Author(s): Changwei Zhang, Yang Zhong, Zhi-Guo Tao, Yingzhou Li, Zhenggang Lan, Oleg V. Prezhdo, Xin-Gao Gong, Weibin Chu, and Hongjun XiangSimulating the coupled, nonequilibrium dynamics of electrons and nuclei is a central challenge in chemistry, physics, and materials science, governing phenomena from photocatalysis to quantum information. The primary bottleneck has been the lack of a general, accurate, and efficient method for model…[Phys. Rev. Lett. 137, 076905] Published Fri Aug 14, 2026</w:t>
      </w:r>
    </w:p>
    <w:p>
      <w:pPr>
        <w:spacing w:before="120" w:after="120"/>
      </w:pPr>
      <w:r>
        <w:rPr>
          <w:sz w:val="18"/>
        </w:rPr>
        <w:t>——————————————————————————————————————————————————————————————————————</w:t>
      </w:r>
    </w:p>
    <w:p>
      <w:pPr>
        <w:spacing w:before="160" w:after="40" w:line="240" w:lineRule="auto"/>
      </w:pPr>
      <w:r>
        <w:rPr>
          <w:b/>
        </w:rPr>
        <w:t xml:space="preserve">[139] </w:t>
      </w:r>
      <w:hyperlink r:id="rId855">
        <w:r>
          <w:rPr>
            <w:color w:val="1155CC"/>
            <w:u w:val="single"/>
          </w:rPr>
          <w:t>${δ}_{C}$ 在 $^{10}\mathrm{C}$ 超级允许的 $β$ 衰减中的量子蒙特卡罗计算</w:t>
        </w:r>
      </w:hyperlink>
    </w:p>
    <w:p>
      <w:pPr>
        <w:spacing w:before="0" w:after="80"/>
      </w:pPr>
      <w:r>
        <w:rPr>
          <w:i/>
          <w:sz w:val="20"/>
        </w:rPr>
        <w:t>EN: Quantum Monte Carlo calculation of ${δ}_{C}$ in the superallowed $β$ decay of $^{10}\mathrm{C}$</w:t>
      </w:r>
    </w:p>
    <w:p>
      <w:pPr>
        <w:spacing w:before="0" w:after="120"/>
      </w:pPr>
      <w:r>
        <w:rPr>
          <w:b/>
        </w:rPr>
        <w:t xml:space="preserve">Source: </w:t>
      </w:r>
      <w:r>
        <w:t>Recent Articles in Phys. Rev. C</w:t>
      </w:r>
      <w:r>
        <w:t xml:space="preserve">    </w:t>
      </w:r>
      <w:r>
        <w:rPr>
          <w:b/>
        </w:rPr>
        <w:t xml:space="preserve">Pub date: </w:t>
      </w:r>
      <w:r>
        <w:t>2026-08-14 10:00:00+00:00</w:t>
      </w:r>
      <w:r>
        <w:t xml:space="preserve">    </w:t>
      </w:r>
      <w:r>
        <w:rPr>
          <w:b/>
        </w:rPr>
        <w:t xml:space="preserve">DOI: </w:t>
      </w:r>
      <w:hyperlink r:id="rId856">
        <w:r>
          <w:rPr>
            <w:color w:val="1155CC"/>
            <w:u w:val="single"/>
          </w:rPr>
          <w:t>10.1103/5gb3-q3lz</w:t>
        </w:r>
      </w:hyperlink>
    </w:p>
    <w:p>
      <w:pPr>
        <w:spacing w:before="0" w:after="120"/>
      </w:pPr>
      <w:r>
        <w:rPr>
          <w:b/>
        </w:rPr>
        <w:t xml:space="preserve">Notes: </w:t>
      </w:r>
      <w:r>
        <w:t>abstract_source=rss_description</w:t>
      </w:r>
    </w:p>
    <w:p>
      <w:pPr>
        <w:spacing w:before="0" w:after="80" w:lineRule="auto" w:line="276"/>
      </w:pPr>
      <w:r>
        <w:rPr>
          <w:b/>
        </w:rPr>
        <w:t xml:space="preserve">摘要（ZH）: </w:t>
      </w:r>
      <w:r>
        <w:t>作者：Maria Piarulli、R. B. Wiringa、Alessandro Lovato、Garrett B. King 和 Saori Pastore 我们对 $^{10}\mathrm{C}$ 的超级允许的 $β$ 衰变 ${δ}_{C}$ 进行同位旋对称破缺校正 ${δ}_{C}$ 的从头量子蒙特卡罗计算。利用现象学和手性核相互作用，我们评估费米矩阵元素并量化其与卡诺的偏差......[Phys。 Rev. C 114, 024326] 发布于 2026 年 8 月 14 日星期五</w:t>
      </w:r>
    </w:p>
    <w:p>
      <w:pPr>
        <w:spacing w:before="0" w:after="200" w:lineRule="auto" w:line="276"/>
      </w:pPr>
      <w:r>
        <w:rPr>
          <w:b/>
        </w:rPr>
        <w:t xml:space="preserve">Abstract (EN): </w:t>
      </w:r>
      <w:r>
        <w:t>Author(s): Maria Piarulli, R. B. Wiringa, Alessandro Lovato, Garrett B. King, and Saori PastoreWe perform an ab initio quantum Monte Carlo calculation of the isospin-symmetry-breaking correction ${δ}_{C}$ to the superallowed $β$ decay of $^{10}\mathrm{C}$. Using both phenomenological and chiral nuclear interactions, we evaluate the Fermi matrix element and quantify its deviation from the cano…[Phys. Rev. C 114, 024326] Published Fri Aug 14, 2026</w:t>
      </w:r>
    </w:p>
    <w:p>
      <w:pPr>
        <w:spacing w:before="120" w:after="120"/>
      </w:pPr>
      <w:r>
        <w:rPr>
          <w:sz w:val="18"/>
        </w:rPr>
        <w:t>——————————————————————————————————————————————————————————————————————</w:t>
      </w:r>
    </w:p>
    <w:p>
      <w:pPr>
        <w:spacing w:before="160" w:after="40" w:line="240" w:lineRule="auto"/>
      </w:pPr>
      <w:r>
        <w:rPr>
          <w:b/>
        </w:rPr>
        <w:t xml:space="preserve">[140] </w:t>
      </w:r>
      <w:hyperlink r:id="rId857">
        <w:r>
          <w:rPr>
            <w:color w:val="1155CC"/>
            <w:u w:val="single"/>
          </w:rPr>
          <w:t>用镜对核电荷半径差约束张量力项</w:t>
        </w:r>
      </w:hyperlink>
    </w:p>
    <w:p>
      <w:pPr>
        <w:spacing w:before="0" w:after="80"/>
      </w:pPr>
      <w:r>
        <w:rPr>
          <w:i/>
          <w:sz w:val="20"/>
        </w:rPr>
        <w:t>EN: Constraining tensor force terms with the charge radii difference of mirror-pair nuclei</w:t>
      </w:r>
    </w:p>
    <w:p>
      <w:pPr>
        <w:spacing w:before="0" w:after="120"/>
      </w:pPr>
      <w:r>
        <w:rPr>
          <w:b/>
        </w:rPr>
        <w:t xml:space="preserve">Source: </w:t>
      </w:r>
      <w:r>
        <w:t>Recent Articles in Phys. Rev. C</w:t>
      </w:r>
      <w:r>
        <w:t xml:space="preserve">    </w:t>
      </w:r>
      <w:r>
        <w:rPr>
          <w:b/>
        </w:rPr>
        <w:t xml:space="preserve">Pub date: </w:t>
      </w:r>
      <w:r>
        <w:t>2026-08-14 10:00:00+00:00</w:t>
      </w:r>
      <w:r>
        <w:t xml:space="preserve">    </w:t>
      </w:r>
      <w:r>
        <w:rPr>
          <w:b/>
        </w:rPr>
        <w:t xml:space="preserve">DOI: </w:t>
      </w:r>
      <w:hyperlink r:id="rId858">
        <w:r>
          <w:rPr>
            <w:color w:val="1155CC"/>
            <w:u w:val="single"/>
          </w:rPr>
          <w:t>10.1103/c983-bg79</w:t>
        </w:r>
      </w:hyperlink>
    </w:p>
    <w:p>
      <w:pPr>
        <w:spacing w:before="0" w:after="120"/>
      </w:pPr>
      <w:r>
        <w:rPr>
          <w:b/>
        </w:rPr>
        <w:t xml:space="preserve">Notes: </w:t>
      </w:r>
      <w:r>
        <w:t>abstract_source=rss_description</w:t>
      </w:r>
    </w:p>
    <w:p>
      <w:pPr>
        <w:spacing w:before="0" w:after="80" w:lineRule="auto" w:line="276"/>
      </w:pPr>
      <w:r>
        <w:rPr>
          <w:b/>
        </w:rPr>
        <w:t xml:space="preserve">摘要（ZH）: </w:t>
      </w:r>
      <w:r>
        <w:t>作者：严雅、唐娜和荣安 镜像伴核的电荷半径差异为确定不对称核物质中的相互作用成分提供了另一种探针。在这项工作中，几乎球镜配对的原子核 $^{54}\mathrm{Ni}\text{−}^{54}\mathrm{Fe}$ 和 $^{36}\mathrm{…[Phys. Rev. C 114, 024323] 发布于 2026 年 8 月 14 日星期五</w:t>
      </w:r>
    </w:p>
    <w:p>
      <w:pPr>
        <w:spacing w:before="0" w:after="200" w:lineRule="auto" w:line="276"/>
      </w:pPr>
      <w:r>
        <w:rPr>
          <w:b/>
        </w:rPr>
        <w:t xml:space="preserve">Abstract (EN): </w:t>
      </w:r>
      <w:r>
        <w:t>Author(s): Yan Ya, Na Tang, and Rong AnCharge radii differences of mirror partner nuclei provide an alternative probe to pin down the interaction components in asymmetric nuclear matter. In this work, the differences in the charge radii of almost spherical mirror-paired nuclei $^{54}\mathrm{Ni}\text{−}^{54}\mathrm{Fe}$ and $^{36}\mathrm{…[Phys. Rev. C 114, 024323] Published Fri Aug 14, 2026</w:t>
      </w:r>
    </w:p>
    <w:p>
      <w:pPr>
        <w:spacing w:before="120" w:after="120"/>
      </w:pPr>
      <w:r>
        <w:rPr>
          <w:sz w:val="18"/>
        </w:rPr>
        <w:t>——————————————————————————————————————————————————————————————————————</w:t>
      </w:r>
    </w:p>
    <w:p>
      <w:pPr>
        <w:spacing w:before="160" w:after="40" w:line="240" w:lineRule="auto"/>
      </w:pPr>
      <w:r>
        <w:rPr>
          <w:b/>
        </w:rPr>
        <w:t xml:space="preserve">[141] </w:t>
      </w:r>
      <w:hyperlink r:id="rId859">
        <w:r>
          <w:rPr>
            <w:color w:val="1155CC"/>
            <w:u w:val="single"/>
          </w:rPr>
          <w:t>衰变的第一个证据 ${B}^{+}→{π}^{+}{e}^{+}{e}^{−}$</w:t>
        </w:r>
      </w:hyperlink>
    </w:p>
    <w:p>
      <w:pPr>
        <w:spacing w:before="0" w:after="80"/>
      </w:pPr>
      <w:r>
        <w:rPr>
          <w:i/>
          <w:sz w:val="20"/>
        </w:rPr>
        <w:t>EN: First Evidence of the Decay ${B}^{+}→{π}^{+}{e}^{+}{e}^{−}$</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60">
        <w:r>
          <w:rPr>
            <w:color w:val="1155CC"/>
            <w:u w:val="single"/>
          </w:rPr>
          <w:t>10.1103/97c9-jl1m</w:t>
        </w:r>
      </w:hyperlink>
    </w:p>
    <w:p>
      <w:pPr>
        <w:spacing w:before="0" w:after="120"/>
      </w:pPr>
      <w:r>
        <w:rPr>
          <w:b/>
        </w:rPr>
        <w:t xml:space="preserve">Notes: </w:t>
      </w:r>
      <w:r>
        <w:t>abstract_source=rss_description</w:t>
      </w:r>
    </w:p>
    <w:p>
      <w:pPr>
        <w:spacing w:before="0" w:after="80" w:lineRule="auto" w:line="276"/>
      </w:pPr>
      <w:r>
        <w:rPr>
          <w:b/>
        </w:rPr>
        <w:t xml:space="preserve">摘要（ZH）: </w:t>
      </w:r>
      <w:r>
        <w:t>作者：R. Aaij 等人。 （LHCb 合作）${B}^{+}→{π}^{+}{e}^{+}{e}^{−}$ 衰变的第一个证据是使用 LHCb 实验在 7、8 和 13 TeV 的质心能量处记录的质子-质子碰撞数据报告的，对应于 $9\text{ }\text{ 的积分光度}{\mathrm{fb}}^{−1}$。带有 s 的信号过量...[物理。莱特牧师。 137, 071804] 发布于 2026 年 8 月 14 日星期五</w:t>
      </w:r>
    </w:p>
    <w:p>
      <w:pPr>
        <w:spacing w:before="0" w:after="200" w:lineRule="auto" w:line="276"/>
      </w:pPr>
      <w:r>
        <w:rPr>
          <w:b/>
        </w:rPr>
        <w:t xml:space="preserve">Abstract (EN): </w:t>
      </w:r>
      <w:r>
        <w:t>Author(s): R. Aaij et al. (LHCb Collaboration)The first evidence for the decay ${B}^{+}→{π}^{+}{e}^{+}{e}^{−}$ is reported using proton-proton collision data recorded by the LHCb experiment at center-of-mass energies of 7, 8, and 13 TeV, corresponding to an integrated luminosity of $9\text{ }\text{ }{\mathrm{fb}}^{−1}$. A signal excess with a s…[Phys. Rev. Lett. 137, 071804] Published Fri Aug 14, 2026</w:t>
      </w:r>
    </w:p>
    <w:p>
      <w:pPr>
        <w:spacing w:before="120" w:after="120"/>
      </w:pPr>
      <w:r>
        <w:rPr>
          <w:sz w:val="18"/>
        </w:rPr>
        <w:t>——————————————————————————————————————————————————————————————————————</w:t>
      </w:r>
    </w:p>
    <w:p>
      <w:pPr>
        <w:spacing w:before="160" w:after="40" w:line="240" w:lineRule="auto"/>
      </w:pPr>
      <w:r>
        <w:rPr>
          <w:b/>
        </w:rPr>
        <w:t xml:space="preserve">[142] </w:t>
      </w:r>
      <w:hyperlink r:id="rId861">
        <w:r>
          <w:rPr>
            <w:color w:val="1155CC"/>
            <w:u w:val="single"/>
          </w:rPr>
          <w:t>低分辨率核力量的不确定性</w:t>
        </w:r>
      </w:hyperlink>
    </w:p>
    <w:p>
      <w:pPr>
        <w:spacing w:before="0" w:after="80"/>
      </w:pPr>
      <w:r>
        <w:rPr>
          <w:i/>
          <w:sz w:val="20"/>
        </w:rPr>
        <w:t>EN: Uncertainties with low-resolution nuclear forces</w:t>
      </w:r>
    </w:p>
    <w:p>
      <w:pPr>
        <w:spacing w:before="0" w:after="120"/>
      </w:pPr>
      <w:r>
        <w:rPr>
          <w:b/>
        </w:rPr>
        <w:t xml:space="preserve">Source: </w:t>
      </w:r>
      <w:r>
        <w:t>Recent Articles in Phys. Rev. C</w:t>
      </w:r>
      <w:r>
        <w:t xml:space="preserve">    </w:t>
      </w:r>
      <w:r>
        <w:rPr>
          <w:b/>
        </w:rPr>
        <w:t xml:space="preserve">Pub date: </w:t>
      </w:r>
      <w:r>
        <w:t>2026-08-14 10:00:00+00:00</w:t>
      </w:r>
      <w:r>
        <w:t xml:space="preserve">    </w:t>
      </w:r>
      <w:r>
        <w:rPr>
          <w:b/>
        </w:rPr>
        <w:t xml:space="preserve">DOI: </w:t>
      </w:r>
      <w:hyperlink r:id="rId862">
        <w:r>
          <w:rPr>
            <w:color w:val="1155CC"/>
            <w:u w:val="single"/>
          </w:rPr>
          <w:t>10.1103/cqtc-d146</w:t>
        </w:r>
      </w:hyperlink>
    </w:p>
    <w:p>
      <w:pPr>
        <w:spacing w:before="0" w:after="120"/>
      </w:pPr>
      <w:r>
        <w:rPr>
          <w:b/>
        </w:rPr>
        <w:t xml:space="preserve">Notes: </w:t>
      </w:r>
      <w:r>
        <w:t>abstract_source=rss_description</w:t>
      </w:r>
    </w:p>
    <w:p>
      <w:pPr>
        <w:spacing w:before="0" w:after="80" w:lineRule="auto" w:line="276"/>
      </w:pPr>
      <w:r>
        <w:rPr>
          <w:b/>
        </w:rPr>
        <w:t xml:space="preserve">摘要（ZH）: </w:t>
      </w:r>
      <w:r>
        <w:t>作者：T. Plies、M. Heinz 和 A. Schwenk 从手性有效场理论 (EFT) 获得并使用重正化群技术软化的低分辨率核哈密顿量在核结构理论中非常成功。这些电势的相关 EFT 截断不确定性很难量化。我们使用单数……[物理。 Rev. C 114, 024327] 2026 年 8 月 14 日星期五发布</w:t>
      </w:r>
    </w:p>
    <w:p>
      <w:pPr>
        <w:spacing w:before="0" w:after="200" w:lineRule="auto" w:line="276"/>
      </w:pPr>
      <w:r>
        <w:rPr>
          <w:b/>
        </w:rPr>
        <w:t xml:space="preserve">Abstract (EN): </w:t>
      </w:r>
      <w:r>
        <w:t>Author(s): T. Plies, M. Heinz, and A. SchwenkLow-resolution nuclear Hamiltonians, obtained from chiral effective field theory (EFT) and softened using renormalization group techniques, have been very successful in nuclear structure theory. The associated EFT truncation uncertainty for these potentials is difficult to quantify. We use singular …[Phys. Rev. C 114, 024327] Published Fri Aug 14, 2026</w:t>
      </w:r>
    </w:p>
    <w:p>
      <w:pPr>
        <w:spacing w:before="120" w:after="120"/>
      </w:pPr>
      <w:r>
        <w:rPr>
          <w:sz w:val="18"/>
        </w:rPr>
        <w:t>——————————————————————————————————————————————————————————————————————</w:t>
      </w:r>
    </w:p>
    <w:p>
      <w:pPr>
        <w:spacing w:before="160" w:after="40" w:line="240" w:lineRule="auto"/>
      </w:pPr>
      <w:r>
        <w:rPr>
          <w:b/>
        </w:rPr>
        <w:t xml:space="preserve">[143] </w:t>
      </w:r>
      <w:hyperlink r:id="rId863">
        <w:r>
          <w:rPr>
            <w:color w:val="1155CC"/>
            <w:u w:val="single"/>
          </w:rPr>
          <w:t>Kagome 量子自旋液体的动态谱函数</w:t>
        </w:r>
      </w:hyperlink>
    </w:p>
    <w:p>
      <w:pPr>
        <w:spacing w:before="0" w:after="80"/>
      </w:pPr>
      <w:r>
        <w:rPr>
          <w:i/>
          <w:sz w:val="20"/>
        </w:rPr>
        <w:t>EN: Dynamical Spectral Function of the Kagome Quantum Spin Liquid</w:t>
      </w:r>
    </w:p>
    <w:p>
      <w:pPr>
        <w:spacing w:before="0" w:after="120"/>
      </w:pPr>
      <w:r>
        <w:rPr>
          <w:b/>
        </w:rPr>
        <w:t xml:space="preserve">Source: </w:t>
      </w:r>
      <w:r>
        <w:t>Recent Articles in Phys. Rev. Lett.</w:t>
      </w:r>
      <w:r>
        <w:t xml:space="preserve">    </w:t>
      </w:r>
      <w:r>
        <w:rPr>
          <w:b/>
        </w:rPr>
        <w:t xml:space="preserve">Pub date: </w:t>
      </w:r>
      <w:r>
        <w:t>2026-08-14 10:00:00+00:00</w:t>
      </w:r>
      <w:r>
        <w:t xml:space="preserve">    </w:t>
      </w:r>
      <w:r>
        <w:rPr>
          <w:b/>
        </w:rPr>
        <w:t xml:space="preserve">DOI: </w:t>
      </w:r>
      <w:hyperlink r:id="rId864">
        <w:r>
          <w:rPr>
            <w:color w:val="1155CC"/>
            <w:u w:val="single"/>
          </w:rPr>
          <w:t>10.1103/fjjf-xspp</w:t>
        </w:r>
      </w:hyperlink>
    </w:p>
    <w:p>
      <w:pPr>
        <w:spacing w:before="0" w:after="120"/>
      </w:pPr>
      <w:r>
        <w:rPr>
          <w:b/>
        </w:rPr>
        <w:t xml:space="preserve">Notes: </w:t>
      </w:r>
      <w:r>
        <w:t>abstract_source=rss_description</w:t>
      </w:r>
    </w:p>
    <w:p>
      <w:pPr>
        <w:spacing w:before="0" w:after="80" w:lineRule="auto" w:line="276"/>
      </w:pPr>
      <w:r>
        <w:rPr>
          <w:b/>
        </w:rPr>
        <w:t xml:space="preserve">摘要（ZH）: </w:t>
      </w:r>
      <w:r>
        <w:t>作者：Jiahang Hu、Runze Chi、YibinGuo、B.Normand、Hai-JunLiao 和 T.Xiang 量子自旋液体 (QSL) 具有奇异的分段磁场和规范场激发，其微观起源和实验验证仍然令人沮丧地难以捉摸。在没有静态磁序的情况下，自旋激发谱构成了 QSL 行为的关键探针，但我……[Phys.莱特牧师。 137, 076504] 发布于 2026 年 8 月 14 日星期五</w:t>
      </w:r>
    </w:p>
    <w:p>
      <w:pPr>
        <w:spacing w:before="0" w:after="200" w:lineRule="auto" w:line="276"/>
      </w:pPr>
      <w:r>
        <w:rPr>
          <w:b/>
        </w:rPr>
        <w:t xml:space="preserve">Abstract (EN): </w:t>
      </w:r>
      <w:r>
        <w:t>Author(s): Jiahang Hu, Runze Chi, Yibin Guo, B. Normand, Hai-Jun Liao, and T. XiangQuantum spin liquids (QSLs) host exotic fractionalized magnetic and gauge-field excitations whose microscopic origins and experimental verification remain frustratingly elusive. In the absence of static magnetic order, the spin excitation spectrum constitutes the crucial probe of QSL behavior, but i…[Phys. Rev. Lett. 137, 076504] Published Fri Aug 14, 2026</w:t>
      </w:r>
    </w:p>
    <w:p>
      <w:pPr>
        <w:spacing w:before="120" w:after="120"/>
      </w:pPr>
      <w:r>
        <w:rPr>
          <w:sz w:val="18"/>
        </w:rPr>
        <w:t>——————————————————————————————————————————————————————————————————————</w:t>
      </w:r>
    </w:p>
    <w:p>
      <w:pPr>
        <w:spacing w:before="160" w:after="40" w:line="240" w:lineRule="auto"/>
      </w:pPr>
      <w:r>
        <w:rPr>
          <w:b/>
        </w:rPr>
        <w:t xml:space="preserve">[144] </w:t>
      </w:r>
      <w:hyperlink r:id="rId865">
        <w:r>
          <w:rPr>
            <w:color w:val="1155CC"/>
            <w:u w:val="single"/>
          </w:rPr>
          <w:t>低维零热膨胀在 YAl3(BO3)4 单晶中实现超稳定热光学</w:t>
        </w:r>
      </w:hyperlink>
    </w:p>
    <w:p>
      <w:pPr>
        <w:spacing w:before="0" w:after="80"/>
      </w:pPr>
      <w:r>
        <w:rPr>
          <w:i/>
          <w:sz w:val="20"/>
        </w:rPr>
        <w:t>EN: Low‐Dimensional Zero Thermal Expansion Enables Ultrastable Thermo‐Optics in YAl3(BO3)4 Single Crystal</w:t>
      </w:r>
    </w:p>
    <w:p>
      <w:pPr>
        <w:spacing w:before="0" w:after="120"/>
      </w:pPr>
      <w:r>
        <w:rPr>
          <w:b/>
        </w:rPr>
        <w:t xml:space="preserve">Source: </w:t>
      </w:r>
      <w:r>
        <w:t>Wiley: Advanced Materials: Table of Contents</w:t>
      </w:r>
      <w:r>
        <w:t xml:space="preserve">    </w:t>
      </w:r>
      <w:r>
        <w:rPr>
          <w:b/>
        </w:rPr>
        <w:t xml:space="preserve">Pub date: </w:t>
      </w:r>
      <w:r>
        <w:t>2026-08-14 12:36:51+00:00</w:t>
      </w:r>
      <w:r>
        <w:t xml:space="preserve">    </w:t>
      </w:r>
      <w:r>
        <w:rPr>
          <w:b/>
        </w:rPr>
        <w:t xml:space="preserve">DOI: </w:t>
      </w:r>
      <w:hyperlink r:id="rId866">
        <w:r>
          <w:rPr>
            <w:color w:val="1155CC"/>
            <w:u w:val="single"/>
          </w:rPr>
          <w:t>10.1002/adma.74391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零热膨胀（ZTE）材料对于在热波动下稳定器件性能至关重要。传统上，实现增强的热稳定性需要三维 (3D) ZTE，这是一个严重限制材料可用性的严格条件。在这里，我们表明，通过沿着框架结构中的特定晶轴定向普遍存在的键旋转，可以在单晶中实现低维 ZTE，从而放松对 3D ZTE 的严格要求。这种方法可以实现二维 ZTE 响应，如三角 YAl 所示</w:t>
      </w:r>
      <w:r>
        <w:rPr>
          <w:vertAlign w:val="subscript"/>
        </w:rPr>
        <w:t>3</w:t>
      </w:r>
      <w:r>
        <w:t>（博</w:t>
      </w:r>
      <w:r>
        <w:rPr>
          <w:vertAlign w:val="subscript"/>
        </w:rPr>
        <w:t>3</w:t>
      </w:r>
      <w:r>
        <w:t>）</w:t>
      </w:r>
      <w:r>
        <w:rPr>
          <w:vertAlign w:val="subscript"/>
        </w:rPr>
        <w:t>4</w:t>
      </w:r>
      <w:r>
        <w:t>(YAB)晶体，具有-0.02(7) MK的超低热膨胀系数</w:t>
      </w:r>
      <w:r>
        <w:t xml:space="preserve"> </w:t>
      </w:r>
      <w:r>
        <w:t>−1</w:t>
      </w:r>
      <w:r>
        <w:t xml:space="preserve"> </w:t>
      </w:r>
      <w:r>
        <w:t>内</w:t>
      </w:r>
      <w:r>
        <w:t xml:space="preserve"> </w:t>
      </w:r>
      <w:r>
        <w:t>ab</w:t>
      </w:r>
      <w:r>
        <w:t xml:space="preserve"> </w:t>
      </w:r>
      <w:r>
        <w:t>平面从 83 到 180 K。YAB 晶体的热光性能证明了这种低维 ZTE 的实际影响：在 ZTE 温度范围内，热光系数仅变化 0.03(2) × 10</w:t>
      </w:r>
      <w:r>
        <w:t xml:space="preserve"> </w:t>
      </w:r>
      <w:r>
        <w:t>−8</w:t>
      </w:r>
      <w:r>
        <w:t xml:space="preserve"> </w:t>
      </w:r>
      <w:r>
        <w:t>K</w:t>
      </w:r>
      <w:r>
        <w:t xml:space="preserve"> </w:t>
      </w:r>
      <w:r>
        <w:t>−2</w:t>
      </w:r>
      <w:r>
        <w:t xml:space="preserve"> </w:t>
      </w:r>
      <w:r>
        <w:t>在ZTE平面上，比传统光学材料低大约两个数量级。这项研究建立了功能性ZTE材料的新设计策略，并强调了尺寸受限的ZTE效应在精密光学和电子器件中的应用潜力。</w:t>
      </w:r>
    </w:p>
    <w:p>
      <w:pPr>
        <w:spacing w:before="0" w:after="200" w:lineRule="auto" w:line="276"/>
      </w:pPr>
      <w:r>
        <w:rPr>
          <w:b/>
        </w:rPr>
        <w:t xml:space="preserve">Abstract (EN): </w:t>
      </w:r>
      <w:r>
        <w:t>Zero‐thermal‐expansion (ZTE) materials are critical for stabilizing device performance under thermal fluctuations. Traditionally, achieving enhanced thermal stability has required three‐dimensional (3D) ZTE, a stringent condition that severely limits material availability. Here, we show that low‐dimensional ZTE can be realized in single crystals by orienting ubiquitous bond rotations along specific crystallographic axes in the framework structures, thus relaxing the strict requirements for 3D ZTE. This approach enables a two‐dimensional ZTE response, as demonstrated in a trigonal YAl</w:t>
      </w:r>
      <w:r>
        <w:rPr>
          <w:vertAlign w:val="subscript"/>
        </w:rPr>
        <w:t>3</w:t>
      </w:r>
      <w:r>
        <w:t>(BO</w:t>
      </w:r>
      <w:r>
        <w:rPr>
          <w:vertAlign w:val="subscript"/>
        </w:rPr>
        <w:t>3</w:t>
      </w:r>
      <w:r>
        <w:t>)</w:t>
      </w:r>
      <w:r>
        <w:rPr>
          <w:vertAlign w:val="subscript"/>
        </w:rPr>
        <w:t>4</w:t>
      </w:r>
      <w:r>
        <w:t>(YAB) crystal, which exhibits an ultralow thermal expansion coefficient of −0.02(7) MK</w:t>
      </w:r>
      <w:r>
        <w:t xml:space="preserve"> </w:t>
      </w:r>
      <w:r>
        <w:t>−1</w:t>
      </w:r>
      <w:r>
        <w:t xml:space="preserve"> </w:t>
      </w:r>
      <w:r>
        <w:t>within the</w:t>
      </w:r>
      <w:r>
        <w:t xml:space="preserve"> </w:t>
      </w:r>
      <w:r>
        <w:t>ab</w:t>
      </w:r>
      <w:r>
        <w:t xml:space="preserve"> </w:t>
      </w:r>
      <w:r>
        <w:t>plane from 83 to 180 K. The practical impact of this low‐dimensional ZTE is evidenced by the thermo‐optical performance of YAB crystal: within the ZTE temperature range, the thermo‐optical coefficient varies by only 0.03(2) × 10</w:t>
      </w:r>
      <w:r>
        <w:t xml:space="preserve"> </w:t>
      </w:r>
      <w:r>
        <w:t>−8</w:t>
      </w:r>
      <w:r>
        <w:t xml:space="preserve"> </w:t>
      </w:r>
      <w:r>
        <w:t>K</w:t>
      </w:r>
      <w:r>
        <w:t xml:space="preserve"> </w:t>
      </w:r>
      <w:r>
        <w:t>−2</w:t>
      </w:r>
      <w:r>
        <w:t xml:space="preserve"> </w:t>
      </w:r>
      <w:r>
        <w:t>in the ZTE plane, approximately two orders of magnitude lower than those of conventional optical materials. This study establishes a new design strategy for functional ZTE materials and highlights the application potential of dimensionally confined ZTE effects in precision optical and electronic devices.</w:t>
      </w:r>
    </w:p>
    <w:p>
      <w:pPr>
        <w:spacing w:before="120" w:after="120"/>
      </w:pPr>
      <w:r>
        <w:rPr>
          <w:sz w:val="18"/>
        </w:rPr>
        <w:t>——————————————————————————————————————————————————————————————————————</w:t>
      </w:r>
    </w:p>
    <w:p>
      <w:pPr>
        <w:spacing w:before="160" w:after="40" w:line="240" w:lineRule="auto"/>
      </w:pPr>
      <w:r>
        <w:rPr>
          <w:b/>
        </w:rPr>
        <w:t xml:space="preserve">[145] </w:t>
      </w:r>
      <w:hyperlink r:id="rId867">
        <w:r>
          <w:rPr>
            <w:color w:val="1155CC"/>
            <w:u w:val="single"/>
          </w:rPr>
          <w:t>热和光定向环加成使分子前体发生周环级联反应</w:t>
        </w:r>
      </w:hyperlink>
    </w:p>
    <w:p>
      <w:pPr>
        <w:spacing w:before="0" w:after="80"/>
      </w:pPr>
      <w:r>
        <w:rPr>
          <w:i/>
          <w:sz w:val="20"/>
        </w:rPr>
        <w:t>EN: Heat‐ and Light‐Directed Cycloadditions Enable a Pericyclic Cascade Reaction From a Molecular Precursor</w:t>
      </w:r>
    </w:p>
    <w:p>
      <w:pPr>
        <w:spacing w:before="0" w:after="120"/>
      </w:pPr>
      <w:r>
        <w:rPr>
          <w:b/>
        </w:rPr>
        <w:t xml:space="preserve">Source: </w:t>
      </w:r>
      <w:r>
        <w:t>Wiley: Angewandte Chemie International Edition: Table of Contents</w:t>
      </w:r>
      <w:r>
        <w:t xml:space="preserve">    </w:t>
      </w:r>
      <w:r>
        <w:rPr>
          <w:b/>
        </w:rPr>
        <w:t xml:space="preserve">Pub date: </w:t>
      </w:r>
      <w:r>
        <w:t>2026-08-14 16:25:31+00:00</w:t>
      </w:r>
      <w:r>
        <w:t xml:space="preserve">    </w:t>
      </w:r>
      <w:r>
        <w:rPr>
          <w:b/>
        </w:rPr>
        <w:t xml:space="preserve">DOI: </w:t>
      </w:r>
      <w:hyperlink r:id="rId868">
        <w:r>
          <w:rPr>
            <w:color w:val="1155CC"/>
            <w:u w:val="single"/>
          </w:rPr>
          <w:t>10.1002/anie.4589075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刺激响应材料在暴露于外部信号时会发生化学或物理变化，代表一类新兴的功能材料。对于分子固体，设计通过正交反应途径响应给定外部刺激的结构具有挑战性。分子通常会以不适合预期反应的几何形状结晶，并且产率低或在固态化学转化中不发生反应；因此，大多数分子固体仅响应一种外部刺激并经历一种类型的响应。在这里，我们展示了第一个单组分分子固体，能够通过不同的化学反应途径响应热和光，而机械响应包括显着或发光行为。反应物包含分子内和分子间环加成所需的功能，并且反应途径通过自组装和施加的刺激来引导。此外，还解锁了前所未有的环回复-环加成级联反应，并进一步利用量子力学计算来探究周环级联反应的机理。所有转化均在完全区域控制下进行，并且阳光为光触发反应提供定量产率。这项工作展示了基于分子和超分子的策略，可以有效地将多刺激响应行为整合到固体材料中。</w:t>
      </w:r>
    </w:p>
    <w:p>
      <w:pPr>
        <w:spacing w:before="0" w:after="200" w:lineRule="auto" w:line="276"/>
      </w:pPr>
      <w:r>
        <w:rPr>
          <w:b/>
        </w:rPr>
        <w:t xml:space="preserve">Abstract (EN): </w:t>
      </w:r>
      <w:r>
        <w:t>Stimuli‐responsive materials undergo a chemical or physical change when exposed to an external signal and represent an emerging class of functional materials. For molecular solids, designing structures that respond to a given external stimulus via orthogonal reaction pathways is challenging. Molecules commonly crystallize in geometries unsuitable for an intended reaction and afford either low yields or are unreactive in solid‐state chemical transformations; thus, most molecular solids only respond to one external stimulus and undergo one type of response. Here, we demonstrate the first single‐component molecular solid capable of responding to heat and light through distinct chemical reaction pathways, while mechanical responses include salient or luminescent behavior. The reactant contains functionalities needed for both intramolecular and intermolecular cycloadditions, and the reaction pathway is directed via self‐assembly and the applied stimulus. Moreover, an unprecedented cycloreversion‐cycloaddition cascade reaction was also unlocked, and quantum mechanical calculations were further used to interrogate the mechanism of the pericyclic cascade reaction. All transformations proceed with complete regiocontrol, and sunlight affords quantitative yields for the light‐triggered reaction. This work demonstrates molecular‐ and supramolecular‐based strategies that can effectively integrate multi‐stimuli‐responsive behaviors into solid materials.</w:t>
      </w:r>
    </w:p>
    <w:p>
      <w:pPr>
        <w:spacing w:before="120" w:after="120"/>
      </w:pPr>
      <w:r>
        <w:rPr>
          <w:sz w:val="18"/>
        </w:rPr>
        <w:t>——————————————————————————————————————————————————————————————————————</w:t>
      </w:r>
    </w:p>
    <w:p>
      <w:pPr>
        <w:spacing w:before="160" w:after="40" w:line="240" w:lineRule="auto"/>
      </w:pPr>
      <w:r>
        <w:rPr>
          <w:b/>
        </w:rPr>
        <w:t xml:space="preserve">[146] </w:t>
      </w:r>
      <w:hyperlink r:id="rId869">
        <w:r>
          <w:rPr>
            <w:color w:val="1155CC"/>
            <w:u w:val="single"/>
          </w:rPr>
          <w:t>Cr-TiO2-x 中协同双通道电荷分离用于太阳能 H2O2 合成</w:t>
        </w:r>
      </w:hyperlink>
    </w:p>
    <w:p>
      <w:pPr>
        <w:spacing w:before="0" w:after="80"/>
      </w:pPr>
      <w:r>
        <w:rPr>
          <w:i/>
          <w:sz w:val="20"/>
        </w:rPr>
        <w:t>EN: Synergistic Dual‐Channel Charge Separation in Cr‐TiO2‐x for Solar H2O2 Synthesis</w:t>
      </w:r>
    </w:p>
    <w:p>
      <w:pPr>
        <w:spacing w:before="0" w:after="120"/>
      </w:pPr>
      <w:r>
        <w:rPr>
          <w:b/>
        </w:rPr>
        <w:t xml:space="preserve">Source: </w:t>
      </w:r>
      <w:r>
        <w:t>Wiley: Angewandte Chemie International Edition: Table of Contents</w:t>
      </w:r>
      <w:r>
        <w:t xml:space="preserve">    </w:t>
      </w:r>
      <w:r>
        <w:rPr>
          <w:b/>
        </w:rPr>
        <w:t xml:space="preserve">Pub date: </w:t>
      </w:r>
      <w:r>
        <w:t>2026-08-14 16:33:20+00:00</w:t>
      </w:r>
      <w:r>
        <w:t xml:space="preserve">    </w:t>
      </w:r>
      <w:r>
        <w:rPr>
          <w:b/>
        </w:rPr>
        <w:t xml:space="preserve">DOI: </w:t>
      </w:r>
      <w:hyperlink r:id="rId870">
        <w:r>
          <w:rPr>
            <w:color w:val="1155CC"/>
            <w:u w:val="single"/>
          </w:rPr>
          <w:t>10.1002/anie.6447296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太阳能驱动的过氧化氢（H</w:t>
      </w:r>
      <w:r>
        <w:rPr>
          <w:vertAlign w:val="subscript"/>
        </w:rPr>
        <w:t>2</w:t>
      </w:r>
      <w:r>
        <w:t>氧</w:t>
      </w:r>
      <w:r>
        <w:rPr>
          <w:vertAlign w:val="subscript"/>
        </w:rPr>
        <w:t>2</w:t>
      </w:r>
      <w:r>
        <w:t>）合成为能源密集型蒽醌工艺提供了一种可持续的替代方案，但其效率从根本上受到限制，因为无法以平衡、协同的方式同时利用光生电子和空穴。在这里，我们报道了一种空间分离但电子耦合的双活性位点光催化剂，包含原子铬（Cr）和氧空位（O</w:t>
      </w:r>
      <w:r>
        <w:t xml:space="preserve"> </w:t>
      </w:r>
      <w:r>
        <w:t>VS</w:t>
      </w:r>
      <w:r>
        <w:t xml:space="preserve"> </w:t>
      </w:r>
      <w:r>
        <w:t>) 锚定在超薄 TiO2 上</w:t>
      </w:r>
      <w:r>
        <w:rPr>
          <w:vertAlign w:val="subscript"/>
        </w:rPr>
        <w:t>2</w:t>
      </w:r>
      <w:r>
        <w:t>纳米片（Cr-TiO</w:t>
      </w:r>
      <w:r>
        <w:t xml:space="preserve"> </w:t>
      </w:r>
      <w:r>
        <w:t>2-x</w:t>
      </w:r>
      <w:r>
        <w:t xml:space="preserve"> </w:t>
      </w:r>
      <w:r>
        <w:t>），这使得双电子水氧化（2e</w:t>
      </w:r>
      <w:r>
        <w:t xml:space="preserve"> </w:t>
      </w:r>
      <w:r>
        <w:t>-</w:t>
      </w:r>
      <w:r>
        <w:t>WOR）和氧还原（2e</w:t>
      </w:r>
      <w:r>
        <w:t xml:space="preserve"> </w:t>
      </w:r>
      <w:r>
        <w:t>-</w:t>
      </w:r>
      <w:r>
        <w:t>ORR）在单一光催化框架中。原位X射线吸收/发射光谱和激发态密度泛函理论计算表明Cr单原子选择性积累光生空穴以驱动2e</w:t>
      </w:r>
      <w:r>
        <w:t xml:space="preserve"> </w:t>
      </w:r>
      <w:r>
        <w:t>-</w:t>
      </w:r>
      <w:r>
        <w:t>WOR，而 O</w:t>
      </w:r>
      <w:r>
        <w:t xml:space="preserve"> </w:t>
      </w:r>
      <w:r>
        <w:t>V</w:t>
      </w:r>
      <w:r>
        <w:t xml:space="preserve"> </w:t>
      </w:r>
      <w:r>
        <w:t>位点捕获电子以激活 O</w:t>
      </w:r>
      <w:r>
        <w:rPr>
          <w:vertAlign w:val="subscript"/>
        </w:rPr>
        <w:t>2</w:t>
      </w:r>
      <w:r>
        <w:t>对于2e</w:t>
      </w:r>
      <w:r>
        <w:t xml:space="preserve"> </w:t>
      </w:r>
      <w:r>
        <w:t>-</w:t>
      </w:r>
      <w:r>
        <w:t>ORR。这种自持质子耦合电子转移（PCET）环不仅抑制了电荷复合，而且还实现了创纪录的 H</w:t>
      </w:r>
      <w:r>
        <w:rPr>
          <w:vertAlign w:val="subscript"/>
        </w:rPr>
        <w:t>2</w:t>
      </w:r>
      <w:r>
        <w:t>氧</w:t>
      </w:r>
      <w:r>
        <w:rPr>
          <w:vertAlign w:val="subscript"/>
        </w:rPr>
        <w:t>2</w:t>
      </w:r>
    </w:p>
    <w:p>
      <w:pPr>
        <w:spacing w:before="0" w:after="200" w:lineRule="auto" w:line="276"/>
      </w:pPr>
      <w:r>
        <w:rPr>
          <w:b/>
        </w:rPr>
        <w:t xml:space="preserve">Abstract (EN): </w:t>
      </w:r>
      <w:r>
        <w:t>Solar‐driven hydrogen peroxide (H</w:t>
      </w:r>
      <w:r>
        <w:rPr>
          <w:vertAlign w:val="subscript"/>
        </w:rPr>
        <w:t>2</w:t>
      </w:r>
      <w:r>
        <w:t>O</w:t>
      </w:r>
      <w:r>
        <w:rPr>
          <w:vertAlign w:val="subscript"/>
        </w:rPr>
        <w:t>2</w:t>
      </w:r>
      <w:r>
        <w:t>) synthesis offers a sustainable alternative to the energy‐intensive anthraquinone process, yet its efficiency is fundamentally constrained by the inability to simultaneously harness photogenerated electrons and holes in a balanced, synergistic manner. Here we report a spatially separated yet electronically coupled dual‐active‐site photocatalyst, comprising atomic chromium (Cr) and oxygen vacancies (O</w:t>
      </w:r>
      <w:r>
        <w:t xml:space="preserve"> </w:t>
      </w:r>
      <w:r>
        <w:t>Vs</w:t>
      </w:r>
      <w:r>
        <w:t xml:space="preserve"> </w:t>
      </w:r>
      <w:r>
        <w:t>) anchored on ultrathin TiO</w:t>
      </w:r>
      <w:r>
        <w:rPr>
          <w:vertAlign w:val="subscript"/>
        </w:rPr>
        <w:t>2</w:t>
      </w:r>
      <w:r>
        <w:t>nanosheets (Cr‐TiO</w:t>
      </w:r>
      <w:r>
        <w:t xml:space="preserve"> </w:t>
      </w:r>
      <w:r>
        <w:t>2‐x</w:t>
      </w:r>
      <w:r>
        <w:t xml:space="preserve"> </w:t>
      </w:r>
      <w:r>
        <w:t>), that enables the cooperative coupling of two‐electron water oxidation (2e</w:t>
      </w:r>
      <w:r>
        <w:t xml:space="preserve"> </w:t>
      </w:r>
      <w:r>
        <w:t>−</w:t>
      </w:r>
      <w:r>
        <w:t>WOR) and oxygen reduction (2e</w:t>
      </w:r>
      <w:r>
        <w:t xml:space="preserve"> </w:t>
      </w:r>
      <w:r>
        <w:t>−</w:t>
      </w:r>
      <w:r>
        <w:t>ORR) in a single photocatalytic framework. In situ x‐ray absorption/emission spectroscopy and excited‐state density functional theory calculations reveal that Cr single atoms selectively accumulate photogenerated holes to drive 2e</w:t>
      </w:r>
      <w:r>
        <w:t xml:space="preserve"> </w:t>
      </w:r>
      <w:r>
        <w:t>−</w:t>
      </w:r>
      <w:r>
        <w:t>WOR, while O</w:t>
      </w:r>
      <w:r>
        <w:t xml:space="preserve"> </w:t>
      </w:r>
      <w:r>
        <w:t>V</w:t>
      </w:r>
      <w:r>
        <w:t xml:space="preserve"> </w:t>
      </w:r>
      <w:r>
        <w:t>sites trap electrons to activate O</w:t>
      </w:r>
      <w:r>
        <w:rPr>
          <w:vertAlign w:val="subscript"/>
        </w:rPr>
        <w:t>2</w:t>
      </w:r>
      <w:r>
        <w:t>for 2e</w:t>
      </w:r>
      <w:r>
        <w:t xml:space="preserve"> </w:t>
      </w:r>
      <w:r>
        <w:t>−</w:t>
      </w:r>
      <w:r>
        <w:t>ORR. This self‐sustaining proton‐coupled electron transfer (PCET) loop not only suppresses charge recombination but also achieves a record H</w:t>
      </w:r>
      <w:r>
        <w:rPr>
          <w:vertAlign w:val="subscript"/>
        </w:rPr>
        <w:t>2</w:t>
      </w:r>
      <w:r>
        <w:t>O</w:t>
      </w:r>
      <w:r>
        <w:rPr>
          <w:vertAlign w:val="subscript"/>
        </w:rPr>
        <w:t>2</w:t>
      </w:r>
      <w:r>
        <w:t>production rate of 764.9 µmol g</w:t>
      </w:r>
      <w:r>
        <w:t xml:space="preserve"> </w:t>
      </w:r>
      <w:r>
        <w:t>−1</w:t>
      </w:r>
      <w:r>
        <w:t xml:space="preserve"> </w:t>
      </w:r>
      <w:r>
        <w:t>h</w:t>
      </w:r>
      <w:r>
        <w:t xml:space="preserve"> </w:t>
      </w:r>
      <w:r>
        <w:t>−1</w:t>
      </w:r>
      <w:r>
        <w:t xml:space="preserve"> </w:t>
      </w:r>
      <w:r>
        <w:t>in pure water without sacrificial agents, with a solar‐to‐chemical conversion efficiency of 1.23% and an apparent quantum yield of 11.5% at 420 nm. This work establishes a blueprint for the atomic‐level design of dual‐redox photocatalysts and provides direct spectroscopic evidence of excited‐state charge partitioning, opening new avenues for efficient solar‐fuel synthesis.</w:t>
      </w:r>
    </w:p>
    <w:p>
      <w:pPr>
        <w:spacing w:before="120" w:after="120"/>
      </w:pPr>
      <w:r>
        <w:rPr>
          <w:sz w:val="18"/>
        </w:rPr>
        <w:t>——————————————————————————————————————————————————————————————————————</w:t>
      </w:r>
    </w:p>
    <w:p>
      <w:pPr>
        <w:spacing w:before="160" w:after="40" w:line="240" w:lineRule="auto"/>
      </w:pPr>
      <w:r>
        <w:rPr>
          <w:b/>
        </w:rPr>
        <w:t xml:space="preserve">[147] </w:t>
      </w:r>
      <w:hyperlink r:id="rId871">
        <w:r>
          <w:rPr>
            <w:color w:val="1155CC"/>
            <w:u w:val="single"/>
          </w:rPr>
          <w:t>高密度钴基单原子纳米酶通过破坏氧化应激-铁死亡-炎症反应循环来减轻心肌缺血再灌注损伤</w:t>
        </w:r>
      </w:hyperlink>
    </w:p>
    <w:p>
      <w:pPr>
        <w:spacing w:before="0" w:after="80"/>
      </w:pPr>
      <w:r>
        <w:rPr>
          <w:i/>
          <w:sz w:val="20"/>
        </w:rPr>
        <w:t>EN: High‐Density Co‐Based Single‐Atom Nanozymes Alleviate Myocardial Ischemia‐Reperfusion Injury by Disrupting the Cycle of Oxidative Stress‐Ferroptosis‐Inflammatory Response</w:t>
      </w:r>
    </w:p>
    <w:p>
      <w:pPr>
        <w:spacing w:before="0" w:after="120"/>
      </w:pPr>
      <w:r>
        <w:rPr>
          <w:b/>
        </w:rPr>
        <w:t xml:space="preserve">Source: </w:t>
      </w:r>
      <w:r>
        <w:t>Wiley: Angewandte Chemie International Edition: Table of Contents</w:t>
      </w:r>
      <w:r>
        <w:t xml:space="preserve">    </w:t>
      </w:r>
      <w:r>
        <w:rPr>
          <w:b/>
        </w:rPr>
        <w:t xml:space="preserve">Pub date: </w:t>
      </w:r>
      <w:r>
        <w:t>2026-08-14 16:34:41+00:00</w:t>
      </w:r>
      <w:r>
        <w:t xml:space="preserve">    </w:t>
      </w:r>
      <w:r>
        <w:rPr>
          <w:b/>
        </w:rPr>
        <w:t xml:space="preserve">DOI: </w:t>
      </w:r>
      <w:hyperlink r:id="rId872">
        <w:r>
          <w:rPr>
            <w:color w:val="1155CC"/>
            <w:u w:val="single"/>
          </w:rPr>
          <w:t>10.1002/anie.3395960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化应激-铁死亡-炎症反应”的恶性循环是心肌缺血再灌注损伤（MIRI）进展的关键原因，但单一的抗氧化或抗炎治疗尚未取得满意的治疗效果。在这项研究中，我们开发了一种基于高密度Co单原子纳米酶（HCoN）的多功能纳米调节剂（HCoMB）</w:t>
      </w:r>
      <w:r>
        <w:rPr>
          <w:vertAlign w:val="subscript"/>
        </w:rPr>
        <w:t>4</w:t>
      </w:r>
      <w:r>
        <w:t>）可能通过破坏“氧化应激-铁死亡-炎症反应”循环来有效抑制 MIRI 病理进展。碳氢化合物</w:t>
      </w:r>
      <w:r>
        <w:rPr>
          <w:vertAlign w:val="subscript"/>
        </w:rPr>
        <w:t>4</w:t>
      </w:r>
      <w:r>
        <w:t>由于金属负载量的增加，负载量为 11.05 wt% 的 Co 表现出增强的谷胱甘肽过氧化物酶 (GPx) 类活性、超氧化物歧化酶 (SOD) 类和过氧化氢酶 (CAT) 类催化活性，这不仅增加了催化活性中心的数量，而且通过密集分布的活性位点之间的电子转移，有效提高了各个位点的固有活性。它能够高效稳定地清除ROS，上调谷胱甘肽过氧化物酶4（GPx4）的表达，阻断铁死亡的核心通路。此外，与 ML355 组合可以通过抑制 ALOX12 活性来特异性阻断 p53 介导的铁死亡过程。机制上，协同作用可显着减轻心肌细胞脂质过氧化和氧化应激损伤，最终打破氧化应激、铁死亡和炎症反应的恶性级联循环。</w:t>
      </w:r>
    </w:p>
    <w:p>
      <w:pPr>
        <w:spacing w:before="0" w:after="200" w:lineRule="auto" w:line="276"/>
      </w:pPr>
      <w:r>
        <w:rPr>
          <w:b/>
        </w:rPr>
        <w:t xml:space="preserve">Abstract (EN): </w:t>
      </w:r>
      <w:r>
        <w:t>The vicious cycle of “oxidative stress‐ferroptosis‐inflammatory response” is a key cause of the progression of myocardial ischemia‐reperfusion injury (MIRI), but single antioxidant or anti‐inflammatory therapies have not yielded satisfactory therapeutic effects. In this study, we developed a multi‐functional nanoregulator (HCoMB) based on high‐density Co single‐atom nanozyme (HCoN</w:t>
      </w:r>
      <w:r>
        <w:rPr>
          <w:vertAlign w:val="subscript"/>
        </w:rPr>
        <w:t>4</w:t>
      </w:r>
      <w:r>
        <w:t>) for efficient inhibition of MIRI pathological progression, potentially through disruption of the cycle of “oxidative stress‐ferroptosis‐inflammatory response”. HCoN</w:t>
      </w:r>
      <w:r>
        <w:rPr>
          <w:vertAlign w:val="subscript"/>
        </w:rPr>
        <w:t>4</w:t>
      </w:r>
      <w:r>
        <w:t>with 11.05 wt% Co loading exhibited boosted glutathione peroxidase (GPx)‐like activity, superoxide dismutase (SOD)‐like and catalase (CAT)‐like catalytic activities due to the increased metal loading, which not only raised the number of catalytic active centers but also effectively improved the intrinsic activity of individual sites via electron transfer between densely distributed active sites. It can efficiently and stably scavenge ROS, upregulate the expression of glutathione peroxidase 4 (GPx4), and block the core pathway of ferroptosis. In addition, the combination with ML355 could specifically block the p53‐mediated ferroptosis process by inhibiting ALOX12 activity. Mechanistically, the synergistic effect can significantly alleviate lipid peroxidation and oxidative stress injury in cardiomyocytes, and ultimately break the vicious cascade cycle of oxidative stress, ferroptosis and inflammatory response, and realize effective protection against MIRI.</w:t>
      </w:r>
    </w:p>
    <w:p>
      <w:pPr>
        <w:spacing w:before="120" w:after="120"/>
      </w:pPr>
      <w:r>
        <w:rPr>
          <w:sz w:val="18"/>
        </w:rPr>
        <w:t>——————————————————————————————————————————————————————————————————————</w:t>
      </w:r>
    </w:p>
    <w:p>
      <w:pPr>
        <w:spacing w:before="160" w:after="40" w:line="240" w:lineRule="auto"/>
      </w:pPr>
      <w:r>
        <w:rPr>
          <w:b/>
        </w:rPr>
        <w:t xml:space="preserve">[148] </w:t>
      </w:r>
      <w:hyperlink r:id="rId873">
        <w:r>
          <w:rPr>
            <w:color w:val="1155CC"/>
            <w:u w:val="single"/>
          </w:rPr>
          <w:t>卤素取代作为“手性编辑器”，用于放大无铅金属卤化物杂化物中的自旋选择性输运</w:t>
        </w:r>
      </w:hyperlink>
    </w:p>
    <w:p>
      <w:pPr>
        <w:spacing w:before="0" w:after="80"/>
      </w:pPr>
      <w:r>
        <w:rPr>
          <w:i/>
          <w:sz w:val="20"/>
        </w:rPr>
        <w:t>EN: Halogen Substitution as a “Chirality Editor” for Amplifying Spin‐Selective Transport in Lead‐Free Metal‐Halide Hybrids</w:t>
      </w:r>
    </w:p>
    <w:p>
      <w:pPr>
        <w:spacing w:before="0" w:after="120"/>
      </w:pPr>
      <w:r>
        <w:rPr>
          <w:b/>
        </w:rPr>
        <w:t xml:space="preserve">Source: </w:t>
      </w:r>
      <w:r>
        <w:t>Wiley: Angewandte Chemie International Edition: Table of Contents</w:t>
      </w:r>
      <w:r>
        <w:t xml:space="preserve">    </w:t>
      </w:r>
      <w:r>
        <w:rPr>
          <w:b/>
        </w:rPr>
        <w:t xml:space="preserve">Pub date: </w:t>
      </w:r>
      <w:r>
        <w:t>2026-08-14 16:39:18+00:00</w:t>
      </w:r>
      <w:r>
        <w:t xml:space="preserve">    </w:t>
      </w:r>
      <w:r>
        <w:rPr>
          <w:b/>
        </w:rPr>
        <w:t xml:space="preserve">DOI: </w:t>
      </w:r>
      <w:hyperlink r:id="rId874">
        <w:r>
          <w:rPr>
            <w:color w:val="1155CC"/>
            <w:u w:val="single"/>
          </w:rPr>
          <w:t>10.1002/anie.3778438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无铅金属卤化物混合物有望成为用于 X 射线检测的柔性半导体，但其应用受到载流子传输效率低下的限制。在这里，我们在手性分子阳离子上引入卤素取代作为“手性编辑器”来调节手性静电环境，从而放大铋基杂化物中的自旋选择性输运。九个系列（</w:t>
      </w:r>
      <w:r>
        <w:t xml:space="preserve"> </w:t>
      </w:r>
      <w:r>
        <w:t>S</w:t>
      </w:r>
      <w:r>
        <w:t xml:space="preserve"> </w:t>
      </w:r>
      <w:r>
        <w:t>/</w:t>
      </w:r>
      <w:r>
        <w:t>拉克</w:t>
      </w:r>
      <w:r>
        <w:t xml:space="preserve"> </w:t>
      </w:r>
      <w:r>
        <w:t>/</w:t>
      </w:r>
      <w:r>
        <w:t>右</w:t>
      </w:r>
      <w:r>
        <w:t xml:space="preserve"> </w:t>
      </w:r>
      <w:r>
        <w:t>‐XPEA）</w:t>
      </w:r>
      <w:r>
        <w:rPr>
          <w:vertAlign w:val="subscript"/>
        </w:rPr>
        <w:t>4</w:t>
      </w:r>
      <w:r>
        <w:t>毕</w:t>
      </w:r>
      <w:r>
        <w:rPr>
          <w:vertAlign w:val="subscript"/>
        </w:rPr>
        <w:t>2</w:t>
      </w:r>
      <w:r>
        <w:t>我</w:t>
      </w:r>
      <w:r>
        <w:rPr>
          <w:vertAlign w:val="subscript"/>
        </w:rPr>
        <w:t>10</w:t>
      </w:r>
      <w:r>
        <w:t>系统研究了 X = F、Cl 或 Br 且 XPEA = 1-(4-卤代苯基)乙胺的化合物，揭示了从 F 到 Br 的取代可调节分子偶极子和局部结构扭曲，并增强 Rashba 自旋分裂。因此，磁导原子力显微镜证实，手性光学活性增加了近一个数量级，自旋极化效率从 68% 上升到 89%。放大的手性诱导自旋选择性 (CISS) 效应使载流子迁移率寿命乘积提高了 3.4 倍（</w:t>
      </w:r>
      <w:r>
        <w:t xml:space="preserve"> </w:t>
      </w:r>
      <w:r>
        <w:t>μτ</w:t>
      </w:r>
      <w:r>
        <w:t xml:space="preserve"> </w:t>
      </w:r>
      <w:r>
        <w:t>高达 3.26 × 10</w:t>
      </w:r>
      <w:r>
        <w:t xml:space="preserve"> </w:t>
      </w:r>
      <w:r>
        <w:t>−3</w:t>
      </w:r>
      <w:r>
        <w:t xml:space="preserve"> </w:t>
      </w:r>
      <w:r>
        <w:t>厘米</w:t>
      </w:r>
      <w:r>
        <w:rPr>
          <w:vertAlign w:val="subscript"/>
        </w:rPr>
        <w:t>2</w:t>
      </w:r>
      <w:r>
        <w:t>V</w:t>
      </w:r>
      <w:r>
        <w:t xml:space="preserve"> </w:t>
      </w:r>
      <w:r>
        <w:t>−1</w:t>
      </w:r>
      <w:r>
        <w:t xml:space="preserve"> </w:t>
      </w:r>
      <w:r>
        <w:t>），同时将暗电流漂移减少三倍。优化的Br取代纯手性柔性X射线探测器</w:t>
      </w:r>
    </w:p>
    <w:p>
      <w:pPr>
        <w:spacing w:before="0" w:after="200" w:lineRule="auto" w:line="276"/>
      </w:pPr>
      <w:r>
        <w:rPr>
          <w:b/>
        </w:rPr>
        <w:t xml:space="preserve">Abstract (EN): </w:t>
      </w:r>
      <w:r>
        <w:t>Lead‐free metal‐halide hybrids hold promise as flexible semiconductors for X‐ray detection, but their application is constrained by inefficient carrier transport. Here, we introduce halogen substitution on chiral molecular cations as a “chirality editor” to modulate the chiral electrostatic environment and thereby amplify spin‐selective transport in bismuth‐based hybrids. A series of nine (</w:t>
      </w:r>
      <w:r>
        <w:t xml:space="preserve"> </w:t>
      </w:r>
      <w:r>
        <w:t>S</w:t>
      </w:r>
      <w:r>
        <w:t xml:space="preserve"> </w:t>
      </w:r>
      <w:r>
        <w:t>/</w:t>
      </w:r>
      <w:r>
        <w:t>rac</w:t>
      </w:r>
      <w:r>
        <w:t xml:space="preserve"> </w:t>
      </w:r>
      <w:r>
        <w:t>/</w:t>
      </w:r>
      <w:r>
        <w:t>R</w:t>
      </w:r>
      <w:r>
        <w:t xml:space="preserve"> </w:t>
      </w:r>
      <w:r>
        <w:t>‐XPEA)</w:t>
      </w:r>
      <w:r>
        <w:rPr>
          <w:vertAlign w:val="subscript"/>
        </w:rPr>
        <w:t>4</w:t>
      </w:r>
      <w:r>
        <w:t>Bi</w:t>
      </w:r>
      <w:r>
        <w:rPr>
          <w:vertAlign w:val="subscript"/>
        </w:rPr>
        <w:t>2</w:t>
      </w:r>
      <w:r>
        <w:t>I</w:t>
      </w:r>
      <w:r>
        <w:rPr>
          <w:vertAlign w:val="subscript"/>
        </w:rPr>
        <w:t>10</w:t>
      </w:r>
      <w:r>
        <w:t>compounds, where X = F, Cl, or Br and XPEA = 1‐(4‐halophenyl)ethylamine, is systematically investigated, revealing that substitution from F to Br modulates molecular dipoles and local structural distortions, and enhances Rashba spin splitting. Consequently, chiroptical activity increases by nearly one order of magnitude and spin polarization efficiency rises from 68% to 89%, as confirmed by magnetoconductive atomic force microscopy. The amplified chiral‐induced spin selectivity (CISS) effect yields a 3.4‐fold enhancement in carrier mobility‐lifetime product (</w:t>
      </w:r>
      <w:r>
        <w:t xml:space="preserve"> </w:t>
      </w:r>
      <w:r>
        <w:t>μτ</w:t>
      </w:r>
      <w:r>
        <w:t xml:space="preserve"> </w:t>
      </w:r>
      <w:r>
        <w:t>up to 3.26 × 10</w:t>
      </w:r>
      <w:r>
        <w:t xml:space="preserve"> </w:t>
      </w:r>
      <w:r>
        <w:t>−3</w:t>
      </w:r>
      <w:r>
        <w:t xml:space="preserve"> </w:t>
      </w:r>
      <w:r>
        <w:t>cm</w:t>
      </w:r>
      <w:r>
        <w:rPr>
          <w:vertAlign w:val="subscript"/>
        </w:rPr>
        <w:t>2</w:t>
      </w:r>
      <w:r>
        <w:t>V</w:t>
      </w:r>
      <w:r>
        <w:t xml:space="preserve"> </w:t>
      </w:r>
      <w:r>
        <w:t>−1</w:t>
      </w:r>
      <w:r>
        <w:t xml:space="preserve"> </w:t>
      </w:r>
      <w:r>
        <w:t>) while simultaneously reducing dark‐current drift by threefold. The optimized Br‐substituted homochiral flexible X‐ray detector achieves a sensitivity of 8865.82 ± 403 µC Gy</w:t>
      </w:r>
      <w:r>
        <w:t xml:space="preserve"> </w:t>
      </w:r>
      <w:r>
        <w:t>−1</w:t>
      </w:r>
      <w:r>
        <w:t xml:space="preserve"> </w:t>
      </w:r>
      <w:r>
        <w:t>cm</w:t>
      </w:r>
      <w:r>
        <w:t xml:space="preserve"> </w:t>
      </w:r>
      <w:r>
        <w:t>−2</w:t>
      </w:r>
      <w:r>
        <w:t xml:space="preserve"> </w:t>
      </w:r>
      <w:r>
        <w:t>and an ultralow detection limit of 7.16 nGy s</w:t>
      </w:r>
      <w:r>
        <w:t xml:space="preserve"> </w:t>
      </w:r>
      <w:r>
        <w:t>−1</w:t>
      </w:r>
      <w:r>
        <w:t xml:space="preserve"> </w:t>
      </w:r>
      <w:r>
        <w:t>. Overall, this work establishes a structure‐property‐performance framework that positions halogen‐based “chirality editing” as an efficient strategy for high‐performance radiation detectors.</w:t>
      </w:r>
    </w:p>
    <w:p>
      <w:pPr>
        <w:spacing w:before="120" w:after="120"/>
      </w:pPr>
      <w:r>
        <w:rPr>
          <w:sz w:val="18"/>
        </w:rPr>
        <w:t>——————————————————————————————————————————————————————————————————————</w:t>
      </w:r>
    </w:p>
    <w:p>
      <w:pPr>
        <w:spacing w:before="160" w:after="40" w:line="240" w:lineRule="auto"/>
      </w:pPr>
      <w:r>
        <w:rPr>
          <w:b/>
        </w:rPr>
        <w:t xml:space="preserve">[149] </w:t>
      </w:r>
      <w:hyperlink r:id="rId875">
        <w:r>
          <w:rPr>
            <w:color w:val="1155CC"/>
            <w:u w:val="single"/>
          </w:rPr>
          <w:t>CRISPR RNA 工程实现核酸检测中的单核苷酸多态性区分</w:t>
        </w:r>
      </w:hyperlink>
    </w:p>
    <w:p>
      <w:pPr>
        <w:spacing w:before="0" w:after="80"/>
      </w:pPr>
      <w:r>
        <w:rPr>
          <w:i/>
          <w:sz w:val="20"/>
        </w:rPr>
        <w:t>EN: CRISPR RNA Engineering Enables Single Nucleotide Polymorphism Discrimination in Nucleic Acid Detection</w:t>
      </w:r>
    </w:p>
    <w:p>
      <w:pPr>
        <w:spacing w:before="0" w:after="120"/>
      </w:pPr>
      <w:r>
        <w:rPr>
          <w:b/>
        </w:rPr>
        <w:t xml:space="preserve">Source: </w:t>
      </w:r>
      <w:r>
        <w:t>Wiley: Angewandte Chemie International Edition: Table of Contents</w:t>
      </w:r>
      <w:r>
        <w:t xml:space="preserve">    </w:t>
      </w:r>
      <w:r>
        <w:rPr>
          <w:b/>
        </w:rPr>
        <w:t xml:space="preserve">Pub date: </w:t>
      </w:r>
      <w:r>
        <w:t>2026-08-14 16:41:44+00:00</w:t>
      </w:r>
      <w:r>
        <w:t xml:space="preserve">    </w:t>
      </w:r>
      <w:r>
        <w:rPr>
          <w:b/>
        </w:rPr>
        <w:t xml:space="preserve">DOI: </w:t>
      </w:r>
      <w:hyperlink r:id="rId876">
        <w:r>
          <w:rPr>
            <w:color w:val="1155CC"/>
            <w:u w:val="single"/>
          </w:rPr>
          <w:t>10.1002/anie.202600004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基于成簇规则间隔短回文重复序列 (CRISPR) 的诊断系统已成为敏感核酸检测的强大平台，但其临床可靠性经常受到脱靶激活和密切相关序列区分不足的限制。这篇综述综合了当前旨在增强 CRISPR 诊断特异性的进展，特别强调了 CRISPR RNA (crRNA) 工程的关键作用。我们详细介绍了 crRNA 的结构决定因素，包括间隔区长度优化、故意错配设计、二级结构调制、化学修饰、链置换门控和协同设计框架，如何控制 CRISPR 介导的靶标识别，并定义准确切割的能量和动力学阈值。系统地检查了包括计算预测和建模、高通量筛选和混合引导架构在内的关键工程策略，以确定其提高单核苷酸辨别力、稳定反应性能以及实现病原体分析和突变识别的稳健多重检测的能力。尽管进展迅速，但突出的挑战仍然存在，包括复杂临床基质的干扰、缺乏统一的评估标准以及阻碍临床转化的可扩展性障碍。通过集成 crRNA 设计、系统级优化和标准化基准测试来解决这些限制对于实现 CRISPR 诊断的前景至关重要</w:t>
      </w:r>
    </w:p>
    <w:p>
      <w:pPr>
        <w:spacing w:before="0" w:after="200" w:lineRule="auto" w:line="276"/>
      </w:pPr>
      <w:r>
        <w:rPr>
          <w:b/>
        </w:rPr>
        <w:t xml:space="preserve">Abstract (EN): </w:t>
      </w:r>
      <w:r>
        <w:t>Clustered Regularly Interspaced Short Palindromic Repeats (CRISPR)‐based diagnostic systems have emerged as powerful platforms for sensitive nucleic acid detection, yet their clinical reliability is frequently constrained by off‐target activation and insufficient discrimination of closely related sequences. This review synthesizes current advances aimed at enhancing the specificity of CRISPR diagnostics, with particular emphasis on the pivotal role of CRISPR RNA (crRNA) engineering. We detail how structural determinants of crRNA, including spacer length optimization, intentional mismatch design, secondary‐structure modulation, chemical modification, strand‐displacement gating, and synergistic design frameworks, govern CRISPR‐mediated target recognition and define the energetic and kinetic thresholds for accurate cleavage. Key engineering strategies encompassing computational prediction and modeling, high‐throughput screening, and hybrid guide architectures are systematically examined for their capacity to elevate single‐nucleotide discrimination, stabilize reaction performance, and enable robust multiplexed detection for pathogen profiling and mutation identification. Despite rapid progress, outstanding challenges persist, including interference from complex clinical matrices, lack of unified evaluation standards, and scalability barriers that hinder clinical translation. Addressing these limitations through integrated crRNA design, system‐level optimization, and standardized benchmarking will be essential for realizing the promise of CRISPR diagnostics. Ultimately, these advances are poised to support ultrasensitive, highly specific, and portable point‐of‐care testing, thereby accelerating precision medicine and strengthening infectious disease surveillance and management.</w:t>
      </w:r>
    </w:p>
    <w:p>
      <w:pPr>
        <w:spacing w:before="120" w:after="120"/>
      </w:pPr>
      <w:r>
        <w:rPr>
          <w:sz w:val="18"/>
        </w:rPr>
        <w:t>——————————————————————————————————————————————————————————————————————</w:t>
      </w:r>
    </w:p>
    <w:p>
      <w:pPr>
        <w:spacing w:before="160" w:after="40" w:line="240" w:lineRule="auto"/>
      </w:pPr>
      <w:r>
        <w:rPr>
          <w:b/>
        </w:rPr>
        <w:t xml:space="preserve">[150] </w:t>
      </w:r>
      <w:hyperlink r:id="rId877">
        <w:r>
          <w:rPr>
            <w:color w:val="1155CC"/>
            <w:u w:val="single"/>
          </w:rPr>
          <w:t>通过异[n]螺旋烯的轴向伸长增强不对称因素</w:t>
        </w:r>
      </w:hyperlink>
    </w:p>
    <w:p>
      <w:pPr>
        <w:spacing w:before="0" w:after="80"/>
      </w:pPr>
      <w:r>
        <w:rPr>
          <w:i/>
          <w:sz w:val="20"/>
        </w:rPr>
        <w:t>EN: Enhancement of Dissymmetry Factors Through Axial Elongation of Hetero[n]helicenes</w:t>
      </w:r>
    </w:p>
    <w:p>
      <w:pPr>
        <w:spacing w:before="0" w:after="120"/>
      </w:pPr>
      <w:r>
        <w:rPr>
          <w:b/>
        </w:rPr>
        <w:t xml:space="preserve">Source: </w:t>
      </w:r>
      <w:r>
        <w:t>Wiley: Angewandte Chemie International Edition: Table of Contents</w:t>
      </w:r>
      <w:r>
        <w:t xml:space="preserve">    </w:t>
      </w:r>
      <w:r>
        <w:rPr>
          <w:b/>
        </w:rPr>
        <w:t xml:space="preserve">Pub date: </w:t>
      </w:r>
      <w:r>
        <w:t>2026-08-14 16:44:38+00:00</w:t>
      </w:r>
      <w:r>
        <w:t xml:space="preserve">    </w:t>
      </w:r>
      <w:r>
        <w:rPr>
          <w:b/>
        </w:rPr>
        <w:t xml:space="preserve">DOI: </w:t>
      </w:r>
      <w:hyperlink r:id="rId878">
        <w:r>
          <w:rPr>
            <w:color w:val="1155CC"/>
            <w:u w:val="single"/>
          </w:rPr>
          <w:t>10.1002/anie.2703281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螺旋烯是有吸引力的圆偏振光发射体，但增强其发光不对称因子的策略（</w:t>
      </w:r>
      <w:r>
        <w:t xml:space="preserve"> </w:t>
      </w:r>
      <w:r>
        <w:t>克</w:t>
      </w:r>
      <w:r>
        <w:t xml:space="preserve"> </w:t>
      </w:r>
      <w:r>
        <w:t>卢姆</w:t>
      </w:r>
      <w:r>
        <w:t xml:space="preserve"> </w:t>
      </w:r>
      <w:r>
        <w:t>）仍然不发达。在此，我们报告了一种利用苯并呋喃支架策略制备杂[9]螺烯的可扩展、简便的合成路线。这种高效的一锅法提供了克级的杂[9]螺旋烯，能够逐渐轴向伸长为杂[12]-和杂[15]螺旋烯。 NMR 和单晶 xX 射线衍射的结构表征证实了伸长时螺旋变形增加和螺距减小。手性光学研究揭示了两种吸收的显着增强（</w:t>
      </w:r>
      <w:r>
        <w:t xml:space="preserve"> </w:t>
      </w:r>
      <w:r>
        <w:t>克</w:t>
      </w:r>
      <w:r>
        <w:t xml:space="preserve"> </w:t>
      </w:r>
      <w:r>
        <w:t>腹肌</w:t>
      </w:r>
      <w:r>
        <w:t xml:space="preserve"> </w:t>
      </w:r>
      <w:r>
        <w:t>）和排放（</w:t>
      </w:r>
      <w:r>
        <w:t xml:space="preserve"> </w:t>
      </w:r>
      <w:r>
        <w:t>克</w:t>
      </w:r>
      <w:r>
        <w:t xml:space="preserve"> </w:t>
      </w:r>
      <w:r>
        <w:t>卢姆</w:t>
      </w:r>
      <w:r>
        <w:t xml:space="preserve"> </w:t>
      </w:r>
      <w:r>
        <w:t>) 不对称因素随着环数的增加而增加。值得注意的是，通过萘呋喃单元进行三环延伸的成环使</w:t>
      </w:r>
      <w:r>
        <w:t xml:space="preserve"> </w:t>
      </w:r>
      <w:r>
        <w:t>克</w:t>
      </w:r>
      <w:r>
        <w:t xml:space="preserve"> </w:t>
      </w:r>
      <w:r>
        <w:t>卢姆</w:t>
      </w:r>
      <w:r>
        <w:t xml:space="preserve"> </w:t>
      </w:r>
      <w:r>
        <w:t>，达到1.95×10</w:t>
      </w:r>
      <w:r>
        <w:t xml:space="preserve"> </w:t>
      </w:r>
      <w:r>
        <w:t>−2</w:t>
      </w:r>
      <w:r>
        <w:t xml:space="preserve"> </w:t>
      </w:r>
      <w:r>
        <w:t>[15]螺旋烯在 475 nm 处。 TD-DFT 计算再现了这些趋势，揭示了这种增强源于电跃迁偶极矩的系统性降低，而磁跃迁偶极矩保持恒定，从而增加了对 S 的相对磁贡献</w:t>
      </w:r>
      <w:r>
        <w:rPr>
          <w:vertAlign w:val="subscript"/>
        </w:rPr>
        <w:t>1</w:t>
      </w:r>
      <w:r>
        <w:t>→</w:t>
      </w:r>
      <w:r>
        <w:t xml:space="preserve"> </w:t>
      </w:r>
      <w:r>
        <w:t>S</w:t>
      </w:r>
    </w:p>
    <w:p>
      <w:pPr>
        <w:spacing w:before="0" w:after="200" w:lineRule="auto" w:line="276"/>
      </w:pPr>
      <w:r>
        <w:rPr>
          <w:b/>
        </w:rPr>
        <w:t xml:space="preserve">Abstract (EN): </w:t>
      </w:r>
      <w:r>
        <w:t>Helicenes are attractive emitters of circularly polarized light, yet strategies to enhance their luminescence dissymmetry factor (</w:t>
      </w:r>
      <w:r>
        <w:t xml:space="preserve"> </w:t>
      </w:r>
      <w:r>
        <w:t>g</w:t>
      </w:r>
      <w:r>
        <w:t xml:space="preserve"> </w:t>
      </w:r>
      <w:r>
        <w:t>lum</w:t>
      </w:r>
      <w:r>
        <w:t xml:space="preserve"> </w:t>
      </w:r>
      <w:r>
        <w:t>) remain underdeveloped. Herein, we report a scalable, facile synthetic route to hetero[9]helicenes utilizing a benzofuran scaffolding strategy. This efficient one‐pot protocol provides access to the hetero[9]helicenes at gram scale, enabling progressive axial elongation to hetero[12]‐ and hetero[15]helicenes. Structural characterization by NMR and single‐crystal xX‐ray diffraction confirms increasing helical distortion and reduced helical pitch upon elongation. Chiroptical investigations reveal a pronounced enhancement of both absorption (</w:t>
      </w:r>
      <w:r>
        <w:t xml:space="preserve"> </w:t>
      </w:r>
      <w:r>
        <w:t>g</w:t>
      </w:r>
      <w:r>
        <w:t xml:space="preserve"> </w:t>
      </w:r>
      <w:r>
        <w:t>abs</w:t>
      </w:r>
      <w:r>
        <w:t xml:space="preserve"> </w:t>
      </w:r>
      <w:r>
        <w:t>) and emission (</w:t>
      </w:r>
      <w:r>
        <w:t xml:space="preserve"> </w:t>
      </w:r>
      <w:r>
        <w:t>g</w:t>
      </w:r>
      <w:r>
        <w:t xml:space="preserve"> </w:t>
      </w:r>
      <w:r>
        <w:t>lum</w:t>
      </w:r>
      <w:r>
        <w:t xml:space="preserve"> </w:t>
      </w:r>
      <w:r>
        <w:t>) dissymmetry factors with increasing ring count. Notably, annulation with a three‐ring extension via a naphtofuran unit yields a twofold increase in</w:t>
      </w:r>
      <w:r>
        <w:t xml:space="preserve"> </w:t>
      </w:r>
      <w:r>
        <w:t>g</w:t>
      </w:r>
      <w:r>
        <w:t xml:space="preserve"> </w:t>
      </w:r>
      <w:r>
        <w:t>lum</w:t>
      </w:r>
      <w:r>
        <w:t xml:space="preserve"> </w:t>
      </w:r>
      <w:r>
        <w:t>, reaching 1.95 × 10</w:t>
      </w:r>
      <w:r>
        <w:t xml:space="preserve"> </w:t>
      </w:r>
      <w:r>
        <w:t>−2</w:t>
      </w:r>
      <w:r>
        <w:t xml:space="preserve"> </w:t>
      </w:r>
      <w:r>
        <w:t>at 475 nm for the [15]helicene. TD‐DFT calculations reproduce these trends, revealing that the enhancement originates from a systematic decrease in the electric transition dipole moment while the magnetic transition dipole moment remains constant, thereby increasing the relative magnetic contribution to the S</w:t>
      </w:r>
      <w:r>
        <w:rPr>
          <w:vertAlign w:val="subscript"/>
        </w:rPr>
        <w:t>1</w:t>
      </w:r>
      <w:r>
        <w:t>→</w:t>
      </w:r>
      <w:r>
        <w:t xml:space="preserve"> </w:t>
      </w:r>
      <w:r>
        <w:t>S</w:t>
      </w:r>
      <w:r>
        <w:rPr>
          <w:vertAlign w:val="subscript"/>
        </w:rPr>
        <w:t>0</w:t>
      </w:r>
      <w:r>
        <w:t>transition as well as the angle between the dipole moments. These findings establish axial elongation as a robust design principle for amplifying chiroptical responses in helicenes.</w:t>
      </w:r>
    </w:p>
    <w:p>
      <w:pPr>
        <w:spacing w:before="120" w:after="120"/>
      </w:pPr>
      <w:r>
        <w:rPr>
          <w:sz w:val="18"/>
        </w:rPr>
        <w:t>——————————————————————————————————————————————————————————————————————</w:t>
      </w:r>
    </w:p>
    <w:p>
      <w:pPr>
        <w:spacing w:before="160" w:after="40" w:line="240" w:lineRule="auto"/>
      </w:pPr>
      <w:r>
        <w:rPr>
          <w:b/>
        </w:rPr>
        <w:t xml:space="preserve">[151] </w:t>
      </w:r>
      <w:hyperlink r:id="rId879">
        <w:r>
          <w:rPr>
            <w:color w:val="1155CC"/>
            <w:u w:val="single"/>
          </w:rPr>
          <w:t>共价有机框架介导的聚合用于多功能应用</w:t>
        </w:r>
      </w:hyperlink>
    </w:p>
    <w:p>
      <w:pPr>
        <w:spacing w:before="0" w:after="80"/>
      </w:pPr>
      <w:r>
        <w:rPr>
          <w:i/>
          <w:sz w:val="20"/>
        </w:rPr>
        <w:t>EN: Covalent Organic Framework Mediated Polymerization for Multifunctional Applications</w:t>
      </w:r>
    </w:p>
    <w:p>
      <w:pPr>
        <w:spacing w:before="0" w:after="120"/>
      </w:pPr>
      <w:r>
        <w:rPr>
          <w:b/>
        </w:rPr>
        <w:t xml:space="preserve">Source: </w:t>
      </w:r>
      <w:r>
        <w:t>Wiley: Angewandte Chemie International Edition: Table of Contents</w:t>
      </w:r>
      <w:r>
        <w:t xml:space="preserve">    </w:t>
      </w:r>
      <w:r>
        <w:rPr>
          <w:b/>
        </w:rPr>
        <w:t xml:space="preserve">Pub date: </w:t>
      </w:r>
      <w:r>
        <w:t>2026-08-14 16:45:51+00:00</w:t>
      </w:r>
      <w:r>
        <w:t xml:space="preserve">    </w:t>
      </w:r>
      <w:r>
        <w:rPr>
          <w:b/>
        </w:rPr>
        <w:t xml:space="preserve">DOI: </w:t>
      </w:r>
      <w:hyperlink r:id="rId880">
        <w:r>
          <w:rPr>
            <w:color w:val="1155CC"/>
            <w:u w:val="single"/>
          </w:rPr>
          <w:t>10.1002/anie.1608232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是能源、环境和生物医学应用中不可或缺的功能成分，但对其初级和高阶结构的精确控制仍然是一个核心挑战。共价有机框架（COF）是一类结晶多孔材料，具有可设计的拓扑结构、可调节的化学成分和永久有序的孔通道，通过其固有的孔限制和界面协同效应为单体聚合提供了分子级平台。本综述系统地总结了 COF 介导的聚合的两种主要策略。 COF可以作为受限纳米反应器来调节聚合物链的生长，而其骨架内的可寻址反应位点可以用来构建聚合物交联网络。本综述阐明了相应的聚合机制，通过代表性实例阐明了材料设计原理，并扩展了COF的应用范围。最后，我们概述了该领域未来的挑战和机遇，包括精密设计、聚合机制和可扩展应用。</w:t>
      </w:r>
    </w:p>
    <w:p>
      <w:pPr>
        <w:spacing w:before="0" w:after="200" w:lineRule="auto" w:line="276"/>
      </w:pPr>
      <w:r>
        <w:rPr>
          <w:b/>
        </w:rPr>
        <w:t xml:space="preserve">Abstract (EN): </w:t>
      </w:r>
      <w:r>
        <w:t>Polymers constitute indispensable functional components across energy, environmental, and biomedical applications, yet precise control over their primary and higher‐order structures remains a core challenge. Covalent organic frameworks (COFs), a class of crystalline porous materials featuring designable topologies, tunable chemical compositions, and permanent ordered pore channels, provide a molecular‐level platform for monomer polymerization through their inherent pore confinement and interfacial synergistic effects. This review systematically summarizes two principal strategies for COF‐mediated polymerization. COFs can serve as confined nanoreactors to regulate polymer chain growth, while addressable reactive sites within their skeletons can be exploited to construct polymer‐cross‐linked networks. This review elucidates the corresponding polymerization mechanisms, clarifies material design principles through representative examples, and expands the application scope of COFs. Finally, we outline future challenges and opportunities in this field, encompassing precision design, polymerization mechanism, and scalable applications.</w:t>
      </w:r>
    </w:p>
    <w:p>
      <w:pPr>
        <w:spacing w:before="120" w:after="120"/>
      </w:pPr>
      <w:r>
        <w:rPr>
          <w:sz w:val="18"/>
        </w:rPr>
        <w:t>——————————————————————————————————————————————————————————————————————</w:t>
      </w:r>
    </w:p>
    <w:p>
      <w:pPr>
        <w:spacing w:before="160" w:after="40" w:line="240" w:lineRule="auto"/>
      </w:pPr>
      <w:r>
        <w:rPr>
          <w:b/>
        </w:rPr>
        <w:t xml:space="preserve">[152] </w:t>
      </w:r>
      <w:hyperlink r:id="rId881">
        <w:r>
          <w:rPr>
            <w:color w:val="1155CC"/>
            <w:u w:val="single"/>
          </w:rPr>
          <w:t>通过酵母代谢工程进行鸟嘌呤晶体的生物合成和遗传调控</w:t>
        </w:r>
      </w:hyperlink>
    </w:p>
    <w:p>
      <w:pPr>
        <w:spacing w:before="0" w:after="80"/>
      </w:pPr>
      <w:r>
        <w:rPr>
          <w:i/>
          <w:sz w:val="20"/>
        </w:rPr>
        <w:t>EN: Biosynthesis and Genetic Tuning of Guanine Crystals via Metabolic Engineering of Yeast</w:t>
      </w:r>
    </w:p>
    <w:p>
      <w:pPr>
        <w:spacing w:before="0" w:after="120"/>
      </w:pPr>
      <w:r>
        <w:rPr>
          <w:b/>
        </w:rPr>
        <w:t xml:space="preserve">Source: </w:t>
      </w:r>
      <w:r>
        <w:t>Wiley: Angewandte Chemie International Edition: Table of Contents</w:t>
      </w:r>
      <w:r>
        <w:t xml:space="preserve">    </w:t>
      </w:r>
      <w:r>
        <w:rPr>
          <w:b/>
        </w:rPr>
        <w:t xml:space="preserve">Pub date: </w:t>
      </w:r>
      <w:r>
        <w:t>2026-08-14 16:46:31+00:00</w:t>
      </w:r>
      <w:r>
        <w:t xml:space="preserve">    </w:t>
      </w:r>
      <w:r>
        <w:rPr>
          <w:b/>
        </w:rPr>
        <w:t xml:space="preserve">DOI: </w:t>
      </w:r>
      <w:hyperlink r:id="rId882">
        <w:r>
          <w:rPr>
            <w:color w:val="1155CC"/>
            <w:u w:val="single"/>
          </w:rPr>
          <w:t>10.1002/anie.6259849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嘌呤晶体，例如鸟嘌呤，在动物体内产生多种光学现象，并在微藻中充当重要的氮储存库。在这里，我们展示了啤酒酵母中鸟嘌呤晶体的形成。虽然鸟嘌呤晶体不会自然地促进这种酵母物种的生理学，但我们展示了如何人为诱导结晶，然后使用遗传操作来控制晶体特性。具体来说，我们使用嘌呤回收酶的基因敲除来改变晶体形态、大小和晶体顺序。分别将鸟嘌呤转化为鸟苷单磷酸和黄嘌呤的 Hpt1 和 Gud1 的缺失，将野生型细胞中的球形鸟嘌呤纳米颗粒转化为结晶哑铃和纳米花。虽然我们缺乏合理化这种转变的明确机制，但我们假设晶体形态的变化可能是由基因诱导的酵母液泡内局部过饱和度和代谢物组成的变化驱动的。利用酵母的遗传可编程性和无处不在的工业用途，我们的研究结果为光学功能鸟嘌呤晶体的生物合成提供了强大的生物技术策略，作为一系列行业中有毒颜料的环保替代品。</w:t>
      </w:r>
    </w:p>
    <w:p>
      <w:pPr>
        <w:spacing w:before="0" w:after="200" w:lineRule="auto" w:line="276"/>
      </w:pPr>
      <w:r>
        <w:rPr>
          <w:b/>
        </w:rPr>
        <w:t xml:space="preserve">Abstract (EN): </w:t>
      </w:r>
      <w:r>
        <w:t>Purine crystals, such as guanine, generate diverse optical phenomena in animals and function as important nitrogen‐storage reservoirs in microalgae. Here, we demonstrate the formation of guanine crystals in Brewer's yeast. Whilst guanine crystals do not naturally contribute to the physiology of this yeast species, we show how crystallization may be artificially induced and then use genetic manipulation to control crystal properties. Specifically, we use genetic knockouts of purine salvage enzymes to modify crystal morphology, size and crystalline order. Deletion of Hpt1 and Gud1, which convert guanine to guanosine monophosphate and xanthine, respectively, transforms spherical guanine nanoparticles in wild‐type cells into crystalline dumbbells and nanoflowers. While we are lacking a definitive mechanism to rationalize this transformation, we hypothesize that changes in crystal morphology are likely driven by genetically induced shifts in the local supersaturation and metabolite composition within the yeast vacuole. Leveraging yeast's genetic programmability and ubiquitous industrial usage, our findings provide a powerful biotechnological strategy for the biosynthesis of optically functional guanine crystals, as environmentally friendly alternatives to toxic pigments in a range of industries.</w:t>
      </w:r>
    </w:p>
    <w:p>
      <w:pPr>
        <w:spacing w:before="120" w:after="120"/>
      </w:pPr>
      <w:r>
        <w:rPr>
          <w:sz w:val="18"/>
        </w:rPr>
        <w:t>——————————————————————————————————————————————————————————————————————</w:t>
      </w:r>
    </w:p>
    <w:p>
      <w:pPr>
        <w:spacing w:before="160" w:after="40" w:line="240" w:lineRule="auto"/>
      </w:pPr>
      <w:r>
        <w:rPr>
          <w:b/>
        </w:rPr>
        <w:t xml:space="preserve">[153] </w:t>
      </w:r>
      <w:hyperlink r:id="rId883">
        <w:r>
          <w:rPr>
            <w:color w:val="1155CC"/>
            <w:u w:val="single"/>
          </w:rPr>
          <w:t>登革热蚊子中气味受体的共表达和多重表达</w:t>
        </w:r>
      </w:hyperlink>
    </w:p>
    <w:p>
      <w:pPr>
        <w:spacing w:before="0" w:after="80"/>
      </w:pPr>
      <w:r>
        <w:rPr>
          <w:i/>
          <w:sz w:val="20"/>
        </w:rPr>
        <w:t>EN: Odorant receptor coexpression and multi-expression in the dengue mosquito</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果蝇嗅觉感觉神经元倾向于表达单一配体特异性受体，遵循每个神经元一个受体的规则，预计广泛适用于昆虫。最近的研究挑战了这一观点，表明埃及伊蚊的一些神经元同时表达多种受体。然而，Ae 中共表达的全部范围和性质。埃及伊蚊仍不清楚。我们对 46,000 个雌性触角神经元的转录组进行了测序，以解析所有嗅觉神经元亚型并鉴定表达的受体。所有亚型的一半共表达多种受体。然而，共表达几乎只发生在来自同一家族的受体之间。气味受体与离子型受体的跨家族共表达是罕见的。我们还记录了一种称为多重表达的现象，其中一种受体在多种神经元亚型中表达，通常与远处的旁系同源物一起表达。果蝇提供了共表达和多重表达的罕见例子，表明果蝇和伊蚊并没有本质上的不同，而是位于可能包含不同昆虫的连续体上的不同位置。</w:t>
      </w:r>
    </w:p>
    <w:p>
      <w:pPr>
        <w:spacing w:before="0" w:after="200" w:lineRule="auto" w:line="276"/>
      </w:pPr>
      <w:r>
        <w:rPr>
          <w:b/>
        </w:rPr>
        <w:t xml:space="preserve">Abstract (EN): </w:t>
      </w:r>
      <w:r>
        <w:t>Drosophila olfactory sensory neurons tend to express a single ligand-specific receptor, following a one-receptor-per-neuron rule expected to apply broadly across insects. Recent work challenges this view by showing that some neurons in the mosquito Aedes aegypti coexpress multiple receptors. However, the full extent and nature of coexpression in Ae. aegypti remains unclear. We sequenced the transcriptomes of 46,000 female antennal neurons to resolve all olfactory neuron subtypes and identify expressed receptors. Half of all subtypes coexpress multiple receptors. However, coexpression occurs almost exclusively among receptors from the same family; cross-family coexpression of odorant receptors with ionotropic receptors is rare. We also document a phenomenon called multi-expression, wherein one receptor is expressed in multiple neuron subtypes, often alongside distant paralogs. Drosophila provides rare examples of both coexpression and multi-expression, suggesting that Drosophila and Aedes are not fundamentally different, but instead located at different positions along a continuum likely to encompass diverse insects.</w:t>
      </w:r>
    </w:p>
    <w:p>
      <w:pPr>
        <w:spacing w:before="120" w:after="120"/>
      </w:pPr>
      <w:r>
        <w:rPr>
          <w:sz w:val="18"/>
        </w:rPr>
        <w:t>——————————————————————————————————————————————————————————————————————</w:t>
      </w:r>
    </w:p>
    <w:p>
      <w:pPr>
        <w:spacing w:before="160" w:after="40" w:line="240" w:lineRule="auto"/>
      </w:pPr>
      <w:r>
        <w:rPr>
          <w:b/>
        </w:rPr>
        <w:t xml:space="preserve">[154] </w:t>
      </w:r>
      <w:hyperlink r:id="rId884">
        <w:r>
          <w:rPr>
            <w:color w:val="1155CC"/>
            <w:u w:val="single"/>
          </w:rPr>
          <w:t>检测气相中难以捉摸的环−1,2-二氢四氮烷 (N4H2)</w:t>
        </w:r>
      </w:hyperlink>
    </w:p>
    <w:p>
      <w:pPr>
        <w:spacing w:before="0" w:after="80"/>
      </w:pPr>
      <w:r>
        <w:rPr>
          <w:i/>
          <w:sz w:val="20"/>
        </w:rPr>
        <w:t>EN: Detection of the elusive cyclo−1,2-dihydrotetrazete (N4H2) in the gas phase</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氮氢化物（NnHm）因其在开发高能量密度材料方面的潜力而引起了人们的极大兴趣。环状氮氢化物的合成由于其固有的高应变能而特别具有挑战性。在这里，我们报告了通过将氨（NH3）的低温（5 K）冰暴露于高能电子来制备迄今为止难以捉摸的反式和顺式环−1,2-二氢四氮杂物（2a和2b，环-N4H2）及其开链异构体叠氮酰胺（5a，N=N=N−NH2）。在程序升温解吸阶段，利用异构体选择性软光电离反射飞行时间质谱法在气相中检测和区分这些化合物。环−1,2-二氢四氮烷表示含有四氮环的游离气相物质，其存在不依赖于高压条件或共轭稳定。我们的方法可以为设计高阶氮环系统并阐明其化学键合和稳定性提供可行的策略。</w:t>
      </w:r>
    </w:p>
    <w:p>
      <w:pPr>
        <w:spacing w:before="0" w:after="200" w:lineRule="auto" w:line="276"/>
      </w:pPr>
      <w:r>
        <w:rPr>
          <w:b/>
        </w:rPr>
        <w:t xml:space="preserve">Abstract (EN): </w:t>
      </w:r>
      <w:r>
        <w:t>Nitrogen hydrides (NnHm) have attracted significant interest for their potential in developing high-energy-density materials. The synthesis of cyclic nitrogen hydrides is particularly challenging due to their inherently high strain energies. Here we report the preparation of the hitherto elusive trans- and cis-cyclo−1,2-dihydrotetrazete (2a and 2b, cyclo-N4H2) along with its open chain isomer azidamide (5a, N=N=N−NH2) by exposing low temperature (5 K) ice of ammonia (NH3) to high-energy electrons. These compounds were detected and discriminated in the gas phase during the temperature programmed desorption phase exploiting isomer selectivity soft photoionization reflectron time-of-flight mass spectrometry. The cyclo−1,2-dihydrotetrazete signifies a free gas phase species containing a tetranitrogen ring existing without recourse to high-pressure conditions or conjugative stabilization. Our approach may provide feasible strategies for designing higher-order nitrogen ring systems and for elucidating their chemical bonding and stability.</w:t>
      </w:r>
    </w:p>
    <w:p>
      <w:pPr>
        <w:spacing w:before="120" w:after="120"/>
      </w:pPr>
      <w:r>
        <w:rPr>
          <w:sz w:val="18"/>
        </w:rPr>
        <w:t>——————————————————————————————————————————————————————————————————————</w:t>
      </w:r>
    </w:p>
    <w:p>
      <w:pPr>
        <w:spacing w:before="160" w:after="40" w:line="240" w:lineRule="auto"/>
      </w:pPr>
      <w:r>
        <w:rPr>
          <w:b/>
        </w:rPr>
        <w:t xml:space="preserve">[155] </w:t>
      </w:r>
      <w:hyperlink r:id="rId885">
        <w:r>
          <w:rPr>
            <w:color w:val="1155CC"/>
            <w:u w:val="single"/>
          </w:rPr>
          <w:t>机器学习驱动的三维双相复合材料高速抗冲击性优化</w:t>
        </w:r>
      </w:hyperlink>
    </w:p>
    <w:p>
      <w:pPr>
        <w:spacing w:before="0" w:after="80"/>
      </w:pPr>
      <w:r>
        <w:rPr>
          <w:i/>
          <w:sz w:val="20"/>
        </w:rPr>
        <w:t>EN: Machine learning-driven optimization of high-velocity impact resistance for three-dimensional biphasic composites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在高速加载条件下，复合材料不可避免地会表现出波传播和局部温升，但其复杂的微观结构排列导致了特征应力局部化和衰减行为。为了缓解这一挑战并优化复合材料的抗冲击性，我们通过实验和模拟方法开发了三维卷积神经网络（3D-CNN），以定量地将微观结构配置与双相复合材料的动态响应相关联。该方法将分体式霍普金森压力杆 (SHPB) 动态测试的实验数据与有限元 (FE) 模拟相结合，从而能够全面表征复合材料的动态行为。与相同刚性相分数的随机设计相比，优化的微观结构将动态应力均匀性从 21.54% 提高到 97.45%，并将动态负载能力提高约 22% 到 57%。这种机器学习驱动的方法可以改善软质和硬质复合材料的动态应力平衡特性。热传输模块能够对抗冲击性和散热性能进行综合评估，揭示了维持高动态机械性能的多材料架构，同时通过相连接和渗透路径实现有效的导热性。这种提出的 3D CNN 框架有助于快速探索设计空间和准确预测热机械性能，从而实现下一代的逆向设计</w:t>
      </w:r>
    </w:p>
    <w:p>
      <w:pPr>
        <w:spacing w:before="0" w:after="200" w:lineRule="auto" w:line="276"/>
      </w:pPr>
      <w:r>
        <w:rPr>
          <w:b/>
        </w:rPr>
        <w:t xml:space="preserve">Abstract (EN): </w:t>
      </w:r>
      <w:r>
        <w:t>Under high-velocity loading conditions, composite materials inevitably exhibit wave propagation and localized temperature rise, yet their complex microstructural arrangement contributes to the characteristic stress localization and attenuation behaviors. To mitigate this challenge and optimize the impact resistance of composite materials, we developed a three-dimensional convolutional neural network (3D-CNN) with experimental and simulation methods to quantitatively correlate microstructural configurations with the dynamic response of biphasic composites. This methodology synergizes experimental data from split Hopkinson pressure bar (SHPB) dynamic tests with finite element (FE) simulations, enabling a comprehensive characterization of the dynamic behavior of composites. The optimized microstructures improve dynamic stress uniformity from 21.54% to 97.45% and increase dynamic load capacity by approximately 22% to 57% compared with random designs at the same stiff-phase fractions. This machine learning-driven approach can improve dynamic stress equilibrium properties for soft and stiff composites. The thermal transport module enables integrated evaluation of impact resistance and heat-spreading performance, revealing multi-material architectures that sustain high dynamic mechanical performance while allowing effective thermal conductivity through phase connectivity and percolation pathways. This proposed 3D CNN framework facilitates rapid exploration of the design space and accurate prediction of thermomechanical properties, thereby enabling the inverse design of next-generation impact-resistant composites for aerospace and automotive applications.</w:t>
      </w:r>
    </w:p>
    <w:p>
      <w:pPr>
        <w:spacing w:before="120" w:after="120"/>
      </w:pPr>
      <w:r>
        <w:rPr>
          <w:sz w:val="18"/>
        </w:rPr>
        <w:t>——————————————————————————————————————————————————————————————————————</w:t>
      </w:r>
    </w:p>
    <w:p>
      <w:pPr>
        <w:spacing w:before="160" w:after="40" w:line="240" w:lineRule="auto"/>
      </w:pPr>
      <w:r>
        <w:rPr>
          <w:b/>
        </w:rPr>
        <w:t xml:space="preserve">[156] </w:t>
      </w:r>
      <w:hyperlink r:id="rId886">
        <w:r>
          <w:rPr>
            <w:color w:val="1155CC"/>
            <w:u w:val="single"/>
          </w:rPr>
          <w:t>迈向统一的人工智能驱动断裂力学：扩展深能法 (XDEM)</w:t>
        </w:r>
      </w:hyperlink>
    </w:p>
    <w:p>
      <w:pPr>
        <w:spacing w:before="0" w:after="80"/>
      </w:pPr>
      <w:r>
        <w:rPr>
          <w:i/>
          <w:sz w:val="20"/>
        </w:rPr>
        <w:t>EN: Towards unified AI-driven fracture mechanics: the extended deep energy method (XDEM)</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物理信息神经网络 (PINN) 最近已成为求解偏微分方程 (PDE) 的强大工具，深能量法 (DEM) 由于其基于能量的公式而被证明在断裂力学中特别有效。尽管取得了这些进步，现有的 DEM 方法需要裂缝附近的密集搭配，面临稳定性挑战，并且通常单独处理离散和连续裂缝模型。为了克服这些限制，我们引入了扩展深度能量方法（XDEM），这是一种统一的深度学习框架，它在离散设置中结合了位移不连续性和裂纹尖端渐进性，同时在连续设置中灵活耦合位移和相场。这种集成可以使用均匀分布、相对稀疏的配置点进行准确的裂缝预测。跨基准问题（包括应力强度因子评估、直裂纹扩展和扭结裂纹扩展以及复杂裂纹萌生）的验证表明，XDEM 在精度和效率方面始终优于标准 DEM。通过在单一框架内桥接离散模型和相场模型，XDEM 为将人工智能应用于断裂力学奠定了坚实的基础，并为工程和材料科学中的预测建模开辟了新途径。</w:t>
      </w:r>
    </w:p>
    <w:p>
      <w:pPr>
        <w:spacing w:before="0" w:after="200" w:lineRule="auto" w:line="276"/>
      </w:pPr>
      <w:r>
        <w:rPr>
          <w:b/>
        </w:rPr>
        <w:t xml:space="preserve">Abstract (EN): </w:t>
      </w:r>
      <w:r>
        <w:t>Physics-Informed Neural Networks (PINNs) have recently emerged as powerful tools for solving partial differential equations (PDEs), with the Deep Energy Method (DEM) proving especially effective in fracture mechanics due to its energy-based formulation. Despite these advances, existing DEM approaches require dense collocation near cracks, face stability challenges, and typically treat discrete and continuous fracture models separately. To overcome these limitations, we introduce the Extended Deep Energy Method (XDEM), a unified deep learning framework that incorporates both displacement discontinuities and crack-tip asymptotics in the discrete setting, while flexibly coupling displacement and phase fields in the continuous setting. This integration enables accurate fracture predictions using uniformly distributed, relatively sparse collocation points. Validation across benchmark problems including stress intensity factor evaluation, straight and kinked crack growth, and complex crack initiation demonstrates that XDEM consistently outperforms standard DEM in accuracy and efficiency. By bridging discrete and phase-field models within a single framework, XDEM establishes a robust foundation for applying AI to fracture mechanics and opens new avenues for predictive modeling in engineering and materials science.</w:t>
      </w:r>
    </w:p>
    <w:p>
      <w:pPr>
        <w:spacing w:before="120" w:after="120"/>
      </w:pPr>
      <w:r>
        <w:rPr>
          <w:sz w:val="18"/>
        </w:rPr>
        <w:t>——————————————————————————————————————————————————————————————————————</w:t>
      </w:r>
    </w:p>
    <w:p>
      <w:pPr>
        <w:spacing w:before="160" w:after="40" w:line="240" w:lineRule="auto"/>
      </w:pPr>
      <w:r>
        <w:rPr>
          <w:b/>
        </w:rPr>
        <w:t xml:space="preserve">[157] </w:t>
      </w:r>
      <w:hyperlink r:id="rId887">
        <w:r>
          <w:rPr>
            <w:color w:val="1155CC"/>
            <w:u w:val="single"/>
          </w:rPr>
          <w:t>去遮挡宽带超透镜</w:t>
        </w:r>
      </w:hyperlink>
    </w:p>
    <w:p>
      <w:pPr>
        <w:spacing w:before="0" w:after="80"/>
      </w:pPr>
      <w:r>
        <w:rPr>
          <w:i/>
          <w:sz w:val="20"/>
        </w:rPr>
        <w:t>EN: De-occluding broadband metalens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雨滴、栅栏或灰尘等障碍物会降低图像质量，尤其是在无法清洁的情况下。传统方法使用笨重的复合透镜阵列或计算修复，从而损害了紧凑性或保真度。超透镜承诺紧凑成像，但实现宽带和无障碍成像仍然具有挑战性，因为超透镜无法在宽带频谱上同时聚焦远处的场景和散焦附近的遮挡物。我们引入了一种去遮挡宽带超透镜，它可以抑制障碍物，同时通过学习的相位轮廓实现宽带成像。我们的方法通过多频带光谱滤波将每个颜色通道的光谱分为通带和阻带；超透镜通过通带聚焦来自远处物体的光，然后来自附近障碍物的光落入阻带并被拒绝。神经网络进一步提高了成像质量。与障碍物下的传统双曲元透镜相比，我们的系统将 PSNR 提高了 32.29%，并将目标检测和两个语义分割基准的性能分别提高了 13.54%、48.45% 和 20.35%。这为紧凑型系统（包括移动机器人、无人机和内窥镜）提供了强大的无障碍传感和视觉功能。</w:t>
      </w:r>
    </w:p>
    <w:p>
      <w:pPr>
        <w:spacing w:before="0" w:after="200" w:lineRule="auto" w:line="276"/>
      </w:pPr>
      <w:r>
        <w:rPr>
          <w:b/>
        </w:rPr>
        <w:t xml:space="preserve">Abstract (EN): </w:t>
      </w:r>
      <w:r>
        <w:t>Obstructions such as raindrops, fences, or dust degrade images, especially when cleaning is infeasible. Conventional approaches use bulky compound-lens arrays or computational inpainting, compromising compactness or fidelity. Metalenses promise compact imaging, but achieving both broadband and obstruction-free imaging remains challenging, since a metalens cannot simultaneously focus distant scenes and defocus nearby occlusions across a broadband spectrum. We introduce a de-occluding broadband metalens that suppresses obstructions while enabling broadband imaging with a learned phase profile. Our approach divides the spectrum of each color channel into pass and stop bands with multi-band spectral filtering; the metalens focuses light from far objects through pass bands, then light from nearby obstructions falls in the stop bands and is rejected. A neural network further enhances imaging quality. Compared with a conventional hyperbolic metalens under obstructions, our system improves PSNR by 32.29% and raises performance on object detection and two semantic segmentation benchmarks by 13.54%, 48.45% and 20.35%, respectively. This promises robust obstruction-free sensing and vision for compact systems, including mobile robots, drones, and endoscopes.</w:t>
      </w:r>
    </w:p>
    <w:p>
      <w:pPr>
        <w:spacing w:before="120" w:after="120"/>
      </w:pPr>
      <w:r>
        <w:rPr>
          <w:sz w:val="18"/>
        </w:rPr>
        <w:t>——————————————————————————————————————————————————————————————————————</w:t>
      </w:r>
    </w:p>
    <w:p>
      <w:pPr>
        <w:spacing w:before="160" w:after="40" w:line="240" w:lineRule="auto"/>
      </w:pPr>
      <w:r>
        <w:rPr>
          <w:b/>
        </w:rPr>
        <w:t xml:space="preserve">[158] </w:t>
      </w:r>
      <w:hyperlink r:id="rId888">
        <w:r>
          <w:rPr>
            <w:color w:val="1155CC"/>
            <w:u w:val="single"/>
          </w:rPr>
          <w:t>动态螺旋聚[4]螺旋烯纳米带</w:t>
        </w:r>
      </w:hyperlink>
    </w:p>
    <w:p>
      <w:pPr>
        <w:spacing w:before="0" w:after="80"/>
      </w:pPr>
      <w:r>
        <w:rPr>
          <w:i/>
          <w:sz w:val="20"/>
        </w:rPr>
        <w:t>EN: Dynamic helical poly[4]helicene nanoribbon</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具有受控旋向性的螺旋石墨烯纳米带（GNR）的精确合成代表了手性碳材料的重大进步。我们现在报道了动态螺旋聚[4]螺旋烯纳米带的合成，这是一类螺旋GNR，完全由构型不稳定的[4]螺旋烯亚基组成，这是通过非螺旋前体聚合物的定量分子内多重环化实现的。聚[4]螺烯纳米带的[4]螺烯重复单元彼此机械耦合，导致沿高度约束的梯形框架相关的螺旋性反转动力学，从而提供可相互转换的右（P）手和左（M）手螺旋[4]螺烯亚基长序列的等量混合物。因此，在光学活性溶剂中，可以以高度协作的方式诱导由纯手性(P)-或(M)-[4]螺烯亚基组成的全(P)-或(M)-螺旋聚[4]螺烯纳米带，分别显示出可以切换的右旋或左旋圆偏振发光。</w:t>
      </w:r>
    </w:p>
    <w:p>
      <w:pPr>
        <w:spacing w:before="0" w:after="200" w:lineRule="auto" w:line="276"/>
      </w:pPr>
      <w:r>
        <w:rPr>
          <w:b/>
        </w:rPr>
        <w:t xml:space="preserve">Abstract (EN): </w:t>
      </w:r>
      <w:r>
        <w:t>The precise synthesis of helical graphene nanoribbons (GNRs) with a controlled handedness represents a significant advance toward chiral carbon materials. We now report the synthesis of a dynamic helical poly[4]helicene nanoribbon, a class of helical GNRs, entirely composed of configurationally labile [4]helicene subunits, which has been achieved through the quantitative intramolecular multifold cyclization of the nonhelical precursor polymer. The [4]helicene repeating units of the poly[4]helicene nanoribbon are mechanically coupled to each other, leading to correlated helicity inversion dynamics along the highly constrained ladder framework and thereby providing an equal mixture of an interconvertible long sequence of right (P)- and left (M)-handed helical [4]helicene subunits. Therefore, in an optically-active solvent, a fully (P)- or (M)-helical poly[4]helicene nanoribbon consisting of homochiral (P)- or (M)-[4]helicene subunits can be induced in a highly-cooperative manner, showing a right- or left-handed circularly polarized luminescence, respectively, which can be switched.</w:t>
      </w:r>
    </w:p>
    <w:p>
      <w:pPr>
        <w:spacing w:before="120" w:after="120"/>
      </w:pPr>
      <w:r>
        <w:rPr>
          <w:sz w:val="18"/>
        </w:rPr>
        <w:t>——————————————————————————————————————————————————————————————————————</w:t>
      </w:r>
    </w:p>
    <w:p>
      <w:pPr>
        <w:spacing w:before="160" w:after="40" w:line="240" w:lineRule="auto"/>
      </w:pPr>
      <w:r>
        <w:rPr>
          <w:b/>
        </w:rPr>
        <w:t xml:space="preserve">[159] </w:t>
      </w:r>
      <w:hyperlink r:id="rId889">
        <w:r>
          <w:rPr>
            <w:color w:val="1155CC"/>
            <w:u w:val="single"/>
          </w:rPr>
          <w:t>骨髓细胞替代诱导细胞间线粒体转移并恢复线粒体疾病小鼠模型的代谢</w:t>
        </w:r>
      </w:hyperlink>
    </w:p>
    <w:p>
      <w:pPr>
        <w:spacing w:before="0" w:after="80"/>
      </w:pPr>
      <w:r>
        <w:rPr>
          <w:i/>
          <w:sz w:val="20"/>
        </w:rPr>
        <w:t>EN: Myeloid cell replacement induces intercellular mitochondrial transfer and restores metabolism in a mouse model of mitochondrial disease</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弗里德赖希共济失调 (FA) 是一种由 frataxin 缺乏引起的线粒体疾病，可导致进行性神经变性和心肌病。有效的疾病缓解疗法仍然有限。在这里，我们表明骨髓细胞替代通过细胞间线粒体转移促进 FA 小鼠的神经和心脏恢复。供体来源的线粒体从小胶质细胞和巨噬细胞转移到中枢神经系统细胞和心肌细胞，增加氧化磷酸化和 ATP 合成基因表达以及线粒体蛋白丰度。这些分子变化伴随着雄性和雌性小鼠存活和生长的改善，以及雌性小鼠自发运动、力量、协调性以及心脏和功能的增强。在培养细胞中，线粒体转移需要直接的细胞与细胞接触，并部分恢复缺乏 frataxin 的受体细胞的呼吸能力，这些受体细胞表现出增强的线粒体摄取，表明促进线粒体获得或保留的疾病特异性机制。这些发现将线粒体转移确定为骨髓细胞替代治疗效果的潜在机制，并支持造血移植治疗 FA 和其他线粒体疾病。</w:t>
      </w:r>
    </w:p>
    <w:p>
      <w:pPr>
        <w:spacing w:before="0" w:after="200" w:lineRule="auto" w:line="276"/>
      </w:pPr>
      <w:r>
        <w:rPr>
          <w:b/>
        </w:rPr>
        <w:t xml:space="preserve">Abstract (EN): </w:t>
      </w:r>
      <w:r>
        <w:t>Friedreich’s ataxia (FA) is a mitochondrial disease caused by frataxin deficiency that leads to progressive neurodegeneration and cardiomyopathy. Effective disease-modifying therapies remain limited. Here we show that myeloid cell replacement promotes neurological and cardiac recovery in FA mice through intercellular mitochondrial transfer. Donor-derived mitochondria are transferred from microglia and macrophages to central nervous system cells and cardiomyocytes, increasing oxidative phosphorylation and ATP synthesis gene expression and mitochondrial protein abundance. These molecular changes are accompanied by improved survival and growth in male and female mice and enhanced spontaneous locomotion, strength, coordination and cardiac and function in female mice. In cultured cells, mitochondrial transfer requires direct cell-cell contact and partially restores respiratory capacity in frataxin-deficient recipient cells, which exhibit enhanced mitochondrial uptake, suggesting disease-specific mechanisms that promote mitochondrial acquisition or retention. These findings identify mitochondrial transfer as a mechanism underlying the therapeutic effects of myeloid cell replacement and support hematopoietic transplantation for FA and other mitochondrial disorders.</w:t>
      </w:r>
    </w:p>
    <w:p>
      <w:pPr>
        <w:spacing w:before="120" w:after="120"/>
      </w:pPr>
      <w:r>
        <w:rPr>
          <w:sz w:val="18"/>
        </w:rPr>
        <w:t>——————————————————————————————————————————————————————————————————————</w:t>
      </w:r>
    </w:p>
    <w:p>
      <w:pPr>
        <w:spacing w:before="160" w:after="40" w:line="240" w:lineRule="auto"/>
      </w:pPr>
      <w:r>
        <w:rPr>
          <w:b/>
        </w:rPr>
        <w:t xml:space="preserve">[160] </w:t>
      </w:r>
      <w:hyperlink r:id="rId890">
        <w:r>
          <w:rPr>
            <w:color w:val="1155CC"/>
            <w:u w:val="single"/>
          </w:rPr>
          <w:t>使用个体水平和汇总水平 GWAS 数据联合估计遗传相关性</w:t>
        </w:r>
      </w:hyperlink>
    </w:p>
    <w:p>
      <w:pPr>
        <w:spacing w:before="0" w:after="80"/>
      </w:pPr>
      <w:r>
        <w:rPr>
          <w:i/>
          <w:sz w:val="20"/>
        </w:rPr>
        <w:t>EN: Estimating genetic correlation jointly using individual-level and summary-level GWAS data</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随着全基因组关联研究中个体水平数据的获取越来越多，研究人员现在通常拥有某些性状的个体水平数据，而对于其他性状，出于隐私和安全考虑，只能公开发布的汇总统计数据。当前的遗传相关方法要求两个性状具有相同的格式。当一个性状具有个体层面的数据而另一个性状只有汇总统计数据时，研究人员通常将个体层面的数据转换为汇总统计数据，然后应用基于汇总的方法，这种方法效率低下，并且可能会丢失信息。在这里，我们介绍 GENJI，一种基于一个性状的个体水平数据和另一个性状的汇总水平数据来估计群体内或跨种族遗传相关性的方法。通过广泛的模拟和真实数据分析，GENJI 比基于汇总数据的方法产生更可靠、更高效的估计。我们进一步表明，更准确的遗传相关性估计可以改善跨群体多基因风险预测。</w:t>
      </w:r>
    </w:p>
    <w:p>
      <w:pPr>
        <w:spacing w:before="0" w:after="200" w:lineRule="auto" w:line="276"/>
      </w:pPr>
      <w:r>
        <w:rPr>
          <w:b/>
        </w:rPr>
        <w:t xml:space="preserve">Abstract (EN): </w:t>
      </w:r>
      <w:r>
        <w:t>With increasing access to individual-level data from genome-wide association studies, it is now common for researchers to have individual-level data of some traits, whereas for other traits only publicly released summary statistics are available due to privacy and safety concerns. Current genetic-correlation methods require both traits to be in the same format. When one trait has individual-level data and the other has only summary statistics, researchers often convert individual-level data to summary statistics and then apply summary-based methods, which is inefficient and can lose information. Here we introduce GENJI, a method for estimating within-population or transethnic genetic correlation based on individual-level data for one trait and summary-level data for the other. Across extensive simulations and real data analyses, GENJI produces more reliable and efficient estimation than summary data-based methods. We further show that more accurate genetic correlation estimation can improve cross-population polygenic risk prediction.</w:t>
      </w:r>
    </w:p>
    <w:p>
      <w:pPr>
        <w:spacing w:before="120" w:after="120"/>
      </w:pPr>
      <w:r>
        <w:rPr>
          <w:sz w:val="18"/>
        </w:rPr>
        <w:t>——————————————————————————————————————————————————————————————————————</w:t>
      </w:r>
    </w:p>
    <w:p>
      <w:pPr>
        <w:spacing w:before="160" w:after="40" w:line="240" w:lineRule="auto"/>
      </w:pPr>
      <w:r>
        <w:rPr>
          <w:b/>
        </w:rPr>
        <w:t xml:space="preserve">[161] </w:t>
      </w:r>
      <w:hyperlink r:id="rId891">
        <w:r>
          <w:rPr>
            <w:color w:val="1155CC"/>
            <w:u w:val="single"/>
          </w:rPr>
          <w:t>用于高效还原硝酸盐的氧化亚铜的自旋态和轨道工程</w:t>
        </w:r>
      </w:hyperlink>
    </w:p>
    <w:p>
      <w:pPr>
        <w:spacing w:before="0" w:after="80"/>
      </w:pPr>
      <w:r>
        <w:rPr>
          <w:i/>
          <w:sz w:val="20"/>
        </w:rPr>
        <w:t>EN: Spin state and orbital engineering of cuprous oxide for efficient nitrate reduction</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电催化硝酸盐还原为废水处理和氨生产提供了可持续的途径，但复杂的多电子转移需要高效的催化剂来实现高选择性和快速动力学。在这里，我们表明，磁性过渡金属（Cr、Mn、Fe、Co、Ni）原子替换为氧化亚铜能够系统地调节催化性能。密度泛函理论计算与实验相结合，确定催化活性受硝酸盐吸附强度、氨解吸能和 d-p 轨道杂化的影响。钴取代的氧化亚铜具有接近 96.5% 的法拉第效率和 2.8 mM h−1 mgcat−1 的氨产率，与其他金属掺杂的对应物相比，显示出良好的性能。机理研究表明，钴取代改变了活性位点的自旋构型，从而优化了轨道杂化并平衡了关键中间体的吸附和解吸。这项工作建立了将原子级自旋和轨道工程与催化性能联系起来的设计原则，为开发高性能硝酸盐还原电催化剂提供了框架。</w:t>
      </w:r>
    </w:p>
    <w:p>
      <w:pPr>
        <w:spacing w:before="0" w:after="200" w:lineRule="auto" w:line="276"/>
      </w:pPr>
      <w:r>
        <w:rPr>
          <w:b/>
        </w:rPr>
        <w:t xml:space="preserve">Abstract (EN): </w:t>
      </w:r>
      <w:r>
        <w:t>Electrocatalytic nitrate reduction provides a sustainable pathway for wastewater treatment and ammonia production, yet the complex multi‑electron transfer demands efficient catalysts to achieve both high selectivity and fast kinetics. Here we show that atomic substitution of magnetic transition metals (Cr, Mn, Fe, Co, Ni) into cuprous oxide enables systematic tuning of catalytic performance. Density functional theory calculations combined with experiments identify that catalytic activity is governed by nitrate adsorption strength, ammonia desorption energy, and d–p orbital hybridization. Cobalt‑substituted cuprous oxide delivers a near‑unity Faradaic efficiency of 96.5% and an ammonia yield rate of 2.8 mM h−1 mgcat−1, showing favorable performance compared with the other metal‑doped counterparts. Mechanistic studies reveal that cobalt substitution alters the spin configuration at the active sites, which optimizes orbital hybridization and balances the adsorption and desorption of key intermediates. This work establishes a design principle linking atomic‑level spin and orbital engineering to catalytic performance, providing a framework for developing high‑performance nitrate reduction electrocatalysts.</w:t>
      </w:r>
    </w:p>
    <w:p>
      <w:pPr>
        <w:spacing w:before="120" w:after="120"/>
      </w:pPr>
      <w:r>
        <w:rPr>
          <w:sz w:val="18"/>
        </w:rPr>
        <w:t>——————————————————————————————————————————————————————————————————————</w:t>
      </w:r>
    </w:p>
    <w:p>
      <w:pPr>
        <w:spacing w:before="160" w:after="40" w:line="240" w:lineRule="auto"/>
      </w:pPr>
      <w:r>
        <w:rPr>
          <w:b/>
        </w:rPr>
        <w:t xml:space="preserve">[162] </w:t>
      </w:r>
      <w:hyperlink r:id="rId892">
        <w:r>
          <w:rPr>
            <w:color w:val="1155CC"/>
            <w:u w:val="single"/>
          </w:rPr>
          <w:t>通过纳米孔限制设计解锁柔性晶体共价有机框架中的内在 TADF</w:t>
        </w:r>
      </w:hyperlink>
    </w:p>
    <w:p>
      <w:pPr>
        <w:spacing w:before="0" w:after="80"/>
      </w:pPr>
      <w:r>
        <w:rPr>
          <w:i/>
          <w:sz w:val="20"/>
        </w:rPr>
        <w:t>EN: Unlocking intrinsic TADF in flexible crystalline covalent organic frameworks through nanopore confinement design</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共价有机框架 (COF) 将结构精度与合成多功能性结合在一起，但其晶格本质上会浪费 75% 的电产生激子作为非发射三重态。热激活延迟荧光（TADF）可以收获这些三重态，但它在有序框架中的实现受到了分子悖论的阻碍：最小化单重态-三重态能隙（ΔEST）所需的构象灵活性从根本上与抑制晶格中非辐射衰变所需的刚性不相容。在这里，我们引入了一种纳米孔限制策略，可以解决这种二分法并释放柔性 COF 中固有的 TADF。通过将构象锁定的供体-受体基序直接嵌入COF主链中，晶体纳米孔的空间限制迫使供体-受体对形成将ΔEST最小化至0.014 eV的构象，而刚性框架同时减少了振动损失。这种方法将 COF 从被动支架转变为用于激子管理的主动平台，而不影响结晶度、薄膜完整性或可加工性，产生具有高光致发光量子产率的独立薄膜，并使溶液加工的 OLED 在结晶多孔发射器中具有竞争性的性能。我们的工作提供了一种有效的策略，通过精确操纵激发态动力学来功能化多孔框架，为柔性电子、光催化等开辟途径。</w:t>
      </w:r>
    </w:p>
    <w:p>
      <w:pPr>
        <w:spacing w:before="0" w:after="200" w:lineRule="auto" w:line="276"/>
      </w:pPr>
      <w:r>
        <w:rPr>
          <w:b/>
        </w:rPr>
        <w:t xml:space="preserve">Abstract (EN): </w:t>
      </w:r>
      <w:r>
        <w:t>Covalent organic frameworks (COFs) combine structural precision with synthetic versatility, yet their crystalline lattices intrinsically waste 75% of electro-generated excitons as non-emissive triplets. Thermally activated delayed fluorescence (TADF) could harvest these triplets, but its realization in ordered frameworks has been thwarted by a molecular paradox: the conformational flexibility required to minimize the singlet-triplet energy gap (ΔEST) is fundamentally incompatible with the rigidity needed to suppress non-radiative decay in a crystalline lattice. Here we introduce a nanopore-confinement strategy that resolves this dichotomy and unlocks intrinsic TADF in flexible COFs. By embedding conformationally locked donor-acceptor motifs directly into the COF backbone, the spatial constraints of the crystalline nanopores force donor-acceptor pairs into conformations that minimize ΔEST to 0.014 eV, while the rigid framework simultaneously curtails vibrational losses. This approach transforms COFs from passive scaffolds into active platforms for exciton management without compromising crystallinity, film integrity, or processability, yielding free-standing films with high photoluminescence quantum yields and enabling solution-processed OLEDs with competitive performance among crystalline porous emitters. Our work provides an effective strategy for functionalizing porous frameworks through precise manipulation of excited-state dynamics, opening avenues for flexible electronics, photocatalysis, and beyond.</w:t>
      </w:r>
    </w:p>
    <w:p>
      <w:pPr>
        <w:spacing w:before="120" w:after="120"/>
      </w:pPr>
      <w:r>
        <w:rPr>
          <w:sz w:val="18"/>
        </w:rPr>
        <w:t>——————————————————————————————————————————————————————————————————————</w:t>
      </w:r>
    </w:p>
    <w:p>
      <w:pPr>
        <w:spacing w:before="160" w:after="40" w:line="240" w:lineRule="auto"/>
      </w:pPr>
      <w:r>
        <w:rPr>
          <w:b/>
        </w:rPr>
        <w:t xml:space="preserve">[163] </w:t>
      </w:r>
      <w:hyperlink r:id="rId893">
        <w:r>
          <w:rPr>
            <w:color w:val="1155CC"/>
            <w:u w:val="single"/>
          </w:rPr>
          <w:t>通过多相界面锁定打破玻璃晶透明纳米陶瓷的晶粒尺寸限制</w:t>
        </w:r>
      </w:hyperlink>
    </w:p>
    <w:p>
      <w:pPr>
        <w:spacing w:before="0" w:after="80"/>
      </w:pPr>
      <w:r>
        <w:rPr>
          <w:i/>
          <w:sz w:val="20"/>
        </w:rPr>
        <w:t>EN: Breaking the grain size limit of glass-crystallized transparent nanoceramics via multi-phase interface locking</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由于难以解聚纳米粉末、抑制晶粒生长和消除宏观缺陷，烧结路线的纳米陶瓷的加工具有挑战性。玻璃结晶提供了新的可能性，首先将材料致密化至无定形形式的光学透明性，然后完全结晶成陶瓷形式。然而，由于大结晶驱动力和成核控制动力学下晶粒快速生长，细化纳米晶态内的晶粒尺寸再次具有挑战性。在这里，我们通过将均质玻璃前驱体分解成三元相复合陶瓷来解决这个问题，从而将粗化动力学与相分配所需的减慢阳离子扩散和晶粒生长所需的异相边界运动耦合起来。该设计可以精确调整不断发展的微观结构，并在完全结晶的陶瓷中产生细至约 16 nm 的晶粒尺寸。我们证明，尽管立方体 La(Al1/3Ti2/3)O3、Y2(Zr0.6Ti0.4)2O7 和过渡 Al2O3 相的折射率不同，所获得的纳米陶瓷仍具有高光学透明度，并改善了机械性能。我们的工作解锁了在高维组成空间中设计和生产复合相纳米陶瓷的隐藏机会，超越了传统的纯相溶解度约束。</w:t>
      </w:r>
    </w:p>
    <w:p>
      <w:pPr>
        <w:spacing w:before="0" w:after="200" w:lineRule="auto" w:line="276"/>
      </w:pPr>
      <w:r>
        <w:rPr>
          <w:b/>
        </w:rPr>
        <w:t xml:space="preserve">Abstract (EN): </w:t>
      </w:r>
      <w:r>
        <w:t>Nanoceramics from sintering routes are challenging to process due to difficulties in deagglomerating nanopowders, suppressing grain growth, and eliminating macroscopic defects. Glass crystallization offers new possibilities by first densifying materials to optical transparency in amorphous form and then fully crystallizing into ceramic form. However, refining the grain size within the nanocrystalline regime is again challenging, due to rapid grain growth under large crystallization driving force and nucleation-controlled kinetics. Here we tackle the problem by decomposing the homogeneous glass precursors into ternary phase composite ceramics, thus coupling the coarsening kinetics to slow cation diffusion required for phase partitioning and hetero-phase boundary motion required for grain growth. The design allows precise adjustment of the evolving microstructure and yields a fine grain size down to ~16 nm in fully crystallized ceramics. We demonstrate that the obtained nanoceramics can deliver high optical transparency, despite the different refractive indices of the cubic La(Al1/3Ti2/3)O3, Y2(Zr0.6Ti0.4)2O7 and transitional Al2O3 phases, and improved mechanical properties. Our work unlocks the hidden opportunities of designing and producing phase-complex nanoceramics in high-dimensional compositional space beyond the traditional phase-pure solubility constraint.</w:t>
      </w:r>
    </w:p>
    <w:p>
      <w:pPr>
        <w:spacing w:before="120" w:after="120"/>
      </w:pPr>
      <w:r>
        <w:rPr>
          <w:sz w:val="18"/>
        </w:rPr>
        <w:t>——————————————————————————————————————————————————————————————————————</w:t>
      </w:r>
    </w:p>
    <w:p>
      <w:pPr>
        <w:spacing w:before="160" w:after="40" w:line="240" w:lineRule="auto"/>
      </w:pPr>
      <w:r>
        <w:rPr>
          <w:b/>
        </w:rPr>
        <w:t xml:space="preserve">[164] </w:t>
      </w:r>
      <w:hyperlink r:id="rId894">
        <w:r>
          <w:rPr>
            <w:color w:val="1155CC"/>
            <w:u w:val="single"/>
          </w:rPr>
          <w:t>通过高质量黑麦基因组组装揭示着丝粒逆转录转座子动力学</w:t>
        </w:r>
      </w:hyperlink>
    </w:p>
    <w:p>
      <w:pPr>
        <w:spacing w:before="0" w:after="80"/>
      </w:pPr>
      <w:r>
        <w:rPr>
          <w:i/>
          <w:sz w:val="20"/>
        </w:rPr>
        <w:t>EN: Unveiling centromeric retrotransposon dynamics through a high-quality rye genome assembly</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黑麦 (Secale Greeke L.) 是一种重要的谷类作物，以其高产潜力和对生物和非生物胁迫的耐受性而闻名。然而，与小麦和大麦等相关物种相比，其庞大、重复丰富且杂合的基因组给组装带来了挑战。在这里，我们展示了自交系 Lo7 的高质量染色体级基因组组装，该组装是使用 PacBio HiFi、Oxford Nanopore、Hi-C 和 BioNano 技术以及 TRITEX 管道生成的。所得的 Lo7_V3 组装跨度为 6.76 Gb，重叠群 N50 为 128 Mb，纠正了之前的错误方向并完全组装了所有七个着丝粒。包含黑麦特异性卫星序列（pSc200 和 pSc250）的重复簇被连续组装。使用 FISH 验证它们的染色体位置。着丝粒逆转录转座子分析表明，RLG_Abia 和 RLG_Abigail 是丰富的、最近活跃的元素，与小麦不同。总的来说，Lo7_V3 基因组组装为黑麦和相关谷物物种的未来基因组研究提供了改进的基因组资源。</w:t>
      </w:r>
    </w:p>
    <w:p>
      <w:pPr>
        <w:spacing w:before="0" w:after="200" w:lineRule="auto" w:line="276"/>
      </w:pPr>
      <w:r>
        <w:rPr>
          <w:b/>
        </w:rPr>
        <w:t xml:space="preserve">Abstract (EN): </w:t>
      </w:r>
      <w:r>
        <w:t>Rye (Secale cereale L.) is an important cereal crop known for its high yield potential and tolerance to biotic and abiotic stresses. However, its large, repeat-rich, and heterozygous genome has posed challenges for assembly compared to related species such as wheat and barley. Here, we present a high-quality, chromosome-scale genome assembly of the inbred line Lo7, generated using PacBio HiFi, Oxford Nanopore, Hi-C, and BioNano technologies with the TRITEX pipeline. The resulting Lo7_V3 assembly spans 6.76 Gb with a contig N50 of 128 Mb, correcting previous misorientations and fully assembling all seven centromeres. Repetitive clusters containing rye-specific satellite sequences (pSc200 and pSc250) are contiguously assembled. Their chromosomal positions are validated using FISH. Centromeric retrotransposon analysis reveals RLG_Abia and RLG_Abigail as abundant, recently active elements, unlike in wheat. Collectively, the Lo7_V3 genome assembly provides an improved genomic resource for future genomic research in rye and related cereal species.</w:t>
      </w:r>
    </w:p>
    <w:p>
      <w:pPr>
        <w:spacing w:before="120" w:after="120"/>
      </w:pPr>
      <w:r>
        <w:rPr>
          <w:sz w:val="18"/>
        </w:rPr>
        <w:t>——————————————————————————————————————————————————————————————————————</w:t>
      </w:r>
    </w:p>
    <w:p>
      <w:pPr>
        <w:spacing w:before="160" w:after="40" w:line="240" w:lineRule="auto"/>
      </w:pPr>
      <w:r>
        <w:rPr>
          <w:b/>
        </w:rPr>
        <w:t xml:space="preserve">[165] </w:t>
      </w:r>
      <w:hyperlink r:id="rId895">
        <w:r>
          <w:rPr>
            <w:color w:val="1155CC"/>
            <w:u w:val="single"/>
          </w:rPr>
          <w:t>基于体内标记的小鼠早期卵母细胞蛋白质组学分析和顺铂诱导的改变</w:t>
        </w:r>
      </w:hyperlink>
    </w:p>
    <w:p>
      <w:pPr>
        <w:spacing w:before="0" w:after="80"/>
      </w:pPr>
      <w:r>
        <w:rPr>
          <w:i/>
          <w:sz w:val="20"/>
        </w:rPr>
        <w:t>EN: In vivo labeling–based proteomic analysis of early follicle oocytes and cisplatin-induced alterations in mice</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来自早期卵泡（特别是原始卵泡）的卵母细胞的系统蛋白质组学特征对于在化疗背景下保护女性生殖能力至关重要，但卵母细胞样本的稀有性和与卵母细胞分离相关的技术挑战阻碍了进展。在这项研究中，我们生成了体内卵母细胞蛋白标记 APEX 荧光小鼠。利用这些小鼠，我们以 3D 方式重建了卵巢，从而能够精确量化卵泡，并在主要来自原始卵泡的卵母细胞中鉴定出 2772 个蛋白质和 2878 个基因转录本。短时间顺铂治疗的蛋白质组学变化表明，许多改变的蛋白质参与 DNA 损伤修复和组蛋白修饰。值得注意的是，同时应用顺铂和 EZH2 抑制剂 GSK126 可缓解顺铂诱导的卵母细胞发育缺陷。我们的研究提供了主要来自雌性小鼠原始卵泡的卵母细胞的系统蛋白质组学特征，并揭示了响应化疗药物的动态蛋白质组变化，为有针对性的生育力保存策略奠定了基础。</w:t>
      </w:r>
    </w:p>
    <w:p>
      <w:pPr>
        <w:spacing w:before="0" w:after="200" w:lineRule="auto" w:line="276"/>
      </w:pPr>
      <w:r>
        <w:rPr>
          <w:b/>
        </w:rPr>
        <w:t xml:space="preserve">Abstract (EN): </w:t>
      </w:r>
      <w:r>
        <w:t>A systematic proteomic profile of oocytes from early-stage follicles, particularly primordial follicles, is critical to protect female reproductive capacity in the context of chemotherapy, yet progress has been hindered by the rarity of oocyte samples and technical challenges associated with oocyte isolation. In this study, we generated in vivo oocyte protein labeling APEX fluorescent mice. With these mice, we reconstructed the ovary in 3D, enabling precise quantification of follicles and identified 2772 proteins and 2878 gene transcripts in oocytes predominantly from primordial follicles. Proteomic shifts of short-time cisplatin treatment revealed that many altered proteins were involved in DNA damage repair and histone modification. Notably, simultaneous application of cisplatin and EZH2’s inhibitor, GSK126, relieved cisplatin-induced oocyte developmental defects. Our study provides a systematic proteomic characterization of oocytes predominantly from primordial follicles in female mice, and reveals dynamic proteome shifts in response to chemotherapeutic agents, laying the foundation for targeted fertility-preserving strategies.</w:t>
      </w:r>
    </w:p>
    <w:p>
      <w:pPr>
        <w:spacing w:before="120" w:after="120"/>
      </w:pPr>
      <w:r>
        <w:rPr>
          <w:sz w:val="18"/>
        </w:rPr>
        <w:t>——————————————————————————————————————————————————————————————————————</w:t>
      </w:r>
    </w:p>
    <w:p>
      <w:pPr>
        <w:spacing w:before="160" w:after="40" w:line="240" w:lineRule="auto"/>
      </w:pPr>
      <w:r>
        <w:rPr>
          <w:b/>
        </w:rPr>
        <w:t xml:space="preserve">[166] </w:t>
      </w:r>
      <w:hyperlink r:id="rId896">
        <w:r>
          <w:rPr>
            <w:color w:val="1155CC"/>
            <w:u w:val="single"/>
          </w:rPr>
          <w:t>病毒RNA聚合酶的氧化还原循环控制小核糖核酸病毒复制</w:t>
        </w:r>
      </w:hyperlink>
    </w:p>
    <w:p>
      <w:pPr>
        <w:spacing w:before="0" w:after="80"/>
      </w:pPr>
      <w:r>
        <w:rPr>
          <w:i/>
          <w:sz w:val="20"/>
        </w:rPr>
        <w:t>EN: Redox cycling of viral RNA polymerase controls picornavirus replication</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小核糖核酸病毒，包括口蹄疫病毒（FMDV）、肠道病毒71型（EV71）和脑心肌炎病毒（EMCV），是引起人类和动物发烧、疱疹和心肌炎的重要病原体。小核糖核酸病毒与其宿主之间的相互作用仍然是个谜。在这里，我们进行了猪全基因组 CRISPR/Cas9 筛选，并确定甲硫氨酸亚砜还原酶 B3 (MSRB3) 是口蹄疫病毒的一个重要因子。 MSRB3 缺陷会抑制 FMDV 复制。从机制上讲，MSRB3 消除了 FMDV 3D 聚合酶的甲硫氨酸氧化并稳定其表达。进一步的研究表明，自由基 SAM 结构域蛋白 1 (RSAD1) 催化 FMDV 3D 聚合酶的甲硫氨酸氧化，并通过自噬-溶酶体途径促进其聚集和随后的降解。重要的是，RSAD1-MSRB3介导的氧化还原修饰还会影响EV71和EMCV 3D聚合酶的稳定性，并在体外和体内调节它们的感染性和发病机制。总的来说，这项研究证实了 RSAD1-MSRB3 介导的 3D 聚合酶氧化还原循环在调节小核糖核酸病毒感染中发挥着保守功能，为病毒发病机制和广谱抗病毒药物的开发提供了见解。</w:t>
      </w:r>
    </w:p>
    <w:p>
      <w:pPr>
        <w:spacing w:before="0" w:after="200" w:lineRule="auto" w:line="276"/>
      </w:pPr>
      <w:r>
        <w:rPr>
          <w:b/>
        </w:rPr>
        <w:t xml:space="preserve">Abstract (EN): </w:t>
      </w:r>
      <w:r>
        <w:t>Picornaviruses, including foot-and-mouth disease virus (FMDV), enterovirus 71 (EV71) and encephalomyocarditis virus (EMCV), are important pathogens that cause fever, herpes, and myocarditis in humans and animals. The interplay between picornaviruses and their hosts remains enigmatic. Here we perform porcine genome-wide CRISPR/Cas9 screens and identify methionine sulfoxide reductase B3 (MSRB3) as an essential factor for FMDV. MSRB3 deficiency inhibits FMDV replication. Mechanistically, MSRB3 eliminates methionine oxidation of FMDV 3D polymerase and stabilizes its expression. Further studies show that radical SAM domain-containing protein 1 (RSAD1) catalyzes methionine oxidation of FMDV 3D polymerase and promotes its aggregation and subsequent degradation through the autophagy-lysosome pathway. Importantly, RSAD1-MSRB3-mediated redox modification also affects the stability of 3D polymerases of EV71 and EMCV, and regulates their infectivity and pathogenesis both in vitro and in vivo. Collectively, this study corroborates that RSAD1-MSRB3-mediated redox cycling of 3D polymerase plays a conserved function in modulating picornavirus infection, providing insights into viral pathogenesis and broad-spectrum antiviral development.</w:t>
      </w:r>
    </w:p>
    <w:p>
      <w:pPr>
        <w:spacing w:before="120" w:after="120"/>
      </w:pPr>
      <w:r>
        <w:rPr>
          <w:sz w:val="18"/>
        </w:rPr>
        <w:t>——————————————————————————————————————————————————————————————————————</w:t>
      </w:r>
    </w:p>
    <w:p>
      <w:pPr>
        <w:spacing w:before="160" w:after="40" w:line="240" w:lineRule="auto"/>
      </w:pPr>
      <w:r>
        <w:rPr>
          <w:b/>
        </w:rPr>
        <w:t xml:space="preserve">[167] </w:t>
      </w:r>
      <w:hyperlink r:id="rId897">
        <w:r>
          <w:rPr>
            <w:color w:val="1155CC"/>
            <w:u w:val="single"/>
          </w:rPr>
          <w:t>人类皮肤全基因组 pQTL 作图确定了特定的遗传调节因子以及与皮肤疾病的机制联系</w:t>
        </w:r>
      </w:hyperlink>
    </w:p>
    <w:p>
      <w:pPr>
        <w:spacing w:before="0" w:after="80"/>
      </w:pPr>
      <w:r>
        <w:rPr>
          <w:i/>
          <w:sz w:val="20"/>
        </w:rPr>
        <w:t>EN: Genome-wide pQTL mapping in human skin identifies specific genetic regulators and mechanistic links to skin disorders</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了解遗传变异如何影响组织特异性蛋白质表达对于揭示疾病机制和治疗靶点至关重要。然而，皮肤（最大的人体器官）的蛋白质组景观及其潜在的基因调控在很大程度上仍然未知。在这里，我们提出了一个群体水平的皮肤蛋白质组数据集，对 248 名个体的 5,774 种蛋白质进行了定量，并揭示了由遗传和非遗传因素形成的显着的个体间变异。全基因组 pQTL 分析识别出 1,765 个显着的变异蛋白关联，涉及 36 种蛋白质，其中 62% 不受皮肤 eQTL 支持，33% 未在非皮肤 pQTL 中复制。将皮肤 pQTL 与祖先匹配的麻风病 GWAS 相结合，通过全蛋白质组关联研究 (PWAS) 识别出 11 种风险蛋白，其中 4 种显示了来自共定位或孟德尔随机化分析的因果证据。与欧洲针对特应性皮炎和牛皮癣的 GWAS 的进一步整合鉴定出已知和新型疾病相关蛋白，证明了皮肤 pQTL 的跨祖先效用。总之，这项工作为皮肤病学中的皮肤蛋白质组学和疾病基因发现建立了宝贵的资源。</w:t>
      </w:r>
    </w:p>
    <w:p>
      <w:pPr>
        <w:spacing w:before="0" w:after="200" w:lineRule="auto" w:line="276"/>
      </w:pPr>
      <w:r>
        <w:rPr>
          <w:b/>
        </w:rPr>
        <w:t xml:space="preserve">Abstract (EN): </w:t>
      </w:r>
      <w:r>
        <w:t>Understanding how genetic variation shapes tissue-specific protein expression is fundamental for uncovering disease mechanisms and therapeutic targets. However, the proteomic landscape and its underlying genetic regulation in skin, the largest human organ, remain largely uncharted. Here, we present a population-level skin proteomic dataset, quantifying 5,774 proteins across 248 individuals and revealing substantial inter-individual variation shaped by genetic and non-genetic factors. Genome-wide pQTL analysis identifies 1,765 significant variant–protein associations involving 36 proteins, with 62% unsupported by skin eQTL and 33% not replicated in non-skin pQTL. Integrating skin pQTL with ancestry-matched leprosy GWAS identifies 11 risk proteins through proteome-wide association study (PWAS), with four showing causal evidence from colocalization or Mendelian randomization analyses. Further integration with European GWASs for atopic dermatitis and psoriasis identifies known and novel disease-related proteins, demonstrating the cross-ancestry utility of skin pQTL. Together, this work establishes a valuable resource for skin proteogenomics and disease-gene discovery in dermatology.</w:t>
      </w:r>
    </w:p>
    <w:p>
      <w:pPr>
        <w:spacing w:before="120" w:after="120"/>
      </w:pPr>
      <w:r>
        <w:rPr>
          <w:sz w:val="18"/>
        </w:rPr>
        <w:t>——————————————————————————————————————————————————————————————————————</w:t>
      </w:r>
    </w:p>
    <w:p>
      <w:pPr>
        <w:spacing w:before="160" w:after="40" w:line="240" w:lineRule="auto"/>
      </w:pPr>
      <w:r>
        <w:rPr>
          <w:b/>
        </w:rPr>
        <w:t xml:space="preserve">[168] </w:t>
      </w:r>
      <w:hyperlink r:id="rId898">
        <w:r>
          <w:rPr>
            <w:color w:val="1155CC"/>
            <w:u w:val="single"/>
          </w:rPr>
          <w:t>小胶质细胞利用 TAM 受体杀死肌萎缩侧索硬化症小鼠模型中的运动神经元</w:t>
        </w:r>
      </w:hyperlink>
    </w:p>
    <w:p>
      <w:pPr>
        <w:spacing w:before="0" w:after="80"/>
      </w:pPr>
      <w:r>
        <w:rPr>
          <w:i/>
          <w:sz w:val="20"/>
        </w:rPr>
        <w:t>EN: Microglia deploy TAM receptors to kill motor neurons in a mouse model of amyotrophic lateral sclerosis</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小胶质细胞的激活是肌萎缩侧索硬化症（ALS）的一个显着特征，ALS 是一种导致运动神经元死亡的神经退行性疾病。这种激活的一个关键因素是 TAM 受体酪氨酸激酶 Axl 和 Mer（基因名称 Mertk）的表达升高。在这里，我们发现，在 ALS 的 SOD1G93A 小鼠模型中，Axl 和 Mertk 基因的种系和小胶质细胞限制性失活会导致寿命延长，这与胆碱能运动神经元和神经肌肉突触的保存有关。 SOD1G93A 神经元表面上的重要 TAM 辅助配体磷脂酰丝氨酸也升高，这是一种有效的“吃我”信号，凋亡细胞通过该信号被小胶质细胞吞噬。相应地，我们发现 SOD1G93A 脊髓中的小胶质细胞溶酶体充满了胆碱能神经元的残留物，而这种积累在 SOD1G93AAxl-/-Mertk-/- 脊髓中显着减少。总之，这些结果表明小胶质细胞吞噬性地杀死活神经元，从而加速 ALS 患者的死亡。</w:t>
      </w:r>
    </w:p>
    <w:p>
      <w:pPr>
        <w:spacing w:before="0" w:after="200" w:lineRule="auto" w:line="276"/>
      </w:pPr>
      <w:r>
        <w:rPr>
          <w:b/>
        </w:rPr>
        <w:t xml:space="preserve">Abstract (EN): </w:t>
      </w:r>
      <w:r>
        <w:t>Activation of microglia is a prominent feature of amyotrophic lateral sclerosis (ALS), a neurodegenerative disease that leads to the death of motor neurons. A key component of this activation is elevated expression of the TAM receptor tyrosine kinases Axl and Mer (gene name Mertk). Here we show that germline and microglial-restricted inactivation of the Axl and Mertk genes in the SOD1G93A mouse model of ALS leads to an extension of lifespan, which is tied to the preservation of cholinergic motor neurons and neuromuscular synapses. Also elevated on SOD1G93A neuronal surfaces is the essential TAM co-ligand phosphatidylserine, a potent ‘eat-me’ signal through which apoptotic cells are engulfed by microglia. Correspondingly, we find that microglial lysosomes are filled with the remains of cholinergic neurons in the SOD1G93A spinal cord, whereas this accumulation is markedly reduced in the SOD1G93AAxl-/-Mertk-/- cord. Together, these results suggest that microglia phagocytically kill living neurons, and thereby hasten death in ALS.</w:t>
      </w:r>
    </w:p>
    <w:p>
      <w:pPr>
        <w:spacing w:before="120" w:after="120"/>
      </w:pPr>
      <w:r>
        <w:rPr>
          <w:sz w:val="18"/>
        </w:rPr>
        <w:t>——————————————————————————————————————————————————————————————————————</w:t>
      </w:r>
    </w:p>
    <w:p>
      <w:pPr>
        <w:spacing w:before="160" w:after="40" w:line="240" w:lineRule="auto"/>
      </w:pPr>
      <w:r>
        <w:rPr>
          <w:b/>
        </w:rPr>
        <w:t xml:space="preserve">[169] </w:t>
      </w:r>
      <w:hyperlink r:id="rId899">
        <w:r>
          <w:rPr>
            <w:color w:val="1155CC"/>
            <w:u w:val="single"/>
          </w:rPr>
          <w:t>OTUB1 磷酸化促进饥饿条件下自噬的启动</w:t>
        </w:r>
      </w:hyperlink>
    </w:p>
    <w:p>
      <w:pPr>
        <w:spacing w:before="0" w:after="80"/>
      </w:pPr>
      <w:r>
        <w:rPr>
          <w:i/>
          <w:sz w:val="20"/>
        </w:rPr>
        <w:t>EN: Phosphorylation of OTUB1 promotes autophagy initiation under starvation</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真核生物启动自噬来应对营养匮乏等环境挑战。然而，控制自噬启动的机制仍不完全清楚。在这里，我们证明了 OTUB1 磷酸化在饥饿诱导的自噬启动中起着关键作用。具体来说，饥饿期间 ERK 在 S118 处磷酸化 OTUB1。这种磷酸化使 ANXA2 能够竞争性结合 OTUB1，破坏其与 TRIM29 的相互作用并增强 OTUB1 稳定性。稳定的 OTUB1 上调 DEPTOR，从而抑制 mTOR 并诱导自噬。此外，体内研究表明，禁食诱导的 OTUB1-mTOR 自噬轴通过恢复 ERK 依赖性 OTUB1 磷酸化来抵消西方饮食介导的 mTOR 激活，最终改善 MASLD 进展。总的来说，这项研究揭示了控制 OTUB1 在营养缺乏引发的自噬启动中的功能的磷酸化依赖性调节机制，提供了支持禁食在缓解 MASLD 方面的治疗潜力的细胞和分子证据。</w:t>
      </w:r>
    </w:p>
    <w:p>
      <w:pPr>
        <w:spacing w:before="0" w:after="200" w:lineRule="auto" w:line="276"/>
      </w:pPr>
      <w:r>
        <w:rPr>
          <w:b/>
        </w:rPr>
        <w:t xml:space="preserve">Abstract (EN): </w:t>
      </w:r>
      <w:r>
        <w:t>Eukaryotes initiate autophagy in response to environmental challenges such as nutrient deprivation. However, the mechanisms governing autophagy initiation remain incompletely understood. Here, we demonstrated that OTUB1 phosphorylation plays a key role in starvation-induced autophagy initiation. Specifically, ERK phosphorylates OTUB1 at S118 during starvation. This phosphorylation enables competitive binding of ANXA2 to OTUB1, disrupting its interaction with TRIM29 and enhancing OTUB1 stability. Stabilized OTUB1 upregulated DEPTOR, thereby inhibiting mTOR and inducing autophagy. Furthermore, in vivo studies reveal that fasting-induced OTUB1-mTOR-autophagy axis counteracted Western diet-mediated mTOR activation by restoring ERK-dependent OTUB1 phosphorylation, ultimately ameliorating MASLD progression. Collectively, this study uncovers a phosphorylation-dependent regulatory mechanism controlling OTUB1’s function in nutrient deficiency-triggered autophagy initiation, providing cellular and molecular evidence supporting the therapeutic potential of fasting in alleviating MASLD.</w:t>
      </w:r>
    </w:p>
    <w:p>
      <w:pPr>
        <w:spacing w:before="120" w:after="120"/>
      </w:pPr>
      <w:r>
        <w:rPr>
          <w:sz w:val="18"/>
        </w:rPr>
        <w:t>——————————————————————————————————————————————————————————————————————</w:t>
      </w:r>
    </w:p>
    <w:p>
      <w:pPr>
        <w:spacing w:before="160" w:after="40" w:line="240" w:lineRule="auto"/>
      </w:pPr>
      <w:r>
        <w:rPr>
          <w:b/>
        </w:rPr>
        <w:t xml:space="preserve">[170] </w:t>
      </w:r>
      <w:hyperlink r:id="rId900">
        <w:r>
          <w:rPr>
            <w:color w:val="1155CC"/>
            <w:u w:val="single"/>
          </w:rPr>
          <w:t>使用包含轨道角动量的结构化太赫兹光束进行大气湍流传感</w:t>
        </w:r>
      </w:hyperlink>
    </w:p>
    <w:p>
      <w:pPr>
        <w:spacing w:before="0" w:after="80"/>
      </w:pPr>
      <w:r>
        <w:rPr>
          <w:i/>
          <w:sz w:val="20"/>
        </w:rPr>
        <w:t>EN: Atmospheric turbulence sensing with structured terahertz beams containing orbital angular momentum</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晴空湍流对航空构成持续的危害，但它却能避开传统的气象雷达，并且仍然难以检测到。现有的光学传感方法在严重的湍流下会变得不稳定，并且极易受到机载节点之间未对准的影响。在这里，我们介绍一种基于携带轨道角动量（OAM）的结构化太赫兹（THz）光束的大气传感方案。我们推导并通过实验验证了一个分析模型，该模型将湍流引起的 OAM 模态串扰映射到大气的折射率结构常数。我们的模拟和实验表明，这种 THz-OAM 方法在光学系统饱和的严重湍流下仍然保持鲁棒性，并提供了几个数量级的更大的失准弹性。此外，该方案还通过了解发散的 THz-OAM 光束与相互传播路径中的湍流介质的相互作用，并同时监测水蒸气以识别湍流前兆，实现了主要湍流簇的定位。这项工作建立了结构化太赫兹-OAM 光束作为远程大气湍流推断的稳健框架。</w:t>
      </w:r>
    </w:p>
    <w:p>
      <w:pPr>
        <w:spacing w:before="0" w:after="200" w:lineRule="auto" w:line="276"/>
      </w:pPr>
      <w:r>
        <w:rPr>
          <w:b/>
        </w:rPr>
        <w:t xml:space="preserve">Abstract (EN): </w:t>
      </w:r>
      <w:r>
        <w:t>Clear-air turbulence poses a persistent hazard to aviation, yet it evades conventional weather radar and remains difficult to detect. Existing optical sensing methods falter under severe turbulence and are extremely vulnerable to misalignment between airborne nodes. Here we introduce an atmospheric sensing scheme built on structured terahertz (THz) beams carrying orbital angular momentum (OAM). We derive and experimentally validate an analytical model that maps turbulence-induced OAM modal crosstalk to the refractive index structure constant of the atmosphere. Our simulations and experiments demonstrate that this THz-OAM approach remains robust under severe turbulence where optical systems saturate, and offers orders-of-magnitude greater misalignment resilience. Furthermore, this scheme also enables localization of the dominant turbulent clusters through understanding the interaction of diverging THz-OAM beams with the turbulent medium in the reciprocal propagation paths and simultaneously monitoring water vapor to identify turbulence precursors. This work establishes structured THz-OAM beams as a robust framework for remote atmospheric turbulence inference.</w:t>
      </w:r>
    </w:p>
    <w:p>
      <w:pPr>
        <w:spacing w:before="120" w:after="120"/>
      </w:pPr>
      <w:r>
        <w:rPr>
          <w:sz w:val="18"/>
        </w:rPr>
        <w:t>——————————————————————————————————————————————————————————————————————</w:t>
      </w:r>
    </w:p>
    <w:p>
      <w:pPr>
        <w:spacing w:before="160" w:after="40" w:line="240" w:lineRule="auto"/>
      </w:pPr>
      <w:r>
        <w:rPr>
          <w:b/>
        </w:rPr>
        <w:t xml:space="preserve">[171] </w:t>
      </w:r>
      <w:hyperlink r:id="rId901">
        <w:r>
          <w:rPr>
            <w:color w:val="1155CC"/>
            <w:u w:val="single"/>
          </w:rPr>
          <w:t>用于非自由基催化臭氧化的尖晶石催化剂的高熵工程，提高了对湿度和硫中毒的抵抗力</w:t>
        </w:r>
      </w:hyperlink>
    </w:p>
    <w:p>
      <w:pPr>
        <w:spacing w:before="0" w:after="80"/>
      </w:pPr>
      <w:r>
        <w:rPr>
          <w:i/>
          <w:sz w:val="20"/>
        </w:rPr>
        <w:t>EN: High-entropy engineering of spinel catalysts for nonradical catalytic ozonation with improved resistance to humidity and sulfur poisoning</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由于羟基自由基 (•OH) 的非选择性氧化和硫酸盐诱导的活性金属位点失活，富电子含硫污染物的传统催化臭氧化效率有限。在这里，我们合成了一种高熵尖晶石 (CuNiMnCo)Fe2O4，其具有亚晶格分辨电子重建功能，能够选择性激活臭氧并抑制硫中毒。该催化剂实现了 99% 的甲硫醇 (CH3SH) 去除率，明显优于 CoFe2O4 的 51%。光谱分析和密度泛函理论计算表明，高熵掺杂会引起晶格畸变和局域配位紊乱，从而增强A-O-B共价性和位点间电子通信。这种结构扰动进一步驱动亚晶格分辨电子重构，富集 Co/Mn 位点，同时耗尽 Fe/Cu/Ni 位点。这种电子分化促进了 Fe-Co/Mn 基序上 O3 的协同双端激活以及 Cu/Ni 位点上 CH3SH 的优先吸附。 Co t2g 和 Feeg 状态在费米能级附近的轨道调制平衡了界面电荷转移，与传统的 O-O 键断裂相比，有利于表面结合 *O3 物种的形成。由此产生的空间分离的活化和氧化位点通过电子转移过程实现 CH3SH 矿化，同时抑制·OH 生成并最大限度地减少硫酸盐积累。这种空间差异化的反应环境确保了在潮湿条件下的持久性能。这些发现建立了亚晶格工程电子不对称性</w:t>
      </w:r>
    </w:p>
    <w:p>
      <w:pPr>
        <w:spacing w:before="0" w:after="200" w:lineRule="auto" w:line="276"/>
      </w:pPr>
      <w:r>
        <w:rPr>
          <w:b/>
        </w:rPr>
        <w:t xml:space="preserve">Abstract (EN): </w:t>
      </w:r>
      <w:r>
        <w:t>Conventional catalytic ozonation of electron-rich sulfur-containing pollutants shows limited efficiency due to nonselective oxidation of hydroxyl radicals (•OH) and sulfate-induced deactivation of active metal sites. Here, we synthesized a high-entropy spinel, (CuNiMnCo)Fe2O4, featuring sublattice-resolved electronic reconstruction that enables selective ozone activation and suppresses sulfur poisoning. The catalyst achieves 99% removal of methyl mercaptan (CH3SH), significantly outperforming 51% of CoFe2O4. Spectroscopic analyses and density functional theory calculations reveal that high-entropy doping induces lattice distortion and local coordination disorder, which strengthen A–O–B covalency and inter-site electronic communication. This structural perturbation further drives a sublattice-resolved electronic reconstruction, enriching Co/Mn sites while depleting Fe/Cu/Ni sites. This electronic differentiation promotes cooperative dual-end activation of O3 on Fe–Co/Mn motifs and preferential CH3SH adsorption on Cu/Ni sites. Orbital modulation of Co t2g and Fe eg states near the Fermi level balances interfacial charge transfer, favoring formation of a surface-bound *O3 species over conventional O–O bond cleavage. The resulting spatially separated activation and oxidation sites enable CH3SH mineralization via an electron transfer process while suppressing •OH generation and minimizing sulfate accumulation. This spatially differentiated reaction environment ensures durable performance under humid conditions. These findings establish sublattice-engineered electronic asymmetry as a strategy for selective catalytic ozonation.</w:t>
      </w:r>
    </w:p>
    <w:p>
      <w:pPr>
        <w:spacing w:before="120" w:after="120"/>
      </w:pPr>
      <w:r>
        <w:rPr>
          <w:sz w:val="18"/>
        </w:rPr>
        <w:t>——————————————————————————————————————————————————————————————————————</w:t>
      </w:r>
    </w:p>
    <w:p>
      <w:pPr>
        <w:spacing w:before="160" w:after="40" w:line="240" w:lineRule="auto"/>
      </w:pPr>
      <w:r>
        <w:rPr>
          <w:b/>
        </w:rPr>
        <w:t xml:space="preserve">[172] </w:t>
      </w:r>
      <w:hyperlink r:id="rId902">
        <w:r>
          <w:rPr>
            <w:color w:val="1155CC"/>
            <w:u w:val="single"/>
          </w:rPr>
          <w:t>CD36 介导的反应性小胶质细胞中的脂质积累通过 NLRP3-IL-1β 途径导致小鼠视网膜变性</w:t>
        </w:r>
      </w:hyperlink>
    </w:p>
    <w:p>
      <w:pPr>
        <w:spacing w:before="0" w:after="80"/>
      </w:pPr>
      <w:r>
        <w:rPr>
          <w:i/>
          <w:sz w:val="20"/>
        </w:rPr>
        <w:t>EN: CD36-mediated lipid-accumulation in reactive microglia contributes to retinal degeneration via the NLRP3-IL-1β pathway in mice</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小胶质细胞是视网膜免疫稳态的核心调节因子，但其在视网膜变性中的致病状态仍不清楚。在这里，我们使用 scRNA 测序和空间转录组学在 NaIO3 诱导的视网膜变性小鼠中鉴定了脂质累积反应性小胶质细胞 (aLARM) 的一个独特子集，主要位于外视网膜。 aLARM 在小鼠模型和患者中是保守的，并且以高 CD36 表达为独特标志。小胶质细胞特异性 CD36 缺失消除了 aLARM 介导的炎症和变性，而 CD36+ aLARM 的视网膜下移植加剧了视网膜结构破坏和功能损伤。从机制上讲，CD36+ aLARM 激活 NLRP3 炎症小体并产生 IL-1β，与小胶质细胞/巨噬细胞和周细胞/SMC 上的 IL-1R1 结合，从而放大前馈炎症回路。使用中和抗体 FA6-152 进行治疗性 CD36 阻断可减少 aLARM 形成并防止神经变性。总之，我们的研究结果强调了 CD36+ aLARM 作为一种可靶向的致病性小胶质细胞群体，将神经炎症与视网膜变性联系起来，为基于小胶质细胞的精准治疗提供了潜在的基础。</w:t>
      </w:r>
    </w:p>
    <w:p>
      <w:pPr>
        <w:spacing w:before="0" w:after="200" w:lineRule="auto" w:line="276"/>
      </w:pPr>
      <w:r>
        <w:rPr>
          <w:b/>
        </w:rPr>
        <w:t xml:space="preserve">Abstract (EN): </w:t>
      </w:r>
      <w:r>
        <w:t>Microglia are central regulators of retinal immune homeostasis, yet their pathogenic states in retinal degeneration remain less well understood. Here we identified a distinct subset of lipid-accumulated reactive microglia (aLARM), using scRNA sequencing and spatial transcriptomics in NaIO3-induced retinal degeneration mice, predominantly localized to the outer retina. aLARM were conserved across mouse models and patients and uniquely marked by high CD36 expression. Microglia-specific CD36 deletion abolished aLARM-mediated inflammation and degeneration, whereas subretinal transplantation of CD36+ aLARM exacerbated retinal structural destruction and functional impairment. Mechanistically, CD36+ aLARM activated NLRP3 inflammasome and produced IL-1β, engaging IL-1R1 on microglia/macrophages and pericytes/SMCs to amplify a feed-forward inflammatory circuit. Therapeutic CD36 blockade with the neutralizing antibody FA6-152 reduced aLARM formation and protected against neurodegeneration. Together, our findings highlight CD36+ aLARM as a targetable pathogenic microglial population linking neuroinflammation to retinal degeneration, providing a potential foundation for microglia-based precision therapies.</w:t>
      </w:r>
    </w:p>
    <w:p>
      <w:pPr>
        <w:spacing w:before="120" w:after="120"/>
      </w:pPr>
      <w:r>
        <w:rPr>
          <w:sz w:val="18"/>
        </w:rPr>
        <w:t>——————————————————————————————————————————————————————————————————————</w:t>
      </w:r>
    </w:p>
    <w:p>
      <w:pPr>
        <w:spacing w:before="160" w:after="40" w:line="240" w:lineRule="auto"/>
      </w:pPr>
      <w:r>
        <w:rPr>
          <w:b/>
        </w:rPr>
        <w:t xml:space="preserve">[173] </w:t>
      </w:r>
      <w:hyperlink r:id="rId903">
        <w:r>
          <w:rPr>
            <w:color w:val="1155CC"/>
            <w:u w:val="single"/>
          </w:rPr>
          <w:t>地球周围下地幔中达维茂石的消耗</w:t>
        </w:r>
      </w:hyperlink>
    </w:p>
    <w:p>
      <w:pPr>
        <w:spacing w:before="0" w:after="80"/>
      </w:pPr>
      <w:r>
        <w:rPr>
          <w:i/>
          <w:sz w:val="20"/>
        </w:rPr>
        <w:t>EN: Depletion of davemaoite in Earth’s ambient lower mantle</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地球下地幔的矿物学对于了解地球的形成、组成、演化和动力学至关重要。然而，CaSiO₃ davemaoite（热解下地幔中第三丰富的相）的弹性性质和相变的不确定性阻碍了地震观测和下地幔矿物学之间的定量联系。在这里，我们将布里渊光谱与电阻加热金刚石砧室实验相结合，测量了 CaSiO₃ 达维茂石的声速高达 80 GPa 和 973 K。我们表明，在整个下地幔中，四方-立方相变发生在 900 K 以下。拟合立方达维茂石的热弹性特性揭示了在深部下地幔条件下剪切波速度大大降低。由于这些本质上缓慢的速度，仅增加桥锰矿丰度并不能与含有少量达维茂石的正常下地幔的地震观测相一致。因此，我们的结果表明，davemaoite 在周围的下地幔中耗尽，但集中在 LLSVP 内，这可能是岩浆-海洋分化过程中晚期结晶的结果。</w:t>
      </w:r>
    </w:p>
    <w:p>
      <w:pPr>
        <w:spacing w:before="0" w:after="200" w:lineRule="auto" w:line="276"/>
      </w:pPr>
      <w:r>
        <w:rPr>
          <w:b/>
        </w:rPr>
        <w:t xml:space="preserve">Abstract (EN): </w:t>
      </w:r>
      <w:r>
        <w:t>The mineralogy of the Earth’s lower mantle is fundamental to understanding the planet’s formation, composition, evolution, and dynamics. However, uncertainties in the elastic properties and phase transitions of CaSiO₃ davemaoite—the third most abundant phase in a pyrolitic lower mantle—have hindered quantitative links between seismic observations and lower-mantle mineralogy. Here we combine Brillouin spectroscopy with resistively heated diamond anvil cell experiments to measure the sound velocities of CaSiO₃ davemaoite up to 80 GPa and 973 K. We show that the tetragonal–cubic phase transition occurs below 900 K throughout the entire lower mantle. Fitting the thermoelastic properties of cubic davemaoite reveals substantially reduced shear-wave velocities at deep lower-mantle conditions. Because of these intrinsically slow velocities, increasing bridgmanite abundance alone cannot reconcile seismic observations for a normal lower mantle containing even small amount of davemaoite. Our results therefore suggest that davemaoite is depleted in the ambient lower mantle but concentrated within LLSVPs, likely as a consequence of late-stage crystallization during magma-ocean differentiation.</w:t>
      </w:r>
    </w:p>
    <w:p>
      <w:pPr>
        <w:spacing w:before="120" w:after="120"/>
      </w:pPr>
      <w:r>
        <w:rPr>
          <w:sz w:val="18"/>
        </w:rPr>
        <w:t>——————————————————————————————————————————————————————————————————————</w:t>
      </w:r>
    </w:p>
    <w:p>
      <w:pPr>
        <w:spacing w:before="160" w:after="40" w:line="240" w:lineRule="auto"/>
      </w:pPr>
      <w:r>
        <w:rPr>
          <w:b/>
        </w:rPr>
        <w:t xml:space="preserve">[174] </w:t>
      </w:r>
      <w:hyperlink r:id="rId904">
        <w:r>
          <w:rPr>
            <w:color w:val="1155CC"/>
            <w:u w:val="single"/>
          </w:rPr>
          <w:t>震源机制变化揭示了海洋转换断层分段的机械控制</w:t>
        </w:r>
      </w:hyperlink>
    </w:p>
    <w:p>
      <w:pPr>
        <w:spacing w:before="0" w:after="80"/>
      </w:pPr>
      <w:r>
        <w:rPr>
          <w:i/>
          <w:sz w:val="20"/>
        </w:rPr>
        <w:t>EN: Focal mechanism variations reveal mechanical controls on segmentation at oceanic transform faults</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海洋转换断层 (OTF) 表现出并发的滑动行为，并在局部斑块上出现蠕变和特征地震。在东太平洋隆起的戈法尔转换断层处，5.5 级以上地震的边界是作为持续破裂屏障的蠕动段，但对该段的物理控制仍不清楚。在这里，我们根据一年的海底地震仪数据，开发了最西端戈法尔转换断层 2323 次地震的震源机制目录。该目录可以对断层类型和机械特性的沿走向变化进行可靠的统计分析。纯走滑地震占事件的 31%；斜向地震普遍存在；纯逆向事件和正向事件也存在。断层类型与地震活动推断的断层分段相关，反向和倾斜反向事件聚集在破裂屏障中。库仑失效模型表明，该模式可以诊断屏障内孔隙流体压力升高和机械弱点。 2008 年 M6 主震增加了整个断层震源机制的多样性，表明地震周期中次级结构的广泛激活。与布兰科和链转换断层的比较表明，不同的断层和沿走向机制集群可能是常见的 OTF 特征，这意味着局部力学特性控制分段。</w:t>
      </w:r>
    </w:p>
    <w:p>
      <w:pPr>
        <w:spacing w:before="0" w:after="200" w:lineRule="auto" w:line="276"/>
      </w:pPr>
      <w:r>
        <w:rPr>
          <w:b/>
        </w:rPr>
        <w:t xml:space="preserve">Abstract (EN): </w:t>
      </w:r>
      <w:r>
        <w:t>Oceanic transform faults (OTFs) exhibit concurrent slip behaviors, with creep and characteristic earthquakes on localized patches. At the Gofar transform fault on the East Pacific Rise, magnitude 5.5+ earthquakes are bounded by creeping segments that act as persistent rupture barriers, yet the physical controls on this segmentation remain unclear. Here, from one year of ocean bottom seismometer data, we develop a focal mechanism catalog of 2323 earthquakes on the westernmost Gofar transform fault. This catalog enables robust statistical analyses of along-strike variations in faulting type and mechanical properties. Pure strike-slip earthquakes comprise ~31% of events; oblique earthquakes are pervasive; pure reverse and normal events also exist. Faulting types correlate with seismicity-inferred fault segmentation, with reverse and oblique-reverse events clustering in rupture barriers. Coulomb failure modeling shows that the pattern is diagnostic of elevated pore-fluid pressure and mechanical weakness within the barriers. The 2008 M6 mainshock increased focal mechanism diversity across the fault, indicating widespread activation of secondary structures through the seismic cycle. Comparisons with the Blanco and Chain transform faults suggest diverse faulting and along-strike mechanism clustering may be common OTF features, implying that local mechanical properties govern segmentation.</w:t>
      </w:r>
    </w:p>
    <w:p>
      <w:pPr>
        <w:spacing w:before="120" w:after="120"/>
      </w:pPr>
      <w:r>
        <w:rPr>
          <w:sz w:val="18"/>
        </w:rPr>
        <w:t>——————————————————————————————————————————————————————————————————————</w:t>
      </w:r>
    </w:p>
    <w:p>
      <w:pPr>
        <w:spacing w:before="160" w:after="40" w:line="240" w:lineRule="auto"/>
      </w:pPr>
      <w:r>
        <w:rPr>
          <w:b/>
        </w:rPr>
        <w:t xml:space="preserve">[175] </w:t>
      </w:r>
      <w:hyperlink r:id="rId905">
        <w:r>
          <w:rPr>
            <w:color w:val="1155CC"/>
            <w:u w:val="single"/>
          </w:rPr>
          <w:t>量化氮在实现全球可持续发展目标中的作用</w:t>
        </w:r>
      </w:hyperlink>
    </w:p>
    <w:p>
      <w:pPr>
        <w:spacing w:before="0" w:after="80"/>
      </w:pPr>
      <w:r>
        <w:rPr>
          <w:i/>
          <w:sz w:val="20"/>
        </w:rPr>
        <w:t>EN: Quantifying the role of nitrogen in achieving global Sustainable Development Goals</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实现 2030 年可持续发展目标 (SDG) 需要平衡福祉与环境保护，但氮在这些目标中的作用仍知之甚少。在这里，我们展示了 2000 年至 2022 年 166 个国家的膳食氮摄入量以及向空气和水中的氮释放如何与可持续发展目标进展相关。较高的人均氮摄入量与社会和经济可持续发展目标呈正相关，而氮释放与环境目标呈负相关。经济发展与可持续发展目标绩效的提高有关，但也与膳食氮需求和氮损失的增加有关，而气候变暖则与粮食系统和氮管理的压力有关。氮相关因素占 SDG 得分变化的 38%，而气候条件和社会经济因素分别占 34% 和 28%。这些发现将氮管理确定为可持续发展的一个跨领域组成部分，并支持在不同发展背景下协调粮食安全、污染控制和气候适应的战略。</w:t>
      </w:r>
    </w:p>
    <w:p>
      <w:pPr>
        <w:spacing w:before="0" w:after="200" w:lineRule="auto" w:line="276"/>
      </w:pPr>
      <w:r>
        <w:rPr>
          <w:b/>
        </w:rPr>
        <w:t xml:space="preserve">Abstract (EN): </w:t>
      </w:r>
      <w:r>
        <w:t>Achieving the 2030 Sustainable Development Goals (SDGs) requires balancing well-being with environmental protection, yet the role of nitrogen across these goals remains poorly understood. Here, we show how dietary nitrogen intake and nitrogen release to air and water are associated with SDG progress across 166 countries from 2000 to 2022. Higher per-capita nitrogen intake is positively associated with social and economic SDGs, whereas nitrogen release is negatively associated with environmental goals. Economic development is linked to improved SDG performance but also to greater dietary nitrogen demand and nitrogen losses, while warming is associated with pressure on food systems and nitrogen management. Nitrogen-related factors account for 38% of the variation in SDG scores, compared with 34% for climatic conditions and 28% for socio-economic factors. These findings identify nitrogen management as a cross-cutting component of sustainable development and support strategies that align food security, pollution control and climate adaptation across development contexts.</w:t>
      </w:r>
    </w:p>
    <w:p>
      <w:pPr>
        <w:spacing w:before="120" w:after="120"/>
      </w:pPr>
      <w:r>
        <w:rPr>
          <w:sz w:val="18"/>
        </w:rPr>
        <w:t>——————————————————————————————————————————————————————————————————————</w:t>
      </w:r>
    </w:p>
    <w:p>
      <w:pPr>
        <w:spacing w:before="160" w:after="40" w:line="240" w:lineRule="auto"/>
      </w:pPr>
      <w:r>
        <w:rPr>
          <w:b/>
        </w:rPr>
        <w:t xml:space="preserve">[176] </w:t>
      </w:r>
      <w:hyperlink r:id="rId906">
        <w:r>
          <w:rPr>
            <w:color w:val="1155CC"/>
            <w:u w:val="single"/>
          </w:rPr>
          <w:t>Ryugu 和 Bennu 保留了陨石记录中缺失的原始同位素异质性</w:t>
        </w:r>
      </w:hyperlink>
    </w:p>
    <w:p>
      <w:pPr>
        <w:spacing w:before="0" w:after="80"/>
      </w:pPr>
      <w:r>
        <w:rPr>
          <w:i/>
          <w:sz w:val="20"/>
        </w:rPr>
        <w:t>EN: Ryugu and Bennu preserve primordial isotopic heterogeneity absent from the meteorite record</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伊武纳型（CI）碳质球粒陨石通常用作行星形成盘成分的代表，因为它们的化学丰度与太阳光球层的化学丰度相似。然而，它们的同位素均匀性可能反映了普遍的蚀变和同位素平均，而不是最早太阳系储层的保存。在这里，我们展示了从小行星 Ryugu 和 Bennu 返回的样本保留了主要行星构建元素的同位素异质性，包括镁、硅和铁，这是 CI 球粒陨石中不存在的，并且在其他陨石中也未得到解决。这些特征揭示了已知 CI 球粒陨石中不存在或均匀化的同位素不同成分。我们推断，本努和龙宫保留了原始同位素多样性的记录，这些记录在盘和母体处理过程中并未完全均质化。因此，返回的小行星样本可以获取以前未采样的太阳系材料，这些材料保留了陨石记录中未完全代表的早期同位素成分。</w:t>
      </w:r>
    </w:p>
    <w:p>
      <w:pPr>
        <w:spacing w:before="0" w:after="200" w:lineRule="auto" w:line="276"/>
      </w:pPr>
      <w:r>
        <w:rPr>
          <w:b/>
        </w:rPr>
        <w:t xml:space="preserve">Abstract (EN): </w:t>
      </w:r>
      <w:r>
        <w:t>Ivuna-type (CI) carbonaceous chondrites are commonly used as proxies for the composition of the planet-forming disk because their chemical abundances resemble those of the solar photosphere. However, their isotopic uniformity may reflect pervasive alteration and isotopic averaging rather than preservation of the earliest Solar System reservoirs. Here we show that samples returned from the asteroids Ryugu and Bennu preserve isotopic heterogeneity in major planet-building elements, including magnesium, silicon, and iron, that is absent from CI chondrites and unresolved in other meteorites. These signatures reveal isotopically distinct components that are absent from, or homogenized in, known CI chondrites. We infer that Bennu and Ryugu retain a record of primordial isotopic diversity that was not completely homogenized during disk and parent-body processing. Thus, returned asteroid samples provide access to previously unsampled Solar System material that preserves early isotopic components not fully represented in the meteorite record.</w:t>
      </w:r>
    </w:p>
    <w:p>
      <w:pPr>
        <w:spacing w:before="120" w:after="120"/>
      </w:pPr>
      <w:r>
        <w:rPr>
          <w:sz w:val="18"/>
        </w:rPr>
        <w:t>——————————————————————————————————————————————————————————————————————</w:t>
      </w:r>
    </w:p>
    <w:p>
      <w:pPr>
        <w:spacing w:before="160" w:after="40" w:line="240" w:lineRule="auto"/>
      </w:pPr>
      <w:r>
        <w:rPr>
          <w:b/>
        </w:rPr>
        <w:t xml:space="preserve">[177] </w:t>
      </w:r>
      <w:hyperlink r:id="rId907">
        <w:r>
          <w:rPr>
            <w:color w:val="1155CC"/>
            <w:u w:val="single"/>
          </w:rPr>
          <w:t>DUSP4 促进抗肿瘤 CD8+ T 细胞功能并增强 CAR-T 细胞在小鼠结直肠癌中的功效</w:t>
        </w:r>
      </w:hyperlink>
    </w:p>
    <w:p>
      <w:pPr>
        <w:spacing w:before="0" w:after="80"/>
      </w:pPr>
      <w:r>
        <w:rPr>
          <w:i/>
          <w:sz w:val="20"/>
        </w:rPr>
        <w:t>EN: DUSP4 promotes anti-tumor CD8+ T cell function and boosts CAR-T cell efficacy in mouse colorectal cancer</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CD8+ T 细胞的激活和功能是抗肿瘤免疫的核心，受到细胞外和细胞内信号通路的严格调控。双特异性磷酸酶 (DUSP)，包括 DUSP4，使蛋白质的丝氨酸/苏氨酸和酪氨酸残基去磷酸化，以调节细胞信号传导。在这里，我们研究了 DUSP4 在癌症免疫中的作用。与 DUSP4 表达较高的患者相比，CRC 组织中 DUSP4 表达较低的结直肠癌 (CRC) 患者的生存期较短。相比之下，在 AOM/DSS 诱导的雄性小鼠 CRC 模型中，整体 DUSP4 缺陷会增强肿瘤发生并损害 CD8+ T 细胞介导的抗肿瘤免疫。从机制上讲，DUSP4 敲除增加了 ERK2 介导的 T 细胞活化调节因子 Klf2 的表达，从而抑制 KLF2 介导的细胞毒性程序。在 CD19+ CRC 异种移植小鼠模型中，CRISPRa 介导的 DUSP4 激活可促进抗 CD19 CAR-T 细胞增殖和抗肿瘤细胞毒性。因此，我们的数据表明 DUSP4 支持 CD8+ T 细胞的细胞毒功能，并表明 DUSP4 可能是增强抗肿瘤免疫的有前途的治疗靶点。</w:t>
      </w:r>
    </w:p>
    <w:p>
      <w:pPr>
        <w:spacing w:before="0" w:after="200" w:lineRule="auto" w:line="276"/>
      </w:pPr>
      <w:r>
        <w:rPr>
          <w:b/>
        </w:rPr>
        <w:t xml:space="preserve">Abstract (EN): </w:t>
      </w:r>
      <w:r>
        <w:t>The activation and function of CD8+ T cells, which are central for anti-tumor immunity, are tightly regulated by extracellular and intracellular signaling pathways. Dual-specificity phosphatases (DUSP), including DUSP4, dephosphorylate serine/threonine and tyrosine residues of proteins to modulate cellular signaling. Here, we investigate the role of DUSP4 in cancer immunity. Patients with colorectal cancers (CRC) with lower DUSP4 expression across the CRC tissue exhibit shorter survival compared to those with higher DUSP4 expression. By contrast, in AOM/DSS-induced male mouse CRC models, global DUSP4 deficiency enhances tumorigenesis and compromises CD8+ T cell-mediated anti-tumor immunity. Mechanistically, DUSP4 knockout increases ERK2-mediated expression of the T cell activation regulator Klf2, thereby suppressing KLF2-mediated cytotoxic programs. In a CD19+ CRC xenograft mouse model, CRISPRa-mediated DUSP4 activation promotes anti-CD19 CAR-T cell proliferation and anti-tumor cytotoxicity. Thus, our data show that DUSP4 supports CD8+ T cell cytotoxic functions and suggest that DUSP4 may be a promising therapeutic target for enhancing anti-tumor immunity.</w:t>
      </w:r>
    </w:p>
    <w:p>
      <w:pPr>
        <w:spacing w:before="120" w:after="120"/>
      </w:pPr>
      <w:r>
        <w:rPr>
          <w:sz w:val="18"/>
        </w:rPr>
        <w:t>——————————————————————————————————————————————————————————————————————</w:t>
      </w:r>
    </w:p>
    <w:p>
      <w:pPr>
        <w:spacing w:before="160" w:after="40" w:line="240" w:lineRule="auto"/>
      </w:pPr>
      <w:r>
        <w:rPr>
          <w:b/>
        </w:rPr>
        <w:t xml:space="preserve">[178] </w:t>
      </w:r>
      <w:hyperlink r:id="rId908">
        <w:r>
          <w:rPr>
            <w:color w:val="1155CC"/>
            <w:u w:val="single"/>
          </w:rPr>
          <w:t>过去 350 万年热带强制千年季风的普遍变化</w:t>
        </w:r>
      </w:hyperlink>
    </w:p>
    <w:p>
      <w:pPr>
        <w:spacing w:before="0" w:after="80"/>
      </w:pPr>
      <w:r>
        <w:rPr>
          <w:i/>
          <w:sz w:val="20"/>
        </w:rPr>
        <w:t>EN: Pervasive tropical-forced millennial monsoon variability over the past 3.5 million years</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至少自更新世早期以来，地球气候经历了突然的千禧年规模的气候变率（MCV），但其演变和驱动因素仍然难以捉摸。来自季风青藏高原的 350 万年十年至百年分辨率的湖泊沉积物序列揭示了 MCV 的阶梯式演化，其细节与北大西洋的记录不同。岩性和花粉变化显示了大约 3.5-270 万年前 (Ma) 期间的前兆事件，多个事件在大约 2.8 Ma 开始。从约 2.7 Ma 开始，MCV 成为冰期的永久特征，在约 1.5 Ma 后增强，并延伸到冰期和间冰期。 MCV 的嵌入天文频率及其与进动的持续联系表明热带日照起源，由纬度温度梯度变化驱动并通过季风环流传播到青藏高原。这些发现强调，热带强迫和高纬度冰动力机制应被视为 MCV 的“双引擎”。</w:t>
      </w:r>
    </w:p>
    <w:p>
      <w:pPr>
        <w:spacing w:before="0" w:after="200" w:lineRule="auto" w:line="276"/>
      </w:pPr>
      <w:r>
        <w:rPr>
          <w:b/>
        </w:rPr>
        <w:t xml:space="preserve">Abstract (EN): </w:t>
      </w:r>
      <w:r>
        <w:t>Earth’s climate has experienced abrupt millennial-scale climate variability (MCV) at least since the early Pleistocene, yet their evolution and drivers remain elusive. A 3.5-million-year decadal-to-centennial-resolved lake sediment sequence from the monsoonal Tibetan Plateau reveals a stepped evolution of MCV that differs in detail from that of North Atlantic records. Lithological and pollen changes show precursor millennial events during the interval ~ 3.5-2.7 million years ago (Ma), with the onset of multiple events at ~ 2.8 Ma. From ~ 2.7 Ma, MCV became a permanent feature of glacial periods, intensifying after ~ 1.5 Ma and extending over both glacial and interglacial periods. The embedded astronomical frequencies of MCV and their persistent linkage with precession indicate a tropical insolation origin, driven by changes in the latitudinal temperature gradient and propagated to the Tibetan Plateau via monsoonal circulation. These findings highlight that both tropical forcing and high-latitude ice-dynamic mechanisms should be considered as “dual engines” of MCV.</w:t>
      </w:r>
    </w:p>
    <w:p>
      <w:pPr>
        <w:spacing w:before="120" w:after="120"/>
      </w:pPr>
      <w:r>
        <w:rPr>
          <w:sz w:val="18"/>
        </w:rPr>
        <w:t>——————————————————————————————————————————————————————————————————————</w:t>
      </w:r>
    </w:p>
    <w:p>
      <w:pPr>
        <w:spacing w:before="160" w:after="40" w:line="240" w:lineRule="auto"/>
      </w:pPr>
      <w:r>
        <w:rPr>
          <w:b/>
        </w:rPr>
        <w:t xml:space="preserve">[179] </w:t>
      </w:r>
      <w:hyperlink r:id="rId909">
        <w:r>
          <w:rPr>
            <w:color w:val="1155CC"/>
            <w:u w:val="single"/>
          </w:rPr>
          <w:t>巨噬细胞训练的免疫力需要线粒体谷氨酰胺限制检查点来提供小鼠抗肿瘤保护</w:t>
        </w:r>
      </w:hyperlink>
    </w:p>
    <w:p>
      <w:pPr>
        <w:spacing w:before="0" w:after="80"/>
      </w:pPr>
      <w:r>
        <w:rPr>
          <w:i/>
          <w:sz w:val="20"/>
        </w:rPr>
        <w:t>EN: Macrophage trained immunity requires a mitochondrial glutamine-restriction checkpoint for antitumor protection in mice</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经过训练的免疫力使先天免疫细胞能够获得类似记忆的反应，从而提供了增强抗肿瘤免疫力的策略。然而，这一过程背后的代谢表观遗传机制仍不清楚。在这里，我们证明脂多糖诱导的巨噬细胞训练是由线粒体代谢检查点编码的。综合转录组学、代谢组学和表观基因组分析表明，TLR4-NF-κB 信号传导抑制 SLC1A5_var（一种线粒体谷氨酰胺转运蛋白），限制谷氨酰胺分解并减少 α-酮戊二酸的可用性。这种代谢限制限制了 KDM5B 对组蛋白 H3 赖氨酸 4 三甲基化的激活组蛋白标记的去除，从而维持了炎症基因的可及性。从功能上讲，SLC1A5_var 的药理抑制或骨髓特异性敲除可增强巨噬细胞训练并改善小鼠癌症模型中的肿瘤控制，而强制 SLC1A5_var 表达或补充 α-酮戊二酸可消除这些作用。这些发现定义了 SLC1A5_var-α-酮戊二酸-KDM5B 代谢表观遗传轴，该轴可对巨噬细胞训练的免疫进行编程，并说明如何利用有针对性的代谢限制来增强针对癌症的先天免疫反应。</w:t>
      </w:r>
    </w:p>
    <w:p>
      <w:pPr>
        <w:spacing w:before="0" w:after="200" w:lineRule="auto" w:line="276"/>
      </w:pPr>
      <w:r>
        <w:rPr>
          <w:b/>
        </w:rPr>
        <w:t xml:space="preserve">Abstract (EN): </w:t>
      </w:r>
      <w:r>
        <w:t>Trained immunity enables innate immune cells to acquire memory-like responses, offering a strategy to enhance antitumor immunity. However, the metabolic‒epigenetic mechanisms underlying this process remain poorly defined. Here, we show that lipopolysaccharide-induced macrophage training is encoded by a mitochondrial metabolic checkpoint. Integrated transcriptomic, metabolomic, and epigenomic profiling reveals that TLR4-NF-κB signaling represses SLC1A5_var, a mitochondrial glutamine transporter, limiting glutaminolysis and reducing α-ketoglutarate availability. This metabolic restriction limits removal of the activating histone mark histone H3 lysine 4 trimethylation by KDM5B, thereby maintaining inflammatory gene accessibility. Functionally, pharmacological inhibition or myeloid-specific knockdown of SLC1A5_var potentiates macrophage training and improves tumor control in murine cancer models, whereas enforced SLC1A5_var expression or α-ketoglutarate supplementation abrogates these effects. These findings define an SLC1A5_var-α-ketoglutarate-KDM5B metabolic-epigenetic axis that programs macrophage trained immunity and illustrate how targeted metabolic restriction can be leveraged to enhance innate immune responses against cancer.</w:t>
      </w:r>
    </w:p>
    <w:p>
      <w:pPr>
        <w:spacing w:before="120" w:after="120"/>
      </w:pPr>
      <w:r>
        <w:rPr>
          <w:sz w:val="18"/>
        </w:rPr>
        <w:t>——————————————————————————————————————————————————————————————————————</w:t>
      </w:r>
    </w:p>
    <w:p>
      <w:pPr>
        <w:spacing w:before="160" w:after="40" w:line="240" w:lineRule="auto"/>
      </w:pPr>
      <w:r>
        <w:rPr>
          <w:b/>
        </w:rPr>
        <w:t xml:space="preserve">[180] </w:t>
      </w:r>
      <w:hyperlink r:id="rId910">
        <w:r>
          <w:rPr>
            <w:color w:val="1155CC"/>
            <w:u w:val="single"/>
          </w:rPr>
          <w:t>拟南芥中氧化还原调节的 RCC1 样蛋白控制过氧化氢酶活性</w:t>
        </w:r>
      </w:hyperlink>
    </w:p>
    <w:p>
      <w:pPr>
        <w:spacing w:before="0" w:after="80"/>
      </w:pPr>
      <w:r>
        <w:rPr>
          <w:i/>
          <w:sz w:val="20"/>
        </w:rPr>
        <w:t>EN: A redox-regulated RCC1-like protein controls catalase activity in Arabidopsis</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活性氧（ROS）调节植物生长和应激反应。过氧化氢酶在过氧化氢解毒中发挥着核心作用，主要在过氧化物酶体内，但过氧化氢酶调节的关键方面仍不完全清楚。利用 UV-B 光感受器 UVR8 的亲和纯化与质谱联用，我们鉴定了过氧化氢酶相互作用 RCC1-LIKE 1 (CAIR1)，它与所有三种拟南芥过氧化氢酶及其分子伴侣 NO CATALASE ACTIVITY 1 相互作用。CAIR1 的缺失会降低过氧化氢酶活性，并导致氧化应激敏感性、根系生长受损和碱性敏感性，类似于 cat2 和 nca1 突变体。 CAIR1 促进过氧化物酶体输入和 CAT2 的正确定位，防止 CAT2 聚集并维持其活性。 CAIR1 经历可逆的氧化还原依赖性寡聚化，增强过氧化氢酶结合，而 Cys-356 和 Cys-545 的突变会损害这种相互作用，并且无法挽救 cair1 突变体的氧化应激敏感性。 UV-B 削弱 CAIR1-过氧化氢酶相互作用并抑制过氧化氢酶活性，将光信号传导与氧化还原稳态联系起来。这些发现将 CAIR1 确定为过氧化氢酶定位和活性的氧化还原响应调节剂。</w:t>
      </w:r>
    </w:p>
    <w:p>
      <w:pPr>
        <w:spacing w:before="0" w:after="200" w:lineRule="auto" w:line="276"/>
      </w:pPr>
      <w:r>
        <w:rPr>
          <w:b/>
        </w:rPr>
        <w:t xml:space="preserve">Abstract (EN): </w:t>
      </w:r>
      <w:r>
        <w:t>Reactive oxygen species (ROS) regulate plant growth and stress responses. Catalases play a central role in detoxifying hydrogen peroxide, predominantly within peroxisomes, yet key aspects of catalase regulation remain incompletely understood. Using affinity purification of the UV-B photoreceptor UVR8 coupled with mass spectrometry, we identified CATALASE-INTERACTING RCC1-LIKE 1 (CAIR1), which interacts with all three Arabidopsis catalases and their chaperone NO CATALASE ACTIVITY 1. Loss of CAIR1 reduces catalase activity and causes oxidative stress sensitivity, impaired root growth, and alkaline sensitivity, resembling cat2 and nca1 mutants. CAIR1 promotes peroxisomal import and proper localization of CAT2, preventing CAT2 aggregation and maintaining its activity. CAIR1 undergoes reversible redox-dependent oligomerization that enhances catalase binding, whereas mutation of Cys-356 and Cys-545 compromises this interaction and fails to rescue the oxidative stress sensitivity of cair1 mutants. UV-B weakens CAIR1-catalase interactions and suppresses catalase activity, linking light signalling with redox homeostasis. These findings identify CAIR1 as a redox-responsive regulator of catalase localization and activity.</w:t>
      </w:r>
    </w:p>
    <w:p>
      <w:pPr>
        <w:spacing w:before="120" w:after="120"/>
      </w:pPr>
      <w:r>
        <w:rPr>
          <w:sz w:val="18"/>
        </w:rPr>
        <w:t>——————————————————————————————————————————————————————————————————————</w:t>
      </w:r>
    </w:p>
    <w:p>
      <w:pPr>
        <w:spacing w:before="160" w:after="40" w:line="240" w:lineRule="auto"/>
      </w:pPr>
      <w:r>
        <w:rPr>
          <w:b/>
        </w:rPr>
        <w:t xml:space="preserve">[181] </w:t>
      </w:r>
      <w:hyperlink r:id="rId911">
        <w:r>
          <w:rPr>
            <w:color w:val="1155CC"/>
            <w:u w:val="single"/>
          </w:rPr>
          <w:t>基于细胞的自动合成筛选具有新兴功能的设计蛋白质</w:t>
        </w:r>
      </w:hyperlink>
    </w:p>
    <w:p>
      <w:pPr>
        <w:spacing w:before="0" w:after="80"/>
      </w:pPr>
      <w:r>
        <w:rPr>
          <w:i/>
          <w:sz w:val="20"/>
        </w:rPr>
        <w:t>EN: Automated synthetic cell-based screening for designed proteins with emergent functions</w:t>
      </w:r>
    </w:p>
    <w:p>
      <w:pPr>
        <w:spacing w:before="0" w:after="120"/>
      </w:pPr>
      <w:r>
        <w:rPr>
          <w:b/>
        </w:rPr>
        <w:t xml:space="preserve">Source: </w:t>
      </w:r>
      <w:r>
        <w:t>Physical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设计具有时空自组织等新兴功能的最小生物系统是自下而上合成生物学的中心目标。虽然计算优化和设计有望通过设计-构建-测试-学习循环加速功能性蛋白质工程，但筛选复杂功能的库仍然是一项重大挑战。传统的屏幕通常缺乏自下而上的合成生物学所需的时空分辨率和细胞样限制。在这里，我们推出了 PUREdrop，这是一种自动化微流体平台，它在每个构建体的数千个皮升大小的合成细胞中封装和表达蛋白质库。 PUREdrop 将这些分布在 96 孔板的预定义孔中以进行延时成像，从而能够并行量化表达动力学和紧急功能。为了证明该平台的潜力，我们首先筛选经过计算重新设计的细菌细胞分裂蛋白 FtsZ 的变体，并识别具有改变的捆绑表型和不同动力学的变体。然后，我们将筛选程序扩展到 FtsZ 的一般蛋白质调节剂，并鉴定出一种将细丝锚定到界面的组合，产生环状表型。 PUREdrop 连接了计算蛋白质工程和合成细胞研究，将复杂生物功能的合理工程提升到了一个新的水平。</w:t>
      </w:r>
    </w:p>
    <w:p>
      <w:pPr>
        <w:spacing w:before="0" w:after="200" w:lineRule="auto" w:line="276"/>
      </w:pPr>
      <w:r>
        <w:rPr>
          <w:b/>
        </w:rPr>
        <w:t xml:space="preserve">Abstract (EN): </w:t>
      </w:r>
      <w:r>
        <w:t>Designing minimal biological systems with emergent functions such as spatiotemporal self-organization is a central goal of bottom-up synthetic biology. While computational optimization and design show promise in accelerating functional protein engineering through Design-Build-Test-Learn cycles, screening libraries for complex functions remains a major challenge. Conventional screens typically lack the spatiotemporal resolution and cell-like confinement required in bottom-up synthetic biology. Here, we present PUREdrop, an automated microfluidic platform that encapsulates and expresses protein libraries in thousands of picoliter-sized synthetic cells per construct. PUREdrop distributes these across predefined wells of a 96-well plate for time-lapse imaging, enabling parallel quantification of expression kinetics and emergent functions. To demonstrate the platform’s potential, we first screen computationally re-designed variants of the bacterial cell division protein FtsZ, and identify variants with altered bundling phenotypes and distinct kinetics. We then extend our screening procedure to general protein modulators of FtsZ and identify a combination that anchors filaments to the interface, producing a ring-like phenotype. PUREdrop bridges computational protein engineering and synthetic cell research, elevating the rational engineering of complex biological function to the next level.</w:t>
      </w:r>
    </w:p>
    <w:p>
      <w:pPr>
        <w:spacing w:before="120" w:after="120"/>
      </w:pPr>
      <w:r>
        <w:rPr>
          <w:sz w:val="18"/>
        </w:rPr>
        <w:t>——————————————————————————————————————————————————————————————————————</w:t>
      </w:r>
    </w:p>
    <w:p>
      <w:pPr>
        <w:spacing w:before="160" w:after="40" w:line="240" w:lineRule="auto"/>
      </w:pPr>
      <w:r>
        <w:rPr>
          <w:b/>
        </w:rPr>
        <w:t xml:space="preserve">[182] </w:t>
      </w:r>
      <w:hyperlink r:id="rId912">
        <w:r>
          <w:rPr>
            <w:color w:val="1155CC"/>
            <w:u w:val="single"/>
          </w:rPr>
          <w:t>不动杆菌中 LolDF 介导的脂蛋白转运的机制基础</w:t>
        </w:r>
      </w:hyperlink>
    </w:p>
    <w:p>
      <w:pPr>
        <w:spacing w:before="0" w:after="80"/>
      </w:pPr>
      <w:r>
        <w:rPr>
          <w:i/>
          <w:sz w:val="20"/>
        </w:rPr>
        <w:t>EN: Mechanistic basis of LolDF-mediated lipoprotein transport in Acinetobacter</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脂蛋白运输对于革兰氏阴性细菌维持外膜至关重要，外膜是生存和抗生素耐药性至关重要的渗透性屏障。虽然大多数细菌使用经典的 LolCDE 转运蛋白，但不动杆菌使用非经典的 LolDF 系统，其机制仍不清楚。在这里，我们确定了贝氏不动杆菌 LolDF 在底物结合、AMP-PNP 结合和 LolA 结合状态下的冷冻电镜结构。 LolDF 形成对称的同二聚体，其中央空腔可在膜水平容纳三个酰基链，表明直接从内膜横向提取脂蛋白。 AMP-PNP 驱动的构象变化会引起空腔的协调对称收缩，从而促进底物排出，这与 LolCDE 中观察到的不对称机制不同。功能研究进一步确定了运输所需的关键门杆残基，并揭示了 +3 位的带电残基充当内膜保留信号。总之，这些发现揭示了一种机制上不同的脂蛋白运输系统，并为针对多重耐药革兰氏阴性病原体提供了框架。</w:t>
      </w:r>
    </w:p>
    <w:p>
      <w:pPr>
        <w:spacing w:before="0" w:after="200" w:lineRule="auto" w:line="276"/>
      </w:pPr>
      <w:r>
        <w:rPr>
          <w:b/>
        </w:rPr>
        <w:t xml:space="preserve">Abstract (EN): </w:t>
      </w:r>
      <w:r>
        <w:t>Lipoprotein trafficking is essential for Gram-negative bacteria to maintain the outer membrane, a permeability barrier critical for survival and antibiotic resistance. While most bacteria employ the canonical LolCDE transporter, Acinetobacter utilizes a noncanonical LolDF system whose mechanism has remained unclear. Here we determine cryo-EM structures of Acinetobacter baylyi LolDF in substrate-bound, AMP-PNP-bound, and LolA-bound states. LolDF forms a symmetric homodimer with a central cavity that accommodates three acyl chains at the membrane level, suggesting lateral extraction of lipoproteins directly from the inner membrane. AMP-PNP-driven conformational changes induce a coordinated symmetric constriction of the cavity that promotes substrate expulsion, distinct from the asymmetric mechanism observed in LolCDE. Functional studies further identify key door-bar residues required for transport and reveal that charged residues at the +3 position function as an inner membrane retention signal. Together, these findings reveal a mechanistically distinct lipoprotein trafficking system and provide a framework for targeting multidrug-resistant Gram-negative pathogens.</w:t>
      </w:r>
    </w:p>
    <w:p>
      <w:pPr>
        <w:spacing w:before="120" w:after="120"/>
      </w:pPr>
      <w:r>
        <w:rPr>
          <w:sz w:val="18"/>
        </w:rPr>
        <w:t>——————————————————————————————————————————————————————————————————————</w:t>
      </w:r>
    </w:p>
    <w:p>
      <w:pPr>
        <w:spacing w:before="160" w:after="40" w:line="240" w:lineRule="auto"/>
      </w:pPr>
      <w:r>
        <w:rPr>
          <w:b/>
        </w:rPr>
        <w:t xml:space="preserve">[183] </w:t>
      </w:r>
      <w:hyperlink r:id="rId913">
        <w:r>
          <w:rPr>
            <w:color w:val="1155CC"/>
            <w:u w:val="single"/>
          </w:rPr>
          <w:t>孤独与身体多病之间的双向关联以及社交不活动的中介作用</w:t>
        </w:r>
      </w:hyperlink>
    </w:p>
    <w:p>
      <w:pPr>
        <w:spacing w:before="0" w:after="80"/>
      </w:pPr>
      <w:r>
        <w:rPr>
          <w:i/>
          <w:sz w:val="20"/>
        </w:rPr>
        <w:t>EN: Bidirectional associations between loneliness and physical multimorbidity and the mediating role of social inactivity</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身体多病和孤独越来越被认为是公共卫生问题，但它们潜在关系的性质仍不清楚。在这里，我们报告了中老年人身体多病与孤独感之间的双向关联以及社交不活动的中介作用。对来自 19 个国家 5 个前瞻性队列的 45 岁以上成年人的纵向数据进行了分析：美国健康与退休研究；英国老龄化纵向研究；欧洲健康、老龄化和退休调查；中国健康与养老追踪研究；和韩国老龄化纵向研究。 Cox回归模型表明身体多病和孤独感之间存在双向纵向关联（从身体多病到孤独：调整后的风险比（HR）= 1.25，95％置信区间（CI）= 1.20至1.30；从孤独到身体多病：调整后的HR = 1.10，95％CI = 1.05至1.17）。随机截取交叉滞后面板模型证实了 T1 身体多发病与 T3 孤独感之间存在显着关联，而 T2 社交不活动充当中介。这些发现表明，身体多病症和孤独感可能会造成恶性循环，其中每种情况都会加剧另一种情况，而社交不活动会调节身体多病症和孤独感的方向。</w:t>
      </w:r>
    </w:p>
    <w:p>
      <w:pPr>
        <w:spacing w:before="0" w:after="200" w:lineRule="auto" w:line="276"/>
      </w:pPr>
      <w:r>
        <w:rPr>
          <w:b/>
        </w:rPr>
        <w:t xml:space="preserve">Abstract (EN): </w:t>
      </w:r>
      <w:r>
        <w:t>Physical multimorbidity and loneliness are increasingly recognised as public health concerns, but the nature of their potential relationships remains unclear. Here we report bidirectional associations between physical multimorbidity and loneliness in middle-aged and older adults and the mediating role of social inactivity. Longitudinal data from adults aged ≥45 years are analysed across 19 countries from five prospective cohorts: US Health and Retirement Study; English Longitudinal Study on Ageing; Survey of Health, Ageing and Retirement in Europe; China Health and Retirement Longitudinal Study; and Korean Longitudinal Study of Aging. Cox regression models suggest longitudinal associations between physical multimorbidity and loneliness in both directions (from physical multimorbidity to loneliness: adjusted hazard ratio (HR) = 1.25, 95% confidence interval (CI) = 1.20 to 1.30; from loneliness to physical multimorbidity: adjusted HR = 1.10, 95% CI = 1.05 to 1.17). Random-intercept cross-lagged panel models confirm significant association between T1 physical multimorbidity and T3 loneliness, with T2 social inactivity serving as a mediator. These findings suggest that physical multimorbidity and loneliness may create a vicious cycle where each condition exacerbates the other, with social inactivity mediating the direction from physical multimorbidity and loneliness.</w:t>
      </w:r>
    </w:p>
    <w:p>
      <w:pPr>
        <w:spacing w:before="120" w:after="120"/>
      </w:pPr>
      <w:r>
        <w:rPr>
          <w:sz w:val="18"/>
        </w:rPr>
        <w:t>——————————————————————————————————————————————————————————————————————</w:t>
      </w:r>
    </w:p>
    <w:p>
      <w:pPr>
        <w:spacing w:before="160" w:after="40" w:line="240" w:lineRule="auto"/>
      </w:pPr>
      <w:r>
        <w:rPr>
          <w:b/>
        </w:rPr>
        <w:t xml:space="preserve">[184] </w:t>
      </w:r>
      <w:hyperlink r:id="rId914">
        <w:r>
          <w:rPr>
            <w:color w:val="1155CC"/>
            <w:u w:val="single"/>
          </w:rPr>
          <w:t>铽-兰莫杜林的圆偏振发光：解开初级配位球和发色团几何结构的影响</w:t>
        </w:r>
      </w:hyperlink>
    </w:p>
    <w:p>
      <w:pPr>
        <w:spacing w:before="0" w:after="80"/>
      </w:pPr>
      <w:r>
        <w:rPr>
          <w:i/>
          <w:sz w:val="20"/>
        </w:rPr>
        <w:t>EN: Circularly Polarized Luminescence in Terbium-Lanmodulin: Disentangling the Effects of Primary Coordination Sphere and Chromophore Geometry</w:t>
      </w:r>
    </w:p>
    <w:p>
      <w:pPr>
        <w:spacing w:before="0" w:after="120"/>
      </w:pPr>
      <w:r>
        <w:rPr>
          <w:b/>
        </w:rPr>
        <w:t xml:space="preserve">Source: </w:t>
      </w:r>
      <w:r>
        <w:t>Journal of the American Chemical Society: Latest Articles (ACS Publications)</w:t>
      </w:r>
      <w:r>
        <w:t xml:space="preserve">    </w:t>
      </w:r>
      <w:r>
        <w:rPr>
          <w:b/>
        </w:rPr>
        <w:t xml:space="preserve">Pub date: </w:t>
      </w:r>
      <w:r>
        <w:t>2026-08-15 00:00:00+00:00</w:t>
      </w:r>
      <w:r>
        <w:t xml:space="preserve">    </w:t>
      </w:r>
      <w:r>
        <w:rPr>
          <w:b/>
        </w:rPr>
        <w:t xml:space="preserve">DOI: </w:t>
      </w:r>
      <w:hyperlink r:id="rId915">
        <w:r>
          <w:rPr>
            <w:color w:val="1155CC"/>
            <w:u w:val="single"/>
          </w:rPr>
          <w:t>10.1021/jacs.6c03978</w:t>
        </w:r>
      </w:hyperlink>
    </w:p>
    <w:p>
      <w:pPr>
        <w:spacing w:before="0" w:after="120"/>
      </w:pPr>
      <w:r>
        <w:rPr>
          <w:b/>
        </w:rPr>
        <w:t xml:space="preserve">Notes: </w:t>
      </w:r>
      <w:r>
        <w:t>abstract_source=crossref</w:t>
      </w:r>
    </w:p>
    <w:p>
      <w:pPr>
        <w:spacing w:before="0" w:after="80" w:lineRule="auto" w:line="276"/>
      </w:pPr>
      <w:r>
        <w:rPr>
          <w:b/>
        </w:rPr>
        <w:t xml:space="preserve">摘要（ZH）: </w:t>
      </w:r>
      <w:r>
        <w:t>摘要 高效圆偏振发光（CPL）发射器的合理设计需要详细了解控制手性光学度量的机制。特别是，对静态和动态耦合的贡献进行解卷积的能力对于最成功的 CPL 发射体镧系离子的 CPL 至关重要。在这项工作中，我们利用镧系元素结合蛋白 lanmodulin (Al-LanM) 作为强大且可调节的支架来解开这些影响。我们生成了一系列铽 (III) 结合蛋白变体，具有单色氨酸 (W) 触角和双色氨酸 (W) 触角（W84、W100、W84/W100），以及一个 EF 手失活的变体 (W84-EF2inact)。这些突变使得能够精确地重新定向并评估发色团的敏化效果，而对金属中心的主要配位环境的干扰可以忽略不计。光谱测量显示了高分辨率的 CPL 信号，不对称因子 (glum) 高达 0.144，这是迄今为止报道的任何铽结合蛋白的最高值之​​一。我们的结果表明，铽(III)中耦合机制的主导地位是特定于跃迁的； 5D4 → 7F6 和 5D4 → 7F4 转换主要受动态耦合（天线的位置/方向）控制，而 5D4 → 7F5 和 5D4 → 7F3 转换主要受静态耦合（局部协调几何）控制。这些发现有助于建立对不同 CPL 生成机制的清晰理解，为 CPL 的工程设计提供战略框架。</w:t>
      </w:r>
    </w:p>
    <w:p>
      <w:pPr>
        <w:spacing w:before="0" w:after="200" w:lineRule="auto" w:line="276"/>
      </w:pPr>
      <w:r>
        <w:rPr>
          <w:b/>
        </w:rPr>
        <w:t xml:space="preserve">Abstract (EN): </w:t>
      </w:r>
      <w:r>
        <w:t>The rational design of highly efficient circularly polarized luminescence (CPL) emitters requires a detailed understanding of the mechanisms governing chiroptical metrics. In particular, the ability to deconvolute the contributions from static and dynamic coupling is critical in the CPL of lanthanide ions, the most successful CPL emitters. In this work, we utilized the lanthanide-binding protein, lanmodulin (Al-LanM), as a robust and tunable scaffold to disentangle these effects. We generated a series of terbium(III)-bound protein variants, featuring single and double tryptophan (W) antennae (W84, W100, W84/W100), along with a variant with one EF-hand inactivated (W84-EF2inact). These mutations enabled the precise reorientation and the evaluation of the sensitizing effect of the chromophore(s) with negligible disturbance to the primary coordination environment of the metal centers. Spectroscopic measurements revealed highly resolved CPL signals with dissymmetry factors (glum) reaching up to 0.144, which is among the highest values reported for any terbium-bound protein to date. Our results demonstrate that the dominance of coupling mechanisms in terbium(III) is transition-specific; whereas the 5D4 → 7F6 and 5D4 → 7F4 transitions are primarily governed by dynamic coupling (position/orientation of the antenna), the 5D4 → 7F5 and 5D4 → 7F3 transitions are primarily governed by static coupling (local coordination geometry). These findings help establish a clear understanding of different CPL generation mechanisms, providing a strategic framework for the engineering of advanced chiroptical materials.</w:t>
      </w:r>
    </w:p>
    <w:p>
      <w:pPr>
        <w:spacing w:before="120" w:after="120"/>
      </w:pPr>
      <w:r>
        <w:rPr>
          <w:sz w:val="18"/>
        </w:rPr>
        <w:t>——————————————————————————————————————————————————————————————————————</w:t>
      </w:r>
    </w:p>
    <w:p>
      <w:pPr>
        <w:spacing w:before="160" w:after="40" w:line="240" w:lineRule="auto"/>
      </w:pPr>
      <w:r>
        <w:rPr>
          <w:b/>
        </w:rPr>
        <w:t xml:space="preserve">[185] </w:t>
      </w:r>
      <w:hyperlink r:id="rId916">
        <w:r>
          <w:rPr>
            <w:color w:val="1155CC"/>
            <w:u w:val="single"/>
          </w:rPr>
          <w:t>高透明的多层纳米组装二氧化钛和石墨烯多组分薄膜可提高光催化性能</w:t>
        </w:r>
      </w:hyperlink>
    </w:p>
    <w:p>
      <w:pPr>
        <w:spacing w:before="0" w:after="80"/>
      </w:pPr>
      <w:r>
        <w:rPr>
          <w:i/>
          <w:sz w:val="20"/>
        </w:rPr>
        <w:t>EN: Highly Transparent Layer-by-Layer Nanoassembled Multicomponent Films of TiO2 and Graphene for Increased Photocatalytic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2026-08-15 00:00:00+00:00</w:t>
      </w:r>
      <w:r>
        <w:t xml:space="preserve">    </w:t>
      </w:r>
      <w:r>
        <w:rPr>
          <w:b/>
        </w:rPr>
        <w:t xml:space="preserve">DOI: </w:t>
      </w:r>
      <w:hyperlink r:id="rId917">
        <w:r>
          <w:rPr>
            <w:color w:val="1155CC"/>
            <w:u w:val="single"/>
          </w:rPr>
          <w:t>10.1021/jacs.6c10666</w:t>
        </w:r>
      </w:hyperlink>
    </w:p>
    <w:p>
      <w:pPr>
        <w:spacing w:before="0" w:after="120"/>
      </w:pPr>
      <w:r>
        <w:rPr>
          <w:b/>
        </w:rPr>
        <w:t xml:space="preserve">Notes: </w:t>
      </w:r>
      <w:r>
        <w:t>abstract_source=crossref</w:t>
      </w:r>
    </w:p>
    <w:p>
      <w:pPr>
        <w:spacing w:before="0" w:after="80" w:lineRule="auto" w:line="276"/>
      </w:pPr>
      <w:r>
        <w:rPr>
          <w:b/>
        </w:rPr>
        <w:t xml:space="preserve">摘要（ZH）: </w:t>
      </w:r>
      <w:r>
        <w:t>摘要 在这里，我们报道了用于增强光催化应用的新型高透明和光活性多组分薄膜。一些薄膜基于紧密界面的 TiO2 纳米颗粒和通过环保的水性逐层 (LbL) 工艺组装的少层石墨烯 (FLG)。与基于还原氧化石墨烯的系统相比，采用直接剥离的FLG是为了保持石墨烯的固有电子传导性并促进有效的界面电荷分离。高度透明的纳米多孔 LbL 结构可最大限度地减少光子散射，并能够精确控制薄膜厚度、TiO2 负载和光子吸收。 FLG 的加入极大地改善了电荷分离，限制了电荷重组，并通过增强含硫副产物的储存减少了催化剂失活。通过用作芥子气模型化合物的二乙硫醚（DES）的光氧化来评估光催化活性。在相当的 TiO2 负载量下，TiO2/FLG 多层膜的光催化活性比传统滴铸 TiO2 涂层高出 35 倍，比不含 FLG 的 LbL 薄膜高出 6 倍。除了材料成分本身之外，这些结果表明透明的纳米多孔 LbL 纳米结构为优化光催化涂层中的光子管理和界面电荷转移提供了强大的策略。</w:t>
      </w:r>
    </w:p>
    <w:p>
      <w:pPr>
        <w:spacing w:before="0" w:after="200" w:lineRule="auto" w:line="276"/>
      </w:pPr>
      <w:r>
        <w:rPr>
          <w:b/>
        </w:rPr>
        <w:t xml:space="preserve">Abstract (EN): </w:t>
      </w:r>
      <w:r>
        <w:t>Here, we report novel highly transparent and photoactive multicomponent films for enhanced photocatalytic applications. Some films are based on intimately interfaced TiO2 nanoparticles and few-layer graphene (FLG) assembled through an environmentally friendly aqueous layer-by-layer (LbL) process. In contrast to reduced graphene oxide-based systems, directly exfoliated FLG was employed in order to preserve the intrinsic electronic conductivity of graphene and promote an efficient interfacial charge separation. The highly transparent and nanoporous LbL architecture minimizes photon scattering and enables precise control of film thickness, TiO2 loading, and photon absorption. The incorporation of FLG strongly improves charge separation, limits charge recombination, and reduces catalyst deactivation through enhanced storage of sulfur-containing byproducts. The photocatalytic activity was evaluated through the photo-oxidation of diethyl sulfide (DES), used as a model compound for mustard gas. TiO2/FLG multilayers exhibit photocatalytic activities up to 35-fold higher than conventional drop-cast TiO2 coatings and up to 6-fold higher than LbL films without FLG at comparable TiO2 loadings. Beyond the material composition itself, these results demonstrate that transparent and nanoporous LbL nanoarchitectures provide a powerful strategy for optimizing photon management and interfacial charge transfer in photocatalytic coatings.</w:t>
      </w:r>
    </w:p>
    <w:p>
      <w:pPr>
        <w:spacing w:before="120" w:after="120"/>
      </w:pPr>
      <w:r>
        <w:rPr>
          <w:sz w:val="18"/>
        </w:rPr>
        <w:t>——————————————————————————————————————————————————————————————————————</w:t>
      </w:r>
    </w:p>
    <w:p>
      <w:pPr>
        <w:spacing w:before="160" w:after="40" w:line="240" w:lineRule="auto"/>
      </w:pPr>
      <w:r>
        <w:rPr>
          <w:b/>
        </w:rPr>
        <w:t xml:space="preserve">[186] </w:t>
      </w:r>
      <w:hyperlink r:id="rId918">
        <w:r>
          <w:rPr>
            <w:color w:val="1155CC"/>
            <w:u w:val="single"/>
          </w:rPr>
          <w:t>异质静止板片控制着地壳集中循环和火山聚集</w:t>
        </w:r>
      </w:hyperlink>
    </w:p>
    <w:p>
      <w:pPr>
        <w:spacing w:before="0" w:after="80"/>
      </w:pPr>
      <w:r>
        <w:rPr>
          <w:i/>
          <w:sz w:val="20"/>
        </w:rPr>
        <w:t>EN: Heterogeneous stagnant slab controls focused crustal recycling and volcanic clustering</w:t>
      </w:r>
    </w:p>
    <w:p>
      <w:pPr>
        <w:spacing w:before="0" w:after="120"/>
      </w:pPr>
      <w:r>
        <w:rPr>
          <w:b/>
        </w:rPr>
        <w:t xml:space="preserve">Source: </w:t>
      </w:r>
      <w:r>
        <w:t>Earth and environmental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静止的板块将寒冷、含水且成分不同的物质输送到地幔过渡区（MTZ）。这些板块上方的板内火山活动记录了回收的俯冲成分的地球化学印记。然而，回收机制仍然难以捉摸，主要是因为 MTZ 内的板坯几何形状和热化学状态难以约束。在这里，我们使用接收函数成像来解析中国东北地区 MTZ 内地震不连续性的形态和特性。结合矿物物理模型，我们开发了一种联合反演来量化温度、成分和含水量的空间变化，使我们能够跟踪停滞的太平洋板片和相关的热化学异常。我们确定了停滞板片的向西范围和内部异质性，识别出水滴状穿透段和透镜状弱化区，而没有贯穿撕裂。板片上方的上部 MTZ 显示接近环境温度、玄武岩富集 (~ 0.4) 和水富集 (~ 0.38 wt%)，反映了向上的板片通量。峰值通量集中在板状透镜体和板状边缘上方，在空间上与两个火山群重合。我们认为板片异质性引起的集中水驱动上升流是中国东北地区板内火山活动的原因，并且板片尺度异质性可能广泛存在于全球静止板片中，驱动了集中的地壳循环和板内火山聚集。</w:t>
      </w:r>
    </w:p>
    <w:p>
      <w:pPr>
        <w:spacing w:before="0" w:after="200" w:lineRule="auto" w:line="276"/>
      </w:pPr>
      <w:r>
        <w:rPr>
          <w:b/>
        </w:rPr>
        <w:t xml:space="preserve">Abstract (EN): </w:t>
      </w:r>
      <w:r>
        <w:t>Stagnant slabs transport cold, hydrous, and compositionally distinct materials into the mantle transition zone (MTZ). Intraplate volcanism above these slabs documents the geochemical imprints of recycled subducted components. Yet the recycled mechanism remains elusive, largely because slab geometry and thermochemical state within the MTZ are difficult to constrain. Here we use receiver-function imaging to resolve the morphology and properties of seismic discontinuities within the MTZ beneath Northeast China. Integrating mineral physics modeling, we develop a joint inversion to quantify spatial variations in temperature, composition, and water content, enabling us to track the stagnant Pacific slab and associated thermochemical anomalies. We determine the westward extent and internal heterogeneity of the stagnant slab, identifying a drop-shaped penetration segment and a lens-shaped weakened zone without through-going tearing. The upper MTZ above the slab shows near-ambient temperatures, basalt enrichment ( ~ 0.4), and water enrichment ( ~ 0.38 wt%), reflecting an upward slab flux. Peak fluxes are concentrated above the slab lens and slab edge, spatially coinciding with two volcanic clusters. We propose that focused, water-driven upwelling induced by slab heterogeneity was responsible for intraplate volcanism in Northeast China, and that slab-scale heterogeneity may be widespread in stagnant slabs globally, driving focused crustal recycling and intraplate volcanic clustering.</w:t>
      </w:r>
    </w:p>
    <w:p>
      <w:pPr>
        <w:spacing w:before="120" w:after="120"/>
      </w:pPr>
      <w:r>
        <w:rPr>
          <w:sz w:val="18"/>
        </w:rPr>
        <w:t>——————————————————————————————————————————————————————————————————————</w:t>
      </w:r>
    </w:p>
    <w:p>
      <w:pPr>
        <w:spacing w:before="160" w:after="40" w:line="240" w:lineRule="auto"/>
      </w:pPr>
      <w:r>
        <w:rPr>
          <w:b/>
        </w:rPr>
        <w:t xml:space="preserve">[187] </w:t>
      </w:r>
      <w:hyperlink r:id="rId919">
        <w:r>
          <w:rPr>
            <w:color w:val="1155CC"/>
            <w:u w:val="single"/>
          </w:rPr>
          <w:t>重新构想能源转型：通过社区参与和边缘化印度社区的认知文化来理解能源自主</w:t>
        </w:r>
      </w:hyperlink>
    </w:p>
    <w:p>
      <w:pPr>
        <w:spacing w:before="0" w:after="80"/>
      </w:pPr>
      <w:r>
        <w:rPr>
          <w:i/>
          <w:sz w:val="20"/>
        </w:rPr>
        <w:t>EN: Reimagining energy transitions: understanding energy autonomy through community participation and epistemic cultures in marginalised Indian communities</w:t>
      </w:r>
    </w:p>
    <w:p>
      <w:pPr>
        <w:spacing w:before="0" w:after="120"/>
      </w:pPr>
      <w:r>
        <w:rPr>
          <w:b/>
        </w:rPr>
        <w:t xml:space="preserve">Source: </w:t>
      </w:r>
      <w:r>
        <w:t>ScienceDirect Publication: Applied Energy</w:t>
      </w:r>
      <w:r>
        <w:t xml:space="preserve">    </w:t>
      </w:r>
      <w:r>
        <w:rPr>
          <w:b/>
        </w:rPr>
        <w:t xml:space="preserve">Pub date: </w:t>
      </w:r>
      <w:r>
        <w:t>2026-08-15 00:00:00+00:00</w:t>
      </w:r>
      <w:r>
        <w:t xml:space="preserve">    </w:t>
      </w:r>
      <w:r>
        <w:rPr>
          <w:b/>
        </w:rPr>
        <w:t xml:space="preserve">DOI: </w:t>
      </w:r>
      <w:hyperlink r:id="rId920">
        <w:r>
          <w:rPr>
            <w:color w:val="1155CC"/>
            <w:u w:val="single"/>
          </w:rPr>
          <w:t>10.1016/j.apenergy.2026.128660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921">
        <w:r>
          <w:rPr>
            <w:color w:val="1155CC"/>
            <w:u w:val="single"/>
          </w:rPr>
          <w:t>健康和营养回归到城乡之间清洁烹饪燃料的获取</w:t>
        </w:r>
      </w:hyperlink>
    </w:p>
    <w:p>
      <w:pPr>
        <w:spacing w:before="0" w:after="80"/>
      </w:pPr>
      <w:r>
        <w:rPr>
          <w:i/>
          <w:sz w:val="20"/>
        </w:rPr>
        <w:t>EN: Health and nutrition returns to clean cooking fuel access across the rural-urban divide</w:t>
      </w:r>
    </w:p>
    <w:p>
      <w:pPr>
        <w:spacing w:before="0" w:after="120"/>
      </w:pPr>
      <w:r>
        <w:rPr>
          <w:b/>
        </w:rPr>
        <w:t xml:space="preserve">Source: </w:t>
      </w:r>
      <w:r>
        <w:t>ScienceDirect Publication: Energy Policy</w:t>
      </w:r>
      <w:r>
        <w:t xml:space="preserve">    </w:t>
      </w:r>
      <w:r>
        <w:rPr>
          <w:b/>
        </w:rPr>
        <w:t xml:space="preserve">Pub date: </w:t>
      </w:r>
      <w:r>
        <w:t>2026-08-15 00:00:00+00:00</w:t>
      </w:r>
      <w:r>
        <w:t xml:space="preserve">    </w:t>
      </w:r>
      <w:r>
        <w:rPr>
          <w:b/>
        </w:rPr>
        <w:t xml:space="preserve">DOI: </w:t>
      </w:r>
      <w:hyperlink r:id="rId922">
        <w:r>
          <w:rPr>
            <w:color w:val="1155CC"/>
            <w:u w:val="single"/>
          </w:rPr>
          <w:t>10.1016/j.enpol.2026.115551</w:t>
        </w:r>
      </w:hyperlink>
    </w:p>
    <w:p>
      <w:pPr>
        <w:spacing w:before="0" w:after="120"/>
      </w:pPr>
      <w:r>
        <w:rPr>
          <w:b/>
        </w:rPr>
        <w:t xml:space="preserve">Notes: </w:t>
      </w:r>
      <w:r>
        <w:t>abstract_source=openalex</w:t>
      </w:r>
    </w:p>
    <w:p>
      <w:pPr>
        <w:spacing w:before="0" w:after="80" w:lineRule="auto" w:line="276"/>
      </w:pPr>
      <w:r>
        <w:rPr>
          <w:b/>
        </w:rPr>
        <w:t xml:space="preserve">摘要（ZH）: </w:t>
      </w:r>
      <w:r>
        <w:t>获得清洁烹饪燃料对于促进全球健康、公平和环境可持续性至关重要。然而，尽管采取了持续的政策努力，很大一部分家庭，特别是发展中国家的家庭，仍然依赖污染性燃料，对健康、环境质量和经济福祉产生不利影响。本文利用 2000 年至 2022 年 102 个发展中国家的面板数据集来评估获得清洁烹饪燃料与人类福祉之间的关系。使用固定效应和工具变量估计器，我们解决了潜在的内生性问题。我们进一步探讨了农村和城市环境的异质性，并表明，获取机会的改善与城市地区健康和营养成果的更大进步相关。我们以撒哈拉以南非洲地区为重点，进行基于场景的模拟，以量化扩大清洁烹饪燃料的使用范围的潜在好处。据估计，将农村普及率从 10% 提高到 25%，可防止约 84,000 例婴儿死亡，并减少约 168 万例儿童发育迟缓病例。在城市地区，以 35% 的覆盖率为基准实现全民普及可避免多达 377,000 名婴儿死亡，并节省超过 1100 万残疾调整生命年，反映出与家庭空气污染相关的疾病负担大幅减轻。这些结果表明，需要通过有针对性的、针对具体情况的政策，加快普及清洁烹饪燃料的进程。虽然农村人口仍然得不到充分服务并需要持续关注，但</w:t>
      </w:r>
    </w:p>
    <w:p>
      <w:pPr>
        <w:spacing w:before="0" w:after="200" w:lineRule="auto" w:line="276"/>
      </w:pPr>
      <w:r>
        <w:rPr>
          <w:b/>
        </w:rPr>
        <w:t xml:space="preserve">Abstract (EN): </w:t>
      </w:r>
      <w:r>
        <w:t>Access to clean cooking fuels is central to advancing health, equity, and environmental sustainability worldwide. However, despite sustained policy efforts, a substantial share of households, especially in developing countries, still rely on polluting fuels, with adverse effects on health, environmental quality, and economic well-being. This paper draws on a panel dataset of 102 developing countries spanning 2000–2022 to assess the relationship between access to clean cooking fuels and human well-being. Using fixed-effects and instrumental-variable estimators, we address potential endogeneity concerns. We further explore heterogeneity across rural and urban settings and show that improvements in access are associated with larger gains in health and nutrition outcomes in urban areas. Focusing on sub-Saharan Africa, we conduct scenario-based simulations to quantify the potential benefits of expanding access to clean cooking fuels. Increasing rural access from 10% to 25% is estimated to prevent around 84,000 infant deaths and reduce child stunting by approximately 1.68 million cases. In urban areas, achieving universal access from a baseline of 35% coverage could avert up to 377,000 infant deaths and generate more than 11 million disability-adjusted life years saved, reflecting a substantial reduction in disease burden linked to household air pollution. These results point to the need to accelerate progress toward universal access to clean cooking fuels through targeted, context-specific policies. While rural populations remain underserved and require continued attention, the magnitude of potential gains in urban areas underscores the case for a balanced strategy in clean energy policy design.</w:t>
      </w:r>
    </w:p>
    <w:p>
      <w:pPr>
        <w:spacing w:before="120" w:after="120"/>
      </w:pPr>
      <w:r>
        <w:rPr>
          <w:sz w:val="18"/>
        </w:rPr>
        <w:t>——————————————————————————————————————————————————————————————————————</w:t>
      </w:r>
    </w:p>
    <w:p>
      <w:pPr>
        <w:spacing w:before="160" w:after="40" w:line="240" w:lineRule="auto"/>
      </w:pPr>
      <w:r>
        <w:rPr>
          <w:b/>
        </w:rPr>
        <w:t xml:space="preserve">[189] </w:t>
      </w:r>
      <w:hyperlink r:id="rId923">
        <w:r>
          <w:rPr>
            <w:color w:val="1155CC"/>
            <w:u w:val="single"/>
          </w:rPr>
          <w:t>人类下丘脑刺鼠相关蛋白和阿黑皮素原神经元调节能量稳态的转录组分析</w:t>
        </w:r>
      </w:hyperlink>
    </w:p>
    <w:p>
      <w:pPr>
        <w:spacing w:before="0" w:after="80"/>
      </w:pPr>
      <w:r>
        <w:rPr>
          <w:i/>
          <w:sz w:val="20"/>
        </w:rPr>
        <w:t>EN: Transcriptome profiling of human hypothalamic agouti-related protein and proopiomelanocortin neurons regulating energy homeostasis</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我们提出并验证了一种开创性的“IHC/LCM-Seq”方法，用于对甲醛固定的人脑切片中通过免疫组织化学检测到的空间定义的神经元细胞类型进行转录组分析。将 IHC/LCM-Seq 应用到男性下丘脑，能够识别刺豚鼠相关蛋白 (AgRP) 神经元（驱动食欲和能量储存）和阿片黑皮素原 (POMC) 神经元（抑制摄食并促进能量消耗）中的 14,000-16,000 个转录本。这些细胞类型彼此不同，也与生育调节 Kisspeptin 神经元不同，其共同递质、转录因子、调节 (lnc) RNA 和受体的富集程度不同。 AgRP 神经元转录组富含促炎细胞因子、代谢激素和生长激素的受体，而 POMC 神经元表达生殖激素、胰高血糖素样肽、降钙素和内源性大麻素受体。 IHC/LCM-Seq 是一种用于表征死后人类脑组织细胞类型的多功能空间转录组学方法，为了解调节能量稳态的分子机制打开了新的窗口，并强调了体重管理策略的潜在药理学目标。</w:t>
      </w:r>
    </w:p>
    <w:p>
      <w:pPr>
        <w:spacing w:before="0" w:after="200" w:lineRule="auto" w:line="276"/>
      </w:pPr>
      <w:r>
        <w:rPr>
          <w:b/>
        </w:rPr>
        <w:t xml:space="preserve">Abstract (EN): </w:t>
      </w:r>
      <w:r>
        <w:t>We present and validate a pioneering ‘IHC/LCM-Seq’ method for transcriptome profiling of spatially defined neuronal cell types detected with immunohistochemistry in sections of formaldehyde-fixed human brains. Application of IHC/LCM-Seq to male human hypothalami enables the identification of 14,000–16,000 transcripts in agouti-related protein (AgRP) neurons, which drive appetite and energy storage, and proopiomelanocortin (POMC) neurons, which suppress feeding and promote energy expenditure. These cell types differ from each other, and from fertility-regulating kisspeptin neurons, in their distinct enrichments of co-transmitters, transcription factors, regulatory (lnc) RNAs and receptors. The AgRP neuron transcriptome is rich in receptors for proinflammatory cytokines, metabolic hormones and growth hormone, whereas POMC neurons express reproductive hormone-, glucagon-like peptide-, calcitonin-, and endocannabinoid receptors. IHC/LCM-Seq, a versatile spatial transcriptomic approach for characterizing cell types in postmortem human brain tissue, opens a new window onto the molecular mechanisms that regulate energy homeostasis and highlights potential pharmacological targets for weight-management strategies.</w:t>
      </w:r>
    </w:p>
    <w:p>
      <w:pPr>
        <w:spacing w:before="120" w:after="120"/>
      </w:pPr>
      <w:r>
        <w:rPr>
          <w:sz w:val="18"/>
        </w:rPr>
        <w:t>——————————————————————————————————————————————————————————————————————</w:t>
      </w:r>
    </w:p>
    <w:p>
      <w:pPr>
        <w:spacing w:before="160" w:after="40" w:line="240" w:lineRule="auto"/>
      </w:pPr>
      <w:r>
        <w:rPr>
          <w:b/>
        </w:rPr>
        <w:t xml:space="preserve">[190] </w:t>
      </w:r>
      <w:hyperlink r:id="rId924">
        <w:r>
          <w:rPr>
            <w:color w:val="1155CC"/>
            <w:u w:val="single"/>
          </w:rPr>
          <w:t>亚毫伏电压成像揭示间隙连接介导的生物电接触抑制</w:t>
        </w:r>
      </w:hyperlink>
    </w:p>
    <w:p>
      <w:pPr>
        <w:spacing w:before="0" w:after="80"/>
      </w:pPr>
      <w:r>
        <w:rPr>
          <w:i/>
          <w:sz w:val="20"/>
        </w:rPr>
        <w:t>EN: Sub-millivolt voltage imaging reveals gap junction-mediated bioelectric contact inhibition</w:t>
      </w:r>
    </w:p>
    <w:p>
      <w:pPr>
        <w:spacing w:before="0" w:after="120"/>
      </w:pPr>
      <w:r>
        <w:rPr>
          <w:b/>
        </w:rPr>
        <w:t xml:space="preserve">Source: </w:t>
      </w:r>
      <w:r>
        <w:t>Biological sciences : Nature Communications subject feeds</w:t>
      </w:r>
      <w:r>
        <w:t xml:space="preserve">    </w:t>
      </w:r>
      <w:r>
        <w:rPr>
          <w:b/>
        </w:rPr>
        <w:t xml:space="preserve">Pub date: </w:t>
      </w:r>
      <w:r>
        <w:t>2026-08-15 00:00:00+00:00</w:t>
      </w:r>
    </w:p>
    <w:p>
      <w:pPr>
        <w:spacing w:before="0" w:after="120"/>
      </w:pPr>
      <w:r>
        <w:rPr>
          <w:b/>
        </w:rPr>
        <w:t xml:space="preserve">Notes: </w:t>
      </w:r>
      <w:r>
        <w:t>abstract_source=nature_html</w:t>
      </w:r>
    </w:p>
    <w:p>
      <w:pPr>
        <w:spacing w:before="0" w:after="80" w:lineRule="auto" w:line="276"/>
      </w:pPr>
      <w:r>
        <w:rPr>
          <w:b/>
        </w:rPr>
        <w:t xml:space="preserve">摘要（ZH）: </w:t>
      </w:r>
      <w:r>
        <w:t>由于成像工具不够灵敏，多细胞非兴奋网络中的亚毫伏膜电位 (Vm) 动力学在很大程度上仍然难以实现。在这里，我们介绍了 rEstus2s，这是一种下一代基因编码电压指示器，它通过实现高分辨率 Vm 成像来克服这一障碍。使用 rEstus2s，我们发现了生物电接触抑制 (BCI)，这是一种生物物理原理，其中间隙连接耦合通过抑制电波动来被动稳定 Vm。我们表明，Vm 方差与网络大小 (1/n) 成反比，反映了从随机单细胞行为到集体电稳定性的转变。 Ca²⁺ 激活的致癌离子通道（包括 ANO1 和 KCa3.1）会在孤立细胞中产生明显的电波动，但 BCI 可以有效减弱电耦合网络中的这种波动。间隙连接耦合的破坏会消除 BCI 并恢复高电波动性。这些发现为多细胞系统如何维持电稳态建立了统一框架，并揭示间隙连接耦合是健康和疾病中生物电稳定性的关键决定因素。</w:t>
      </w:r>
    </w:p>
    <w:p>
      <w:pPr>
        <w:spacing w:before="0" w:after="200" w:lineRule="auto" w:line="276"/>
      </w:pPr>
      <w:r>
        <w:rPr>
          <w:b/>
        </w:rPr>
        <w:t xml:space="preserve">Abstract (EN): </w:t>
      </w:r>
      <w:r>
        <w:t>Sub-millivolt membrane potential (Vm) dynamics in multicellular non-excitable networks have remained largely inaccessible due to insufficiently sensitive imaging tools. Here, we introduce rEstus2s, a next-generation genetically encoded voltage indicator that overcomes this barrier by enabling high-resolution Vm imaging. Using rEstus2s, we uncover bioelectric contact inhibition (BCI), a biophysical principle in which gap junction coupling passively stabilizes Vm by suppressing electrical volatility. We show that Vm variance scales inversely with network size (1/n), reflecting a transition from stochastic single-cell behavior to collective electrical stability. Ca²⁺-activated oncogenic ion channels, including ANO1 and KCa3.1, drive pronounced electrical volatility in isolated cells, but BCI effectively attenuates this volatility in electrically coupled networks. Disruption of gap junction coupling abolishes BCI and restores high electrical volatility. These findings establish a unifying framework for how multicellular systems maintain electrical homeostasis and reveal gap junction coupling as a key determinant of bioelectric stability in health and disease.</w:t>
      </w:r>
    </w:p>
    <w:p>
      <w:pPr>
        <w:spacing w:before="120" w:after="120"/>
      </w:pPr>
      <w:r>
        <w:rPr>
          <w:sz w:val="18"/>
        </w:rPr>
        <w:t>——————————————————————————————————————————————————————————————————————</w:t>
      </w:r>
    </w:p>
    <w:p>
      <w:pPr>
        <w:spacing w:before="160" w:after="40" w:line="240" w:lineRule="auto"/>
      </w:pPr>
      <w:r>
        <w:rPr>
          <w:b/>
        </w:rPr>
        <w:t xml:space="preserve">[191] </w:t>
      </w:r>
      <w:hyperlink r:id="rId925">
        <w:r>
          <w:rPr>
            <w:color w:val="1155CC"/>
            <w:u w:val="single"/>
          </w:rPr>
          <w:t>通过表面掺杂工程调节硫化镉的光催化氧还原途径，用于原位合成过氧化氢并与有机增值相结合</w:t>
        </w:r>
      </w:hyperlink>
    </w:p>
    <w:p>
      <w:pPr>
        <w:spacing w:before="0" w:after="80"/>
      </w:pPr>
      <w:r>
        <w:rPr>
          <w:i/>
          <w:sz w:val="20"/>
        </w:rPr>
        <w:t>EN: Photocatalytic Oxygen Reduction Pathway Modulating on Cadmium Sulfide via Surface Doping Engineering for In‐Situ Synthesis of Hydrogen Peroxide Coupled With Organic Valorization</w:t>
      </w:r>
    </w:p>
    <w:p>
      <w:pPr>
        <w:spacing w:before="0" w:after="120"/>
      </w:pPr>
      <w:r>
        <w:rPr>
          <w:b/>
        </w:rPr>
        <w:t xml:space="preserve">Source: </w:t>
      </w:r>
      <w:r>
        <w:t>Wiley: Advanced Energy Materials: Table of Contents</w:t>
      </w:r>
      <w:r>
        <w:t xml:space="preserve">    </w:t>
      </w:r>
      <w:r>
        <w:rPr>
          <w:b/>
        </w:rPr>
        <w:t xml:space="preserve">Pub date: </w:t>
      </w:r>
      <w:r>
        <w:t>2026-08-15 14:43:05+00:00</w:t>
      </w:r>
      <w:r>
        <w:t xml:space="preserve">    </w:t>
      </w:r>
      <w:r>
        <w:rPr>
          <w:b/>
        </w:rPr>
        <w:t xml:space="preserve">DOI: </w:t>
      </w:r>
      <w:hyperlink r:id="rId926">
        <w:r>
          <w:rPr>
            <w:color w:val="1155CC"/>
            <w:u w:val="single"/>
          </w:rPr>
          <w:t>10.1002/aenm.71443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调整氧还原反应 (ORR) 途径对于在目标应用中控制活性氧 (ROS) 的选择性生成至关重要。在这里，Fe掺杂硫化镉（Fe-CdS）纳米棒经过合理设计来调节表面ORR路径，从而实现高效的过氧化氢（H</w:t>
      </w:r>
      <w:r>
        <w:rPr>
          <w:vertAlign w:val="subscript"/>
        </w:rPr>
        <w:t>2</w:t>
      </w:r>
      <w:r>
        <w:t>氧</w:t>
      </w:r>
      <w:r>
        <w:rPr>
          <w:vertAlign w:val="subscript"/>
        </w:rPr>
        <w:t>2</w:t>
      </w:r>
      <w:r>
        <w:t>）通过优化的电子转移动力学进行生产。通过精确控制Fe掺杂的含量，我们实现了光催化活性氧的定制生成。在辐照下，低 Fe 掺杂 (1%) 有利于 2 电子 ORR 途径，产生 H</w:t>
      </w:r>
      <w:r>
        <w:rPr>
          <w:vertAlign w:val="subscript"/>
        </w:rPr>
        <w:t>2</w:t>
      </w:r>
      <w:r>
        <w:t>氧</w:t>
      </w:r>
      <w:r>
        <w:rPr>
          <w:vertAlign w:val="subscript"/>
        </w:rPr>
        <w:t>2</w:t>
      </w:r>
      <w:r>
        <w:t>速率为 483.5 µM h</w:t>
      </w:r>
      <w:r>
        <w:t xml:space="preserve"> </w:t>
      </w:r>
      <w:r>
        <w:t>−1</w:t>
      </w:r>
      <w:r>
        <w:t xml:space="preserve"> </w:t>
      </w:r>
      <w:r>
        <w:t>，超过了 CdS 和 2%–5% Fe-CdS。相比之下，5% Fe 掺杂引起向 H 的转变</w:t>
      </w:r>
      <w:r>
        <w:rPr>
          <w:vertAlign w:val="subscript"/>
        </w:rPr>
        <w:t>2</w:t>
      </w:r>
      <w:r>
        <w:t>氧</w:t>
      </w:r>
      <w:r>
        <w:rPr>
          <w:vertAlign w:val="subscript"/>
        </w:rPr>
        <w:t>2</w:t>
      </w:r>
      <w:r>
        <w:t>110.2 µM h 时的生产和分解介导羟基的生成</w:t>
      </w:r>
      <w:r>
        <w:t xml:space="preserve"> </w:t>
      </w:r>
      <w:r>
        <w:t>−1</w:t>
      </w:r>
      <w:r>
        <w:t xml:space="preserve"> </w:t>
      </w:r>
      <w:r>
        <w:t>。强金属-载体相互作用促进有效的电荷分离，而过量的 Fe 位点催化 H</w:t>
      </w:r>
      <w:r>
        <w:rPr>
          <w:vertAlign w:val="subscript"/>
        </w:rPr>
        <w:t>2</w:t>
      </w:r>
      <w:r>
        <w:t>氧</w:t>
      </w:r>
      <w:r>
        <w:rPr>
          <w:vertAlign w:val="subscript"/>
        </w:rPr>
        <w:t>2</w:t>
      </w:r>
      <w:r>
        <w:t>分解。光催化H</w:t>
      </w:r>
      <w:r>
        <w:rPr>
          <w:vertAlign w:val="subscript"/>
        </w:rPr>
        <w:t>2</w:t>
      </w:r>
      <w:r>
        <w:t>氧</w:t>
      </w:r>
      <w:r>
        <w:rPr>
          <w:vertAlign w:val="subscript"/>
        </w:rPr>
        <w:t>2</w:t>
      </w:r>
      <w:r>
        <w:t>生产平台进一步与原位有机合成结合，展示双功能光催化</w:t>
      </w:r>
    </w:p>
    <w:p>
      <w:pPr>
        <w:spacing w:before="0" w:after="200" w:lineRule="auto" w:line="276"/>
      </w:pPr>
      <w:r>
        <w:rPr>
          <w:b/>
        </w:rPr>
        <w:t xml:space="preserve">Abstract (EN): </w:t>
      </w:r>
      <w:r>
        <w:t>Tuning the oxygen reduction reaction (ORR) pathway is essential for steering the selective generation of reactive oxygen species (ROS) in targeted applications. Here, Fe‐doped cadmium sulfide (Fe‐CdS) nanorods were rationally designed to modulate surface ORR pathways, enabling efficient hydrogen peroxide (H</w:t>
      </w:r>
      <w:r>
        <w:rPr>
          <w:vertAlign w:val="subscript"/>
        </w:rPr>
        <w:t>2</w:t>
      </w:r>
      <w:r>
        <w:t>O</w:t>
      </w:r>
      <w:r>
        <w:rPr>
          <w:vertAlign w:val="subscript"/>
        </w:rPr>
        <w:t>2</w:t>
      </w:r>
      <w:r>
        <w:t>) production via optimized electron transfer dynamics. By precisely controlling the content of Fe doping, we have achieved customized generation of photocatalytic reactive oxygen species. Under irradiation, low Fe doping (1%) favored a 2‐electron ORR pathway, yielding H</w:t>
      </w:r>
      <w:r>
        <w:rPr>
          <w:vertAlign w:val="subscript"/>
        </w:rPr>
        <w:t>2</w:t>
      </w:r>
      <w:r>
        <w:t>O</w:t>
      </w:r>
      <w:r>
        <w:rPr>
          <w:vertAlign w:val="subscript"/>
        </w:rPr>
        <w:t>2</w:t>
      </w:r>
      <w:r>
        <w:t>at a rate of 483.5 µM h</w:t>
      </w:r>
      <w:r>
        <w:t xml:space="preserve"> </w:t>
      </w:r>
      <w:r>
        <w:t>−1</w:t>
      </w:r>
      <w:r>
        <w:t xml:space="preserve"> </w:t>
      </w:r>
      <w:r>
        <w:t>, surpassing that of CdS and 2%–5% Fe‐CdS. In contrast, 5% Fe doping induced a shift toward H</w:t>
      </w:r>
      <w:r>
        <w:rPr>
          <w:vertAlign w:val="subscript"/>
        </w:rPr>
        <w:t>2</w:t>
      </w:r>
      <w:r>
        <w:t>O</w:t>
      </w:r>
      <w:r>
        <w:rPr>
          <w:vertAlign w:val="subscript"/>
        </w:rPr>
        <w:t>2</w:t>
      </w:r>
      <w:r>
        <w:t>production and decomposition‐mediated the generation of hydroxyl at 110.2 µM h</w:t>
      </w:r>
      <w:r>
        <w:t xml:space="preserve"> </w:t>
      </w:r>
      <w:r>
        <w:t>−1</w:t>
      </w:r>
      <w:r>
        <w:t xml:space="preserve"> </w:t>
      </w:r>
      <w:r>
        <w:t>. Strong metal–support interactions facilitated efficient charge separation, while excess Fe sites catalyzed H</w:t>
      </w:r>
      <w:r>
        <w:rPr>
          <w:vertAlign w:val="subscript"/>
        </w:rPr>
        <w:t>2</w:t>
      </w:r>
      <w:r>
        <w:t>O</w:t>
      </w:r>
      <w:r>
        <w:rPr>
          <w:vertAlign w:val="subscript"/>
        </w:rPr>
        <w:t>2</w:t>
      </w:r>
      <w:r>
        <w:t>decomposition. The photocatalytic H</w:t>
      </w:r>
      <w:r>
        <w:rPr>
          <w:vertAlign w:val="subscript"/>
        </w:rPr>
        <w:t>2</w:t>
      </w:r>
      <w:r>
        <w:t>O</w:t>
      </w:r>
      <w:r>
        <w:rPr>
          <w:vertAlign w:val="subscript"/>
        </w:rPr>
        <w:t>2</w:t>
      </w:r>
      <w:r>
        <w:t>production platform was further integrated with in situ organic synthesis, demonstrating dual‐functional photoredox transformations, including arylboronic acid oxidation and amide coupling. This work establishes structure‐activity relationships governing ROS‐selectivity in doped photocatalysts, while pioneering a light‐driven synthetic paradigm that concurrently addresses green oxidant production and selective organic synthesis.</w:t>
      </w:r>
    </w:p>
    <w:p>
      <w:pPr>
        <w:spacing w:before="120" w:after="120"/>
      </w:pPr>
      <w:r>
        <w:rPr>
          <w:sz w:val="18"/>
        </w:rPr>
        <w:t>——————————————————————————————————————————————————————————————————————</w:t>
      </w:r>
    </w:p>
    <w:p>
      <w:pPr>
        <w:spacing w:before="160" w:after="40" w:line="240" w:lineRule="auto"/>
      </w:pPr>
      <w:r>
        <w:rPr>
          <w:b/>
        </w:rPr>
        <w:t xml:space="preserve">[192] </w:t>
      </w:r>
      <w:hyperlink r:id="rId927">
        <w:r>
          <w:rPr>
            <w:color w:val="1155CC"/>
            <w:u w:val="single"/>
          </w:rPr>
          <w:t>Ms-MOARO：一种新型多策略优化器，用于风能-太阳能-潮汐能集成的多目标最优潮流</w:t>
        </w:r>
      </w:hyperlink>
    </w:p>
    <w:p>
      <w:pPr>
        <w:spacing w:before="0" w:after="80"/>
      </w:pPr>
      <w:r>
        <w:rPr>
          <w:i/>
          <w:sz w:val="20"/>
        </w:rPr>
        <w:t>EN: Ms-MOARO: a novel multi-strategy optimizer for multi-objective optimal power flow with wind-solar-tidal energy integration</w:t>
      </w:r>
    </w:p>
    <w:p>
      <w:pPr>
        <w:spacing w:before="0" w:after="120"/>
      </w:pPr>
      <w:r>
        <w:rPr>
          <w:b/>
        </w:rPr>
        <w:t xml:space="preserve">Source: </w:t>
      </w:r>
      <w:r>
        <w:t>ScienceDirect Publication: Applied Energy</w:t>
      </w:r>
      <w:r>
        <w:t xml:space="preserve">    </w:t>
      </w:r>
      <w:r>
        <w:rPr>
          <w:b/>
        </w:rPr>
        <w:t xml:space="preserve">Pub date: </w:t>
      </w:r>
      <w:r>
        <w:t>2026-08-16 00:00:00+00:00</w:t>
      </w:r>
      <w:r>
        <w:t xml:space="preserve">    </w:t>
      </w:r>
      <w:r>
        <w:rPr>
          <w:b/>
        </w:rPr>
        <w:t xml:space="preserve">DOI: </w:t>
      </w:r>
      <w:hyperlink r:id="rId928">
        <w:r>
          <w:rPr>
            <w:color w:val="1155CC"/>
            <w:u w:val="single"/>
          </w:rPr>
          <w:t>10.1016/j.apenergy.2026.128674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[193] </w:t>
      </w:r>
      <w:hyperlink r:id="rId929">
        <w:r>
          <w:rPr>
            <w:color w:val="1155CC"/>
            <w:u w:val="single"/>
          </w:rPr>
          <w:t>光催化乙炔半加氢</w:t>
        </w:r>
      </w:hyperlink>
    </w:p>
    <w:p>
      <w:pPr>
        <w:spacing w:before="0" w:after="80"/>
      </w:pPr>
      <w:r>
        <w:rPr>
          <w:i/>
          <w:sz w:val="20"/>
        </w:rPr>
        <w:t>EN: Acetylene Semi‐Hydrogenation by Photocatalysis</w:t>
      </w:r>
    </w:p>
    <w:p>
      <w:pPr>
        <w:spacing w:before="0" w:after="120"/>
      </w:pPr>
      <w:r>
        <w:rPr>
          <w:b/>
        </w:rPr>
        <w:t xml:space="preserve">Source: </w:t>
      </w:r>
      <w:r>
        <w:t>Wiley: Angewandte Chemie International Edition: Table of Contents</w:t>
      </w:r>
      <w:r>
        <w:t xml:space="preserve">    </w:t>
      </w:r>
      <w:r>
        <w:rPr>
          <w:b/>
        </w:rPr>
        <w:t xml:space="preserve">Pub date: </w:t>
      </w:r>
      <w:r>
        <w:t>2026-08-16 16:25:57+00:00</w:t>
      </w:r>
      <w:r>
        <w:t xml:space="preserve">    </w:t>
      </w:r>
      <w:r>
        <w:rPr>
          <w:b/>
        </w:rPr>
        <w:t xml:space="preserve">DOI: </w:t>
      </w:r>
      <w:hyperlink r:id="rId930">
        <w:r>
          <w:rPr>
            <w:color w:val="1155CC"/>
            <w:u w:val="single"/>
          </w:rPr>
          <w:t>10.1002/anie.5613575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乙炔至乙烯半加氢是聚合物级原料生产的基石工艺，但它仍然以能源密集型贵金属热催化为主。光催化现在正在成为一种引人注目的替代方案，利用光在温和条件下产生反应中间体，并用更安全的质子源（例如水或醇）代替氢气。尽管仍处于起步阶段，但该领域正在迅速发展，越来越多的研究已经在选择性和效率方面取得了显着的成绩。这篇小综述概述了光催化乙炔半加氢，在更广泛的工业背景下框架了最新进展。重点放在机理理解上，比较 ​​π 络合物、氢原子转移 (HAT) 和协同质子耦合电子转移 (CPET) 途径以及用于区分它们的实验工具。讨论了均相和多相催化系统的最新发展，并提出了与效率、可扩展性和技术经济可行性相关的关键挑战，概述了下一代地球丰富的光催化剂的设计原则，并确定了从杂质去除到直接乙炔增值的转变的机会。</w:t>
      </w:r>
    </w:p>
    <w:p>
      <w:pPr>
        <w:spacing w:before="0" w:after="200" w:lineRule="auto" w:line="276"/>
      </w:pPr>
      <w:r>
        <w:rPr>
          <w:b/>
        </w:rPr>
        <w:t xml:space="preserve">Abstract (EN): </w:t>
      </w:r>
      <w:r>
        <w:t>Acetylene to ethylene semi‐hydrogenation is a cornerstone process in the production of polymer‐grade feedstocks, yet it remains dominated by energy‐intensive noble metal‐based thermocatalysis. Photocatalysis is now emerging as a compelling alternative, using light to generate reactive intermediates under mild conditions and replacing hydrogen gas with safer proton sources such as water or alcohols. Although still in its infancy, this field is rapidly evolving, with a growing number of studies already achieving remarkable performances in both selectivity and efficiency. This Minireview provides an overview of photocatalytic acetylene semi‐hydrogenation, framing recent advances within a broader industrial context. Emphasis is placed on mechanistic understanding, comparing π‐complex, hydrogen atom transfer (HAT), and concerted proton‐coupled electron transfer (CPET) pathways alongside the experimental tools used to distinguish them. Recent developments in both homogeneous and heterogeneous catalytic systems are discussed and key challenges related to efficiency, scalability, and techno‐economic viability are presented, outlining design principles for next‐generation, earth‐abundant photocatalysts, and identifying opportunities for the transition from impurity removal to direct acetylene valorization.</w:t>
      </w:r>
    </w:p>
    <w:p>
      <w:pPr>
        <w:spacing w:before="120" w:after="120"/>
      </w:pPr>
      <w:r>
        <w:rPr>
          <w:sz w:val="18"/>
        </w:rPr>
        <w:t>——————————————————————————————————————————————————————————————————————</w:t>
      </w:r>
    </w:p>
    <w:p>
      <w:pPr>
        <w:spacing w:before="160" w:after="40" w:line="240" w:lineRule="auto"/>
      </w:pPr>
      <w:r>
        <w:rPr>
          <w:b/>
        </w:rPr>
        <w:t xml:space="preserve">[194] </w:t>
      </w:r>
      <w:hyperlink r:id="rId931">
        <w:r>
          <w:rPr>
            <w:color w:val="1155CC"/>
            <w:u w:val="single"/>
          </w:rPr>
          <w:t>通过分子间 Pummerer 重排模块化合成 C5-磺基噻唑：一个尚未开发的药物化学支架</w:t>
        </w:r>
      </w:hyperlink>
    </w:p>
    <w:p>
      <w:pPr>
        <w:spacing w:before="0" w:after="80"/>
      </w:pPr>
      <w:r>
        <w:rPr>
          <w:i/>
          <w:sz w:val="20"/>
        </w:rPr>
        <w:t>EN: A Modular Synthesis of C5‐Sulfenyl Thiazoles via an Intermolecular Pummerer Rearrangement: An Underexplored Scaffold for Medicinal Chemistry</w:t>
      </w:r>
    </w:p>
    <w:p>
      <w:pPr>
        <w:spacing w:before="0" w:after="120"/>
      </w:pPr>
      <w:r>
        <w:rPr>
          <w:b/>
        </w:rPr>
        <w:t xml:space="preserve">Source: </w:t>
      </w:r>
      <w:r>
        <w:t>Wiley: Angewandte Chemie International Edition: Table of Contents</w:t>
      </w:r>
      <w:r>
        <w:t xml:space="preserve">    </w:t>
      </w:r>
      <w:r>
        <w:rPr>
          <w:b/>
        </w:rPr>
        <w:t xml:space="preserve">Pub date: </w:t>
      </w:r>
      <w:r>
        <w:t>2026-08-16 16:30:41+00:00</w:t>
      </w:r>
      <w:r>
        <w:t xml:space="preserve">    </w:t>
      </w:r>
      <w:r>
        <w:rPr>
          <w:b/>
        </w:rPr>
        <w:t xml:space="preserve">DOI: </w:t>
      </w:r>
      <w:hyperlink r:id="rId932">
        <w:r>
          <w:rPr>
            <w:color w:val="1155CC"/>
            <w:u w:val="single"/>
          </w:rPr>
          <w:t>10.1002/anie.8444671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硫取代基引入片段和药物中的杂环核心具有巨大的优势，可以改善关键的药代动力学特性，为合成加工提供额外的载体，并可能增强结合亲和力。尽管具有这种潜力并且在药物发现中很普遍，但由于制备过程中的合成挑战，硫取代的噻唑支架在很大程度上仍未得到充分开发。为了克服访问这些基序的限制，我们报告了一种温和的模块化策略，用于从</w:t>
      </w:r>
      <w:r>
        <w:t xml:space="preserve"> </w:t>
      </w:r>
      <w:r>
        <w:t>β</w:t>
      </w:r>
      <w:r>
        <w:t xml:space="preserve"> </w:t>
      </w:r>
      <w:r>
        <w:t>‐通过分子间Pummerer重排生成酮亚砜。该方法显示出优异的官能团耐受性，提供了 50 种源自硫代酰胺和硫脲的不同噻唑支架。该方法的合成和医学影响在重磅炸弹β3肾上腺素受体激动剂米拉贝隆的硫醚、亚砜和砜类似物的制备和评估中得到展示。关键药代动力学特性的比较表明，细胞通透性、代谢稳定性、亲脂性和血浆蛋白结合得到改善，而不会过度影响相对于母体药物的生物亲和力。</w:t>
      </w:r>
    </w:p>
    <w:p>
      <w:pPr>
        <w:spacing w:before="0" w:after="200" w:lineRule="auto" w:line="276"/>
      </w:pPr>
      <w:r>
        <w:rPr>
          <w:b/>
        </w:rPr>
        <w:t xml:space="preserve">Abstract (EN): </w:t>
      </w:r>
      <w:r>
        <w:t>The introduction of sulfur substituents to heterocyclic cores in fragments and drugs is hugely advantageous, improving key pharmacokinetic properties, providing additional vectors for synthetic elaboration, and potentially enhancing binding affinities. Despite this potential and their prevalence in drug discovery, sulfur‐substituted thiazole scaffolds remain largely underexplored due to synthetic challenges in their preparation. To overcome the limitations in accessing these motifs, we report a mild, modular strategy for assembling C5‐sulfenyl thiazoles from</w:t>
      </w:r>
      <w:r>
        <w:t xml:space="preserve"> </w:t>
      </w:r>
      <w:r>
        <w:t>β</w:t>
      </w:r>
      <w:r>
        <w:t xml:space="preserve"> </w:t>
      </w:r>
      <w:r>
        <w:t>‐keto sulfoxides via an intermolecular Pummerer rearrangement. This methodology displays an excellent functional group tolerance, furnishing 50 diverse thiazole scaffolds derived from both thioamides and thioureas. The synthetic and medicinal impact of this methodology is showcased in the preparation and evaluation of thioether, sulfoxide and sulfone analogues of the blockbuster β3‐adrenoceptor agonist mirabegron. Comparison of key pharmacokinetic properties revealed improved cell permeability, metabolic stability, lipophilicity and plasma protein binding without unduly affecting biological affinity relative to the parent drug.</w:t>
      </w:r>
    </w:p>
    <w:p>
      <w:pPr>
        <w:spacing w:before="120" w:after="120"/>
      </w:pPr>
      <w:r>
        <w:rPr>
          <w:sz w:val="18"/>
        </w:rPr>
        <w:t>——————————————————————————————————————————————————————————————————————</w:t>
      </w:r>
    </w:p>
    <w:p>
      <w:pPr>
        <w:spacing w:before="160" w:after="40" w:line="240" w:lineRule="auto"/>
      </w:pPr>
      <w:r>
        <w:rPr>
          <w:b/>
        </w:rPr>
        <w:t xml:space="preserve">[195] </w:t>
      </w:r>
      <w:hyperlink r:id="rId933">
        <w:r>
          <w:rPr>
            <w:color w:val="1155CC"/>
            <w:u w:val="single"/>
          </w:rPr>
          <w:t>空气颗粒物污染通过抑制光合作用降低植物水分利用效率</w:t>
        </w:r>
      </w:hyperlink>
    </w:p>
    <w:p>
      <w:pPr>
        <w:spacing w:before="0" w:after="80"/>
      </w:pPr>
      <w:r>
        <w:rPr>
          <w:i/>
          <w:sz w:val="20"/>
        </w:rPr>
        <w:t>EN: Particulate air pollution undermines plant water-use efficiency by inhibiting photosynthesis</w:t>
      </w:r>
    </w:p>
    <w:p>
      <w:pPr>
        <w:spacing w:before="0" w:after="120"/>
      </w:pPr>
      <w:r>
        <w:rPr>
          <w:b/>
        </w:rPr>
        <w:t xml:space="preserve">Source: </w:t>
      </w:r>
      <w:r>
        <w:t>Nature Climate Change</w:t>
      </w:r>
      <w:r>
        <w:t xml:space="preserve">    </w:t>
      </w:r>
      <w:r>
        <w:rPr>
          <w:b/>
        </w:rPr>
        <w:t xml:space="preserve">Pub date: </w:t>
      </w:r>
      <w:r>
        <w:t>2026-08-17 00:00:00+00:00</w:t>
      </w:r>
      <w:r>
        <w:t xml:space="preserve">    </w:t>
      </w:r>
      <w:r>
        <w:rPr>
          <w:b/>
        </w:rPr>
        <w:t xml:space="preserve">DOI: </w:t>
      </w:r>
      <w:hyperlink r:id="rId934">
        <w:r>
          <w:rPr>
            <w:color w:val="1155CC"/>
            <w:u w:val="single"/>
          </w:rPr>
          <w:t>10.1038/s41558-026-02712-y</w:t>
        </w:r>
      </w:hyperlink>
    </w:p>
    <w:p>
      <w:pPr>
        <w:spacing w:before="0" w:after="120"/>
      </w:pPr>
      <w:r>
        <w:rPr>
          <w:b/>
        </w:rPr>
        <w:t xml:space="preserve">Notes: </w:t>
      </w:r>
      <w:r>
        <w:t>abstract_source=rss_nature</w:t>
      </w:r>
    </w:p>
    <w:p>
      <w:pPr>
        <w:spacing w:before="0" w:after="80" w:lineRule="auto" w:line="276"/>
      </w:pPr>
      <w:r>
        <w:rPr>
          <w:b/>
        </w:rPr>
        <w:t xml:space="preserve">摘要（ZH）: </w:t>
      </w:r>
      <w:r>
        <w:t>细颗粒物污染 (PM2.5) 对工厂用水效率的影响仍知之甚少。作者强调，由于对光合作用和蒸散量的不对称影响，PM2.5 在不同尺度上主要产生负面影响。</w:t>
      </w:r>
    </w:p>
    <w:p>
      <w:pPr>
        <w:spacing w:before="0" w:after="200" w:lineRule="auto" w:line="276"/>
      </w:pPr>
      <w:r>
        <w:rPr>
          <w:b/>
        </w:rPr>
        <w:t xml:space="preserve">Abstract (EN): </w:t>
      </w:r>
      <w:r>
        <w:t>The influence of fine particulate pollution (PM2.5) on plant water-use efficiency remains poorly understood. The authors highlight that PM2.5 exerts a primarily negative effect across scales due to asymmetric effects on photosynthesis and evapotranspiration.</w:t>
      </w:r>
    </w:p>
    <w:p>
      <w:pPr>
        <w:spacing w:before="120" w:after="120"/>
      </w:pPr>
      <w:r>
        <w:rPr>
          <w:sz w:val="18"/>
        </w:rPr>
        <w:t>——————————————————————————————————————————————————————————————————————</w:t>
      </w:r>
    </w:p>
    <w:p>
      <w:pPr>
        <w:spacing w:before="160" w:after="40" w:line="240" w:lineRule="auto"/>
      </w:pPr>
      <w:r>
        <w:rPr>
          <w:b/>
        </w:rPr>
        <w:t xml:space="preserve">[196] </w:t>
      </w:r>
      <w:hyperlink r:id="rId935">
        <w:r>
          <w:rPr>
            <w:color w:val="1155CC"/>
            <w:u w:val="single"/>
          </w:rPr>
          <w:t>用于全色视觉和事件驱动的运动检测的像差校正仿生眼</w:t>
        </w:r>
      </w:hyperlink>
    </w:p>
    <w:p>
      <w:pPr>
        <w:spacing w:before="0" w:after="80"/>
      </w:pPr>
      <w:r>
        <w:rPr>
          <w:i/>
          <w:sz w:val="20"/>
        </w:rPr>
        <w:t>EN: An aberration-corrected bionic eye for full-colour vision and event-driven motion detection</w:t>
      </w:r>
    </w:p>
    <w:p>
      <w:pPr>
        <w:spacing w:before="0" w:after="120"/>
      </w:pPr>
      <w:r>
        <w:rPr>
          <w:b/>
        </w:rPr>
        <w:t xml:space="preserve">Source: </w:t>
      </w:r>
      <w:r>
        <w:t>Nature Materials</w:t>
      </w:r>
      <w:r>
        <w:t xml:space="preserve">    </w:t>
      </w:r>
      <w:r>
        <w:rPr>
          <w:b/>
        </w:rPr>
        <w:t xml:space="preserve">Pub date: </w:t>
      </w:r>
      <w:r>
        <w:t>2026-08-17 00:00:00+00:00</w:t>
      </w:r>
      <w:r>
        <w:t xml:space="preserve">    </w:t>
      </w:r>
      <w:r>
        <w:rPr>
          <w:b/>
        </w:rPr>
        <w:t xml:space="preserve">DOI: </w:t>
      </w:r>
      <w:hyperlink r:id="rId936">
        <w:r>
          <w:rPr>
            <w:color w:val="1155CC"/>
            <w:u w:val="single"/>
          </w:rPr>
          <w:t>10.1038/s41563-026-02685-5</w:t>
        </w:r>
      </w:hyperlink>
    </w:p>
    <w:p>
      <w:pPr>
        <w:spacing w:before="0" w:after="120"/>
      </w:pPr>
      <w:r>
        <w:rPr>
          <w:b/>
        </w:rPr>
        <w:t xml:space="preserve">Notes: </w:t>
      </w:r>
      <w:r>
        <w:t>abstract_source=pubmed</w:t>
      </w:r>
    </w:p>
    <w:p>
      <w:pPr>
        <w:spacing w:before="0" w:after="80" w:lineRule="auto" w:line="276"/>
      </w:pPr>
      <w:r>
        <w:rPr>
          <w:b/>
        </w:rPr>
        <w:t xml:space="preserve">摘要（ZH）: </w:t>
      </w:r>
      <w:r>
        <w:t>视觉传感器是机器视觉和智能的核心。然而，传统的平面设备依靠多元件光学器件和外部处理器来校正光学像差。这种方法限制了小型化，降低了功率效率，并且通常限制了视野。曲面传感器可以提供紧凑的、像差校正的成像，但它们的分辨率一直低于实际水平。在这里，我们提出了一种基于半球形串联人工视网膜的仿生眼系统。这款高曲率图像传感器的像素密度为 1,905ppi，总像素为 367,500 个，可提供 300-800nm 范围内的全彩成像以及超过 160° 的像差校正视场。此外，串联设计可实现传感器内、事件驱动的运动检测。与基于帧的成像相比，该方法对带宽的需求降低了99.95%以上，运动识别准确率达到98.6%。这项工作解决了半球形传感器的分辨率瓶颈，并强调了它们作为紧凑型多功能视觉应用的前景。</w:t>
      </w:r>
    </w:p>
    <w:p>
      <w:pPr>
        <w:spacing w:before="0" w:after="200" w:lineRule="auto" w:line="276"/>
      </w:pPr>
      <w:r>
        <w:rPr>
          <w:b/>
        </w:rPr>
        <w:t xml:space="preserve">Abstract (EN): </w:t>
      </w:r>
      <w:r>
        <w:t>Vision sensors are central to machine vision and intelligence. However, conventional planar devices rely on multielement optics and external processors to correct optical aberrations. This approach constrains miniaturization, reduces power efficiency and generally limits the field of view. Curved sensors can provide compact, aberration-corrected imaging, but their resolution has been below practicable levels. Here we present a bioinspired bionic eye system based on a hemispherical tandem artificial retina. This high curvature image sensor achieves a pixel density of 1,905 ppi with 367,500 total pixels, providing full-colour imaging across 300-800 nm and an aberration-corrected field of view exceeding 160°. Furthermore, the tandem design enables in-sensor, event-driven motion detection. Compared with frame-based imaging, this approach reduces the demand for bandwidth by over 99.95% and achieves a motion recognition accuracy of 98.6%. This work addresses the resolution bottleneck of hemispherical sensors and highlights their promise as compact, multifunctional vision applications.</w:t>
      </w:r>
    </w:p>
    <w:p>
      <w:pPr>
        <w:spacing w:before="120" w:after="120"/>
      </w:pPr>
      <w:r>
        <w:rPr>
          <w:sz w:val="18"/>
        </w:rPr>
        <w:t>——————————————————————————————————————————————————————————————————————</w:t>
      </w:r>
    </w:p>
    <w:p>
      <w:pPr>
        <w:spacing w:before="160" w:after="40" w:line="240" w:lineRule="auto"/>
      </w:pPr>
      <w:r>
        <w:rPr>
          <w:b/>
        </w:rPr>
        <w:t xml:space="preserve">[197] </w:t>
      </w:r>
      <w:hyperlink r:id="rId937">
        <w:r>
          <w:rPr>
            <w:color w:val="1155CC"/>
            <w:u w:val="single"/>
          </w:rPr>
          <w:t>通过单原子催化剂调节氧化剂活化中的反应物种：机制、操作和前景</w:t>
        </w:r>
      </w:hyperlink>
    </w:p>
    <w:p>
      <w:pPr>
        <w:spacing w:before="0" w:after="80"/>
      </w:pPr>
      <w:r>
        <w:rPr>
          <w:i/>
          <w:sz w:val="20"/>
        </w:rPr>
        <w:t>EN: Tuning the reactive species in oxidant activation by single-atom catalysts: Mechanisms, manipulations, and perspectives</w:t>
      </w:r>
    </w:p>
    <w:p>
      <w:pPr>
        <w:spacing w:before="0" w:after="120"/>
      </w:pPr>
      <w:r>
        <w:rPr>
          <w:b/>
        </w:rPr>
        <w:t xml:space="preserve">Source: </w:t>
      </w:r>
      <w:r>
        <w:t>Chem</w:t>
      </w:r>
      <w:r>
        <w:t xml:space="preserve">    </w:t>
      </w:r>
      <w:r>
        <w:rPr>
          <w:b/>
        </w:rPr>
        <w:t xml:space="preserve">Pub date: </w:t>
      </w:r>
      <w:r>
        <w:t>2026-08-17 00:00:00+00:00</w:t>
      </w:r>
      <w:r>
        <w:t xml:space="preserve">    </w:t>
      </w:r>
      <w:r>
        <w:rPr>
          <w:b/>
        </w:rPr>
        <w:t xml:space="preserve">DOI: </w:t>
      </w:r>
      <w:hyperlink r:id="rId938">
        <w:r>
          <w:rPr>
            <w:color w:val="1155CC"/>
            <w:u w:val="single"/>
          </w:rPr>
          <w:t>10.1016/j.chempr.2026.103192</w:t>
        </w:r>
      </w:hyperlink>
    </w:p>
    <w:p>
      <w:pPr>
        <w:spacing w:before="0" w:after="120"/>
      </w:pPr>
      <w:r>
        <w:rPr>
          <w:b/>
        </w:rPr>
        <w:t xml:space="preserve">Notes: </w:t>
      </w:r>
      <w:r>
        <w:t>abstract_source=rss_cell</w:t>
      </w:r>
    </w:p>
    <w:p>
      <w:pPr>
        <w:spacing w:before="0" w:after="80" w:lineRule="auto" w:line="276"/>
      </w:pPr>
      <w:r>
        <w:rPr>
          <w:b/>
        </w:rPr>
        <w:t xml:space="preserve">摘要（ZH）: </w:t>
      </w:r>
      <w:r>
        <w:t>这篇综述建立了一个面向过程的框架，将单原子催化剂结构与氧化剂吸附、电子转移行为、中间体演化和反应物种选择性联系起来。它进一步总结了在高级氧化系统中选择性产生自由基的设计策略。</w:t>
      </w:r>
    </w:p>
    <w:p>
      <w:pPr>
        <w:spacing w:before="0" w:after="200" w:lineRule="auto" w:line="276"/>
      </w:pPr>
      <w:r>
        <w:rPr>
          <w:b/>
        </w:rPr>
        <w:t xml:space="preserve">Abstract (EN): </w:t>
      </w:r>
      <w:r>
        <w:t>This review establishes a process-oriented framework linking single-atom catalyst structure to oxidant adsorption, electron-transfer behavior, intermediate evolution, and reactive-species selectivity. It further summarizes design strategies for selectively generating radicals in advanced oxidation systems.</w:t>
      </w:r>
    </w:p>
    <w:p>
      <w:pPr>
        <w:spacing w:before="120" w:after="120"/>
      </w:pPr>
      <w:r>
        <w:rPr>
          <w:sz w:val="18"/>
        </w:rPr>
        <w:t>——————————————————————————————————————————————————————————————————————</w:t>
      </w:r>
    </w:p>
    <w:p>
      <w:pPr>
        <w:spacing w:before="160" w:after="40" w:line="240" w:lineRule="auto"/>
      </w:pPr>
      <w:r>
        <w:rPr>
          <w:b/>
        </w:rPr>
        <w:t xml:space="preserve">[198] </w:t>
      </w:r>
      <w:hyperlink r:id="rId939">
        <w:r>
          <w:rPr>
            <w:color w:val="1155CC"/>
            <w:u w:val="single"/>
          </w:rPr>
          <w:t>光热蒸发耦合催化的 CLEAN 框架</w:t>
        </w:r>
      </w:hyperlink>
    </w:p>
    <w:p>
      <w:pPr>
        <w:spacing w:before="0" w:after="80"/>
      </w:pPr>
      <w:r>
        <w:rPr>
          <w:i/>
          <w:sz w:val="20"/>
        </w:rPr>
        <w:t>EN: A CLEAN framework of photothermal evaporation-coupled catalysis</w:t>
      </w:r>
    </w:p>
    <w:p>
      <w:pPr>
        <w:spacing w:before="0" w:after="120"/>
      </w:pPr>
      <w:r>
        <w:rPr>
          <w:b/>
        </w:rPr>
        <w:t xml:space="preserve">Source: </w:t>
      </w:r>
      <w:r>
        <w:t>Chem</w:t>
      </w:r>
      <w:r>
        <w:t xml:space="preserve">    </w:t>
      </w:r>
      <w:r>
        <w:rPr>
          <w:b/>
        </w:rPr>
        <w:t xml:space="preserve">Pub date: </w:t>
      </w:r>
      <w:r>
        <w:t>2026-08-17 00:00:00+00:00</w:t>
      </w:r>
      <w:r>
        <w:t xml:space="preserve">    </w:t>
      </w:r>
      <w:r>
        <w:rPr>
          <w:b/>
        </w:rPr>
        <w:t xml:space="preserve">DOI: </w:t>
      </w:r>
      <w:hyperlink r:id="rId940">
        <w:r>
          <w:rPr>
            <w:color w:val="1155CC"/>
            <w:u w:val="single"/>
          </w:rPr>
          <w:t>10.1016/j.chempr.2026.103188</w:t>
        </w:r>
      </w:hyperlink>
    </w:p>
    <w:p>
      <w:pPr>
        <w:spacing w:before="0" w:after="120"/>
      </w:pPr>
      <w:r>
        <w:rPr>
          <w:b/>
        </w:rPr>
        <w:t xml:space="preserve">Notes: </w:t>
      </w:r>
      <w:r>
        <w:t>abstract_source=rss_cell</w:t>
      </w:r>
    </w:p>
    <w:p>
      <w:pPr>
        <w:spacing w:before="0" w:after="80" w:lineRule="auto" w:line="276"/>
      </w:pPr>
      <w:r>
        <w:rPr>
          <w:b/>
        </w:rPr>
        <w:t xml:space="preserve">摘要（ZH）: </w:t>
      </w:r>
      <w:r>
        <w:t>从这个角度来看，我们引入了光热蒸发耦合催化（PECC）的概念，用于同步阳光驱动的水净化和化学品升级，并提出了成本效益、生命周期可持续性、新兴系统集成、人工智能辅助设计和近零兼容性（CLEAN）范式，以利用PECC的微观原理和宏观技术经济可行性来实现可扩展、可持续的太阳能水化学工厂。</w:t>
      </w:r>
    </w:p>
    <w:p>
      <w:pPr>
        <w:spacing w:before="0" w:after="200" w:lineRule="auto" w:line="276"/>
      </w:pPr>
      <w:r>
        <w:rPr>
          <w:b/>
        </w:rPr>
        <w:t xml:space="preserve">Abstract (EN): </w:t>
      </w:r>
      <w:r>
        <w:t>In this perspective, we introduce a concept of photothermal evaporation-coupled catalysis (PECC) for simultaneous sunlight-driven water purification and chemical upgrading and propose the cost-effectiveness, life-cycle sustainability, emerging system integration, AI-assisted design, and near-zero compatibility (CLEAN) paradigm to leverage the microscale principles of PECC and macroscale technoeconomic feasibility toward scalable, sustainable solar water-chemical factories.</w:t>
      </w:r>
    </w:p>
    <w:p>
      <w:pPr>
        <w:spacing w:before="120" w:after="120"/>
      </w:pPr>
      <w:r>
        <w:rPr>
          <w:sz w:val="18"/>
        </w:rPr>
        <w:t>——————————————————————————————————————————————————————————————————————</w:t>
      </w:r>
    </w:p>
    <w:p>
      <w:pPr>
        <w:spacing w:before="160" w:after="40" w:line="240" w:lineRule="auto"/>
      </w:pPr>
      <w:r>
        <w:rPr>
          <w:b/>
        </w:rPr>
        <w:t xml:space="preserve">[199] </w:t>
      </w:r>
      <w:hyperlink r:id="rId941">
        <w:r>
          <w:rPr>
            <w:color w:val="1155CC"/>
            <w:u w:val="single"/>
          </w:rPr>
          <w:t>通过氮转位进行吡啶的位置异构化</w:t>
        </w:r>
      </w:hyperlink>
    </w:p>
    <w:p>
      <w:pPr>
        <w:spacing w:before="0" w:after="80"/>
      </w:pPr>
      <w:r>
        <w:rPr>
          <w:i/>
          <w:sz w:val="20"/>
        </w:rPr>
        <w:t>EN: Positional isomerisation of pyridine via nitrogen transposition</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42">
        <w:r>
          <w:rPr>
            <w:color w:val="1155CC"/>
            <w:u w:val="single"/>
          </w:rPr>
          <w:t>10.1038/s41586-026-11006-4</w:t>
        </w:r>
      </w:hyperlink>
    </w:p>
    <w:p>
      <w:pPr>
        <w:spacing w:before="0" w:after="120"/>
      </w:pPr>
      <w:r>
        <w:rPr>
          <w:b/>
        </w:rPr>
        <w:t xml:space="preserve">Notes: </w:t>
      </w:r>
      <w:r>
        <w:t>abstract_source=nature_html</w:t>
      </w:r>
    </w:p>
    <w:p>
      <w:pPr>
        <w:spacing w:before="0" w:after="80" w:lineRule="auto" w:line="276"/>
      </w:pPr>
      <w:r>
        <w:rPr>
          <w:b/>
        </w:rPr>
        <w:t xml:space="preserve">摘要（ZH）: </w:t>
      </w:r>
      <w:r>
        <w:t>吡啶的位置异构体通常表现出不同的生物活性1,2，但它们的直接相互转化在很大程度上仍然难以实现，因此每种异构体通常通过独立合成来制备。在这里，我们报告了吡啶位置异构化的一般策略，通过顺序氮插入和缺失来控制杂芳族核心的重组。 N 原子转位允许预先安装的取代基发生可预测的转位，而不改变取代基的特性。该方法广泛适用于单、二和多取代的吡啶，并在结构复杂的分子环境中操作，提供对位置异构体的直接访问。这项工作将位置异构化确立为一种实用的合成转化，将吡啶取代模式定义为逆合成设计中的可变变量。</w:t>
      </w:r>
    </w:p>
    <w:p>
      <w:pPr>
        <w:spacing w:before="0" w:after="200" w:lineRule="auto" w:line="276"/>
      </w:pPr>
      <w:r>
        <w:rPr>
          <w:b/>
        </w:rPr>
        <w:t xml:space="preserve">Abstract (EN): </w:t>
      </w:r>
      <w:r>
        <w:t>Positional isomers of pyridines often display distinct biological activities1,2 yet their direct interconversion remains largely inaccessible, so each isomer is typically prepared through an independent synthesis. Here we report a general strategy for pyridine positional isomerization enabled by controlled reorganization of the heteroaromatic core through sequential nitrogen insertion and deletion. N-atom transposition allows predictable translocation of preinstalled substituents without altering substituent identity. The method is broadly applicable to mono-, di-, and multisubstituted pyridines and operates across structurally complex molecular environments, providing direct access to positional isomers. This work establishes positional isomerization as a practical synthetic transformation, defining pyridine substitution patterns as mutable variables in retrosynthetic design.</w:t>
      </w:r>
    </w:p>
    <w:p>
      <w:pPr>
        <w:spacing w:before="120" w:after="120"/>
      </w:pPr>
      <w:r>
        <w:rPr>
          <w:sz w:val="18"/>
        </w:rPr>
        <w:t>——————————————————————————————————————————————————————————————————————</w:t>
      </w:r>
    </w:p>
    <w:p>
      <w:pPr>
        <w:spacing w:before="160" w:after="40" w:line="240" w:lineRule="auto"/>
      </w:pPr>
      <w:r>
        <w:rPr>
          <w:b/>
        </w:rPr>
        <w:t xml:space="preserve">[200] </w:t>
      </w:r>
      <w:hyperlink r:id="rId943">
        <w:r>
          <w:rPr>
            <w:color w:val="1155CC"/>
            <w:u w:val="single"/>
          </w:rPr>
          <w:t>胺中碳氮连接的可编程重塑</w:t>
        </w:r>
      </w:hyperlink>
    </w:p>
    <w:p>
      <w:pPr>
        <w:spacing w:before="0" w:after="80"/>
      </w:pPr>
      <w:r>
        <w:rPr>
          <w:i/>
          <w:sz w:val="20"/>
        </w:rPr>
        <w:t>EN: Programmable remodelling of carbon–nitrogen connectivity in amines</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44">
        <w:r>
          <w:rPr>
            <w:color w:val="1155CC"/>
            <w:u w:val="single"/>
          </w:rPr>
          <w:t>10.1038/s41586-026-11009-1</w:t>
        </w:r>
      </w:hyperlink>
    </w:p>
    <w:p>
      <w:pPr>
        <w:spacing w:before="0" w:after="120"/>
      </w:pPr>
      <w:r>
        <w:rPr>
          <w:b/>
        </w:rPr>
        <w:t xml:space="preserve">Notes: </w:t>
      </w:r>
      <w:r>
        <w:t>abstract_source=nature_html</w:t>
      </w:r>
    </w:p>
    <w:p>
      <w:pPr>
        <w:spacing w:before="0" w:after="80" w:lineRule="auto" w:line="276"/>
      </w:pPr>
      <w:r>
        <w:rPr>
          <w:b/>
        </w:rPr>
        <w:t xml:space="preserve">摘要（ZH）: </w:t>
      </w:r>
      <w:r>
        <w:t>叔胺是生物活性分子中普遍存在的基序，在分子识别和功能中发挥着核心作用1,2。其中，叔苄胺在发现化学中特别突出，作为从丰富的结构单元3,4生成先导化合物的容易组装的起点，具有良好的物理化学和结合特性。然而，尽管它们具有可访问性，但这些框架的核心 C-N 连接仍然有效地锁定5,6，限制了苄胺衍生物的多样化，并阻止直接访问结构不同的芳基-烷基胺结构。克服这一限制需要在精心设计的胺支架内直接和选择性地重新配置 C-N 连接。在这里，我们展示了叔苄胺可以从静态支架转变为可编程平台，通过其 C-N 键的催化重塑来实现分子多样化7-9。用双功能亲电子试剂进行 N-烷基化会生成季铵中间体，该中间体编码钯催化的 C-N 连接分解和重构。这个概念首先通过叔苄胺的一碳同系化得到例证，更重要的是，建立了一种模块化单元可编程插入的通用策略——从单个碳原子到复杂的分子片段，包括烃链、杂环和芳基——直接穿过完全精心设计的胺支架上的C-N键。这种能力为胺框架的可编程多样化开辟了道路，使</w:t>
      </w:r>
    </w:p>
    <w:p>
      <w:pPr>
        <w:spacing w:before="0" w:after="200" w:lineRule="auto" w:line="276"/>
      </w:pPr>
      <w:r>
        <w:rPr>
          <w:b/>
        </w:rPr>
        <w:t xml:space="preserve">Abstract (EN): </w:t>
      </w:r>
      <w:r>
        <w:t>Tertiary amines are ubiquitous motifs in biologically active molecules, where they play central roles in molecular recognition and function1,2. Among these, tertiary benzylamines are particularly prominent in discovery chemistry as readily assembled starting points for lead generation from abundant building blocks3,4, with favourable physicochemical and binding properties. However, despite their accessibility, the core C–N connectivity of these frameworks remains effectively locked5,6, confining diversification to benzylamine derivatives and preventing direct access to structurally distinct aryl–alkylamine architectures. Overcoming this limitation requires direct and selective reconfiguration of C–N connectivity within fully elaborated amine scaffolds. Here we show that tertiary benzylamines can be transformed from static scaffolds into programmable platforms for molecular diversification through catalytic remodeling of their C–N bonds7-9. N-alkylation with a bifunctional electrophile generates a quaternary ammonium intermediate that encodes palladium-catalyzed disassembly and reconfiguration of C–N connectivity. This concept is first exemplified through one-carbon homologation of tertiary benzylamines and, more significantly, establishes a general strategy for programmable insertion of modular units—ranging from single carbon atoms to complex molecular fragments, including hydrocarbon chains, heterocycles and aryl groups—directly across the C–N bond on fully elaborated amine scaffolds. This capability opens a route to programmable diversification of amine frameworks, enabling systematic exploration of amine connectivity and molecular architecture.</w:t>
      </w:r>
    </w:p>
    <w:p>
      <w:pPr>
        <w:spacing w:before="120" w:after="120"/>
      </w:pPr>
      <w:r>
        <w:rPr>
          <w:sz w:val="18"/>
        </w:rPr>
        <w:t>——————————————————————————————————————————————————————————————————————</w:t>
      </w:r>
    </w:p>
    <w:p>
      <w:pPr>
        <w:spacing w:before="160" w:after="40" w:line="240" w:lineRule="auto"/>
      </w:pPr>
      <w:r>
        <w:rPr>
          <w:b/>
        </w:rPr>
        <w:t xml:space="preserve">[201] </w:t>
      </w:r>
      <w:hyperlink r:id="rId945">
        <w:r>
          <w:rPr>
            <w:color w:val="1155CC"/>
            <w:u w:val="single"/>
          </w:rPr>
          <w:t>作者更正：胰腺癌间充质亚群的合成脆弱性</w:t>
        </w:r>
      </w:hyperlink>
    </w:p>
    <w:p>
      <w:pPr>
        <w:spacing w:before="0" w:after="80"/>
      </w:pPr>
      <w:r>
        <w:rPr>
          <w:i/>
          <w:sz w:val="20"/>
        </w:rPr>
        <w:t>EN: Author Correction: Synthetic vulnerabilities of mesenchymal subpopulations in pancreatic cancer</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46">
        <w:r>
          <w:rPr>
            <w:color w:val="1155CC"/>
            <w:u w:val="single"/>
          </w:rPr>
          <w:t>10.1038/s41586-026-10995-6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947">
        <w:r>
          <w:rPr>
            <w:color w:val="1155CC"/>
            <w:u w:val="single"/>
          </w:rPr>
          <w:t>太热睡不着？夜间热浪如何影响我们的健康</w:t>
        </w:r>
      </w:hyperlink>
    </w:p>
    <w:p>
      <w:pPr>
        <w:spacing w:before="0" w:after="80"/>
      </w:pPr>
      <w:r>
        <w:rPr>
          <w:i/>
          <w:sz w:val="20"/>
        </w:rPr>
        <w:t>EN: Too hot to sleep? How heatwaves at night affect our health</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48">
        <w:r>
          <w:rPr>
            <w:color w:val="1155CC"/>
            <w:u w:val="single"/>
          </w:rPr>
          <w:t>10.1038/d41586-026-02532-2</w:t>
        </w:r>
      </w:hyperlink>
    </w:p>
    <w:p>
      <w:pPr>
        <w:spacing w:before="0" w:after="120"/>
      </w:pPr>
      <w:r>
        <w:rPr>
          <w:b/>
        </w:rPr>
        <w:t xml:space="preserve">Notes: </w:t>
      </w:r>
      <w:r>
        <w:t>abstract_source=rss_nature</w:t>
      </w:r>
    </w:p>
    <w:p>
      <w:pPr>
        <w:spacing w:before="0" w:after="80" w:lineRule="auto" w:line="276"/>
      </w:pPr>
      <w:r>
        <w:rPr>
          <w:b/>
        </w:rPr>
        <w:t xml:space="preserve">摘要（ZH）: </w:t>
      </w:r>
      <w:r>
        <w:t>随着气候变化加剧，科学家们必须紧急了解夜间炎热如何使我们的身体更难休息和恢复。</w:t>
      </w:r>
    </w:p>
    <w:p>
      <w:pPr>
        <w:spacing w:before="0" w:after="200" w:lineRule="auto" w:line="276"/>
      </w:pPr>
      <w:r>
        <w:rPr>
          <w:b/>
        </w:rPr>
        <w:t xml:space="preserve">Abstract (EN): </w:t>
      </w:r>
      <w:r>
        <w:t>As climate change ramps up, scientists must urgently understand how night-time heat makes it harder for our bodies to rest and recover.</w:t>
      </w:r>
    </w:p>
    <w:p>
      <w:pPr>
        <w:spacing w:before="120" w:after="120"/>
      </w:pPr>
      <w:r>
        <w:rPr>
          <w:sz w:val="18"/>
        </w:rPr>
        <w:t>——————————————————————————————————————————————————————————————————————</w:t>
      </w:r>
    </w:p>
    <w:p>
      <w:pPr>
        <w:spacing w:before="160" w:after="40" w:line="240" w:lineRule="auto"/>
      </w:pPr>
      <w:r>
        <w:rPr>
          <w:b/>
        </w:rPr>
        <w:t xml:space="preserve">[203] </w:t>
      </w:r>
      <w:hyperlink r:id="rId949">
        <w:r>
          <w:rPr>
            <w:color w:val="1155CC"/>
            <w:u w:val="single"/>
          </w:rPr>
          <w:t>生命和我们星球的故事如何一起展开</w:t>
        </w:r>
      </w:hyperlink>
    </w:p>
    <w:p>
      <w:pPr>
        <w:spacing w:before="0" w:after="80"/>
      </w:pPr>
      <w:r>
        <w:rPr>
          <w:i/>
          <w:sz w:val="20"/>
        </w:rPr>
        <w:t>EN: How the story of life and our planet unfolded — together</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50">
        <w:r>
          <w:rPr>
            <w:color w:val="1155CC"/>
            <w:u w:val="single"/>
          </w:rPr>
          <w:t>10.1038/d41586-026-02530-4</w:t>
        </w:r>
      </w:hyperlink>
    </w:p>
    <w:p>
      <w:pPr>
        <w:spacing w:before="0" w:after="120"/>
      </w:pPr>
      <w:r>
        <w:rPr>
          <w:b/>
        </w:rPr>
        <w:t xml:space="preserve">Notes: </w:t>
      </w:r>
      <w:r>
        <w:t>abstract_source=rss_nature</w:t>
      </w:r>
    </w:p>
    <w:p>
      <w:pPr>
        <w:spacing w:before="0" w:after="80" w:lineRule="auto" w:line="276"/>
      </w:pPr>
      <w:r>
        <w:rPr>
          <w:b/>
        </w:rPr>
        <w:t xml:space="preserve">摘要（ZH）: </w:t>
      </w:r>
      <w:r>
        <w:t>地球与其居住的生命形式长达四十亿年的对话塑造了我们的世界，并为我们的未来提供了教训。</w:t>
      </w:r>
    </w:p>
    <w:p>
      <w:pPr>
        <w:spacing w:before="0" w:after="200" w:lineRule="auto" w:line="276"/>
      </w:pPr>
      <w:r>
        <w:rPr>
          <w:b/>
        </w:rPr>
        <w:t xml:space="preserve">Abstract (EN): </w:t>
      </w:r>
      <w:r>
        <w:t>Earth’s four-billion-year-long conversation with its resident life forms has shaped our world, and holds lessons for our future.</w:t>
      </w:r>
    </w:p>
    <w:p>
      <w:pPr>
        <w:spacing w:before="120" w:after="120"/>
      </w:pPr>
      <w:r>
        <w:rPr>
          <w:sz w:val="18"/>
        </w:rPr>
        <w:t>——————————————————————————————————————————————————————————————————————</w:t>
      </w:r>
    </w:p>
    <w:p>
      <w:pPr>
        <w:spacing w:before="160" w:after="40" w:line="240" w:lineRule="auto"/>
      </w:pPr>
      <w:r>
        <w:rPr>
          <w:b/>
        </w:rPr>
        <w:t xml:space="preserve">[204] </w:t>
      </w:r>
      <w:hyperlink r:id="rId951">
        <w:r>
          <w:rPr>
            <w:color w:val="1155CC"/>
            <w:u w:val="single"/>
          </w:rPr>
          <w:t>大学必须停止保护恶霸——否则更多的人将离开科学界</w:t>
        </w:r>
      </w:hyperlink>
    </w:p>
    <w:p>
      <w:pPr>
        <w:spacing w:before="0" w:after="80"/>
      </w:pPr>
      <w:r>
        <w:rPr>
          <w:i/>
          <w:sz w:val="20"/>
        </w:rPr>
        <w:t>EN: Universities must stop protecting bullies — or more people will leave science</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52">
        <w:r>
          <w:rPr>
            <w:color w:val="1155CC"/>
            <w:u w:val="single"/>
          </w:rPr>
          <w:t>10.1038/d41586-026-02526-0</w:t>
        </w:r>
      </w:hyperlink>
    </w:p>
    <w:p>
      <w:pPr>
        <w:spacing w:before="0" w:after="120"/>
      </w:pPr>
      <w:r>
        <w:rPr>
          <w:b/>
        </w:rPr>
        <w:t xml:space="preserve">Notes: </w:t>
      </w:r>
      <w:r>
        <w:t>abstract_source=rss_nature</w:t>
      </w:r>
    </w:p>
    <w:p>
      <w:pPr>
        <w:spacing w:before="0" w:after="80" w:lineRule="auto" w:line="276"/>
      </w:pPr>
      <w:r>
        <w:rPr>
          <w:b/>
        </w:rPr>
        <w:t xml:space="preserve">摘要（ZH）: </w:t>
      </w:r>
      <w:r>
        <w:t>让有权有势的学者摆脱困境并惩罚他们欺负的人，传达出这样的信息：学术界的虐待行为是可以接受的。</w:t>
      </w:r>
    </w:p>
    <w:p>
      <w:pPr>
        <w:spacing w:before="0" w:after="200" w:lineRule="auto" w:line="276"/>
      </w:pPr>
      <w:r>
        <w:rPr>
          <w:b/>
        </w:rPr>
        <w:t xml:space="preserve">Abstract (EN): </w:t>
      </w:r>
      <w:r>
        <w:t>Letting powerful academics off the hook and punishing the people they bullied sends the message that abuse is acceptable in academia.</w:t>
      </w:r>
    </w:p>
    <w:p>
      <w:pPr>
        <w:spacing w:before="120" w:after="120"/>
      </w:pPr>
      <w:r>
        <w:rPr>
          <w:sz w:val="18"/>
        </w:rPr>
        <w:t>——————————————————————————————————————————————————————————————————————</w:t>
      </w:r>
    </w:p>
    <w:p>
      <w:pPr>
        <w:spacing w:before="160" w:after="40" w:line="240" w:lineRule="auto"/>
      </w:pPr>
      <w:r>
        <w:rPr>
          <w:b/>
        </w:rPr>
        <w:t xml:space="preserve">[205] </w:t>
      </w:r>
      <w:hyperlink r:id="rId953">
        <w:r>
          <w:rPr>
            <w:color w:val="1155CC"/>
            <w:u w:val="single"/>
          </w:rPr>
          <w:t>首创的嗜睡症药物为大脑新疗法打开了大门</w:t>
        </w:r>
      </w:hyperlink>
    </w:p>
    <w:p>
      <w:pPr>
        <w:spacing w:before="0" w:after="80"/>
      </w:pPr>
      <w:r>
        <w:rPr>
          <w:i/>
          <w:sz w:val="20"/>
        </w:rPr>
        <w:t>EN: First-of-its-kind narcolepsy drug opens door to new therapies for the brain</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54">
        <w:r>
          <w:rPr>
            <w:color w:val="1155CC"/>
            <w:u w:val="single"/>
          </w:rPr>
          <w:t>10.1038/d41586-026-02552-y</w:t>
        </w:r>
      </w:hyperlink>
    </w:p>
    <w:p>
      <w:pPr>
        <w:spacing w:before="0" w:after="120"/>
      </w:pPr>
      <w:r>
        <w:rPr>
          <w:b/>
        </w:rPr>
        <w:t xml:space="preserve">Notes: </w:t>
      </w:r>
      <w:r>
        <w:t>abstract_source=rss_nature</w:t>
      </w:r>
    </w:p>
    <w:p>
      <w:pPr>
        <w:spacing w:before="0" w:after="80" w:lineRule="auto" w:line="276"/>
      </w:pPr>
      <w:r>
        <w:rPr>
          <w:b/>
        </w:rPr>
        <w:t xml:space="preserve">摘要（ZH）: </w:t>
      </w:r>
      <w:r>
        <w:t>这种名为 Orzeyful 的药物针对的是睡眠障碍的根本原因，而不是其症状。</w:t>
      </w:r>
    </w:p>
    <w:p>
      <w:pPr>
        <w:spacing w:before="0" w:after="200" w:lineRule="auto" w:line="276"/>
      </w:pPr>
      <w:r>
        <w:rPr>
          <w:b/>
        </w:rPr>
        <w:t xml:space="preserve">Abstract (EN): </w:t>
      </w:r>
      <w:r>
        <w:t>The drug, called Orzeyful, takes aim at the root cause of the sleep disorder rather than at its symptoms.</w:t>
      </w:r>
    </w:p>
    <w:p>
      <w:pPr>
        <w:spacing w:before="120" w:after="120"/>
      </w:pPr>
      <w:r>
        <w:rPr>
          <w:sz w:val="18"/>
        </w:rPr>
        <w:t>——————————————————————————————————————————————————————————————————————</w:t>
      </w:r>
    </w:p>
    <w:p>
      <w:pPr>
        <w:spacing w:before="160" w:after="40" w:line="240" w:lineRule="auto"/>
      </w:pPr>
      <w:r>
        <w:rPr>
          <w:b/>
        </w:rPr>
        <w:t xml:space="preserve">[206] </w:t>
      </w:r>
      <w:hyperlink r:id="rId955">
        <w:r>
          <w:rPr>
            <w:color w:val="1155CC"/>
            <w:u w:val="single"/>
          </w:rPr>
          <w:t>为什么人工智能系统作为新科学工具的设计者最有用</w:t>
        </w:r>
      </w:hyperlink>
    </w:p>
    <w:p>
      <w:pPr>
        <w:spacing w:before="0" w:after="80"/>
      </w:pPr>
      <w:r>
        <w:rPr>
          <w:i/>
          <w:sz w:val="20"/>
        </w:rPr>
        <w:t>EN: Why AI systems are most useful as designers of new scientific tools</w:t>
      </w:r>
    </w:p>
    <w:p>
      <w:pPr>
        <w:spacing w:before="0" w:after="120"/>
      </w:pPr>
      <w:r>
        <w:rPr>
          <w:b/>
        </w:rPr>
        <w:t xml:space="preserve">Source: </w:t>
      </w:r>
      <w:r>
        <w:t>Nature</w:t>
      </w:r>
      <w:r>
        <w:t xml:space="preserve">    </w:t>
      </w:r>
      <w:r>
        <w:rPr>
          <w:b/>
        </w:rPr>
        <w:t xml:space="preserve">Pub date: </w:t>
      </w:r>
      <w:r>
        <w:t>2026-08-17 00:00:00+00:00</w:t>
      </w:r>
      <w:r>
        <w:t xml:space="preserve">    </w:t>
      </w:r>
      <w:r>
        <w:rPr>
          <w:b/>
        </w:rPr>
        <w:t xml:space="preserve">DOI: </w:t>
      </w:r>
      <w:hyperlink r:id="rId956">
        <w:r>
          <w:rPr>
            <w:color w:val="1155CC"/>
            <w:u w:val="single"/>
          </w:rPr>
          <w:t>10.1038/d41586-026-02529-x</w:t>
        </w:r>
      </w:hyperlink>
    </w:p>
    <w:p>
      <w:pPr>
        <w:spacing w:before="0" w:after="120"/>
      </w:pPr>
      <w:r>
        <w:rPr>
          <w:b/>
        </w:rPr>
        <w:t xml:space="preserve">Notes: </w:t>
      </w:r>
      <w:r>
        <w:t>abstract_source=rss_nature</w:t>
      </w:r>
    </w:p>
    <w:p>
      <w:pPr>
        <w:spacing w:before="0" w:after="80" w:lineRule="auto" w:line="276"/>
      </w:pPr>
      <w:r>
        <w:rPr>
          <w:b/>
        </w:rPr>
        <w:t xml:space="preserve">摘要（ZH）: </w:t>
      </w:r>
      <w:r>
        <w:t>历史表明，突破往往是由创新仪器引发的，而人工智能帮助设计突破的能力可能是其最重要的科学贡献。</w:t>
      </w:r>
    </w:p>
    <w:p>
      <w:pPr>
        <w:spacing w:before="0" w:after="200" w:lineRule="auto" w:line="276"/>
      </w:pPr>
      <w:r>
        <w:rPr>
          <w:b/>
        </w:rPr>
        <w:t xml:space="preserve">Abstract (EN): </w:t>
      </w:r>
      <w:r>
        <w:t>History shows that breakthroughs are often sparked by innovative instruments, and AI’s ability to help design them might be its most important scientific contribution.</w:t>
      </w:r>
    </w:p>
    <w:p>
      <w:pPr>
        <w:spacing w:before="120" w:after="120"/>
      </w:pPr>
      <w:r>
        <w:rPr>
          <w:sz w:val="18"/>
        </w:rPr>
        <w:t>——————————————————————————————————————————————————————————————————————</w:t>
      </w:r>
    </w:p>
    <w:p>
      <w:pPr>
        <w:spacing w:before="160" w:after="40" w:line="240" w:lineRule="auto"/>
      </w:pPr>
      <w:r>
        <w:rPr>
          <w:b/>
        </w:rPr>
        <w:t xml:space="preserve">[207] </w:t>
      </w:r>
      <w:hyperlink r:id="rId957">
        <w:r>
          <w:rPr>
            <w:color w:val="1155CC"/>
            <w:u w:val="single"/>
          </w:rPr>
          <w:t>人为气候变化导致西太平洋副热带高压更强、更极端</w:t>
        </w:r>
      </w:hyperlink>
    </w:p>
    <w:p>
      <w:pPr>
        <w:spacing w:before="0" w:after="80"/>
      </w:pPr>
      <w:r>
        <w:rPr>
          <w:i/>
          <w:sz w:val="20"/>
        </w:rPr>
        <w:t>EN: Anthropogenic climate change is causing stronger and more extreme western pacific subtropical high</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958">
        <w:r>
          <w:rPr>
            <w:color w:val="1155CC"/>
            <w:u w:val="single"/>
          </w:rPr>
          <w:t>10.1093/nsr/nwag497</w:t>
        </w:r>
      </w:hyperlink>
    </w:p>
    <w:p>
      <w:pPr>
        <w:spacing w:before="0" w:after="120"/>
      </w:pPr>
      <w:r>
        <w:rPr>
          <w:b/>
        </w:rPr>
        <w:t xml:space="preserve">Notes: </w:t>
      </w:r>
      <w:r>
        <w:t>abstract_source=rss_oup</w:t>
      </w:r>
    </w:p>
    <w:p>
      <w:pPr>
        <w:spacing w:before="0" w:after="80" w:lineRule="auto" w:line="276"/>
      </w:pPr>
      <w:r>
        <w:rPr>
          <w:b/>
        </w:rPr>
        <w:t xml:space="preserve">摘要（ZH）: </w:t>
      </w:r>
      <w:r>
        <w:t>西太平洋副热带高压（WPSH）是控制东亚天气异常的重要系统。早期研究使用热力学或动态指标定义了副高，但这些指标在人为变暖下产生了不一致的副高趋势和覆盖范围。随后，关于副山口应对气候变化的共识尚未达成。在这里，我们通过开发基于热力学-动力协同作用的新的副高定义来研究副高对过去和未来气候变化的响应，该定义提供了副高的趋势一致性和与天气异常更好的时空一致性。我们的结果表明，在气候变暖的情况下，副高面积（0.25∼1.03 × 105 km2/decade）和强度（0.35∼1.98 × 105 km2·gpm/decade）以及副高边界向西北扩展（-0.18∼-0.32 °E/decade）强劲增加，这些在各数据集之间是一致的，并得到了强有力的模型间共识的支持。特别是，气候模型预测，在季节性和天气尺度上出现破纪录的副高事件的可能性会增加，在高排放情景下，其强度更强、持续时间更长、发生频率更高。研究结果表明，人类社会越来越多地受到与副高相关的强烈季风降雨和热浪风险的影响，超出了历史记录。</w:t>
      </w:r>
    </w:p>
    <w:p>
      <w:pPr>
        <w:spacing w:before="0" w:after="200" w:lineRule="auto" w:line="276"/>
      </w:pPr>
      <w:r>
        <w:rPr>
          <w:b/>
        </w:rPr>
        <w:t xml:space="preserve">Abstract (EN): </w:t>
      </w:r>
      <w:r>
        <w:t>The western Pacific subtropical high (WPSH) is a crucial system controlling weather anomalies in East Asia. Early studies defined the WPSH using either thermodynamic or dynamic metrics, but these metrics yield inconsistent trends and coverages in WPSH under anthropogenic warming. Subsequently, consensus on the response of WPSH to climate change has not been reached. Here, we investigate the response of WPSH to past and future climate change by developing a novel WPSH definition based on thermodynamic-dynamic synergy, which provides higher trend consistency of WPSH and better spatiotemporal agreement with weather anomalies. Our results reveal robust increases in WPSH area (0.25∼1.03 × 105 km2/decade) and intensity (0.35∼1.98 × 105 km2·gpm/decade), as well as northwestward extension of WPSH boundary (-0.18∼-0.32 °E/decade), under a warmer climate, which are consistent across datasets and supported by a strong inter-model consensus. Particularly, climate models project an increased likelihood of record-breaking WPSH events on both seasonal and synoptic scales, with stronger intensity, longer durations, and higher occurrences under higher-emission scenarios. The findings indicate an increasing exposure of human societies to intense monsoon rainfall and heatwave risks associated with WPSH beyond historical records.</w:t>
      </w:r>
    </w:p>
    <w:p>
      <w:pPr>
        <w:spacing w:before="120" w:after="120"/>
      </w:pPr>
      <w:r>
        <w:rPr>
          <w:sz w:val="18"/>
        </w:rPr>
        <w:t>——————————————————————————————————————————————————————————————————————</w:t>
      </w:r>
    </w:p>
    <w:p>
      <w:pPr>
        <w:spacing w:before="160" w:after="40" w:line="240" w:lineRule="auto"/>
      </w:pPr>
      <w:r>
        <w:rPr>
          <w:b/>
        </w:rPr>
        <w:t xml:space="preserve">[208] </w:t>
      </w:r>
      <w:hyperlink r:id="rId959">
        <w:r>
          <w:rPr>
            <w:color w:val="1155CC"/>
            <w:u w:val="single"/>
          </w:rPr>
          <w:t>粘膜浸润前药凝聚与延长结肠滞留增强 IBD 相关抑郁症治疗</w:t>
        </w:r>
      </w:hyperlink>
    </w:p>
    <w:p>
      <w:pPr>
        <w:spacing w:before="0" w:after="80"/>
      </w:pPr>
      <w:r>
        <w:rPr>
          <w:i/>
          <w:sz w:val="20"/>
        </w:rPr>
        <w:t>EN: Muco-infiltrating prodrug coacervates with prolonged colonic retention enhance IBD-associated depression therapy</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960">
        <w:r>
          <w:rPr>
            <w:color w:val="1155CC"/>
            <w:u w:val="single"/>
          </w:rPr>
          <w:t>10.1093/nsr/nwag487</w:t>
        </w:r>
      </w:hyperlink>
    </w:p>
    <w:p>
      <w:pPr>
        <w:spacing w:before="0" w:after="120"/>
      </w:pPr>
      <w:r>
        <w:rPr>
          <w:b/>
        </w:rPr>
        <w:t xml:space="preserve">Notes: </w:t>
      </w:r>
      <w:r>
        <w:t>abstract_source=rss_oup</w:t>
      </w:r>
    </w:p>
    <w:p>
      <w:pPr>
        <w:spacing w:before="0" w:after="80" w:lineRule="auto" w:line="276"/>
      </w:pPr>
      <w:r>
        <w:rPr>
          <w:b/>
        </w:rPr>
        <w:t xml:space="preserve">摘要（ZH）: </w:t>
      </w:r>
      <w:r>
        <w:t>小分子药物向远端肠道的口服给药通常会受到结肠滞留时间短的阻碍，而结肠滞留时间短是确保结肠药物持续利用的关键要求。在此，我们通过利用液-液相分离（LLPS）的界面物理原理开发了一个极简的粘膜渗透前药凝聚层库。通过系统地调节聚乙二醇（PEG）间隔基的长度和 PEG-药物缀合物中药物贴纸的疏水性，我们精确调节分子两亲性，以产生对水具有超低界面张力的液体凝聚层（体外</w:t>
      </w:r>
    </w:p>
    <w:p>
      <w:pPr>
        <w:spacing w:before="0" w:after="200" w:lineRule="auto" w:line="276"/>
      </w:pPr>
      <w:r>
        <w:rPr>
          <w:b/>
        </w:rPr>
        <w:t xml:space="preserve">Abstract (EN): </w:t>
      </w:r>
      <w:r>
        <w:t>Oral delivery of small-molecule drugs to the distal intestine is often hindered by short colonic retention, a key requirement for ensuring sustained colonic drug availability. Herein, we developed a library of minimalist, muco-infiltrating prodrug coacervates by exploiting the interfacial physics of liquid–liquid phase separation (LLPS). By systematically tuning the length of poly(ethylene glycol) (PEG) spacer and the hydrophobicity of drug stickers in PEG–drug conjugates, we precisely modulated the molecular amphiphilicity to generate liquid coacervates with ultralow interfacial tension against water (in vitro</w:t>
      </w:r>
    </w:p>
    <w:p>
      <w:pPr>
        <w:spacing w:before="120" w:after="120"/>
      </w:pPr>
      <w:r>
        <w:rPr>
          <w:sz w:val="18"/>
        </w:rPr>
        <w:t>——————————————————————————————————————————————————————————————————————</w:t>
      </w:r>
    </w:p>
    <w:p>
      <w:pPr>
        <w:spacing w:before="160" w:after="40" w:line="240" w:lineRule="auto"/>
      </w:pPr>
      <w:r>
        <w:rPr>
          <w:b/>
        </w:rPr>
        <w:t xml:space="preserve">[209] </w:t>
      </w:r>
      <w:hyperlink r:id="rId961">
        <w:r>
          <w:rPr>
            <w:color w:val="1155CC"/>
            <w:u w:val="single"/>
          </w:rPr>
          <w:t>B/Pd 催化的邻位四元/三元立构中心的不对称炔丙取代</w:t>
        </w:r>
      </w:hyperlink>
    </w:p>
    <w:p>
      <w:pPr>
        <w:spacing w:before="0" w:after="80"/>
      </w:pPr>
      <w:r>
        <w:rPr>
          <w:i/>
          <w:sz w:val="20"/>
        </w:rPr>
        <w:t>EN: B/Pd-Catalyzed Asymmetric Propargylic Substitution for Vicinal Quaternary/Tertiary Stereocenters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62">
        <w:r>
          <w:rPr>
            <w:color w:val="1155CC"/>
            <w:u w:val="single"/>
          </w:rPr>
          <w:t>10.1021/jacs.6c07657</w:t>
        </w:r>
      </w:hyperlink>
    </w:p>
    <w:p>
      <w:pPr>
        <w:spacing w:before="0" w:after="120"/>
      </w:pPr>
      <w:r>
        <w:rPr>
          <w:b/>
        </w:rPr>
        <w:t xml:space="preserve">Notes: </w:t>
      </w:r>
      <w:r>
        <w:t>abstract_source=crossref</w:t>
      </w:r>
    </w:p>
    <w:p>
      <w:pPr>
        <w:spacing w:before="0" w:after="80" w:lineRule="auto" w:line="276"/>
      </w:pPr>
      <w:r>
        <w:rPr>
          <w:b/>
        </w:rPr>
        <w:t xml:space="preserve">摘要（ZH）: </w:t>
      </w:r>
      <w:r>
        <w:t>摘要 全碳四元立构中心是生物活性分子中的关键基序，但由于严重的空间位阻和构象灵活性，它们在无环系统中的对映选择性构建仍然是一个艰巨的挑战。尽管炔基是用于多种官能化的通用合成手柄，但炔基取代的全碳四元中心的催化不对称合成明显不发达。在此，我们报告了通过协同 B/Pd 双催化系统实现了叔炔丙碳酸酯与 α-羟基酮的前所未有的不对称炔丙基取代。与通常有利于丙二烯形成的传统钯催化途径不同，该方案独特地保留了炔部分，以提供炔基取代的全碳四元立构中心，该中心带有邻位三级立构中心，具有出色的非对映和对映控制。值得注意的是，该催化系统有效地克服了耦合两个大体积伙伴所固有的空间拥塞，并实现了炔丙碳上两个空间和电子相似的烷基（例如甲基与乙基）之间的精确区分。手性亚磷酰胺-钯催化剂在创造差异化的手性环境以实现卓越水平的对映选择性方面发挥着关键作用。</w:t>
      </w:r>
    </w:p>
    <w:p>
      <w:pPr>
        <w:spacing w:before="0" w:after="200" w:lineRule="auto" w:line="276"/>
      </w:pPr>
      <w:r>
        <w:rPr>
          <w:b/>
        </w:rPr>
        <w:t xml:space="preserve">Abstract (EN): </w:t>
      </w:r>
      <w:r>
        <w:t>All-carbon quaternary stereogenic centers are pivotal motifs in bioactive molecules, yet their enantioselective construction in acyclic systems remains a formidable challenge due to severe steric hindrance and conformational flexibility. Although the alkynyl group is a versatile synthetic handle for diverse functionalizations, the catalytic asymmetric synthesis of alkynyl-substituted all-carbon quaternary centers is significantly underdeveloped. Herein, we report an unprecedented asymmetric propargylic substitution of tertiary propargylic carbonates with α-hydroxy ketones, enabled by a synergistic B/Pd dual-catalytic system. Unlike traditional Pd-catalyzed pathways that typically favor allene formation, this protocol uniquely preserves the alkyne moiety to deliver alkynyl-substituted all-carbon quaternary stereocenters bearing a vicinal tertiary stereocenter with excellent diastereo- and enantiocontrol. Notably, the catalytic system effectively overcomes the inherent steric congestion of coupling two bulky partners and achieves the precise discrimination between two sterically and electronically similar alkyl groups (e.g., methyl vs ethyl) on the propargylic carbon. Chiral phosphoramidite-palladium catalysts play a critical role in creating a differentiated chiral environment to achieve exceptional levels of enantioselectivity.</w:t>
      </w:r>
    </w:p>
    <w:p>
      <w:pPr>
        <w:spacing w:before="120" w:after="120"/>
      </w:pPr>
      <w:r>
        <w:rPr>
          <w:sz w:val="18"/>
        </w:rPr>
        <w:t>——————————————————————————————————————————————————————————————————————</w:t>
      </w:r>
    </w:p>
    <w:p>
      <w:pPr>
        <w:spacing w:before="160" w:after="40" w:line="240" w:lineRule="auto"/>
      </w:pPr>
      <w:r>
        <w:rPr>
          <w:b/>
        </w:rPr>
        <w:t xml:space="preserve">[210] </w:t>
      </w:r>
      <w:hyperlink r:id="rId963">
        <w:r>
          <w:rPr>
            <w:color w:val="1155CC"/>
            <w:u w:val="single"/>
          </w:rPr>
          <w:t>微生物超氧化物的产生驱动土壤中生物二氧化氮的形成</w:t>
        </w:r>
      </w:hyperlink>
    </w:p>
    <w:p>
      <w:pPr>
        <w:spacing w:before="0" w:after="80"/>
      </w:pPr>
      <w:r>
        <w:rPr>
          <w:i/>
          <w:sz w:val="20"/>
        </w:rPr>
        <w:t>EN: Microbial superoxide production drives biogenic nitrogen dioxide formation in soils</w:t>
      </w:r>
    </w:p>
    <w:p>
      <w:pPr>
        <w:spacing w:before="0" w:after="120"/>
      </w:pPr>
      <w:r>
        <w:rPr>
          <w:b/>
        </w:rPr>
        <w:t xml:space="preserve">Source: </w:t>
      </w:r>
      <w:r>
        <w:t>Earth and environmental sciences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二氧化氮 (NO2) 是一种重要的大气污染物和臭氧前体，但生物土壤源仍然很少受到限制。目前的模型假设土壤二氧化氮通量完全是沉积的。在这里，我们证明土壤可以通过微生物超氧化物 (O2ˉ) 的产生来产生 NO2。通过受控阶乘浆料实验，原生微生物群落在接触一氧化氮 (NO) 后产生的 NO2 比无菌对照多约 10 倍。用 NADH 刺激超氧化物的产生可使 NO2 的形成增加 15 至 26 倍，而抑制 NADH 氧化酶则可将产生量降低至基线水平。超氧化物歧化酶使 NO2 产量减少 46-71%，O2ˉ 浓度解释了 NO2 产量变化的 60%。向土壤中添加过氧亚硝酸盐会增加顶空 NO2 的含量，从而证实了该中间体是机械联系。这些发现揭示了一条连接碳和氮循环的途径，其中异养分解者通过超氧化物化学促进生物一氧化氮转化为二氧化氮，这可能解释了卫星观测和模拟土壤氮氧化物排放之间的差异。</w:t>
      </w:r>
    </w:p>
    <w:p>
      <w:pPr>
        <w:spacing w:before="0" w:after="200" w:lineRule="auto" w:line="276"/>
      </w:pPr>
      <w:r>
        <w:rPr>
          <w:b/>
        </w:rPr>
        <w:t xml:space="preserve">Abstract (EN): </w:t>
      </w:r>
      <w:r>
        <w:t>Nitrogen dioxide (NO2) is a critical atmospheric pollutant and ozone precursor, yet biogenic soil sources remain poorly constrained. Current models assume soil NO2 flux is exclusively depositional. Here we demonstrate that soils can produce NO2 through microbial superoxide (O2ˉ) production. Using controlled factorial slurry experiments, native microbial communities produced approximately 10 times more NO2 than sterile controls following nitric oxide (NO) exposure. Stimulating superoxide production with NADH increased NO2 formation 15- to 26-fold, while inhibiting NADH oxidase reduced production toward baseline levels. Superoxide dismutase decreased NO2 production by 46-71%, and O2ˉ concentration explained 60% of variation in NO2 production rates. Addition of peroxynitrite to soil increased headspace NO2, confirming this intermediate as the mechanistic link. These findings reveal a pathway linking carbon and nitrogen cycling where heterotrophic decomposers facilitate biogenic NO-to-NO2 conversion via superoxide chemistry, potentially explaining discrepancies between satellite observations and modelled soil NOx emissions.</w:t>
      </w:r>
    </w:p>
    <w:p>
      <w:pPr>
        <w:spacing w:before="120" w:after="120"/>
      </w:pPr>
      <w:r>
        <w:rPr>
          <w:sz w:val="18"/>
        </w:rPr>
        <w:t>——————————————————————————————————————————————————————————————————————</w:t>
      </w:r>
    </w:p>
    <w:p>
      <w:pPr>
        <w:spacing w:before="160" w:after="40" w:line="240" w:lineRule="auto"/>
      </w:pPr>
      <w:r>
        <w:rPr>
          <w:b/>
        </w:rPr>
        <w:t xml:space="preserve">[211] </w:t>
      </w:r>
      <w:hyperlink r:id="rId964">
        <w:r>
          <w:rPr>
            <w:color w:val="1155CC"/>
            <w:u w:val="single"/>
          </w:rPr>
          <w:t>巴西热带和亚热带森林地上碳汇长期下降</w:t>
        </w:r>
      </w:hyperlink>
    </w:p>
    <w:p>
      <w:pPr>
        <w:spacing w:before="0" w:after="80"/>
      </w:pPr>
      <w:r>
        <w:rPr>
          <w:i/>
          <w:sz w:val="20"/>
        </w:rPr>
        <w:t>EN: Long-term decline in above-ground carbon sinks in Brazilian tropical and subtropical forests</w:t>
      </w:r>
    </w:p>
    <w:p>
      <w:pPr>
        <w:spacing w:before="0" w:after="120"/>
      </w:pPr>
      <w:r>
        <w:rPr>
          <w:b/>
        </w:rPr>
        <w:t xml:space="preserve">Source: </w:t>
      </w:r>
      <w:r>
        <w:t>Earth and environmental sciences : Nature Communications subject feeds</w:t>
      </w:r>
      <w:r>
        <w:t xml:space="preserve">    </w:t>
      </w:r>
      <w:r>
        <w:rPr>
          <w:b/>
        </w:rPr>
        <w:t xml:space="preserve">Pub date: </w:t>
      </w:r>
      <w:r>
        <w:t>2026-08-17 00:00:00+00:00</w:t>
      </w:r>
    </w:p>
    <w:p>
      <w:pPr>
        <w:spacing w:before="0" w:after="120"/>
      </w:pPr>
      <w:r>
        <w:rPr>
          <w:b/>
        </w:rPr>
        <w:t xml:space="preserve">Notes: </w:t>
      </w:r>
      <w:r>
        <w:t>abstract_source=nature_html</w:t>
      </w:r>
    </w:p>
    <w:p>
      <w:pPr>
        <w:spacing w:before="0" w:after="80" w:lineRule="auto" w:line="276"/>
      </w:pPr>
      <w:r>
        <w:rPr>
          <w:b/>
        </w:rPr>
        <w:t xml:space="preserve">摘要（ZH）: </w:t>
      </w:r>
      <w:r>
        <w:t>最近的证据表明，巴西森林正在从持久性碳汇转向新兴碳源，对全球气候产生重要影响。为了调查这一趋势，我们分析了巴西东南部和南部 49 个森林点（包括热带和亚热带森林）的长期人口普查数据。我们研究了地上碳动态及其与树木多样性和功能性状的关系，这些多样性和功能性状与物种的碳处理和储存能力密切相关。我们的研究结果揭示了分类、功能和系统发育同质化的长期趋势以及森林地上碳汇的下降。具体来说，同质的森林具有较低的碳损失，而具有更保守物种的森林则具有更大的碳增益和较低的碳损失。总体而言，我们的研究建立了一个基线，以了解和预测该地区面临持续气候变化时的地上碳汇。</w:t>
      </w:r>
    </w:p>
    <w:p>
      <w:pPr>
        <w:spacing w:before="0" w:after="200" w:lineRule="auto" w:line="276"/>
      </w:pPr>
      <w:r>
        <w:rPr>
          <w:b/>
        </w:rPr>
        <w:t xml:space="preserve">Abstract (EN): </w:t>
      </w:r>
      <w:r>
        <w:t>Recent evidence indicates that Brazilian forests are shifting from persistent carbon sinks to emerging carbon sources, with important implications for the global climate. To investigate this trend, we analyse long-term census data from 49 forest sites spanning southeast and southern Brazil, including tropical and subtropical forests. We examine above-ground carbon dynamics and its relationship with tree diversity and functional traits that are tightly linked with species’ carbon processing and storage capacities. Our findings reveal a long-term trend of taxonomic, functional and phylogenetic homogenisation and a decline in the forests’ above-ground carbon sink. Specifically, homogeneous forests have lower carbon losses, whilst forests with more conservative species are associated with greater carbon gains and lower carbon losses. Overall, our study establishes a baseline to understand and predict the above-ground carbon sink in the face of ongoing climate change in this region.</w:t>
      </w:r>
    </w:p>
    <w:p>
      <w:pPr>
        <w:spacing w:before="120" w:after="120"/>
      </w:pPr>
      <w:r>
        <w:rPr>
          <w:sz w:val="18"/>
        </w:rPr>
        <w:t>——————————————————————————————————————————————————————————————————————</w:t>
      </w:r>
    </w:p>
    <w:p>
      <w:pPr>
        <w:spacing w:before="160" w:after="40" w:line="240" w:lineRule="auto"/>
      </w:pPr>
      <w:r>
        <w:rPr>
          <w:b/>
        </w:rPr>
        <w:t xml:space="preserve">[212] </w:t>
      </w:r>
      <w:hyperlink r:id="rId965">
        <w:r>
          <w:rPr>
            <w:color w:val="1155CC"/>
            <w:u w:val="single"/>
          </w:rPr>
          <w:t>用于自组装混合结构的蛋白质折叠超分子合成子</w:t>
        </w:r>
      </w:hyperlink>
    </w:p>
    <w:p>
      <w:pPr>
        <w:spacing w:before="0" w:after="80"/>
      </w:pPr>
      <w:r>
        <w:rPr>
          <w:i/>
          <w:sz w:val="20"/>
        </w:rPr>
        <w:t>EN: A protein–foldamer supramolecular synthon for self-assembled hybrid architectures</w:t>
      </w:r>
    </w:p>
    <w:p>
      <w:pPr>
        <w:spacing w:before="0" w:after="120"/>
      </w:pPr>
      <w:r>
        <w:rPr>
          <w:b/>
        </w:rPr>
        <w:t xml:space="preserve">Source: </w:t>
      </w:r>
      <w:r>
        <w:t>Nature Chemistry</w:t>
      </w:r>
      <w:r>
        <w:t xml:space="preserve">    </w:t>
      </w:r>
      <w:r>
        <w:rPr>
          <w:b/>
        </w:rPr>
        <w:t xml:space="preserve">Pub date: </w:t>
      </w:r>
      <w:r>
        <w:t>2026-08-17 00:00:00+00:00</w:t>
      </w:r>
      <w:r>
        <w:t xml:space="preserve">    </w:t>
      </w:r>
      <w:r>
        <w:rPr>
          <w:b/>
        </w:rPr>
        <w:t xml:space="preserve">DOI: </w:t>
      </w:r>
      <w:hyperlink r:id="rId966">
        <w:r>
          <w:rPr>
            <w:color w:val="1155CC"/>
            <w:u w:val="single"/>
          </w:rPr>
          <w:t>10.1038/s41557-026-02222-6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缺乏足够大且有组织的蛋白质-配体界面以实现精确的结构控制，构建结合蛋白质和合成配体的人工组装体一直受到阻碍。这里，核糖体展示选择用于识别通过相当大的表面积紧密且选择性地结合螺旋芳香折叠体的蛋白质。我们使用这种复合物作为超分子合成子来创建明确的混合折叠体-蛋白质结构。例子包括结合两个蛋白质并将它们保持在精确距离的折叠体、结合两个折叠体的蛋白质以及其中蛋白质和折叠体以循环或无限阵列连接的晶体。芳香折叠体的模块化为基于蛋白质的组装带来了进一步的维度。</w:t>
      </w:r>
    </w:p>
    <w:p>
      <w:pPr>
        <w:spacing w:before="0" w:after="200" w:lineRule="auto" w:line="276"/>
      </w:pPr>
      <w:r>
        <w:rPr>
          <w:b/>
        </w:rPr>
        <w:t xml:space="preserve">Abstract (EN): </w:t>
      </w:r>
      <w:r>
        <w:t>Constructing artificial assemblies that combine proteins and synthetic ligands has been hampered by the lack of protein–ligand interfaces that are sufficiently large and organized to enable precise structural control. Here ribosome display selection is used to identify a protein that binds a helical aromatic foldamer both tightly and selectively through a sizeable surface area. We used this complex as a supramolecular synthon to create well-defined hybrid foldamer–protein architectures. Examples include foldamers that bind two proteins and hold them at a precise distance, proteins that bind two foldamers and crystals in which proteins and foldamers are connected in cyclic or infinite arrays. The modularity of aromatic foldamers brings a further dimension to protein-based assemblies.</w:t>
      </w:r>
    </w:p>
    <w:p>
      <w:pPr>
        <w:spacing w:before="120" w:after="120"/>
      </w:pPr>
      <w:r>
        <w:rPr>
          <w:sz w:val="18"/>
        </w:rPr>
        <w:t>——————————————————————————————————————————————————————————————————————</w:t>
      </w:r>
    </w:p>
    <w:p>
      <w:pPr>
        <w:spacing w:before="160" w:after="40" w:line="240" w:lineRule="auto"/>
      </w:pPr>
      <w:r>
        <w:rPr>
          <w:b/>
        </w:rPr>
        <w:t xml:space="preserve">[213] </w:t>
      </w:r>
      <w:hyperlink r:id="rId967">
        <w:r>
          <w:rPr>
            <w:color w:val="1155CC"/>
            <w:u w:val="single"/>
          </w:rPr>
          <w:t>分子识别驱动的人工分子传感器</w:t>
        </w:r>
      </w:hyperlink>
    </w:p>
    <w:p>
      <w:pPr>
        <w:spacing w:before="0" w:after="80"/>
      </w:pPr>
      <w:r>
        <w:rPr>
          <w:i/>
          <w:sz w:val="20"/>
        </w:rPr>
        <w:t>EN: An Artificial Molecular Transducer Driven by Molecular Recognition</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68">
        <w:r>
          <w:rPr>
            <w:color w:val="1155CC"/>
            <w:u w:val="single"/>
          </w:rPr>
          <w:t>10.1021/jacs.6c12829</w:t>
        </w:r>
      </w:hyperlink>
    </w:p>
    <w:p>
      <w:pPr>
        <w:spacing w:before="0" w:after="120"/>
      </w:pPr>
      <w:r>
        <w:rPr>
          <w:b/>
        </w:rPr>
        <w:t xml:space="preserve">Notes: </w:t>
      </w:r>
      <w:r>
        <w:t>abstract_source=crossref</w:t>
      </w:r>
    </w:p>
    <w:p>
      <w:pPr>
        <w:spacing w:before="0" w:after="80" w:lineRule="auto" w:line="276"/>
      </w:pPr>
      <w:r>
        <w:rPr>
          <w:b/>
        </w:rPr>
        <w:t xml:space="preserve">摘要（ZH）: </w:t>
      </w:r>
      <w:r>
        <w:t>摘要 自然界的生物机器利用信号分子来调节复杂的功能，但在人工系统中复制这些功能仍然具有挑战性。在这里，我们报告了一种人工分子传感器，其操作是由外源信号分子的分子识别驱动的。换能器在其制备形式中缺乏有效的结合腔。然后用适当的信号分子处理诱导构象变化，从而创建适合客人识别的可进入空腔。使用蒽作为光响应信号分子可以控制客体结合和释放。这使得传感器能够以向下梯度和向上梯度模式介导代表性小分子穿过厘米厚的水层的传输，并促进支持传输的生物正交反应。</w:t>
      </w:r>
    </w:p>
    <w:p>
      <w:pPr>
        <w:spacing w:before="0" w:after="200" w:lineRule="auto" w:line="276"/>
      </w:pPr>
      <w:r>
        <w:rPr>
          <w:b/>
        </w:rPr>
        <w:t xml:space="preserve">Abstract (EN): </w:t>
      </w:r>
      <w:r>
        <w:t>Nature’s biological machines employ signaling molecules to regulate complex functions, but replicating these functions in artificial systems remains challenging. Here, we report an artificial molecular transducer whose operation is driven by the molecular recognition of exogenous signaling molecules. The transducer lacks an effective binding cavity in its as-prepared form. Treatment with appropriate signaling molecules then induces conformational changes that create an accessible cavity suitable for guest recognition. Using anthracene as a photoresponsive signaling molecule enables control over guest binding and release. This allows the transducer to mediate the transport of representative small molecules across a centimeter-thick aqueous layer in both down-gradient and up-gradient modes, and to promote a transport-enabled bioorthogonal reaction.</w:t>
      </w:r>
    </w:p>
    <w:p>
      <w:pPr>
        <w:spacing w:before="120" w:after="120"/>
      </w:pPr>
      <w:r>
        <w:rPr>
          <w:sz w:val="18"/>
        </w:rPr>
        <w:t>——————————————————————————————————————————————————————————————————————</w:t>
      </w:r>
    </w:p>
    <w:p>
      <w:pPr>
        <w:spacing w:before="160" w:after="40" w:line="240" w:lineRule="auto"/>
      </w:pPr>
      <w:r>
        <w:rPr>
          <w:b/>
        </w:rPr>
        <w:t xml:space="preserve">[214] </w:t>
      </w:r>
      <w:hyperlink r:id="rId969">
        <w:r>
          <w:rPr>
            <w:color w:val="1155CC"/>
            <w:u w:val="single"/>
          </w:rPr>
          <w:t>短波红外 (SWIR) 四苯并硅罗丹明</w:t>
        </w:r>
      </w:hyperlink>
    </w:p>
    <w:p>
      <w:pPr>
        <w:spacing w:before="0" w:after="80"/>
      </w:pPr>
      <w:r>
        <w:rPr>
          <w:i/>
          <w:sz w:val="20"/>
        </w:rPr>
        <w:t>EN: Shortwave-Infrared (SWIR) Tetrabenzannulated Silicon-Rhodamine</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70">
        <w:r>
          <w:rPr>
            <w:color w:val="1155CC"/>
            <w:u w:val="single"/>
          </w:rPr>
          <w:t>10.1021/jacs.6c07990</w:t>
        </w:r>
      </w:hyperlink>
    </w:p>
    <w:p>
      <w:pPr>
        <w:spacing w:before="0" w:after="120"/>
      </w:pPr>
      <w:r>
        <w:rPr>
          <w:b/>
        </w:rPr>
        <w:t xml:space="preserve">Notes: </w:t>
      </w:r>
      <w:r>
        <w:t>abstract_source=crossref</w:t>
      </w:r>
    </w:p>
    <w:p>
      <w:pPr>
        <w:spacing w:before="0" w:after="80" w:lineRule="auto" w:line="276"/>
      </w:pPr>
      <w:r>
        <w:rPr>
          <w:b/>
        </w:rPr>
        <w:t xml:space="preserve">摘要（ZH）: </w:t>
      </w:r>
      <w:r>
        <w:t>摘要 体内成像是变革性生物医学技术成功的关键。目前，人们寻求在短波红外 (SWIR) 光谱区域（即 1000 nm 及以上）吸收和发射的强大染料，以及评估其体内成像性能的标准方案。在这里，我们报告了四苯环化硅罗丹明染料（ESi7）的合理设计，遵循长波长的苯环化、稳定性的空间屏蔽和亮度的深度刚性化的三步指南及其聚合合成。与其碳桥前身 (EC7) 相比，ESi7 的亮点在于其环应变增加、振动自由度降低以及荧光寿命延长。 ESi7 在 CH2Cl2 中表现出 0.19% 的显着荧光量子产率，据我们所知，这是小分子荧光团在 1176/1275 nm 处吸收/发射的最高荧光量子产率。凭借其长光谱波长、强大的光/化学稳定性和高荧光亮度，ESi7 的体内小鼠成像建立了“PEAK”标准，即“穿透深度、曝光时间、采集持续时间和对比度”的缩写。</w:t>
      </w:r>
    </w:p>
    <w:p>
      <w:pPr>
        <w:spacing w:before="0" w:after="200" w:lineRule="auto" w:line="276"/>
      </w:pPr>
      <w:r>
        <w:rPr>
          <w:b/>
        </w:rPr>
        <w:t xml:space="preserve">Abstract (EN): </w:t>
      </w:r>
      <w:r>
        <w:t>In vivo imaging is the key to the success of transformative biomedical technologies. Currently, robust dyes absorbing and emitting in the shortwave infrared (SWIR) spectral region, i.e., 1000 nm and beyond, as well as a standard protocol to evaluate their performance in in vivo imaging, are sought after. Here, we report the rational design of the tetrabenzannulated silicon-rhodamine dye (ESi7), following the three-step guideline of benzannulation for long wavelength, steric shielding for stability, and deep rigidification for brightness and its convergent synthesis. Compared to its carbon-bridged predecessor (EC7), the highlights of ESi7 are its increased ring strain, reduced vibrational freedom, and improved fluorescence lifetime. ESi7 exhibits a remarkable fluorescence quantum yield of 0.19% in CH2Cl2, the highest for a small-molecule fluorophore absorbing/emitting at 1176/1275 nm to the best of our knowledge. Endowed by its long spectral wavelength, robust photo/chemo-stability, and high fluorescence brightness, in vivo mouse imaging with ESi7 set up a “PEAK” standard, an acronym for “Penetration depth, Exposure time, Acquisition duration, and Contrast”.</w:t>
      </w:r>
    </w:p>
    <w:p>
      <w:pPr>
        <w:spacing w:before="120" w:after="120"/>
      </w:pPr>
      <w:r>
        <w:rPr>
          <w:sz w:val="18"/>
        </w:rPr>
        <w:t>——————————————————————————————————————————————————————————————————————</w:t>
      </w:r>
    </w:p>
    <w:p>
      <w:pPr>
        <w:spacing w:before="160" w:after="40" w:line="240" w:lineRule="auto"/>
      </w:pPr>
      <w:r>
        <w:rPr>
          <w:b/>
        </w:rPr>
        <w:t xml:space="preserve">[215] </w:t>
      </w:r>
      <w:hyperlink r:id="rId971">
        <w:r>
          <w:rPr>
            <w:color w:val="1155CC"/>
            <w:u w:val="single"/>
          </w:rPr>
          <w:t>FabV 系列酶的迭代烯酰还原扩展了离散聚酮化合物合成酶的化学景观</w:t>
        </w:r>
      </w:hyperlink>
    </w:p>
    <w:p>
      <w:pPr>
        <w:spacing w:before="0" w:after="80"/>
      </w:pPr>
      <w:r>
        <w:rPr>
          <w:i/>
          <w:sz w:val="20"/>
        </w:rPr>
        <w:t>EN: Iterative Enoyl Reduction by a FabV-Family Enzyme Expands the Chemical Landscape of Discrete Polyketide Synthases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72">
        <w:r>
          <w:rPr>
            <w:color w:val="1155CC"/>
            <w:u w:val="single"/>
          </w:rPr>
          <w:t>10.1021/jacs.6c11267</w:t>
        </w:r>
      </w:hyperlink>
    </w:p>
    <w:p>
      <w:pPr>
        <w:spacing w:before="0" w:after="120"/>
      </w:pPr>
      <w:r>
        <w:rPr>
          <w:b/>
        </w:rPr>
        <w:t xml:space="preserve">Notes: </w:t>
      </w:r>
      <w:r>
        <w:t>abstract_source=crossref</w:t>
      </w:r>
    </w:p>
    <w:p>
      <w:pPr>
        <w:spacing w:before="0" w:after="80" w:lineRule="auto" w:line="276"/>
      </w:pPr>
      <w:r>
        <w:rPr>
          <w:b/>
        </w:rPr>
        <w:t xml:space="preserve">摘要（ZH）: </w:t>
      </w:r>
      <w:r>
        <w:t>摘要 聚酮化合物是一类结构多样的天然产物，具有巨大的治疗潜力。然而，离散聚酮合酶 (PKS) 的生物合成输出受到基本功能限制的限制：与模块化 I 型系统不同，离散 PKS 系统通常缺乏集成的烯酰还原酶 (ER) 活性。这种限制将它们的化学成分主要限制在不饱和多烯或芳香族支架上。在这里，我们表征了 PbrC16，它是来自 Peterkaempfera bronchialis 中手霉素型生物合成基因簇 (BGC) 的 FabV 家族 ER。该酶代表了第一个经过实验验证的能够在离散 PKS 架构中发挥作用的 ER。体外生化重构表明，PbrC16 及其同源物 ScFabV 在 β-酮酰基-酰基载体蛋白合酶 III (KAS III) 依赖性和高度还原 (HR) II 型 PKS 环境中催化迭代烯酰还原，从而实现长链聚酮化合物中间体的完全饱和。结构和计算分析揭示了其特殊的底物混杂性和多功能酰基载体蛋白（ACP）识别的分子基础。这些发现解决了离散 PKS 生物学中长期存在的“还原差距”，并为饱和聚酮化合物支架的合理工程提供了“即插即用”模块。</w:t>
      </w:r>
    </w:p>
    <w:p>
      <w:pPr>
        <w:spacing w:before="0" w:after="200" w:lineRule="auto" w:line="276"/>
      </w:pPr>
      <w:r>
        <w:rPr>
          <w:b/>
        </w:rPr>
        <w:t xml:space="preserve">Abstract (EN): </w:t>
      </w:r>
      <w:r>
        <w:t>Polyketides are a structurally diverse class of natural products with immense therapeutic potential. However, the biosynthetic output of discrete polyketide synthases (PKSs) has been constrained by a fundamental functional limitation: unlike modular Type I systems, discrete PKS systems typically lack integrated enoyl reductase (ER) activity. This constraint restricts their chemical repertoire primarily to unsaturated polyenes or aromatic scaffolds. Here, we characterize PbrC16, a FabV-family ER from a manumycin-type biosynthetic gene cluster (BGC) in Peterkaempfera bronchialis. This enzyme represents the first experimentally validated ER capable of functioning within discrete PKS architectures. In vitro biochemical reconstitution demonstrates that PbrC16 along with its homologue ScFabV catalyze iterative enoyl reductions in both β-ketoacyl–acyl carrier protein synthase III (KAS III)-dependent and highly reducing (HR) Type II PKS contexts, enabling the complete saturation of long-chain polyketide intermediates. Structural and computational analyses reveal the molecular basis for its exceptional substrate promiscuity and versatile acyl carrier protein (ACP) recognition. These findings resolve a long-standing “reductive gap” in discrete PKS biology and provide a “plug-and-play” module for the rational engineering of saturated polyketide scaffolds.</w:t>
      </w:r>
    </w:p>
    <w:p>
      <w:pPr>
        <w:spacing w:before="120" w:after="120"/>
      </w:pPr>
      <w:r>
        <w:rPr>
          <w:sz w:val="18"/>
        </w:rPr>
        <w:t>——————————————————————————————————————————————————————————————————————</w:t>
      </w:r>
    </w:p>
    <w:p>
      <w:pPr>
        <w:spacing w:before="160" w:after="40" w:line="240" w:lineRule="auto"/>
      </w:pPr>
      <w:r>
        <w:rPr>
          <w:b/>
        </w:rPr>
        <w:t xml:space="preserve">[216] </w:t>
      </w:r>
      <w:hyperlink r:id="rId973">
        <w:r>
          <w:rPr>
            <w:color w:val="1155CC"/>
            <w:u w:val="single"/>
          </w:rPr>
          <w:t>对“(R)-和(S)-β2-羟基酸体外共翻译掺入：大肠杆菌核糖体的结构和生化研究”的更正</w:t>
        </w:r>
      </w:hyperlink>
    </w:p>
    <w:p>
      <w:pPr>
        <w:spacing w:before="0" w:after="80"/>
      </w:pPr>
      <w:r>
        <w:rPr>
          <w:i/>
          <w:sz w:val="20"/>
        </w:rPr>
        <w:t>EN: Correction to “Co-Translational Incorporation of ( R )- and ( S )-β2-Hydroxy Acids In Vitro : A Structural and Biochemical Study on the E. coli Ribosome”</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74">
        <w:r>
          <w:rPr>
            <w:color w:val="1155CC"/>
            <w:u w:val="single"/>
          </w:rPr>
          <w:t>10.1021/jacs.6c13108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975">
        <w:r>
          <w:rPr>
            <w:color w:val="1155CC"/>
            <w:u w:val="single"/>
          </w:rPr>
          <w:t>超分子肽双层的序列定向层次结构和血红素辅因子插入</w:t>
        </w:r>
      </w:hyperlink>
    </w:p>
    <w:p>
      <w:pPr>
        <w:spacing w:before="0" w:after="80"/>
      </w:pPr>
      <w:r>
        <w:rPr>
          <w:i/>
          <w:sz w:val="20"/>
        </w:rPr>
        <w:t>EN: Sequence-Directed Hierarchy of Supramolecular Peptide Bilayers and Heme Cofactor Insertion</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76">
        <w:r>
          <w:rPr>
            <w:color w:val="1155CC"/>
            <w:u w:val="single"/>
          </w:rPr>
          <w:t>10.1021/jacs.6c05871</w:t>
        </w:r>
      </w:hyperlink>
    </w:p>
    <w:p>
      <w:pPr>
        <w:spacing w:before="0" w:after="120"/>
      </w:pPr>
      <w:r>
        <w:rPr>
          <w:b/>
        </w:rPr>
        <w:t xml:space="preserve">Notes: </w:t>
      </w:r>
      <w:r>
        <w:t>abstract_source=crossref</w:t>
      </w:r>
    </w:p>
    <w:p>
      <w:pPr>
        <w:spacing w:before="0" w:after="80" w:lineRule="auto" w:line="276"/>
      </w:pPr>
      <w:r>
        <w:rPr>
          <w:b/>
        </w:rPr>
        <w:t xml:space="preserve">摘要（ZH）: </w:t>
      </w:r>
      <w:r>
        <w:t>摘要 肽基材料在治疗、传感、催化和柔性电子学等领域具有巨大的应用潜力。最近通过肽序列空间进行的材料发现筛选已经鉴定出一类含有两亲性血红素的肽，它们在纳米尺度上自组装，同时有效地隔离血红素作为电子转移的先决条件。然而，组装体对肽序列的变化非常敏感，即使是在单个残基水平上，也会影响血红素的吸收、聚集特性和稳定性。在实验和分子模拟相结合的研究中，我们研究了疏水性和电荷-电荷排斥之间的相互作用对代表性肽组装体的血红素摄取性能和理化特性的影响，ExL4–xL5HL6（x = 2,3,4）。我们发现膜渗透性和可压缩性有利于血红素摄取，同时与组装体的整体稳定性取得平衡。这项工作强调了肽设计空间内材料性能的敏感性，同时提供了对竞争特性之间必须达成的妥协的见解。</w:t>
      </w:r>
    </w:p>
    <w:p>
      <w:pPr>
        <w:spacing w:before="0" w:after="200" w:lineRule="auto" w:line="276"/>
      </w:pPr>
      <w:r>
        <w:rPr>
          <w:b/>
        </w:rPr>
        <w:t xml:space="preserve">Abstract (EN): </w:t>
      </w:r>
      <w:r>
        <w:t>Peptide-based materials have enormous potential for applications including therapeutics, sensing, catalysis, and flexible electronics. Recent material discovery screenings through peptide sequence space have identified a class of amphiphilic heme-containing peptides that self-assemble at the nanoscale while efficiently sequestering heme as a prerequisite for electron transfer. However, the assemblies are remarkably sensitive to changes in peptide sequence, even at the single-residue level, impacting heme uptake, aggregate characteristics, and stability. In a combined experimental and molecular simulation study, we examine the interplay between hydrophobicity and charge–charge repulsion on the heme uptake performance and physicochemical characteristics of the assemblies of representative peptides, ExL4–xL5HL6 for x = 2, 3, 4. We find that membrane permeability and compressibility are beneficial for heme uptake, while striking a balance with the overall stability of the assembly. This work highlights the sensitivity of material performance within peptide design space while providing insight into the compromise that must be struck between competing characteristics.</w:t>
      </w:r>
    </w:p>
    <w:p>
      <w:pPr>
        <w:spacing w:before="120" w:after="120"/>
      </w:pPr>
      <w:r>
        <w:rPr>
          <w:sz w:val="18"/>
        </w:rPr>
        <w:t>——————————————————————————————————————————————————————————————————————</w:t>
      </w:r>
    </w:p>
    <w:p>
      <w:pPr>
        <w:spacing w:before="160" w:after="40" w:line="240" w:lineRule="auto"/>
      </w:pPr>
      <w:r>
        <w:rPr>
          <w:b/>
        </w:rPr>
        <w:t xml:space="preserve">[218] </w:t>
      </w:r>
      <w:hyperlink r:id="rId977">
        <w:r>
          <w:rPr>
            <w:color w:val="1155CC"/>
            <w:u w:val="single"/>
          </w:rPr>
          <w:t>Ti2CCl2 MXene 的气相合成</w:t>
        </w:r>
      </w:hyperlink>
    </w:p>
    <w:p>
      <w:pPr>
        <w:spacing w:before="0" w:after="80"/>
      </w:pPr>
      <w:r>
        <w:rPr>
          <w:i/>
          <w:sz w:val="20"/>
        </w:rPr>
        <w:t>EN: Vapor-Phase Synthesis of Ti2CCl2 MXene</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78">
        <w:r>
          <w:rPr>
            <w:color w:val="1155CC"/>
            <w:u w:val="single"/>
          </w:rPr>
          <w:t>10.1021/jacs.6c10774</w:t>
        </w:r>
      </w:hyperlink>
    </w:p>
    <w:p>
      <w:pPr>
        <w:spacing w:before="0" w:after="120"/>
      </w:pPr>
      <w:r>
        <w:rPr>
          <w:b/>
        </w:rPr>
        <w:t xml:space="preserve">Notes: </w:t>
      </w:r>
      <w:r>
        <w:t>abstract_source=crossref</w:t>
      </w:r>
    </w:p>
    <w:p>
      <w:pPr>
        <w:spacing w:before="0" w:after="80" w:lineRule="auto" w:line="276"/>
      </w:pPr>
      <w:r>
        <w:rPr>
          <w:b/>
        </w:rPr>
        <w:t xml:space="preserve">摘要（ZH）: </w:t>
      </w:r>
      <w:r>
        <w:t>摘要 气相合成可以绕过 MAX 相合成，从丰富的前驱体中生产二维过渡金属碳化物和氮化物 (MXene)。然而，在 Talapin 小组首次报告钛箔上 MXene 的化学气相沉积之后，进展甚微，因为人们对生长机制仍知之甚少。在这里，展示了从 Ti、TiCl4 和 CH4 中气相合成高质量 Ti2CCl2 MXene 的方法，并阐明了生长机制的关键特征。增加 Ti 表面积，同时限制反应体积，可以在石英基底上气相形成 Ti2CCl2。 TiCl2 的过饱和增加了气相碰撞频率，促进了 2D MXene 薄片的成核和随后的生长。合成的片层自组织成具有不同形态的球晶，形成与气固过程一致的多孔纳米晶体网络。随着合成时间的增加，观察到连续横向生长成更大的薄片，这表明晶圆级合成的可行性。这项研究为 Ti2CCl2 MXene 提供了一条实用的合成路线，加速了 MXene 在量子技术、光学和电子学中的研究和应用，这些领域需要低缺陷密度的二维晶体。</w:t>
      </w:r>
    </w:p>
    <w:p>
      <w:pPr>
        <w:spacing w:before="0" w:after="200" w:lineRule="auto" w:line="276"/>
      </w:pPr>
      <w:r>
        <w:rPr>
          <w:b/>
        </w:rPr>
        <w:t xml:space="preserve">Abstract (EN): </w:t>
      </w:r>
      <w:r>
        <w:t>The vapor-phase synthesis can produce 2D transition metal carbides and nitrides (MXenes) from abundant precursors, bypassing MAX phase synthesis. However, little progress was made after the initial report by Talapin’s group on the chemical vapor deposition of MXenes on titanium foil, as the growth mechanisms remained poorly understood. Here, a scalable vapor-phase synthesis of high-quality Ti2CCl2 MXene from Ti, TiCl4, and CH4 is demonstrated, and the key features of the growth mechanism are elucidated. Increasing the Ti surface area while confining the reaction volume enables vapor-phase formation of Ti2CCl2 on quartz substrates. Supersaturation of TiCl2 increases gas-phase collision frequency, promoting nucleation and subsequent growth of 2D MXene flakes. The as-synthesized lamellae self-organize into spherulites with diverse morphologies, forming a porous nanocrystal network consistent with the gas-to-solid process. The continuous lateral growth into larger flakes is observed as synthesis time increases, suggesting the feasibility of wafer-scale synthesis. This study provides a practical synthesis route for Ti2CCl2 MXenes, accelerating MXene research and applications in quantum technology, optics, and electronics, where 2D crystals with low defect density are required.</w:t>
      </w:r>
    </w:p>
    <w:p>
      <w:pPr>
        <w:spacing w:before="120" w:after="120"/>
      </w:pPr>
      <w:r>
        <w:rPr>
          <w:sz w:val="18"/>
        </w:rPr>
        <w:t>——————————————————————————————————————————————————————————————————————</w:t>
      </w:r>
    </w:p>
    <w:p>
      <w:pPr>
        <w:spacing w:before="160" w:after="40" w:line="240" w:lineRule="auto"/>
      </w:pPr>
      <w:r>
        <w:rPr>
          <w:b/>
        </w:rPr>
        <w:t xml:space="preserve">[219] </w:t>
      </w:r>
      <w:hyperlink r:id="rId979">
        <w:r>
          <w:rPr>
            <w:color w:val="1155CC"/>
            <w:u w:val="single"/>
          </w:rPr>
          <w:t>醇衍生物催化烯烃不对称烷基化</w:t>
        </w:r>
      </w:hyperlink>
    </w:p>
    <w:p>
      <w:pPr>
        <w:spacing w:before="0" w:after="80"/>
      </w:pPr>
      <w:r>
        <w:rPr>
          <w:i/>
          <w:sz w:val="20"/>
        </w:rPr>
        <w:t>EN: The Catalytic Asymmetric Alkylation of Olefins with Alcohol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80">
        <w:r>
          <w:rPr>
            <w:color w:val="1155CC"/>
            <w:u w:val="single"/>
          </w:rPr>
          <w:t>10.1021/jacs.6c12914</w:t>
        </w:r>
      </w:hyperlink>
    </w:p>
    <w:p>
      <w:pPr>
        <w:spacing w:before="0" w:after="120"/>
      </w:pPr>
      <w:r>
        <w:rPr>
          <w:b/>
        </w:rPr>
        <w:t xml:space="preserve">Notes: </w:t>
      </w:r>
      <w:r>
        <w:t>abstract_source=crossref</w:t>
      </w:r>
    </w:p>
    <w:p>
      <w:pPr>
        <w:spacing w:before="0" w:after="80" w:lineRule="auto" w:line="276"/>
      </w:pPr>
      <w:r>
        <w:rPr>
          <w:b/>
        </w:rPr>
        <w:t xml:space="preserve">摘要（ZH）: </w:t>
      </w:r>
      <w:r>
        <w:t>摘要 烯烃和芳烃都是丰富且用途广泛的化学原料。尽管芳烃的亲电烷基化是一项先进技术，但相应的烯烃烷基化却相当不发达。在这里，我们报道了未活化烯烃与乙酸酯作为亲电子试剂的不对称催化苄基化和烯丙基化。该反应由单一亚氨基二磷酸亚胺酯有机催化剂催化，作为硅鎓路易斯酸。机理实验支持以立体烧蚀离子对形成为特征的对映会聚 SN1 机制，从而实现动态动力学分辨率。对映体富集的烃产品很容易通过一两个步骤衍生为气味剂和非甾体抗炎药。所开发的方法为通过π-烯丙基金属配合物进行的Tsuji-Trost型烯丙基化提供了一种无金属替代方案。</w:t>
      </w:r>
    </w:p>
    <w:p>
      <w:pPr>
        <w:spacing w:before="0" w:after="200" w:lineRule="auto" w:line="276"/>
      </w:pPr>
      <w:r>
        <w:rPr>
          <w:b/>
        </w:rPr>
        <w:t xml:space="preserve">Abstract (EN): </w:t>
      </w:r>
      <w:r>
        <w:t>Both olefins and arenes are abundant and versatile feedstock chemicals. Although the electrophilic alkylation of arenes constitutes an advanced technology, the corresponding alkylation of olefins is rather undeveloped. Here, we report an asymmetric catalytic benzylation and allylation of unactivated olefins with acetates as electrophiles. The reaction is catalyzed by a single imidodiphosphorimidate organocatalyst operating as a silylium Lewis acid. Mechanistic experiments support an enantioconvergent SN1 mechanism featuring stereoablative ion pair formation, resulting in a dynamic kinetic resolution. The enantioenriched hydrocarbon products are readily derivatized to odorants and nonsteroidal anti-inflammatory drugs in one or two steps. The developed method provides a metal-free alternative to cornerstone Tsuji–Trost-type allylations proceeding though π-allyl metal complexes.</w:t>
      </w:r>
    </w:p>
    <w:p>
      <w:pPr>
        <w:spacing w:before="120" w:after="120"/>
      </w:pPr>
      <w:r>
        <w:rPr>
          <w:sz w:val="18"/>
        </w:rPr>
        <w:t>——————————————————————————————————————————————————————————————————————</w:t>
      </w:r>
    </w:p>
    <w:p>
      <w:pPr>
        <w:spacing w:before="160" w:after="40" w:line="240" w:lineRule="auto"/>
      </w:pPr>
      <w:r>
        <w:rPr>
          <w:b/>
        </w:rPr>
        <w:t xml:space="preserve">[220] </w:t>
      </w:r>
      <w:hyperlink r:id="rId981">
        <w:r>
          <w:rPr>
            <w:color w:val="1155CC"/>
            <w:u w:val="single"/>
          </w:rPr>
          <w:t>Cu 单原子催化剂作为 C(sp3)–H 键电氧化的本征氢原子转移介体</w:t>
        </w:r>
      </w:hyperlink>
    </w:p>
    <w:p>
      <w:pPr>
        <w:spacing w:before="0" w:after="80"/>
      </w:pPr>
      <w:r>
        <w:rPr>
          <w:i/>
          <w:sz w:val="20"/>
        </w:rPr>
        <w:t>EN: A Cu Single-Atom Catalyst as an Intrinsic Hydrogen Atom Transfer Mediator for Electrooxidation of C(sp3)–H Bonds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82">
        <w:r>
          <w:rPr>
            <w:color w:val="1155CC"/>
            <w:u w:val="single"/>
          </w:rPr>
          <w:t>10.1021/jacs.6c12973</w:t>
        </w:r>
      </w:hyperlink>
    </w:p>
    <w:p>
      <w:pPr>
        <w:spacing w:before="0" w:after="120"/>
      </w:pPr>
      <w:r>
        <w:rPr>
          <w:b/>
        </w:rPr>
        <w:t xml:space="preserve">Notes: </w:t>
      </w:r>
      <w:r>
        <w:t>abstract_source=crossref</w:t>
      </w:r>
    </w:p>
    <w:p>
      <w:pPr>
        <w:spacing w:before="0" w:after="80" w:lineRule="auto" w:line="276"/>
      </w:pPr>
      <w:r>
        <w:rPr>
          <w:b/>
        </w:rPr>
        <w:t xml:space="preserve">摘要（ZH）: </w:t>
      </w:r>
      <w:r>
        <w:t>摘要 C(sp3)-H 键的电化学活化对于含氧化合物的合成来说是一种有吸引力且可持续的策略，但现有方法常常存在高过电势和对外部氢原子转移 (HAT) 试剂的依赖。在这里，我们报告了一种铜单原子催化剂（Cu1/NC），它既可作为电催化剂，又可作为内在的 HAT 介体，从而建立了一种催化剂嵌入的 HAT 范例，无需外部 HAT 试剂。在施加电势下，Cu-N4位点动态地原位生成反应性Cu-O物质，选择性地从碳氢化合物中提取氢原子，从而降低活化势垒并提高反应选择性。该系统在广泛的底物范围内表现出优异的催化性能，法拉第效率 (FE) 达到 57.2%。结合同位素标记、自由基捕获、电子顺磁共振、原位 ATR-SEIRAS 光谱、原位拉曼光谱和密度泛函理论计算的机理研究确定了 Cu-OH 物质是关键的 HAT 活性中间体，并揭示了水辅助去质子化控制了速率决定步骤。值得注意的是，该催化剂表现出优异的稳定性和广泛的适用性。它能够在电流密度为 50 mA·cm–2 的流动反应器中进行连续电氧化，实现高达 713 h–1 的周转频率 (TOF)。这项工作建立了一种用于电化学 C-H 活化的催化剂嵌入式 HAT 范例，并为碳氢化合物的可持续选择性氧化提供了通用框架。</w:t>
      </w:r>
    </w:p>
    <w:p>
      <w:pPr>
        <w:spacing w:before="0" w:after="200" w:lineRule="auto" w:line="276"/>
      </w:pPr>
      <w:r>
        <w:rPr>
          <w:b/>
        </w:rPr>
        <w:t xml:space="preserve">Abstract (EN): </w:t>
      </w:r>
      <w:r>
        <w:t>Electrochemical activation of C(sp3)–H bonds is an attractive and sustainable strategy for the synthesis of oxygenated chemicals, yet existing methods often suffer from high overpotentials and reliance on external hydrogen atom transfer (HAT) reagents. Here we report a Cu single-atom catalyst (Cu1/NC) that functions as both an electrocatalyst and an intrinsic HAT mediator, thereby establishing a catalyst-embedded HAT paradigm that eliminates the need for external HAT reagents. Under applied potential, Cu–N4 sites dynamically generate reactive Cu–O species in situ, which selectively abstract hydrogen atoms from hydrocarbons, thereby lowering the activation barrier and enhancing reaction selectivity. The system shows excellent catalytic performance across a wide substrate scope, achieving a Faradaic efficiency (FE) of 57.2%. Mechanistic studies combining isotopic labeling, radical trapping, electron paramagnetic resonance, in situ ATR-SEIRAS spectra, in situ Raman spectroscopy, and density functional theory calculations identify Cu–OH species as the key HAT-active intermediate and reveal that water-assisted deprotonation governs the rate-determining step. Notably, this catalyst exhibits both excellent stability and broad applicability. It enables continuous electrooxidation in a flow reactor at a current density of 50 mA·cm–2, achieving a turnover frequency (TOF) as high as 713 h–1. This work establishes a catalyst-embedded HAT paradigm for electrochemical C–H activation and provides a general framework for sustainable and selective oxidation of hydrocarbons.</w:t>
      </w:r>
    </w:p>
    <w:p>
      <w:pPr>
        <w:spacing w:before="120" w:after="120"/>
      </w:pPr>
      <w:r>
        <w:rPr>
          <w:sz w:val="18"/>
        </w:rPr>
        <w:t>——————————————————————————————————————————————————————————————————————</w:t>
      </w:r>
    </w:p>
    <w:p>
      <w:pPr>
        <w:spacing w:before="160" w:after="40" w:line="240" w:lineRule="auto"/>
      </w:pPr>
      <w:r>
        <w:rPr>
          <w:b/>
        </w:rPr>
        <w:t xml:space="preserve">[221] </w:t>
      </w:r>
      <w:hyperlink r:id="rId983">
        <w:r>
          <w:rPr>
            <w:color w:val="1155CC"/>
            <w:u w:val="single"/>
          </w:rPr>
          <w:t>地下深处氢气的快速消耗</w:t>
        </w:r>
      </w:hyperlink>
    </w:p>
    <w:p>
      <w:pPr>
        <w:spacing w:before="0" w:after="80"/>
      </w:pPr>
      <w:r>
        <w:rPr>
          <w:i/>
          <w:sz w:val="20"/>
        </w:rPr>
        <w:t>EN: Rapid consumption of H2 in the deep subsurface</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984">
        <w:r>
          <w:rPr>
            <w:color w:val="1155CC"/>
            <w:u w:val="single"/>
          </w:rPr>
          <w:t>10.1093/nsr/nwag496</w:t>
        </w:r>
      </w:hyperlink>
    </w:p>
    <w:p>
      <w:pPr>
        <w:spacing w:before="0" w:after="120"/>
      </w:pPr>
      <w:r>
        <w:rPr>
          <w:b/>
        </w:rPr>
        <w:t xml:space="preserve">Notes: </w:t>
      </w:r>
      <w:r>
        <w:t>abstract_source=rss_oup</w:t>
      </w:r>
    </w:p>
    <w:p>
      <w:pPr>
        <w:spacing w:before="0" w:after="80" w:lineRule="auto" w:line="276"/>
      </w:pPr>
      <w:r>
        <w:rPr>
          <w:b/>
        </w:rPr>
        <w:t xml:space="preserve">摘要（ZH）: </w:t>
      </w:r>
      <w:r>
        <w:t>地下天然氢是一种新兴的清洁能源，但其来源、损失机制和循环时间尺度，特别是在更深的深度，仍然受到很少的限制。在这里，我们报告了从四川盆地中部深井（3000-7,000 m）收集的气体样品（含 0.10-1.59% H2）中测量到的 H2 簇同位素（2H2H）以及水和 H2 之间的氢同位素分馏存在很大的不平衡。由于分子氢可以在水存在下快速平衡同位素，因此如此大的不平衡表明活跃的动力学控制的生产和/或消耗。对地质和化学证据的分析表明，同位素不平衡是由主岩中化学反应的消耗以及与共存水的部分氢交换所驱动的。结果表明，测量的成分没有保留原始来源和过程的信息。更广泛地说，氢的动态循环使得沉积物深层气藏不利于长期或大规模积累天然氢。</w:t>
      </w:r>
    </w:p>
    <w:p>
      <w:pPr>
        <w:spacing w:before="0" w:after="200" w:lineRule="auto" w:line="276"/>
      </w:pPr>
      <w:r>
        <w:rPr>
          <w:b/>
        </w:rPr>
        <w:t xml:space="preserve">Abstract (EN): </w:t>
      </w:r>
      <w:r>
        <w:t>Subsurface natural hydrogen is an emerging clean energy resource, but its origins, loss mechanisms, and cycling timescales, particularly at greater depths, remain poorly constrained. Here, we report large disequilibrium in the clumped isotopes of H2 (2H2H) and hydrogen isotope fractionation between water and H2, measured in gas samples (containing 0.10–1.59% H2) collected from deep (3000–7,000 m) wells in the central Sichuan Basin. Because molecular hydrogen can equilibrate isotopes rapidly in the presence of water, such large disequilibrium indicates active kinetically controlled production and/or consumption. Analyses of geological and chemical evidence demonstrate that isotopic disequilibrium is driven by consumption by chemical reactions in host rocks coupled with partial hydrogen exchange with co-existing water. The results imply that measured compositions do not preserve the information on original sources and processes. More broadly, the dynamic cycling of hydrogen renders sediment-hosted deep gas reservoirs unfavorable for long-term or large-scale accumulation of natural hydrogen.</w:t>
      </w:r>
    </w:p>
    <w:p>
      <w:pPr>
        <w:spacing w:before="120" w:after="120"/>
      </w:pPr>
      <w:r>
        <w:rPr>
          <w:sz w:val="18"/>
        </w:rPr>
        <w:t>——————————————————————————————————————————————————————————————————————</w:t>
      </w:r>
    </w:p>
    <w:p>
      <w:pPr>
        <w:spacing w:before="160" w:after="40" w:line="240" w:lineRule="auto"/>
      </w:pPr>
      <w:r>
        <w:rPr>
          <w:b/>
        </w:rPr>
        <w:t xml:space="preserve">[222] </w:t>
      </w:r>
      <w:hyperlink r:id="rId985">
        <w:r>
          <w:rPr>
            <w:color w:val="1155CC"/>
            <w:u w:val="single"/>
          </w:rPr>
          <w:t>水合层介导单价离子近乎无摩擦的筛分</w:t>
        </w:r>
      </w:hyperlink>
    </w:p>
    <w:p>
      <w:pPr>
        <w:spacing w:before="0" w:after="80"/>
      </w:pPr>
      <w:r>
        <w:rPr>
          <w:i/>
          <w:sz w:val="20"/>
        </w:rPr>
        <w:t>EN: Hydration layer mediates near-frictionless sieving of monovalent ions</w:t>
      </w:r>
    </w:p>
    <w:p>
      <w:pPr>
        <w:spacing w:before="0" w:after="120"/>
      </w:pPr>
      <w:r>
        <w:rPr>
          <w:b/>
        </w:rPr>
        <w:t xml:space="preserve">Source: </w:t>
      </w:r>
      <w:r>
        <w:t>Nature Nanotechnology</w:t>
      </w:r>
      <w:r>
        <w:t xml:space="preserve">    </w:t>
      </w:r>
      <w:r>
        <w:rPr>
          <w:b/>
        </w:rPr>
        <w:t xml:space="preserve">Pub date: </w:t>
      </w:r>
      <w:r>
        <w:t>2026-08-17 00:00:00+00:00</w:t>
      </w:r>
      <w:r>
        <w:t xml:space="preserve">    </w:t>
      </w:r>
      <w:r>
        <w:rPr>
          <w:b/>
        </w:rPr>
        <w:t xml:space="preserve">DOI: </w:t>
      </w:r>
      <w:hyperlink r:id="rId986">
        <w:r>
          <w:rPr>
            <w:color w:val="1155CC"/>
            <w:u w:val="single"/>
          </w:rPr>
          <w:t>10.1038/s41565-026-02245-7</w:t>
        </w:r>
      </w:hyperlink>
    </w:p>
    <w:p>
      <w:pPr>
        <w:spacing w:before="0" w:after="120"/>
      </w:pPr>
      <w:r>
        <w:rPr>
          <w:b/>
        </w:rPr>
        <w:t xml:space="preserve">Notes: </w:t>
      </w:r>
      <w:r>
        <w:t>abstract_source=pubmed</w:t>
      </w:r>
    </w:p>
    <w:p>
      <w:pPr>
        <w:spacing w:before="0" w:after="80" w:lineRule="auto" w:line="276"/>
      </w:pPr>
      <w:r>
        <w:rPr>
          <w:b/>
        </w:rPr>
        <w:t xml:space="preserve">摘要（ZH）: </w:t>
      </w:r>
      <w:r>
        <w:t>由于当前刚性纳米孔中的能量密集型脱水要求，同时实现单价阳离子分离的高选择性和渗透性仍然具有挑战性。在这里，我们开发了一种水化层介导的筛分策略，通过将水合离子锚定在共价有机框架单层的孔边缘，形成动态埃级水合孔。离子传输通过结合离子和迁移离子之间的吸引力和排斥力来调节，这种吸引力和排斥力是由水化层的合并和挤压产生的，从而能够在不完全脱水的情况下进行精确区分。在浓度梯度（ΔC = 1 M）下，该膜对K+/Li+的选择性为148，对Na+/Li+的选择性为42，K+渗透率为2 × 104 mol m-2 h-1，比最先进的膜高三个数量级。 5.5kcalmol-1 的低活化能表明近乎无摩擦的运输，为单价阳离子分离提供了新的范例。</w:t>
      </w:r>
    </w:p>
    <w:p>
      <w:pPr>
        <w:spacing w:before="0" w:after="200" w:lineRule="auto" w:line="276"/>
      </w:pPr>
      <w:r>
        <w:rPr>
          <w:b/>
        </w:rPr>
        <w:t xml:space="preserve">Abstract (EN): </w:t>
      </w:r>
      <w:r>
        <w:t>Achieving simultaneous high selectivity and permeability for monovalent cation separation remains challenging due to energy-intensive dehydration requirements in current rigid nanopores. Here we develop a hydration-layer-mediated sieving strategy by anchoring hydrated ions at the pore rim of a covalent organic framework monolayer to form dynamic angstrom-scale hydrapores. Ion transport is regulated via attraction and repulsion between bound and migrating ions, arising from the merging and squeezing of hydration layers, enabling precise discrimination without full dehydration. Under a concentration gradient (∆C = 1 M), the membrane exhibits selectivity of 148 for K+/Li+ and 42 for Na+/Li+ with a K+ permeance of 2 × 104 mol m-2 h-1, three orders of magnitude higher than those of state-of-the-art membranes. A low activation energy of 5.5 kcal mol-1 indicates near-frictionless transport, offering a new paradigm for monovalent cation separation.</w:t>
      </w:r>
    </w:p>
    <w:p>
      <w:pPr>
        <w:spacing w:before="120" w:after="120"/>
      </w:pPr>
      <w:r>
        <w:rPr>
          <w:sz w:val="18"/>
        </w:rPr>
        <w:t>——————————————————————————————————————————————————————————————————————</w:t>
      </w:r>
    </w:p>
    <w:p>
      <w:pPr>
        <w:spacing w:before="160" w:after="40" w:line="240" w:lineRule="auto"/>
      </w:pPr>
      <w:r>
        <w:rPr>
          <w:b/>
        </w:rPr>
        <w:t xml:space="preserve">[223] </w:t>
      </w:r>
      <w:hyperlink r:id="rId987">
        <w:r>
          <w:rPr>
            <w:color w:val="1155CC"/>
            <w:u w:val="single"/>
          </w:rPr>
          <w:t>通过配体控制在亚甲基环丙烷加氢酰胺化中利用区域发散和对映选择性</w:t>
        </w:r>
      </w:hyperlink>
    </w:p>
    <w:p>
      <w:pPr>
        <w:spacing w:before="0" w:after="80"/>
      </w:pPr>
      <w:r>
        <w:rPr>
          <w:i/>
          <w:sz w:val="20"/>
        </w:rPr>
        <w:t>EN: Harnessing Regiodivergence and Enantioselectivity in Hydroamidation of Methylenecyclopropanes by Ligand Control</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988">
        <w:r>
          <w:rPr>
            <w:color w:val="1155CC"/>
            <w:u w:val="single"/>
          </w:rPr>
          <w:t>10.1021/jacs.6c05540</w:t>
        </w:r>
      </w:hyperlink>
    </w:p>
    <w:p>
      <w:pPr>
        <w:spacing w:before="0" w:after="120"/>
      </w:pPr>
      <w:r>
        <w:rPr>
          <w:b/>
        </w:rPr>
        <w:t xml:space="preserve">Notes: </w:t>
      </w:r>
      <w:r>
        <w:t>abstract_source=crossref</w:t>
      </w:r>
    </w:p>
    <w:p>
      <w:pPr>
        <w:spacing w:before="0" w:after="80" w:lineRule="auto" w:line="276"/>
      </w:pPr>
      <w:r>
        <w:rPr>
          <w:b/>
        </w:rPr>
        <w:t xml:space="preserve">摘要（ZH）: </w:t>
      </w:r>
      <w:r>
        <w:t>摘要 加氢胺化/加氢酰胺化已被认为是传递复杂胺的非常重要的反应。脂肪族烯烃的加氢胺化可以以自身和远程选择性发生。然而，控制甚至逆转脂肪族烯烃加氢胺化的区域异构结果是一项具有挑战性的任务。特别是，由贱金属催化的烯烃的远程和不对称加氢胺化在很大程度上仍未得到充分探索。本文报道了以二恶唑酮作为酰胺化试剂对亚甲基环丙烷 (MCP) 进行镍催化、配体依赖性和区域发散的加氢酰胺化反应。在取代的二吡基配体的情况下，反应生成直链、非手性的N-高烯丙基酰胺。相比之下，手性双恶唑啉配体的使用提供了具有高区域和对映选择性的支链烯丙酰胺，这是通过链行走衍生的镍烯丙基物种发生的。已经进行了机理研究以合理化区域选择性和对映选择性。 MCP 的断环是由 Ni(II) 氢化物介导的，在支链选择性加氢酰胺化的情况下，随后的缔合链行走是对映体决定的。</w:t>
      </w:r>
    </w:p>
    <w:p>
      <w:pPr>
        <w:spacing w:before="0" w:after="200" w:lineRule="auto" w:line="276"/>
      </w:pPr>
      <w:r>
        <w:rPr>
          <w:b/>
        </w:rPr>
        <w:t xml:space="preserve">Abstract (EN): </w:t>
      </w:r>
      <w:r>
        <w:t>Hydroamination/hydroamidation has been recognized as a highly important reaction for delivering complex amines. Hydroamination of aliphatic olefins may occur with ipso- and remote selectivity. Yet, controlling or even reversing the regioisomeric outcomes of the hydroamination of aliphatic olefins constitutes a challenging task. In particular, remote and asymmetric hydroamination of olefins catalyzed by base metals has remained largely underexplored. Reported herein is the Ni-catalyzed, ligand-dependent, and regiodivergent hydroamidation of methylenecyclopropanes (MCPs) with dioxazolones as the amidating reagent. In the case of a substituted bipy ligand, the reaction gives a linear, achiral N-homoallyl amide. In contrast, the employment of a chiral bisoxazoline ligand affords a branched allylic amide in high regio- and enantioselectivity, which occurs via a chain-walking-derived nickel allyl species. Mechanistic studies have been conducted to rationalize the regio- and enantioselectivity. The ring scission of MCP is mediated by a Ni(II) hydride, and the subsequent associative chain walking is enantio-determining in the case of the branch-selective hydroamidation.</w:t>
      </w:r>
    </w:p>
    <w:p>
      <w:pPr>
        <w:spacing w:before="120" w:after="120"/>
      </w:pPr>
      <w:r>
        <w:rPr>
          <w:sz w:val="18"/>
        </w:rPr>
        <w:t>——————————————————————————————————————————————————————————————————————</w:t>
      </w:r>
    </w:p>
    <w:p>
      <w:pPr>
        <w:spacing w:before="160" w:after="40" w:line="240" w:lineRule="auto"/>
      </w:pPr>
      <w:r>
        <w:rPr>
          <w:b/>
        </w:rPr>
        <w:t xml:space="preserve">[224] </w:t>
      </w:r>
      <w:hyperlink r:id="rId989">
        <w:r>
          <w:rPr>
            <w:color w:val="1155CC"/>
            <w:u w:val="single"/>
          </w:rPr>
          <w:t>直接 HAT：在对映体自由基中继偶联中激活 α-硅醇的补充范例</w:t>
        </w:r>
      </w:hyperlink>
    </w:p>
    <w:p>
      <w:pPr>
        <w:spacing w:before="0" w:after="80"/>
      </w:pPr>
      <w:r>
        <w:rPr>
          <w:i/>
          <w:sz w:val="20"/>
        </w:rPr>
        <w:t>EN: Direct HAT: a complementary paradigm for activating α-silyl alcohols in enantioconvergent radical-relay coupling</w:t>
      </w:r>
    </w:p>
    <w:p>
      <w:pPr>
        <w:spacing w:before="0" w:after="120"/>
      </w:pPr>
      <w:r>
        <w:rPr>
          <w:b/>
        </w:rPr>
        <w:t xml:space="preserve">Source: </w:t>
      </w:r>
      <w:r>
        <w:t>National Science Review Advance Access</w:t>
      </w:r>
      <w:r>
        <w:t xml:space="preserve">    </w:t>
      </w:r>
      <w:r>
        <w:rPr>
          <w:b/>
        </w:rPr>
        <w:t xml:space="preserve">Pub date: </w:t>
      </w:r>
      <w:r>
        <w:t>2026-08-17 00:00:00+00:00</w:t>
      </w:r>
      <w:r>
        <w:t xml:space="preserve">    </w:t>
      </w:r>
      <w:r>
        <w:rPr>
          <w:b/>
        </w:rPr>
        <w:t xml:space="preserve">DOI: </w:t>
      </w:r>
      <w:hyperlink r:id="rId990">
        <w:r>
          <w:rPr>
            <w:color w:val="1155CC"/>
            <w:u w:val="single"/>
          </w:rPr>
          <w:t>10.1093/nsr/nwag498</w:t>
        </w:r>
      </w:hyperlink>
    </w:p>
    <w:p>
      <w:pPr>
        <w:spacing w:before="0" w:after="120"/>
      </w:pPr>
      <w:r>
        <w:rPr>
          <w:b/>
        </w:rPr>
        <w:t xml:space="preserve">Notes: </w:t>
      </w:r>
      <w:r>
        <w:t>abstract_source=rss_oup</w:t>
      </w:r>
    </w:p>
    <w:p>
      <w:pPr>
        <w:spacing w:before="0" w:after="80" w:lineRule="auto" w:line="276"/>
      </w:pPr>
      <w:r>
        <w:rPr>
          <w:b/>
        </w:rPr>
        <w:t xml:space="preserve">摘要（ZH）: </w:t>
      </w:r>
      <w:r>
        <w:t>高 O-H 键强度阻碍了醇的直接 HAT 活化以产生烷氧基自由基，并且流行的光化学方法受到底物氧化还原电位或金属依赖性活化要求的限制。在此，我们引入了一种补充范例，利用 α-硅醇中的 β-硅效应来削弱 O-H 键，使其能够通过噻吨酮实现氧化还原中性、光诱导均裂。随后，生成的烷氧基自由基发生容易的布鲁克重排，产生碳自由基，碳自由基在与酰氯和芳基溴的对映交叉偶联中被镍催化剂拦截。该方案提供了具有高对映选择性的多种手性无酰基和醇。它可以耐受经典 SET/PCET 条件下惰性的底物，并将直接 HAT 建立为 α-硅醇烷氧基自由基化学的多功能平台。</w:t>
      </w:r>
    </w:p>
    <w:p>
      <w:pPr>
        <w:spacing w:before="0" w:after="200" w:lineRule="auto" w:line="276"/>
      </w:pPr>
      <w:r>
        <w:rPr>
          <w:b/>
        </w:rPr>
        <w:t xml:space="preserve">Abstract (EN): </w:t>
      </w:r>
      <w:r>
        <w:t>The direct HAT activation of alcohols for alkoxy radical generation is impeded by high O–H bond strengths, and prevailing photochemical methods are limited by substrate redox potentials or metal-dependent activation requirements. Herein, we introduce a complementary paradigm leveraging the β-silicon effect in α-silyl alcohols to weaken the O–H bond, enabling its redox-neutral, photoinduced homolysis via thioxanthone. Subsequently, the generated alkoxy radicals undergo facile Brook rearrangement to produce carbon radicals, which are intercepted by a nickel catalyst in enantioconvergent cross-couplings with acyl chlorides and aryl bromides. This protocol provides diverse chiral acylons and alcohols with high enantioselectivity. It tolerates substrates that are inert under classical SET/PCET conditions and establishes direct HAT as a versatile platform for alkoxy radical chemistry of α-silyl alcohols.</w:t>
      </w:r>
    </w:p>
    <w:p>
      <w:pPr>
        <w:spacing w:before="120" w:after="120"/>
      </w:pPr>
      <w:r>
        <w:rPr>
          <w:sz w:val="18"/>
        </w:rPr>
        <w:t>——————————————————————————————————————————————————————————————————————</w:t>
      </w:r>
    </w:p>
    <w:p>
      <w:pPr>
        <w:spacing w:before="160" w:after="40" w:line="240" w:lineRule="auto"/>
      </w:pPr>
      <w:r>
        <w:rPr>
          <w:b/>
        </w:rPr>
        <w:t xml:space="preserve">[225] </w:t>
      </w:r>
      <w:hyperlink r:id="rId991">
        <w:r>
          <w:rPr>
            <w:color w:val="1155CC"/>
            <w:u w:val="single"/>
          </w:rPr>
          <w:t>具有仿生神经元导电网络的纳米纤维包芯纱，用于高灵敏度可穿戴传感</w:t>
        </w:r>
      </w:hyperlink>
    </w:p>
    <w:p>
      <w:pPr>
        <w:spacing w:before="0" w:after="80"/>
      </w:pPr>
      <w:r>
        <w:rPr>
          <w:i/>
          <w:sz w:val="20"/>
        </w:rPr>
        <w:t>EN: Nanofiber Core-Spun Yarn with a Bioinspired Neuron-like Conductive Network for High-Sensitivity Wearable Sensing</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992">
        <w:r>
          <w:rPr>
            <w:color w:val="1155CC"/>
            <w:u w:val="single"/>
          </w:rPr>
          <w:t>10.1021/acsami.6c11269</w:t>
        </w:r>
      </w:hyperlink>
    </w:p>
    <w:p>
      <w:pPr>
        <w:spacing w:before="0" w:after="120"/>
      </w:pPr>
      <w:r>
        <w:rPr>
          <w:b/>
        </w:rPr>
        <w:t xml:space="preserve">Notes: </w:t>
      </w:r>
      <w:r>
        <w:t>abstract_source=crossref</w:t>
      </w:r>
    </w:p>
    <w:p>
      <w:pPr>
        <w:spacing w:before="0" w:after="80" w:lineRule="auto" w:line="276"/>
      </w:pPr>
      <w:r>
        <w:rPr>
          <w:b/>
        </w:rPr>
        <w:t xml:space="preserve">摘要（ZH）: </w:t>
      </w:r>
      <w:r>
        <w:t>摘要 可穿戴电子纺织品需要同时具有导电性、可变形、耐用和可编织的纱线水平传感器。许多现有的依赖于多层涂层或高填料含量的纱线在反复变形下常常会受到柔韧性和信号稳定性的影响。在此，受神经元的启发，我们通过逐步的界面工程过程，包括静电纺丝PAN纳米纤维、超声波浸渍碳纳米管和吡咯原位聚合，开发了一种具有仿生神经元导电网络的纳米纤维包芯纱（PCP-NHY）。在该导电网络中，分布在 PAN 纳米纤维网络上的颗粒状 PPy 充当神经元胞体，通过充当轴突的 CNT 互连，从而在低填料含量下实现有效的电荷传输，同时保持机械灵活性。在螺旋缠绕到氨纶芯上后，所得的弹性传感纱线表现出高性能的应变传感能力，其特点是5.73的高规格系数、快速的响应时间（~70毫秒）以及在40%应变下超过5000个循环的稳定输出。它支持实时检测细微和大规模的人体运动，包括面部微表情、摩尔斯电码输入和多关节运动。同时，采用PCP-NHY纱线的二维纺织品也表现出出色的传感性能。这种受神经元启发的材料结构设计可以提供一种有效的策略，将传统纱线转化为强大的智能纺织系统，以实现先进的可穿戴传感。</w:t>
      </w:r>
    </w:p>
    <w:p>
      <w:pPr>
        <w:spacing w:before="0" w:after="200" w:lineRule="auto" w:line="276"/>
      </w:pPr>
      <w:r>
        <w:rPr>
          <w:b/>
        </w:rPr>
        <w:t xml:space="preserve">Abstract (EN): </w:t>
      </w:r>
      <w:r>
        <w:t>Wearable e-textiles require yarn-level sensors that are simultaneously conductive, deformable, durable, and weavable. Many existing yarns that depended on multicoating or high filler loading often suffer from compromised flexibility and signal stability under repeated deformation. Herein, inspired by neurons, we develop a nanofiber core-spun yarn (PCP-NHY) featuring a bioinspired neuron-like conductive network through a stepwise interfacial engineering process, including electrospinning of PAN nanofibers, ultrasonic impregnation of CNTs, and in situ polymerization of pyrrole. In this conductive network, the granular PPy distributed on the PAN nanofiber network acts as neuronal somas, interconnected by CNTs that serve as axons, thus enabling efficient charge transport at low filler content while preserving mechanical flexibility. After helical wrapping onto a spandex core, the resulting elastic sensing yarn demonstrates high-performance strain-sensing capabilities, characterized by a high gauge factor of 5.73, a rapid response time (∼70 ms), and stable outputs over 5000 cycles at 40% strain. It supports real-time detection of both subtle and large-scale human motions, including facial microexpressions, Morse-code inputs, and multijoint movements. Meanwhile, two-dimensional textiles incorporating PCP-NHY yarns also exhibit outstanding sensing performance. This neuron-inspired material-structure design may provide an effective strategy to convert conventional yarns into robust, intelligent textile systems for advanced wearable sensing.</w:t>
      </w:r>
    </w:p>
    <w:p>
      <w:pPr>
        <w:spacing w:before="120" w:after="120"/>
      </w:pPr>
      <w:r>
        <w:rPr>
          <w:sz w:val="18"/>
        </w:rPr>
        <w:t>——————————————————————————————————————————————————————————————————————</w:t>
      </w:r>
    </w:p>
    <w:p>
      <w:pPr>
        <w:spacing w:before="160" w:after="40" w:line="240" w:lineRule="auto"/>
      </w:pPr>
      <w:r>
        <w:rPr>
          <w:b/>
        </w:rPr>
        <w:t xml:space="preserve">[226] </w:t>
      </w:r>
      <w:hyperlink r:id="rId993">
        <w:r>
          <w:rPr>
            <w:color w:val="1155CC"/>
            <w:u w:val="single"/>
          </w:rPr>
          <w:t>具有异质界面和电磁协同作用的自修复复合材料用于电磁波吸收</w:t>
        </w:r>
      </w:hyperlink>
    </w:p>
    <w:p>
      <w:pPr>
        <w:spacing w:before="0" w:after="80"/>
      </w:pPr>
      <w:r>
        <w:rPr>
          <w:i/>
          <w:sz w:val="20"/>
        </w:rPr>
        <w:t>EN: Self-Healing Composites with Heterogeneous Interfaces and Electromagnetic Synergy for Electromagnetic Wave Absorption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994">
        <w:r>
          <w:rPr>
            <w:color w:val="1155CC"/>
            <w:u w:val="single"/>
          </w:rPr>
          <w:t>10.1021/acsami.6c12113</w:t>
        </w:r>
      </w:hyperlink>
    </w:p>
    <w:p>
      <w:pPr>
        <w:spacing w:before="0" w:after="120"/>
      </w:pPr>
      <w:r>
        <w:rPr>
          <w:b/>
        </w:rPr>
        <w:t xml:space="preserve">Notes: </w:t>
      </w:r>
      <w:r>
        <w:t>abstract_source=crossref</w:t>
      </w:r>
    </w:p>
    <w:p>
      <w:pPr>
        <w:spacing w:before="0" w:after="80" w:lineRule="auto" w:line="276"/>
      </w:pPr>
      <w:r>
        <w:rPr>
          <w:b/>
        </w:rPr>
        <w:t xml:space="preserve">摘要（ZH）: </w:t>
      </w:r>
      <w:r>
        <w:t>摘要 电子产品的使用导致电磁波污染问题，对吸收电磁波材料的需求日益增加。材料的寿命可能会因使用过程中造成的损坏而受到影响。在这里，提出了一种通过感应加热实现高效电磁波吸收和自愈的复合策略。采用界面聚合、原位聚合和化学镀方法制备了具有磁性和导电特性的Ni/PUF/PU@ER（NPPE）、Cu/Ni/PUF/PU@ER（CNPPE）和Ni/PANI/PU@ER（NPAPE）微胶囊。其卓越的机械和热耐久性保证了愈合剂的长期​​稳定性。具有 NPAPE 的复合材料在 1.85 mm 处的最小反射损耗为 –54.62 dB，有效吸收带宽 (EAB) 为 3.95 GHz。此外，EAB 在 1.93 mm 处达到 4.32 GHz，超过了大多数类似材料的 RLmin 和 EAB 值。由于 NPAPE 卓越的电磁协同作用，该复合材料表现出最出色的感应加热性能。该材料在10分钟内达到68.3℃，高于其他两种材料的温度。此外，复合材料的裂纹面积显着减少，表现出优异的损伤快速自愈特性。这一新颖的策略有利于促进循环经济的发展，并可为电磁波吸收领域引入一个有价值的研究方向。</w:t>
      </w:r>
    </w:p>
    <w:p>
      <w:pPr>
        <w:spacing w:before="0" w:after="200" w:lineRule="auto" w:line="276"/>
      </w:pPr>
      <w:r>
        <w:rPr>
          <w:b/>
        </w:rPr>
        <w:t xml:space="preserve">Abstract (EN): </w:t>
      </w:r>
      <w:r>
        <w:t>The usage of electronics has led to the issue of electromagnetic wave pollution, and the demand for materials that can absorb electromagnetic waves is increasing. The longevity of materials may be impacted by damage caused during use. Here, a composite strategy with efficient electromagnetic wave absorption and self-healing through induction heating is proposed. Ni/PUF/PU@ER (NPPE), Cu/Ni/PUF/PU@ER (CNPPE), and Ni/PANI/PU@ER (NPAPE) microcapsules with magnetic and conductive characteristics were prepared by interface polymerization, in situ polymerization, and electroless plating methods. Their superior mechanical and thermal durability guarantee the long-term stability of the healing agent. The minimum reflection loss of the composite with NPAPE is –54.62 dB at 1.85 mm, and the effective absorption bandwidth (EAB) is 3.95 GHz. Additionally, the EAB reaches 4.32 GHz at 1.93 mm, surpassing the RLmin and EAB values of the majority of similar materials. Due to the exceptional electromagnetic synergy of NPAPE, the composite exhibits the most outstanding induction heating performance. The material reaches 68.3 °C within 10 min, which is higher than the temperatures of the other two materials. Furthermore, the crack area of the composite significantly reduces, demonstrating excellent quick self-healing characteristics for damage. This novel strategy is conducive to promoting the development of the circular economy and can introduce a worthwhile research direction into the field of electromagnetic wave absorption.</w:t>
      </w:r>
    </w:p>
    <w:p>
      <w:pPr>
        <w:spacing w:before="120" w:after="120"/>
      </w:pPr>
      <w:r>
        <w:rPr>
          <w:sz w:val="18"/>
        </w:rPr>
        <w:t>——————————————————————————————————————————————————————————————————————</w:t>
      </w:r>
    </w:p>
    <w:p>
      <w:pPr>
        <w:spacing w:before="160" w:after="40" w:line="240" w:lineRule="auto"/>
      </w:pPr>
      <w:r>
        <w:rPr>
          <w:b/>
        </w:rPr>
        <w:t xml:space="preserve">[227] </w:t>
      </w:r>
      <w:hyperlink r:id="rId995">
        <w:r>
          <w:rPr>
            <w:color w:val="1155CC"/>
            <w:u w:val="single"/>
          </w:rPr>
          <w:t>MOF 衍生的 Fe@NC 复合材料中的工程碳纳米管网络用于轻质和宽带电磁波吸收</w:t>
        </w:r>
      </w:hyperlink>
    </w:p>
    <w:p>
      <w:pPr>
        <w:spacing w:before="0" w:after="80"/>
      </w:pPr>
      <w:r>
        <w:rPr>
          <w:i/>
          <w:sz w:val="20"/>
        </w:rPr>
        <w:t>EN: Engineering Carbon Nanotube Networks in MOF-Derived Fe@NC Composites for Lightweight and Broadband Electromagnetic Wave Absorption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996">
        <w:r>
          <w:rPr>
            <w:color w:val="1155CC"/>
            <w:u w:val="single"/>
          </w:rPr>
          <w:t>10.1021/acsami.6c11621</w:t>
        </w:r>
      </w:hyperlink>
    </w:p>
    <w:p>
      <w:pPr>
        <w:spacing w:before="0" w:after="120"/>
      </w:pPr>
      <w:r>
        <w:rPr>
          <w:b/>
        </w:rPr>
        <w:t xml:space="preserve">Notes: </w:t>
      </w:r>
      <w:r>
        <w:t>abstract_source=crossref</w:t>
      </w:r>
    </w:p>
    <w:p>
      <w:pPr>
        <w:spacing w:before="0" w:after="80" w:lineRule="auto" w:line="276"/>
      </w:pPr>
      <w:r>
        <w:rPr>
          <w:b/>
        </w:rPr>
        <w:t xml:space="preserve">摘要（ZH）: </w:t>
      </w:r>
      <w:r>
        <w:t>摘要：在金属有机骨架（MOF）衍生的碳基质上原位生长碳纳米管（CNT）为轻质高性能电磁波（EMW）吸收器提供了一条有前途的途径。然而，在保持平衡的介电性能和阻抗匹配的同时实现可控的碳纳米管生长仍然是一个重大挑战。在此，引入柠檬酸铁作为集成前体，同时充当铁源、螯合配体和碳原料，无需外部碳源即可控制碳纳米管的原位生长。在热解过程中，原位形成的 Fe 纳米粒子催化在源自沸石咪唑酯骨架-L (ZIF-L)（一种锌基 MOF）的 N 掺杂碳 (NC) 上形成高纵横比 CNT 网络。通过调节柠檬酸铁含量，可以精确定制碳纳米管的密度和形态，从而调节所得 Fe@NC-CNT 复合材料的介电响应和阻抗匹配特性。得益于传导衰减和阻抗匹配之间的优化平衡，Fe@NC-CNT 复合材料在 12.5 wt% 时实现了 –60.4 dB 的最小反射损耗，在 10 wt% 时实现了 7.6 GHz 的最大有效吸收带宽。这项工作建立了一种在 MOF 衍生材料中设计 CNT 网络的通用策略，并提供了对控制宽带微波吸收的结构-电磁特性关系的见解。</w:t>
      </w:r>
    </w:p>
    <w:p>
      <w:pPr>
        <w:spacing w:before="0" w:after="200" w:lineRule="auto" w:line="276"/>
      </w:pPr>
      <w:r>
        <w:rPr>
          <w:b/>
        </w:rPr>
        <w:t xml:space="preserve">Abstract (EN): </w:t>
      </w:r>
      <w:r>
        <w:t>The in situ growth of carbon nanotubes (CNTs) on metal–organic framework (MOF)-derived carbon matrices offers a promising route for lightweight and high-performance electromagnetic wave (EMW) absorbers. However, achieving controllable CNT growth while maintaining balanced dielectric properties and impedance matching remains a major challenge. Herein, Fe-citrate is introduced as an integrated precursor that simultaneously functions as a Fe source, chelating ligand, and carbon feedstock, controlling in situ growth of CNTs without external carbon sources. During pyrolysis, in situ-formed Fe nanoparticles catalyze the formation of high-aspect-ratio CNT networks on N-doped carbon (NC) derived from zeolitic imidazolate framework-L (ZIF-L), a Zn-based MOF. By regulating the Fe-citrate content, the density and morphology of CNTs can be precisely tailored, thereby tuning the dielectric response and impedance matching characteristics of the resulting Fe@NC-CNT composites. Benefiting from the optimized balance between conductive attenuation and impedance matching, the Fe@NC-CNT composites achieve a minimum reflection loss of –60.4 dB at 12.5 wt % and a maximum effective absorption bandwidth of 7.6 GHz at 10 wt %. This work establishes a versatile strategy for engineering CNT networks in MOF-derived materials and provides insights into the structure–electromagnetic property relationship governing broadband microwave absorption.</w:t>
      </w:r>
    </w:p>
    <w:p>
      <w:pPr>
        <w:spacing w:before="120" w:after="120"/>
      </w:pPr>
      <w:r>
        <w:rPr>
          <w:sz w:val="18"/>
        </w:rPr>
        <w:t>——————————————————————————————————————————————————————————————————————</w:t>
      </w:r>
    </w:p>
    <w:p>
      <w:pPr>
        <w:spacing w:before="160" w:after="40" w:line="240" w:lineRule="auto"/>
      </w:pPr>
      <w:r>
        <w:rPr>
          <w:b/>
        </w:rPr>
        <w:t xml:space="preserve">[228] </w:t>
      </w:r>
      <w:hyperlink r:id="rId997">
        <w:r>
          <w:rPr>
            <w:color w:val="1155CC"/>
            <w:u w:val="single"/>
          </w:rPr>
          <w:t>富含 OH 的界面纳米结构用于协调姜黄素纳米疗法的结构稳定性和功能可及性</w:t>
        </w:r>
      </w:hyperlink>
    </w:p>
    <w:p>
      <w:pPr>
        <w:spacing w:before="0" w:after="80"/>
      </w:pPr>
      <w:r>
        <w:rPr>
          <w:i/>
          <w:sz w:val="20"/>
        </w:rPr>
        <w:t>EN: OH-Rich Interfacial Nanoarchitectonics for the Reconciliation of Structural Stability and Functional Accessibility in Curcumin Nanotherapeutics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998">
        <w:r>
          <w:rPr>
            <w:color w:val="1155CC"/>
            <w:u w:val="single"/>
          </w:rPr>
          <w:t>10.1021/acsami.6c12781</w:t>
        </w:r>
      </w:hyperlink>
    </w:p>
    <w:p>
      <w:pPr>
        <w:spacing w:before="0" w:after="120"/>
      </w:pPr>
      <w:r>
        <w:rPr>
          <w:b/>
        </w:rPr>
        <w:t xml:space="preserve">Notes: </w:t>
      </w:r>
      <w:r>
        <w:t>abstract_source=crossref</w:t>
      </w:r>
    </w:p>
    <w:p>
      <w:pPr>
        <w:spacing w:before="0" w:after="80" w:lineRule="auto" w:line="276"/>
      </w:pPr>
      <w:r>
        <w:rPr>
          <w:b/>
        </w:rPr>
        <w:t xml:space="preserve">摘要（ZH）: </w:t>
      </w:r>
      <w:r>
        <w:t>摘要 姜黄素具有显着的治疗潜力，但由于水溶液稳定性差和细胞可及性有限而受到阻碍。在这里，我们提出了一个姜黄素纳米治疗平台，具有富含 OH、富含硅烷醇的多孔二氧化硅纳米界面 (CU@silica NPs)，可成功地将结构稳定性与分子流动性分离。通过采用聚（盐酸烯丙胺）（PAH）辅助组装和快速原硅酸四甲酯（TMOS）水解，我们设计了具有高密度表面硅烷醇基团的介观结构二氧化硅壳，创建了扩散途径，可保持姜黄素的流动性，同时防止其降解。这种可渗透的纳米界面能够实现脂质触发的荧光激活，从而允许对药物输送进行激活响应监测。即使在重复的粉末化循环之后，富含 OH 的二氧化硅界面也能进一步确保出色的再分散性和功能保存，这是长期储存和运输的关键要求。在分子动力学模拟和体外评估的支持下，CU@silica NPs 表现出加速的细胞摄取，与 CU NPs 相比，抗癌功效提高了五倍。这些发现将二氧化硅纳米界面工程确立为开发储存稳定、刺激响应和图像引导的疏水性药物纳米药物的稳健策略。</w:t>
      </w:r>
    </w:p>
    <w:p>
      <w:pPr>
        <w:spacing w:before="0" w:after="200" w:lineRule="auto" w:line="276"/>
      </w:pPr>
      <w:r>
        <w:rPr>
          <w:b/>
        </w:rPr>
        <w:t xml:space="preserve">Abstract (EN): </w:t>
      </w:r>
      <w:r>
        <w:t>Curcumin offers significant therapeutic potential but is hindered by poor aqueous stability and limited cellular accessibility. Here, we present a curcumin nanotherapeutic platform featuring OH-rich, silanol-rich porous silica nanointerfaces (CU@silica NPs) that successfully decouple structural stabilization from molecular mobility. By employing poly(allylamine hydrochloride) (PAH)-assisted assembly and rapid tetramethyl orthosilicate (TMOS) hydrolysis, we engineered a mesostructured silica shell with a high density of surface silanol groups, creating diffusion pathways that preserve curcumin mobility while protecting it from degradation. This permeable nanointerface enables lipid-triggered fluorescence activation, allowing activation-responsive monitoring of drug delivery. The OH-rich silica interface further ensures exceptional redispersibility and functional preservation even after repeated powderization cycles, a critical requirement for long-term storage and transport. Supported by molecular dynamics simulations and in vitro evaluations, CU@silica NPs demonstrate accelerated cellular uptake and a five-fold improvement in anticancer efficacy compared with CU NPs. These findings establish silica nano-interface engineering as a robust strategy for developing storage-stable, stimuli-responsive, and image-guided nanomedicines for hydrophobic drugs.</w:t>
      </w:r>
    </w:p>
    <w:p>
      <w:pPr>
        <w:spacing w:before="120" w:after="120"/>
      </w:pPr>
      <w:r>
        <w:rPr>
          <w:sz w:val="18"/>
        </w:rPr>
        <w:t>——————————————————————————————————————————————————————————————————————</w:t>
      </w:r>
    </w:p>
    <w:p>
      <w:pPr>
        <w:spacing w:before="160" w:after="40" w:line="240" w:lineRule="auto"/>
      </w:pPr>
      <w:r>
        <w:rPr>
          <w:b/>
        </w:rPr>
        <w:t xml:space="preserve">[229] </w:t>
      </w:r>
      <w:hyperlink r:id="rId999">
        <w:r>
          <w:rPr>
            <w:color w:val="1155CC"/>
            <w:u w:val="single"/>
          </w:rPr>
          <w:t>扩展活性聚合工具包：降冰片烯乙烯基加成聚合的机理见解和优化</w:t>
        </w:r>
      </w:hyperlink>
    </w:p>
    <w:p>
      <w:pPr>
        <w:spacing w:before="0" w:after="80"/>
      </w:pPr>
      <w:r>
        <w:rPr>
          <w:i/>
          <w:sz w:val="20"/>
        </w:rPr>
        <w:t>EN: Expanding the Living Polymerization Toolkit: Mechanistic Insights and Optimization of Vinyl-Addition Polymerization of Norbornenes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1000">
        <w:r>
          <w:rPr>
            <w:color w:val="1155CC"/>
            <w:u w:val="single"/>
          </w:rPr>
          <w:t>10.1021/jacs.6c07480</w:t>
        </w:r>
      </w:hyperlink>
    </w:p>
    <w:p>
      <w:pPr>
        <w:spacing w:before="0" w:after="120"/>
      </w:pPr>
      <w:r>
        <w:rPr>
          <w:b/>
        </w:rPr>
        <w:t xml:space="preserve">Notes: </w:t>
      </w:r>
      <w:r>
        <w:t>abstract_source=crossref</w:t>
      </w:r>
    </w:p>
    <w:p>
      <w:pPr>
        <w:spacing w:before="0" w:after="80" w:lineRule="auto" w:line="276"/>
      </w:pPr>
      <w:r>
        <w:rPr>
          <w:b/>
        </w:rPr>
        <w:t xml:space="preserve">摘要（ZH）: </w:t>
      </w:r>
      <w:r>
        <w:t>摘要 降冰片烯的活性乙烯基加成聚合是获得具有化学惰性主链和各种嵌段共聚物结构的高分子量、可溶剂加工材料的可靠方法。然而，其活性程度和分子量控制丧失的潜在机制仍未得到充分探索和优化。在这项工作中，我们通过系统地探索三叔丁基膦配位的阳离子钯引发剂的乙烯基加成聚合，提供了实现改进分子量控制的功能指南。我们开发了一种延时扩链实验方案，以量化给定聚合的活性，并能够确定催化剂抗衡阴离子、微量杂质和聚合条件如何影响增长链末端的反应性。通过对聚合物淬灭方案的补充研究，确定了既可以停止传播又可以从钯链末端去除聚合物的试剂。最终，我们建立了一系列用于实现降冰片烯单体的高活性乙烯基加成聚合的指南，并将其应用于在台式九嵌段共聚物的合成中，扩展了合成聚合物化学家的活性方法工具包，同时为活性聚合的优化提供了实验框架。</w:t>
      </w:r>
    </w:p>
    <w:p>
      <w:pPr>
        <w:spacing w:before="0" w:after="200" w:lineRule="auto" w:line="276"/>
      </w:pPr>
      <w:r>
        <w:rPr>
          <w:b/>
        </w:rPr>
        <w:t xml:space="preserve">Abstract (EN): </w:t>
      </w:r>
      <w:r>
        <w:t>The living vinyl-addition polymerization of norbornenes is a robust method for accessing high-molecular-weight, solvent-processable materials with a chemically inert backbone and varied block copolymer architectures. However, the extent of its livingness and the underlying mechanisms of the loss of molecular weight control remain underexplored and unoptimized. In this work, we provide a functional guide to achieving improved molecular weight control through the systematic exploration of vinyl-addition polymerization by a tri-tert-butylphosphine-ligated cationic palladium initiator. We developed a time-delay chain extension experimental protocol to quantify the livingness of a given polymerization and enable identification of how the catalyst counteranion, trace impurities, and polymerization conditions impact the reactivity of the propagating chain end. Reagents that can both halt propagation and remove the polymer from the palladium chain end were identified through complementary studies of polymer quenching protocols. Ultimately, we establish a series of guidelines for achieving highly living vinyl-addition polymerizations of norbornene monomers and apply them to the synthesis of a nonablock copolymer on the benchtop, expanding the toolkit of living methodologies for the synthetic polymer chemist while providing an experimental framework for the optimization of living polymerizations.</w:t>
      </w:r>
    </w:p>
    <w:p>
      <w:pPr>
        <w:spacing w:before="120" w:after="120"/>
      </w:pPr>
      <w:r>
        <w:rPr>
          <w:sz w:val="18"/>
        </w:rPr>
        <w:t>——————————————————————————————————————————————————————————————————————</w:t>
      </w:r>
    </w:p>
    <w:p>
      <w:pPr>
        <w:spacing w:before="160" w:after="40" w:line="240" w:lineRule="auto"/>
      </w:pPr>
      <w:r>
        <w:rPr>
          <w:b/>
        </w:rPr>
        <w:t xml:space="preserve">[230] </w:t>
      </w:r>
      <w:hyperlink r:id="rId1001">
        <w:r>
          <w:rPr>
            <w:color w:val="1155CC"/>
            <w:u w:val="single"/>
          </w:rPr>
          <w:t>用于压力分布识别的粘合水凝胶的近红外编程原位机械重构</w:t>
        </w:r>
      </w:hyperlink>
    </w:p>
    <w:p>
      <w:pPr>
        <w:spacing w:before="0" w:after="80"/>
      </w:pPr>
      <w:r>
        <w:rPr>
          <w:i/>
          <w:sz w:val="20"/>
        </w:rPr>
        <w:t>EN: Near Infrared-Programmed In Situ Mechanical Reconfiguration of Adhesive Hydrogels for Pressure Distribution Recognition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02">
        <w:r>
          <w:rPr>
            <w:color w:val="1155CC"/>
            <w:u w:val="single"/>
          </w:rPr>
          <w:t>10.1021/acsami.6c12028</w:t>
        </w:r>
      </w:hyperlink>
    </w:p>
    <w:p>
      <w:pPr>
        <w:spacing w:before="0" w:after="120"/>
      </w:pPr>
      <w:r>
        <w:rPr>
          <w:b/>
        </w:rPr>
        <w:t xml:space="preserve">Notes: </w:t>
      </w:r>
      <w:r>
        <w:t>abstract_source=crossref</w:t>
      </w:r>
    </w:p>
    <w:p>
      <w:pPr>
        <w:spacing w:before="0" w:after="80" w:lineRule="auto" w:line="276"/>
      </w:pPr>
      <w:r>
        <w:rPr>
          <w:b/>
        </w:rPr>
        <w:t xml:space="preserve">摘要（ZH）: </w:t>
      </w:r>
      <w:r>
        <w:t>摘要 光驱动的软执行器通常很难将强大的机械韧性、动态空间可调性和可靠的按需粘附力集成到单一材料系统中。在这里，我们提出了一种近红外（NIR）光响应水凝胶，具有动态非共价网络，能够快速且可逆地重新配置机械性能。该结构网络集成了PVA链，以提供初始机械弹性和环境耐久性，而热响应硼酸酯键充当交联连接点，以确保快速转变为软弹性状态。这种集成架构在高初始刚度和按需动态驱动之间实现了罕见的平衡，克服了响应软物质方面长期存在的权衡。此外，动态键的局部光热裂解暴露了官能团，这显着增强了对不同表面的界面粘附力，在铝上达到约 48 kPa。机械刚度的局部光热降低赋予水凝胶精确的空间控制，从而能够设计不受束缚的仿生执行器和交互式传感器。除了机械驱动之外，水凝胶还可以作为一种高灵敏度的可穿戴电子设备，实现精确的人体运动检测和莫尔斯电码通信。此外，4 × 4 空间压力传感器阵列的集成为机器人操作任务提供了可靠的触觉反馈。这项工作突出了可编程水凝胶的多功能设计策略，为可编程水凝胶铺平了机会</w:t>
      </w:r>
    </w:p>
    <w:p>
      <w:pPr>
        <w:spacing w:before="0" w:after="200" w:lineRule="auto" w:line="276"/>
      </w:pPr>
      <w:r>
        <w:rPr>
          <w:b/>
        </w:rPr>
        <w:t xml:space="preserve">Abstract (EN): </w:t>
      </w:r>
      <w:r>
        <w:t>Light driven soft actuators often struggle to integrate robust mechanical toughness, dynamic spatial tunability, and reliable on demand adhesion within a single material system. Here, we present a near infrared (NIR) light responsive hydrogel featuring dynamic noncovalent networks that enable the rapid and reversible reconfiguration of mechanical properties. The structural network integrates PVA chains to provide initial mechanical resilience and environmental durability, while the thermal responsive boronic ester bonds act as crosslinking junctions to ensure fast transition to a soft elastic state. This integrated architecture achieves a rare balance between high initial stiffness and on demand dynamic actuation, overcoming the long-standing trade off in responsive soft matters. Furthermore, the localized photothermal cleavage of the dynamic bonds exposes functional groups, which significantly enhances the interfacial adhesion to diverse surfaces, reaching approximately 48 kPa on aluminum. The localized photothermal reduction in mechanical stiffness endows the hydrogel with precise spatial control, enabling the design of untethered bionic actuators and interactive sensors. Beyond mechanical actuation, the hydrogel serves as a highly sensitive wearable electronic device, achieving precise human motion detection and Morse code communication. Furthermore, the integration of a 4 × 4 spatial pressure sensor array provides reliable tactile feedback for robotic manipulation tasks. This work highlights a versatile design strategy for programmable hydrogels, paving opportunities for smart interfaces, advanced human machine interaction, and adaptive soft robotic systems.</w:t>
      </w:r>
    </w:p>
    <w:p>
      <w:pPr>
        <w:spacing w:before="120" w:after="120"/>
      </w:pPr>
      <w:r>
        <w:rPr>
          <w:sz w:val="18"/>
        </w:rPr>
        <w:t>——————————————————————————————————————————————————————————————————————</w:t>
      </w:r>
    </w:p>
    <w:p>
      <w:pPr>
        <w:spacing w:before="160" w:after="40" w:line="240" w:lineRule="auto"/>
      </w:pPr>
      <w:r>
        <w:rPr>
          <w:b/>
        </w:rPr>
        <w:t xml:space="preserve">[231] </w:t>
      </w:r>
      <w:hyperlink r:id="rId1003">
        <w:r>
          <w:rPr>
            <w:color w:val="1155CC"/>
            <w:u w:val="single"/>
          </w:rPr>
          <w:t>手性向列液晶中排列控制的圆偏振热激活延迟荧光</w:t>
        </w:r>
      </w:hyperlink>
    </w:p>
    <w:p>
      <w:pPr>
        <w:spacing w:before="0" w:after="80"/>
      </w:pPr>
      <w:r>
        <w:rPr>
          <w:i/>
          <w:sz w:val="20"/>
        </w:rPr>
        <w:t>EN: Alignment-Controlled Circularly Polarized Thermally Activated Delayed Fluorescence in Chiral Nematic Liquid Crystals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04">
        <w:r>
          <w:rPr>
            <w:color w:val="1155CC"/>
            <w:u w:val="single"/>
          </w:rPr>
          <w:t>10.1021/acsami.6c08888</w:t>
        </w:r>
      </w:hyperlink>
    </w:p>
    <w:p>
      <w:pPr>
        <w:spacing w:before="0" w:after="120"/>
      </w:pPr>
      <w:r>
        <w:rPr>
          <w:b/>
        </w:rPr>
        <w:t xml:space="preserve">Notes: </w:t>
      </w:r>
      <w:r>
        <w:t>abstract_source=crossref</w:t>
      </w:r>
    </w:p>
    <w:p>
      <w:pPr>
        <w:spacing w:before="0" w:after="80" w:lineRule="auto" w:line="276"/>
      </w:pPr>
      <w:r>
        <w:rPr>
          <w:b/>
        </w:rPr>
        <w:t xml:space="preserve">摘要（ZH）: </w:t>
      </w:r>
      <w:r>
        <w:t>摘要 尽管取得了重大进展，但同时实现高发射不对称因子（glum）和高发光效率仍然是圆偏振发光（CPL）材料领域的主要挑战。在这里，我们报告了一种双重策略，将液晶掺杂与基于萘二甲酰亚胺的热激活延迟荧光（TADF）发射器和受控表面对准相结合，以放大手性向列液晶（N * LC）系统中的CPL。研究了两种发射体：1，带有传统的辛基链；2，用氰基联苯介晶单元进行功能化，以增强与向列主体的相容性。两种化合物在 LC 基质中均表现出 TADF 行为。 N* 相的受控均匀和垂直排列使得能够系统地研究边界引起的对 CPL 性能的影响。事实证明，均匀排列特别有效，即使在低掺杂剂负载量（0.5 wt%）下也能提供高达 0.14 的高 Glum 值，在 30 天内保持稳定的手性光学响应。这些发现强调了宏观液晶对准是控制 CPL 性能的一个关键但尚未充分探索的参数，并为针对光子和显示设备应用的下一代 CP-TADF/LC 材料建立了实用的设计原则。</w:t>
      </w:r>
    </w:p>
    <w:p>
      <w:pPr>
        <w:spacing w:before="0" w:after="200" w:lineRule="auto" w:line="276"/>
      </w:pPr>
      <w:r>
        <w:rPr>
          <w:b/>
        </w:rPr>
        <w:t xml:space="preserve">Abstract (EN): </w:t>
      </w:r>
      <w:r>
        <w:t>Despite significant advances, simultaneously achieving a high emission dissymmetry factor (glum) and high luminescence efficiency remains a major challenge in the field of circularly polarized luminescent (CPL) materials. Here, we report a dual strategy that combines liquid crystal doping with naphthalimide-based thermally activated delayed fluorescence (TADF) emitters and controlled surface alignment to amplify CPL in chiral nematic liquid crystal (N*LC) systems. Two emitters were investigated: 1, bearing a conventional octyl chain, and 2, functionalized with cyanobiphenyl mesogenic units to enhance compatibility with the nematic host. Both compounds show TADF behavior within the LC matrix. Controlled homogeneous and homeotropic alignment of the N* phase enabled the systematic investigation of boundary-induced effects on CPL performance. Homogeneous alignment proved particularly effective, delivering high glum values of up to 0.14 even at low dopant loading (0.5 wt%), maintaining stable chiroptical responses over 30 days. These findings highlight macroscopic LC alignment as a critical, yet underexplored, parameter governing CPL performance and establish practical design principles for next-generation CP-TADF/LC materials targeting photonic and display device applications.</w:t>
      </w:r>
    </w:p>
    <w:p>
      <w:pPr>
        <w:spacing w:before="120" w:after="120"/>
      </w:pPr>
      <w:r>
        <w:rPr>
          <w:sz w:val="18"/>
        </w:rPr>
        <w:t>——————————————————————————————————————————————————————————————————————</w:t>
      </w:r>
    </w:p>
    <w:p>
      <w:pPr>
        <w:spacing w:before="160" w:after="40" w:line="240" w:lineRule="auto"/>
      </w:pPr>
      <w:r>
        <w:rPr>
          <w:b/>
        </w:rPr>
        <w:t xml:space="preserve">[232] </w:t>
      </w:r>
      <w:hyperlink r:id="rId1005">
        <w:r>
          <w:rPr>
            <w:color w:val="1155CC"/>
            <w:u w:val="single"/>
          </w:rPr>
          <w:t>通过动态聚合物网络和相分离的协同工程对材料机械性能进行打印后操控</w:t>
        </w:r>
      </w:hyperlink>
    </w:p>
    <w:p>
      <w:pPr>
        <w:spacing w:before="0" w:after="80"/>
      </w:pPr>
      <w:r>
        <w:rPr>
          <w:i/>
          <w:sz w:val="20"/>
        </w:rPr>
        <w:t>EN: Post-Printing Manipulation of Material Mechanical Properties via Synergistic Engineering of Dynamic Polymer Network and Phase Separation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06">
        <w:r>
          <w:rPr>
            <w:color w:val="1155CC"/>
            <w:u w:val="single"/>
          </w:rPr>
          <w:t>10.1021/acsami.6c11998</w:t>
        </w:r>
      </w:hyperlink>
    </w:p>
    <w:p>
      <w:pPr>
        <w:spacing w:before="0" w:after="120"/>
      </w:pPr>
      <w:r>
        <w:rPr>
          <w:b/>
        </w:rPr>
        <w:t xml:space="preserve">Notes: </w:t>
      </w:r>
      <w:r>
        <w:t>abstract_source=crossref</w:t>
      </w:r>
    </w:p>
    <w:p>
      <w:pPr>
        <w:spacing w:before="0" w:after="80" w:lineRule="auto" w:line="276"/>
      </w:pPr>
      <w:r>
        <w:rPr>
          <w:b/>
        </w:rPr>
        <w:t xml:space="preserve">摘要（ZH）: </w:t>
      </w:r>
      <w:r>
        <w:t>摘要 3D 打印工艺约束和材料分子设计的耦合使得难以同时实现复杂的结构保真度和理想的机械性能。动态共价聚合物网络的拓扑重构使材料能够根据制造后的需要调节其性能。然而，先前的研究仅实现了有限的调制范围，因为材料性能仅取决于聚合物网络结构。在此，我们将相分离引入到可 3D 打印动态共价聚合物网络中，以实现几何复杂 3D 物体的显着机械性能调节。具体地，印刷树脂前体包含用动态受阻脲键官能化的交联剂和不可光固化的聚乙二醇单甲醚。首先通过打印过程中光聚合诱导的相分离获得刚性结构。随后激活动态键交换反应，可以同时调整网络拓扑和相形态，实现广泛的机械可调性，模量跨越 0.47 GPa 至 0.5 MPa 三个数量级。这种非凡的按需刚性到软质过渡可以轻松实现 100 μm 的打印分辨率，克服了 3D 打印在制造具有高结构保真度的软功能材料方面的局限性。</w:t>
      </w:r>
    </w:p>
    <w:p>
      <w:pPr>
        <w:spacing w:before="0" w:after="200" w:lineRule="auto" w:line="276"/>
      </w:pPr>
      <w:r>
        <w:rPr>
          <w:b/>
        </w:rPr>
        <w:t xml:space="preserve">Abstract (EN): </w:t>
      </w:r>
      <w:r>
        <w:t>The coupling of 3D printing process constraints and material molecular design makes it difficult to simultaneously achieve sophisticated structural fidelity and desirable mechanical performance. Topological reconfiguration of dynamic covalent polymer networks imparts materials with the capability to modulate their properties as needed post fabrication. However, prior studies had only achieved a limited modulation range because material properties depend solely on the polymer network structure. Herein, we introduce phase separation into a 3D printable dynamic covalent polymer network to enable significant mechanical property modulation in geometrically complex 3D objects. Specifically, the printing resin precursor comprises a crosslinker functionalized with dynamic hindered urea bonds and non-photocurable polyethylene glycol monomethyl ether. A rigid construct is first obtained via photopolymerization-induced phase separation during printing. Subsequent activation of dynamic bond exchange reactions enables simultaneous tailoring of both the network topology and phase morphology, realizing broad-range mechanical tunability with a modulus spanning three orders of magnitude from 0.47 GPa to 0.5 MPa. This remarkable on-demand rigid-to-soft transition allows 100 μm printing resolution to be readily achieved, overcoming the limitations of 3D printing in fabricating soft functional materials with high structural fidelity.</w:t>
      </w:r>
    </w:p>
    <w:p>
      <w:pPr>
        <w:spacing w:before="120" w:after="120"/>
      </w:pPr>
      <w:r>
        <w:rPr>
          <w:sz w:val="18"/>
        </w:rPr>
        <w:t>——————————————————————————————————————————————————————————————————————</w:t>
      </w:r>
    </w:p>
    <w:p>
      <w:pPr>
        <w:spacing w:before="160" w:after="40" w:line="240" w:lineRule="auto"/>
      </w:pPr>
      <w:r>
        <w:rPr>
          <w:b/>
        </w:rPr>
        <w:t xml:space="preserve">[233] </w:t>
      </w:r>
      <w:hyperlink r:id="rId1007">
        <w:r>
          <w:rPr>
            <w:color w:val="1155CC"/>
            <w:u w:val="single"/>
          </w:rPr>
          <w:t>由渗透 3D 氮化硼网络和界面工程实现的仿珍珠母多功能芳纶介电纸</w:t>
        </w:r>
      </w:hyperlink>
    </w:p>
    <w:p>
      <w:pPr>
        <w:spacing w:before="0" w:after="80"/>
      </w:pPr>
      <w:r>
        <w:rPr>
          <w:i/>
          <w:sz w:val="20"/>
        </w:rPr>
        <w:t>EN: Nacre-Mimetic Multifunctional Aramid Dielectric Paper Enabled by Percolated 3D Boron Nitride Networks and Interfacial Engineering</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08">
        <w:r>
          <w:rPr>
            <w:color w:val="1155CC"/>
            <w:u w:val="single"/>
          </w:rPr>
          <w:t>10.1021/acsami.6c09114</w:t>
        </w:r>
      </w:hyperlink>
    </w:p>
    <w:p>
      <w:pPr>
        <w:spacing w:before="0" w:after="120"/>
      </w:pPr>
      <w:r>
        <w:rPr>
          <w:b/>
        </w:rPr>
        <w:t xml:space="preserve">Notes: </w:t>
      </w:r>
      <w:r>
        <w:t>abstract_source=crossref</w:t>
      </w:r>
    </w:p>
    <w:p>
      <w:pPr>
        <w:spacing w:before="0" w:after="80" w:lineRule="auto" w:line="276"/>
      </w:pPr>
      <w:r>
        <w:rPr>
          <w:b/>
        </w:rPr>
        <w:t xml:space="preserve">摘要（ZH）: </w:t>
      </w:r>
      <w:r>
        <w:t>摘要 芳纶介电纸作为先进电机系统中核心绝缘材料的广泛采用，因其固有的低热导率 (λ) 而受到破坏，在严重的热电耦合应力下，会促进局部热点的形成并导致绝缘故障。然而，当前的主流解决方案面临着λ和其他基本特性之间的限制性权衡，这对导热芳纶纸的设计提出了持续的挑战。在此，我们报道了一种多功能芳纶复合介电纸，由一维（1D）芳纶纳米纤维（ANF）作为结构支架，与羟基功能化的一维氮化硼纳米管（BNNT）和二维氮化硼纳米片（BNNS）作为导热填料协同集成。该复合纸具有分层有序的自组装架构，可建立无障碍的 3D 声子传输网络，其中 BNNT 作为互连孤立的 BNNS 的空间桥梁。这种结构协同作用，加上 ANF 和 BNNT 以及 BNNS 之间强大的界面结合，同时将复合纸的面内 λ 提高到 15.71 W·m–1·K–1，拉伸强度提高到 283.36 MPa，分别比原始 ANF 纸提高了 9.64 倍和 1.32 倍。此外，受珍珠母启发的微结构赋予复合纸349.06 kV/mm的超高击穿强度，其中ANF-填料界面处丰富的深陷阱能够严重抑制载流子迁移并防止过早放电。</w:t>
      </w:r>
    </w:p>
    <w:p>
      <w:pPr>
        <w:spacing w:before="0" w:after="200" w:lineRule="auto" w:line="276"/>
      </w:pPr>
      <w:r>
        <w:rPr>
          <w:b/>
        </w:rPr>
        <w:t xml:space="preserve">Abstract (EN): </w:t>
      </w:r>
      <w:r>
        <w:t>The widespread adoption of aramid dielectric paper as core insulation in advanced motor systems is undermined by its intrinsically low thermal conductivity (λ), which promotes localized hotspot formation and precipitates insulation failure under severe thermoelectrical coupling stresses. However, current mainstream solutions face a restrictive trade-off between λ and other essential properties, presenting a persistent challenge for the design of thermoconductive aramid papers. Herein, we report a multifunctional aramid composite dielectric paper constructed from one-dimensional (1D) aramid nanofibers (ANFs) as the structural scaffold, synergistically integrated with hydroxyl-functionalized 1D boron nitride nanotubes (BNNTs) and 2D boron nitride nanosheets (BNNSs) as thermally conductive fillers. The composite paper features a hierarchically ordered self-assembled architecture that establishes an unobstructed 3D phonon transport network, wherein BNNTs serve as spatial bridges interconnecting isolated BNNSs. This structural synergy, coupled with robust interfacial bonding between ANFs and BNNTs as well as BNNSs, concurrently elevates the in-plane λ to 15.71 W·m–1·K–1 and the tensile strength to 283.36 MPa for the composite paper, representing 9.64-fold and 1.32-fold improvements over pristine ANF paper, respectively. Moreover, the nacre-inspired microstructure endows the composite paper with an ultrahigh breakdown strength of 349.06 kV/mm, wherein the abundant deep traps at the ANF-filler interfaces critically suppress charge carrier migration and prevent premature electrical breakdown. These multidimensional blocks design strategy offers a promising avenue for multifunctional dielectric materials tailored to the insulation systems of next-generation electrical and power equipment.</w:t>
      </w:r>
    </w:p>
    <w:p>
      <w:pPr>
        <w:spacing w:before="120" w:after="120"/>
      </w:pPr>
      <w:r>
        <w:rPr>
          <w:sz w:val="18"/>
        </w:rPr>
        <w:t>——————————————————————————————————————————————————————————————————————</w:t>
      </w:r>
    </w:p>
    <w:p>
      <w:pPr>
        <w:spacing w:before="160" w:after="40" w:line="240" w:lineRule="auto"/>
      </w:pPr>
      <w:r>
        <w:rPr>
          <w:b/>
        </w:rPr>
        <w:t xml:space="preserve">[234] </w:t>
      </w:r>
      <w:hyperlink r:id="rId1009">
        <w:r>
          <w:rPr>
            <w:color w:val="1155CC"/>
            <w:u w:val="single"/>
          </w:rPr>
          <w:t>微环境响应性纳米颗粒通过诱导炎症巨噬细胞和成纤维细胞样滑膜细胞凋亡来增强类风湿关节炎的治疗</w:t>
        </w:r>
      </w:hyperlink>
    </w:p>
    <w:p>
      <w:pPr>
        <w:spacing w:before="0" w:after="80"/>
      </w:pPr>
      <w:r>
        <w:rPr>
          <w:i/>
          <w:sz w:val="20"/>
        </w:rPr>
        <w:t>EN: Microenvironment-Responsive Nanoparticles Enhance Rheumatoid Arthritis Treatment by Inducing Apoptosis in Inflammatory Macrophages and Fibroblast-like Synoviocytes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10">
        <w:r>
          <w:rPr>
            <w:color w:val="1155CC"/>
            <w:u w:val="single"/>
          </w:rPr>
          <w:t>10.1021/acsami.6c08037</w:t>
        </w:r>
      </w:hyperlink>
    </w:p>
    <w:p>
      <w:pPr>
        <w:spacing w:before="0" w:after="120"/>
      </w:pPr>
      <w:r>
        <w:rPr>
          <w:b/>
        </w:rPr>
        <w:t xml:space="preserve">Notes: </w:t>
      </w:r>
      <w:r>
        <w:t>abstract_source=crossref</w:t>
      </w:r>
    </w:p>
    <w:p>
      <w:pPr>
        <w:spacing w:before="0" w:after="80" w:lineRule="auto" w:line="276"/>
      </w:pPr>
      <w:r>
        <w:rPr>
          <w:b/>
        </w:rPr>
        <w:t xml:space="preserve">摘要（ZH）: </w:t>
      </w:r>
      <w:r>
        <w:t>摘要 类风湿性关节炎（RA）是一种进行性自身免疫性疾病，主要特征是持续性滑膜炎症和进行性骨侵蚀。由于其病理微环境的复杂性，RA的药物治疗往往受到限制。这主要归因于RA微环境中活化的巨噬细胞分泌大量促炎细胞因子，进一步激活成纤维样滑膜细胞（FLS），促进缺氧的滑膜微环境和炎症介质的释放。诱导这些炎症细胞凋亡以减轻炎症反应是 RA 的一种潜在治疗策略。在这里，我们开发了微环境响应纳米颗粒 ATKP-HA/CuS@Cel。透明质酸（HA）首先用于修饰雷公藤红醇（Cel）负载的八面体硫化铜纳米粒子（CuS NPs），形成HA/CuS@Cel NPs。然后，将有效的破骨细胞抑制剂阿仑膦酸钠（ALN）与NH2-PEG-缩酮硫醇（TK）-COOH缀合，得到ALN-TK-PEG（ATKP）。 ATKP 自组装到 HA/CuS@Cel 上形成最终的 ATKP-HA/CuS@Cel 纳米粒子。在体外，该配方能够响应活性氧释放 Cel 和 ALN，显着诱导炎症巨噬细胞和 FLS 凋亡。在体内，ATKP-HA/CuS@Cel 有效地积聚在发炎的关节部位，并显着减轻胶原诱导的关节炎大鼠的骨破坏和炎症反应。总体而言，我们的研究结果提供了一种创新的递送策略，通过 inhi 增强 RA 治疗效果</w:t>
      </w:r>
    </w:p>
    <w:p>
      <w:pPr>
        <w:spacing w:before="0" w:after="200" w:lineRule="auto" w:line="276"/>
      </w:pPr>
      <w:r>
        <w:rPr>
          <w:b/>
        </w:rPr>
        <w:t xml:space="preserve">Abstract (EN): </w:t>
      </w:r>
      <w:r>
        <w:t>Rheumatoid arthritis (RA) is a progressive autoimmune disease primarily characterized by persistent synovial inflammation and progressive bone erosion. Due to the complexity of its pathological microenvironment, pharmacological treatment of RA is often limited. This is primarily attributed to the fact that activated macrophages in the RA microenvironment secrete large amounts of pro-inflammatory cytokines, which further activate fibroblast-like synoviocytes (FLS), promoting a hypoxic synovial microenvironment and the release of inflammatory mediators. Inducing apoptosis in these inflammatory cells to mitigate inflammatory responses represents a potential therapeutic strategy for RA. Here, we developed microenvironment-responsive nanoparticles, ATKP-HA/CuS@Cel. Hyaluronic acid (HA) was first used to modify celastrol (Cel)-loaded octahedral copper sulfide nanoparticles (CuS NPs), forming HA/CuS@Cel NPs. Then, alendronate sodium (ALN), a potent osteoclast inhibitor, was conjugated to NH2-PEG-thioketal (TK)-COOH to obtain ALN-TK-PEG (ATKP). Self-assembly of ATKP onto HA/CuS@Cel resulted in the final ATKP-HA/CuS@Cel NPs. In vitro, this formulation enabled the release of Cel and ALN in response to reactive oxygen species, significantly inducing apoptosis of inflammatory macrophages and FLS. In vivo, ATKP-HA/CuS@Cel effectively accumulated at inflamed joint sites and markedly alleviated bone destruction and inflammatory responses in collagen-induced arthritis rats. Overall, our findings provided an innovative delivery strategy that enhanced RA therapeutic efficacy by inhibiting the abundance of various inflammatory cells through microenvironment-driven drug release.</w:t>
      </w:r>
    </w:p>
    <w:p>
      <w:pPr>
        <w:spacing w:before="120" w:after="120"/>
      </w:pPr>
      <w:r>
        <w:rPr>
          <w:sz w:val="18"/>
        </w:rPr>
        <w:t>——————————————————————————————————————————————————————————————————————</w:t>
      </w:r>
    </w:p>
    <w:p>
      <w:pPr>
        <w:spacing w:before="160" w:after="40" w:line="240" w:lineRule="auto"/>
      </w:pPr>
      <w:r>
        <w:rPr>
          <w:b/>
        </w:rPr>
        <w:t xml:space="preserve">[235] </w:t>
      </w:r>
      <w:hyperlink r:id="rId1011">
        <w:r>
          <w:rPr>
            <w:color w:val="1155CC"/>
            <w:u w:val="single"/>
          </w:rPr>
          <w:t>基于 MXene/Au 功能化海绵的双模电容传感器，用于高灵敏度压力和长距离接近传感</w:t>
        </w:r>
      </w:hyperlink>
    </w:p>
    <w:p>
      <w:pPr>
        <w:spacing w:before="0" w:after="80"/>
      </w:pPr>
      <w:r>
        <w:rPr>
          <w:i/>
          <w:sz w:val="20"/>
        </w:rPr>
        <w:t>EN: Dual-Mode Capacitive Sensor Based on MXene/Au-Functionalized Sponge for High Sensitivity Pressure and Long-Range Proximity Sensing</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12">
        <w:r>
          <w:rPr>
            <w:color w:val="1155CC"/>
            <w:u w:val="single"/>
          </w:rPr>
          <w:t>10.1021/acsami.6c12027</w:t>
        </w:r>
      </w:hyperlink>
    </w:p>
    <w:p>
      <w:pPr>
        <w:spacing w:before="0" w:after="120"/>
      </w:pPr>
      <w:r>
        <w:rPr>
          <w:b/>
        </w:rPr>
        <w:t xml:space="preserve">Notes: </w:t>
      </w:r>
      <w:r>
        <w:t>abstract_source=crossref</w:t>
      </w:r>
    </w:p>
    <w:p>
      <w:pPr>
        <w:spacing w:before="0" w:after="80" w:lineRule="auto" w:line="276"/>
      </w:pPr>
      <w:r>
        <w:rPr>
          <w:b/>
        </w:rPr>
        <w:t xml:space="preserve">摘要（ZH）: </w:t>
      </w:r>
      <w:r>
        <w:t>摘要 电容式压力传感器在可穿戴电子产品、人机界面和人工智能领域的应用引起了广泛关注。然而，实现压力和接近度的灵敏同步检测仍然具有挑战性。在此，我们报告了一种柔性电容式传感器，包含由 Ti3C2Tx MXene/金纳米颗粒（MXene/Au）纳米复合材料功能化的三聚氰胺海绵（MS）中间层，该传感器集成到传统的金属-绝缘体-金属结构中。由此产生的传感器在 0-0.3、0.3-2.5 和 2.5-5.0 kPa 的压力范围内分别表现出 0.56、0.24 和 0.08 kPa-1 的高压灵敏度，以及 30 ms 的快速响应时间和在 2.5 kPa 下超过 6000 次循环的出色耐用性。此外，它还具有卓越的非接触式传感能力，检测距离可达25厘米。我们探索了它在监测手指弯曲、抓握、手腕脉搏、吞咽和眨眼期间眼部肌肉运动方面的潜力。总的来说，这项工作为人体运动监测和非接触式传感的高性能柔性传感器的设计提供了宝贵的见解。</w:t>
      </w:r>
    </w:p>
    <w:p>
      <w:pPr>
        <w:spacing w:before="0" w:after="200" w:lineRule="auto" w:line="276"/>
      </w:pPr>
      <w:r>
        <w:rPr>
          <w:b/>
        </w:rPr>
        <w:t xml:space="preserve">Abstract (EN): </w:t>
      </w:r>
      <w:r>
        <w:t>Capacitive pressure sensors have garnered considerable attention for applications in wearable electronics, human–machine interfaces, and artificial intelligence. However, achieving sensitive simultaneous detection of pressure and proximity remains challenging. Herein, we report a flexible capacitive sensor comprising a melamine sponge (MS) interlayer functionalized with Ti3C2Tx MXene/gold nanoparticle (MXene/Au) nanocomposites, which is integrated into a conventional metal–insulator–metal architecture. The resulting sensor exhibits high pressure sensitivities of 0.56, 0.24, and 0.08 kPa–1 over pressure ranges of 0–0.3, 0.3–2.5, and 2.5–5.0 kPa, respectively, along with a fast response time of 30 ms and excellent durability over 6000 cycles at 2.5 kPa. Moreover, it demonstrates remarkable non-contact sensing capability with a detection distance of up to 25 cm. We explored its potential in monitoring finger bending, grasping, wrist pulses, swallowing, and ocular muscle movements during blinking. Collectively, this work offers valuable insights into the design of high-performance flexible sensors for human motion monitoring and non-contact sensing.</w:t>
      </w:r>
    </w:p>
    <w:p>
      <w:pPr>
        <w:spacing w:before="120" w:after="120"/>
      </w:pPr>
      <w:r>
        <w:rPr>
          <w:sz w:val="18"/>
        </w:rPr>
        <w:t>——————————————————————————————————————————————————————————————————————</w:t>
      </w:r>
    </w:p>
    <w:p>
      <w:pPr>
        <w:spacing w:before="160" w:after="40" w:line="240" w:lineRule="auto"/>
      </w:pPr>
      <w:r>
        <w:rPr>
          <w:b/>
        </w:rPr>
        <w:t xml:space="preserve">[236] </w:t>
      </w:r>
      <w:hyperlink r:id="rId1013">
        <w:r>
          <w:rPr>
            <w:color w:val="1155CC"/>
            <w:u w:val="single"/>
          </w:rPr>
          <w:t>一种具有六方氮化硼开关的单片微波集成芯片</w:t>
        </w:r>
      </w:hyperlink>
    </w:p>
    <w:p>
      <w:pPr>
        <w:spacing w:before="0" w:after="80"/>
      </w:pPr>
      <w:r>
        <w:rPr>
          <w:i/>
          <w:sz w:val="20"/>
        </w:rPr>
        <w:t>EN: A monolithic microwave integrated chip with hexagonal boron nitride switches</w:t>
      </w:r>
    </w:p>
    <w:p>
      <w:pPr>
        <w:spacing w:before="0" w:after="120"/>
      </w:pPr>
      <w:r>
        <w:rPr>
          <w:b/>
        </w:rPr>
        <w:t xml:space="preserve">Source: </w:t>
      </w:r>
      <w:r>
        <w:t>Nature Electronics</w:t>
      </w:r>
      <w:r>
        <w:t xml:space="preserve">    </w:t>
      </w:r>
      <w:r>
        <w:rPr>
          <w:b/>
        </w:rPr>
        <w:t xml:space="preserve">Pub date: </w:t>
      </w:r>
      <w:r>
        <w:t>2026-08-17 00:00:00+00:00</w:t>
      </w:r>
      <w:r>
        <w:t xml:space="preserve">    </w:t>
      </w:r>
      <w:r>
        <w:rPr>
          <w:b/>
        </w:rPr>
        <w:t xml:space="preserve">DOI: </w:t>
      </w:r>
      <w:hyperlink r:id="rId1014">
        <w:r>
          <w:rPr>
            <w:color w:val="1155CC"/>
            <w:u w:val="single"/>
          </w:rPr>
          <w:t>10.1038/s41928-026-01696-z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1015">
        <w:r>
          <w:rPr>
            <w:color w:val="1155CC"/>
            <w:u w:val="single"/>
          </w:rPr>
          <w:t>纳米颗粒转化化学：多元素纳米结构的合成框架</w:t>
        </w:r>
      </w:hyperlink>
    </w:p>
    <w:p>
      <w:pPr>
        <w:spacing w:before="0" w:after="80"/>
      </w:pPr>
      <w:r>
        <w:rPr>
          <w:i/>
          <w:sz w:val="20"/>
        </w:rPr>
        <w:t>EN: Nanoparticle Conversion Chemistry: A Synthetic Framework for Multielemental Nanostructures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1016">
        <w:r>
          <w:rPr>
            <w:color w:val="1155CC"/>
            <w:u w:val="single"/>
          </w:rPr>
          <w:t>10.1021/jacs.6c03029</w:t>
        </w:r>
      </w:hyperlink>
    </w:p>
    <w:p>
      <w:pPr>
        <w:spacing w:before="0" w:after="120"/>
      </w:pPr>
      <w:r>
        <w:rPr>
          <w:b/>
        </w:rPr>
        <w:t xml:space="preserve">Notes: </w:t>
      </w:r>
      <w:r>
        <w:t>abstract_source=crossref</w:t>
      </w:r>
    </w:p>
    <w:p>
      <w:pPr>
        <w:spacing w:before="0" w:after="80" w:lineRule="auto" w:line="276"/>
      </w:pPr>
      <w:r>
        <w:rPr>
          <w:b/>
        </w:rPr>
        <w:t xml:space="preserve">摘要（ZH）: </w:t>
      </w:r>
      <w:r>
        <w:t>摘要 由于尺寸和形状控制的多元素纳米粒子在催化、等离子体、太阳能电池、电子学甚至治疗诊断方面的广泛应用，过去几十年来人们对它们的合成进行了研究。虽然溶液相方法在单金属和双金属系统中提供了显着的结构控制，但将类似的控制扩展到多元素纳米结构仍然非常困难。这种限制源于对胶体反应机制的不完全理解，以及多种前体在溶解度、氧化还原行为和配体配位方面的差异。因此，多元素纳米材料的可转移设计规则或逆合成策略的识别仍然难以捉摸。此外，合成过程中形成的中间体经常与最终产物竞争，导致杂质结构。在少数情况下，多元素组合物是使用传统的溶液合成方法获得的。然而，这些方法通常很难扩展到其他系统。原子对原子的构建策略，例如使用强还原剂进行同步前驱体还原或快速串联前驱体分解，已经实现了多元素掺入，但它们不太适合获得不同的颗粒形状或定制表面整体，而这两者对于决定催化等应用中的面依赖性特性至关重要。我们的观点认为纳米粒子转换策略，例如热扩散、阳离子交换和电取代</w:t>
      </w:r>
    </w:p>
    <w:p>
      <w:pPr>
        <w:spacing w:before="0" w:after="200" w:lineRule="auto" w:line="276"/>
      </w:pPr>
      <w:r>
        <w:rPr>
          <w:b/>
        </w:rPr>
        <w:t xml:space="preserve">Abstract (EN): </w:t>
      </w:r>
      <w:r>
        <w:t>The synthesis of multielemental nanoparticles with size- and shape-control has been studied over the last several decades due to their diverse applications in catalysis, plasmonics, solar cells, electronics, and even as theranostics. While solution-phase methods afford remarkable structural control in mono- and bimetallic systems, extending comparable control to multielemental nanostructures remains largely intractable. This limitation stems from an incomplete understanding of colloidal reaction mechanisms, compounded by disparities among multiple precursors in solubility, redox behavior, and ligand coordination. Consequently, the identification of transferable design rules or retrosynthetic strategies for multielemental nanomaterials has remained elusive. Moreover, intermediates formed during synthesis often compete with the final product, resulting in impurity structures. In a few instances, multielemental compositions have been achieved using conventional solution syntheses; however, these approaches are often difficult to extend to other systems. Atom-by-atom construction strategies such as synchronized precursor reduction using potent reducing agents or rapid tandem precursor decomposition have enabled multielement incorporation, yet they are poorly suited for accessing diverse particle shapes or for tailoring surface ensembles, both of which are critical for dictating facet-dependent properties in applications such as catalysis. Our perspective argues that nanoparticle conversion strategies, such as thermal diffusion, cation exchange, and galvanic replacement, are not simply alternative synthetic routes, but are processes that enable a distinct framework for retrosynthetic design of multielemental nanoparticles. In these approaches, transformations proceed from preformed precursor nanoparticles, which act as structural and chemical templates for subsequent evolution. These precursor nanoparticles guide the composition and shape of the product nanoparticles, providing a means to decouple precursor incompatibilities from final structure. In this context, chemical and structural selectivity emerge from the interplay of diffusion, interfacial energetics, and lattice constraints, rather than solely from precursor reactivity. This perspective discusses how nanoparticle conversion chemistry may enable increasingly predictive syntheses of complex multielemental nanoparticles.</w:t>
      </w:r>
    </w:p>
    <w:p>
      <w:pPr>
        <w:spacing w:before="120" w:after="120"/>
      </w:pPr>
      <w:r>
        <w:rPr>
          <w:sz w:val="18"/>
        </w:rPr>
        <w:t>——————————————————————————————————————————————————————————————————————</w:t>
      </w:r>
    </w:p>
    <w:p>
      <w:pPr>
        <w:spacing w:before="160" w:after="40" w:line="240" w:lineRule="auto"/>
      </w:pPr>
      <w:r>
        <w:rPr>
          <w:b/>
        </w:rPr>
        <w:t xml:space="preserve">[238] </w:t>
      </w:r>
      <w:hyperlink r:id="rId1017">
        <w:r>
          <w:rPr>
            <w:color w:val="1155CC"/>
            <w:u w:val="single"/>
          </w:rPr>
          <w:t>释放醛中的游离 α-三氟甲氧基卡宾反应性</w:t>
        </w:r>
      </w:hyperlink>
    </w:p>
    <w:p>
      <w:pPr>
        <w:spacing w:before="0" w:after="80"/>
      </w:pPr>
      <w:r>
        <w:rPr>
          <w:i/>
          <w:sz w:val="20"/>
        </w:rPr>
        <w:t>EN: Unlocking Free α-Trifluoromethoxy Carbene Reactivity from Aldehyde</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1018">
        <w:r>
          <w:rPr>
            <w:color w:val="1155CC"/>
            <w:u w:val="single"/>
          </w:rPr>
          <w:t>10.1021/jacs.6c10096</w:t>
        </w:r>
      </w:hyperlink>
    </w:p>
    <w:p>
      <w:pPr>
        <w:spacing w:before="0" w:after="120"/>
      </w:pPr>
      <w:r>
        <w:rPr>
          <w:b/>
        </w:rPr>
        <w:t xml:space="preserve">Notes: </w:t>
      </w:r>
      <w:r>
        <w:t>abstract_source=crossref</w:t>
      </w:r>
    </w:p>
    <w:p>
      <w:pPr>
        <w:spacing w:before="0" w:after="80" w:lineRule="auto" w:line="276"/>
      </w:pPr>
      <w:r>
        <w:rPr>
          <w:b/>
        </w:rPr>
        <w:t xml:space="preserve">摘要（ZH）: </w:t>
      </w:r>
      <w:r>
        <w:t>摘要 卡宾被认为是有效的中间体，可以实现其他方式无法实现的化学转化。开发容易获得的醛作为氧卡宾前体具有重要的研究价值，但以前从未实现过。具有更好分解性的三氟甲氧基 (−OCF3) 基团的化合物在制药和农业研究中具有多种应用，并被认为是有前途的 PFAS 替代品。在这里，我们报道（杂）芳基醛、烯基醛和炔基醛很容易转化（通过可分离或原位使用的源自醛的O-三氟甲基化/氯化的α-OCF3仲氯化物）为前所未有的、结构多样的游离α-OCF3卡宾，以促进三种反应类别，包括环丙烷化、Si-H插入和通过磷叶立德的膦酰化。这种方法为获取以前难以捉摸但具有潜在价值的含 OCF3 化合物开辟了途径，包括 OCF3 取代的环丙烷、硅烷和膦酸酯，从而扩展了有机氟和卡宾化学。</w:t>
      </w:r>
    </w:p>
    <w:p>
      <w:pPr>
        <w:spacing w:before="0" w:after="200" w:lineRule="auto" w:line="276"/>
      </w:pPr>
      <w:r>
        <w:rPr>
          <w:b/>
        </w:rPr>
        <w:t xml:space="preserve">Abstract (EN): </w:t>
      </w:r>
      <w:r>
        <w:t>Carbenes, recognized as potent intermediates, enable otherwise inaccessible chemical transformations. The development of readily accessible aldehydes as oxycarbene precursors is of significant research value, yet it has never been achieved before. Compounds with a better decomposable trifluoromethoxy (−OCF3) group have found diverse applications in pharmaceutical and agricultural research and are considered promising PFAS’s alternatives. Here, we report that (hetero)aryl-, alkenyl-, and alkynyl-aldehydes are readily converted (via isolable or in situ-utilized α-OCF3 secondary chlorides derived from O-trifluoromethylation/chlorination of aldehydes) to unprecedented, structurally diverse free α-OCF3 carbenes to facilitate three reaction classes, including cyclopropanation, Si–H insertion, and phosphonylation via phosphorus ylide. This approach opens avenues to access previously elusive but potentially valuable OCF3-containing compounds, including OCF3-substituted cyclopropanes, silanes, and phosphonates, expanding both organofluorine and carbene chemistry.</w:t>
      </w:r>
    </w:p>
    <w:p>
      <w:pPr>
        <w:spacing w:before="120" w:after="120"/>
      </w:pPr>
      <w:r>
        <w:rPr>
          <w:sz w:val="18"/>
        </w:rPr>
        <w:t>——————————————————————————————————————————————————————————————————————</w:t>
      </w:r>
    </w:p>
    <w:p>
      <w:pPr>
        <w:spacing w:before="160" w:after="40" w:line="240" w:lineRule="auto"/>
      </w:pPr>
      <w:r>
        <w:rPr>
          <w:b/>
        </w:rPr>
        <w:t xml:space="preserve">[239] </w:t>
      </w:r>
      <w:hyperlink r:id="rId1019">
        <w:r>
          <w:rPr>
            <w:color w:val="1155CC"/>
            <w:u w:val="single"/>
          </w:rPr>
          <w:t>三元溶剂中的水结构表明纳米相的形成</w:t>
        </w:r>
      </w:hyperlink>
    </w:p>
    <w:p>
      <w:pPr>
        <w:spacing w:before="0" w:after="80"/>
      </w:pPr>
      <w:r>
        <w:rPr>
          <w:i/>
          <w:sz w:val="20"/>
        </w:rPr>
        <w:t>EN: Water Structure within Ternary Solvents Suggests Nanophase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1020">
        <w:r>
          <w:rPr>
            <w:color w:val="1155CC"/>
            <w:u w:val="single"/>
          </w:rPr>
          <w:t>10.1021/jacs.6c10066</w:t>
        </w:r>
      </w:hyperlink>
    </w:p>
    <w:p>
      <w:pPr>
        <w:spacing w:before="0" w:after="120"/>
      </w:pPr>
      <w:r>
        <w:rPr>
          <w:b/>
        </w:rPr>
        <w:t xml:space="preserve">Notes: </w:t>
      </w:r>
      <w:r>
        <w:t>abstract_source=crossref</w:t>
      </w:r>
    </w:p>
    <w:p>
      <w:pPr>
        <w:spacing w:before="0" w:after="80" w:lineRule="auto" w:line="276"/>
      </w:pPr>
      <w:r>
        <w:rPr>
          <w:b/>
        </w:rPr>
        <w:t xml:space="preserve">摘要（ZH）: </w:t>
      </w:r>
      <w:r>
        <w:t>摘要 水独特的溶剂化特性及其与疏水表面的相互作用在从自组装到相分离的各种化学过程中发挥着至关重要的作用。本研究研究了由水、助溶剂（丙酮、二甲基甲酰胺或二甲基亚砜）和油（2-己酮或2-戊酮）组成的三元溶剂体系中水的结构和氢键，以揭示添加油后溶剂组织如何变化。使用拉曼光谱与多元曲线分辨率相结合，我们探测了氢键的变化作为三元组成的函数。与直觉相反，用油代替共溶剂同时保持恒定的水含量会减少疏水水合壳内受扰动的水的体积。我们还发现添加油后悬挂羟基的数量较多。我们认为这些结果表明分散在水中的纳米级富油聚集体（纳米相）的形成。这项工作深入了解了三元溶剂中疏水水合的作用，有助于我们理解复杂混合物中的纳米相形成、溶剂行为和界面现象。</w:t>
      </w:r>
    </w:p>
    <w:p>
      <w:pPr>
        <w:spacing w:before="0" w:after="200" w:lineRule="auto" w:line="276"/>
      </w:pPr>
      <w:r>
        <w:rPr>
          <w:b/>
        </w:rPr>
        <w:t xml:space="preserve">Abstract (EN): </w:t>
      </w:r>
      <w:r>
        <w:t>Water’s unique solvating properties and its interactions with hydrophobic surfaces play crucial roles in various chemical processes ranging from self-assembly to phase separation. This study investigates the structure and hydrogen bonding of water in ternary solvent systems composed of water, a cosolvent (acetone, dimethylformamide, or dimethyl sulfoxide), and an oil (2-hexanone or 2-pentanone) to reveal how solvent organization changes upon oil addition. Using Raman spectroscopy coupled with multivariate curve resolution, we probe changes in hydrogen bonding as a function of ternary composition. Counterintuitively, replacing the cosolvent with oil while maintaining constant water levels reduces the volume of perturbed water within hydrophobic hydration shells. We also find a higher population of dangling hydroxyl groups upon oil addition. We propose that these results are indicative of the formation of nanoscale, oil-rich aggregates (nanophases) dispersed in water. This work offers insights into the role of hydrophobic hydration in ternary solvents, contributing to our understanding of nanophase formation, solvent behavior, and interfacial phenomena in complex mixtures.</w:t>
      </w:r>
    </w:p>
    <w:p>
      <w:pPr>
        <w:spacing w:before="120" w:after="120"/>
      </w:pPr>
      <w:r>
        <w:rPr>
          <w:sz w:val="18"/>
        </w:rPr>
        <w:t>——————————————————————————————————————————————————————————————————————</w:t>
      </w:r>
    </w:p>
    <w:p>
      <w:pPr>
        <w:spacing w:before="160" w:after="40" w:line="240" w:lineRule="auto"/>
      </w:pPr>
      <w:r>
        <w:rPr>
          <w:b/>
        </w:rPr>
        <w:t xml:space="preserve">[240] </w:t>
      </w:r>
      <w:hyperlink r:id="rId1021">
        <w:r>
          <w:rPr>
            <w:color w:val="1155CC"/>
            <w:u w:val="single"/>
          </w:rPr>
          <w:t>一种非侵入性经鼓膜生物粘附水凝胶，用于在中耳炎积液治疗中持续输送地塞米松</w:t>
        </w:r>
      </w:hyperlink>
    </w:p>
    <w:p>
      <w:pPr>
        <w:spacing w:before="0" w:after="80"/>
      </w:pPr>
      <w:r>
        <w:rPr>
          <w:i/>
          <w:sz w:val="20"/>
        </w:rPr>
        <w:t>EN: A Non-Invasive Transtympanic Bioadhesive Hydrogel for Sustained Delivery of Dexamethasone in Otitis Media Effusion Therapy</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22">
        <w:r>
          <w:rPr>
            <w:color w:val="1155CC"/>
            <w:u w:val="single"/>
          </w:rPr>
          <w:t>10.1021/acsami.6c07256</w:t>
        </w:r>
      </w:hyperlink>
    </w:p>
    <w:p>
      <w:pPr>
        <w:spacing w:before="0" w:after="120"/>
      </w:pPr>
      <w:r>
        <w:rPr>
          <w:b/>
        </w:rPr>
        <w:t xml:space="preserve">Notes: </w:t>
      </w:r>
      <w:r>
        <w:t>abstract_source=crossref</w:t>
      </w:r>
    </w:p>
    <w:p>
      <w:pPr>
        <w:spacing w:before="0" w:after="80" w:lineRule="auto" w:line="276"/>
      </w:pPr>
      <w:r>
        <w:rPr>
          <w:b/>
        </w:rPr>
        <w:t xml:space="preserve">摘要（ZH）: </w:t>
      </w:r>
      <w:r>
        <w:t>Otitis media with effusion (OME) is a highly prevalent condition characterized by persistent inflammatory effusion in the middle ear cavity. The clinical management of OME remains challenging due to the anatomical inaccessibility of the middle ear, which limits drug efficacy and often necessitates invasive surgical interventions. To address this, we engineered a transtympanic hydrogel platform (Gel-HADA) that undergoes rapid, enzyme-mediated gelation on the tympanic membrane (TM), forming a “second membrane” through transglutaminase (TGase) crosslinking within 15 min.这种水凝胶牢固地粘附在 TM 上，在 7 天内可控地降解至剩余质量的 5.4 ± 4.0%，并提供持续的药物输送。结果，地塞米松磷酸二钠负载的 Gel-HADA (Gel-HADA-Dex) 在离体大鼠 TM 中表现出有效的渗透性。 In a rat OME model, a single Gel-HADA-Dex administration effectively suppressed mucosal inflammation and restored middle ear function (100% Type A curves, equivalent to the healthy control group). TM thickness (from 91.40 ± 16.46 μm to 8.32 ± 1.60 μm), mucosal thickness (from 67.97 ± 6.21 μm to 46.50 ± 2.47 μm), and leukocyte counts in middle ear lavage (from 140.37 ± 45.94 /HPF to 11.07 ± 1.76 /HPF）显着降低。 Mechanistically, Gel-HADA-Dex normalized the aberrant immune-transcriptional network and suppressed key pro-inflammatory cytokines while enhancing anti-inflammatory mediators.该水凝胶表现出优异的生物相容性、血液相容性和听觉安全性。该研究共同确定了凝胶</w:t>
      </w:r>
    </w:p>
    <w:p>
      <w:pPr>
        <w:spacing w:before="0" w:after="200" w:lineRule="auto" w:line="276"/>
      </w:pPr>
      <w:r>
        <w:rPr>
          <w:b/>
        </w:rPr>
        <w:t xml:space="preserve">Abstract (EN): </w:t>
      </w:r>
      <w:r>
        <w:t>Otitis media with effusion (OME) is a highly prevalent condition characterized by persistent inflammatory effusion in the middle ear cavity. The clinical management of OME remains challenging due to the anatomical inaccessibility of the middle ear, which limits drug efficacy and often necessitates invasive surgical interventions. To address this, we engineered a transtympanic hydrogel platform (Gel-HADA) that undergoes rapid, enzyme-mediated gelation on the tympanic membrane (TM), forming a “second membrane” through transglutaminase (TGase) crosslinking within 15 min. This hydrogel adheres firmly to the TM, degrades controllably to 5.4 ± 4.0% remaining mass over 7 days, and provides sustained drug delivery. As a result, dexamethasone phosphate disodium-loaded Gel-HADA (Gel-HADA-Dex) demonstrated effective permeability across ex vivo rat TM. In a rat OME model, a single Gel-HADA-Dex administration effectively suppressed mucosal inflammation and restored middle ear function (100% Type A curves, equivalent to the healthy control group). TM thickness (from 91.40 ± 16.46 μm to 8.32 ± 1.60 μm), mucosal thickness (from 67.97 ± 6.21 μm to 46.50 ± 2.47 μm), and leukocyte counts in middle ear lavage (from 140.37 ± 45.94 /HPF to 11.07 ± 1.76 /HPF) were significantly reduced. Mechanistically, Gel-HADA-Dex normalized the aberrant immune-transcriptional network and suppressed key pro-inflammatory cytokines while enhancing anti-inflammatory mediators. The hydrogel demonstrated excellent biocompatibility, hemocompatibility, and auditory safety. Together, the study established Gel-HADA as an innovative, rapid in situ enzymatically crosslinked system for non-invasive transtympanic corticosteroid delivery. Ultimately, it provides a reliable and potentially clinically translatable strategy for localized treatment of OME.</w:t>
      </w:r>
    </w:p>
    <w:p>
      <w:pPr>
        <w:spacing w:before="120" w:after="120"/>
      </w:pPr>
      <w:r>
        <w:rPr>
          <w:sz w:val="18"/>
        </w:rPr>
        <w:t>——————————————————————————————————————————————————————————————————————</w:t>
      </w:r>
    </w:p>
    <w:p>
      <w:pPr>
        <w:spacing w:before="160" w:after="40" w:line="240" w:lineRule="auto"/>
      </w:pPr>
      <w:r>
        <w:rPr>
          <w:b/>
        </w:rPr>
        <w:t xml:space="preserve">[241] </w:t>
      </w:r>
      <w:hyperlink r:id="rId1023">
        <w:r>
          <w:rPr>
            <w:color w:val="1155CC"/>
            <w:u w:val="single"/>
          </w:rPr>
          <w:t>不同条件，不同成分：铂基双金属合金中反应环境引起的表面成分动力学</w:t>
        </w:r>
      </w:hyperlink>
    </w:p>
    <w:p>
      <w:pPr>
        <w:spacing w:before="0" w:after="80"/>
      </w:pPr>
      <w:r>
        <w:rPr>
          <w:i/>
          <w:sz w:val="20"/>
        </w:rPr>
        <w:t>EN: Different Conditions, Different Composition: Reactive Environment-Induced Surface Composition Dynamics in Pt-Based Bimetallic Alloys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24">
        <w:r>
          <w:rPr>
            <w:color w:val="1155CC"/>
            <w:u w:val="single"/>
          </w:rPr>
          <w:t>10.1021/acsami.6c10808</w:t>
        </w:r>
      </w:hyperlink>
    </w:p>
    <w:p>
      <w:pPr>
        <w:spacing w:before="0" w:after="120"/>
      </w:pPr>
      <w:r>
        <w:rPr>
          <w:b/>
        </w:rPr>
        <w:t xml:space="preserve">Notes: </w:t>
      </w:r>
      <w:r>
        <w:t>abstract_source=crossref</w:t>
      </w:r>
    </w:p>
    <w:p>
      <w:pPr>
        <w:spacing w:before="0" w:after="80" w:lineRule="auto" w:line="276"/>
      </w:pPr>
      <w:r>
        <w:rPr>
          <w:b/>
        </w:rPr>
        <w:t xml:space="preserve">摘要（ZH）: </w:t>
      </w:r>
      <w:r>
        <w:t>摘要 由于其独特的性能，双金属铂基合金在许多催化反应中通常表现出比其母体更优异的活性。然而，作为多金属系统，它们经常在反应条件下发生成分和结构变化，可能会损害性能。因此，阐明反应环境下合金表面的动态行为对于预测催化剂设计至关重要。在这项研究中，我们利用近环境压力 X 射线光电子能谱 (NAP-XPS) 实时监测具有系统定制成分的模型 Pt-M 合金（M = Co、Ni、Cu）的氧化还原驱动的表面重组。样品在室温至 300 °C 的温度范围内进行连续氧化（5 mbar O2）和还原（5 mbar H2）处理，实时跟踪表面成分、氧化态和电子结构，作为反应环境、温度、合金类型和化学计量的函数。结果表明，暴露于反应性气体气氛中会引起大量的表面动力学。总体而言，在氧化气氛中，惰性成分优先氧化并偏析到表面，引发脱合金，而在随后的还原气氛中，其还原导致与 Pt 的部分再合金化。根据合金类型和成分讨论这些过程的程度和可逆性，提供对氧化还原驱动的表面动力学的见解，并为耐用、高性能铂基多金属陶瓷的合理设计提供基础</w:t>
      </w:r>
    </w:p>
    <w:p>
      <w:pPr>
        <w:spacing w:before="0" w:after="200" w:lineRule="auto" w:line="276"/>
      </w:pPr>
      <w:r>
        <w:rPr>
          <w:b/>
        </w:rPr>
        <w:t xml:space="preserve">Abstract (EN): </w:t>
      </w:r>
      <w:r>
        <w:t>Due to their unique properties, bimetallic platinum-based alloys often exhibit superior activity compared to their parent counterparts for many catalytic reactions. Nevertheless, as multimetallic systems, they often undergo compositional and structural changes under reactive conditions, potentially compromising performance. Elucidating the dynamic behavior of alloy surfaces under reactive environments is thus essential for predictive catalyst design. In this study, we utilize Near-Ambient Pressure X-ray Photoelectron Spectroscopy (NAP-XPS) to monitor in real time the redox-driven surface restructuring of model Pt–M alloys (M = Co, Ni, Cu) with systematically tailored compositions. Samples underwent sequential oxidative (5 mbar O2) and reductive (5 mbar H2) treatments across a temperature range from room temperature to 300 °C for real-time tracking of surface composition, oxidation states, and electronic structure as functions of reactive environment, temperature, alloy type, and stoichiometry. Results reveal that exposure to reactive gas atmospheres induces substantial surface dynamics. Overall, in oxidative atmospheres, the less noble component preferentially oxidizes and segregates to the surface, triggering dealloying, while in subsequent reductive atmospheres, its reduction induces partial realloying with Pt. The extent and reversibility of these processes are discussed depending on alloy type and composition, providing insights into redox-driven surface dynamics and offering a basis for the rational design of durable, high-performance Pt-based multimetallic catalysts.</w:t>
      </w:r>
    </w:p>
    <w:p>
      <w:pPr>
        <w:spacing w:before="120" w:after="120"/>
      </w:pPr>
      <w:r>
        <w:rPr>
          <w:sz w:val="18"/>
        </w:rPr>
        <w:t>——————————————————————————————————————————————————————————————————————</w:t>
      </w:r>
    </w:p>
    <w:p>
      <w:pPr>
        <w:spacing w:before="160" w:after="40" w:line="240" w:lineRule="auto"/>
      </w:pPr>
      <w:r>
        <w:rPr>
          <w:b/>
        </w:rPr>
        <w:t xml:space="preserve">[242] </w:t>
      </w:r>
      <w:hyperlink r:id="rId1025">
        <w:r>
          <w:rPr>
            <w:color w:val="1155CC"/>
            <w:u w:val="single"/>
          </w:rPr>
          <w:t>具有沸石型骨架的六方 CaB3C3 的合成</w:t>
        </w:r>
      </w:hyperlink>
    </w:p>
    <w:p>
      <w:pPr>
        <w:spacing w:before="0" w:after="80"/>
      </w:pPr>
      <w:r>
        <w:rPr>
          <w:i/>
          <w:sz w:val="20"/>
        </w:rPr>
        <w:t>EN: Synthesis of Hexagonal CaB3C3 with a Zeolite-Type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1026">
        <w:r>
          <w:rPr>
            <w:color w:val="1155CC"/>
            <w:u w:val="single"/>
          </w:rPr>
          <w:t>10.1021/jacs.6c04366</w:t>
        </w:r>
      </w:hyperlink>
    </w:p>
    <w:p>
      <w:pPr>
        <w:spacing w:before="0" w:after="120"/>
      </w:pPr>
      <w:r>
        <w:rPr>
          <w:b/>
        </w:rPr>
        <w:t xml:space="preserve">Notes: </w:t>
      </w:r>
      <w:r>
        <w:t>abstract_source=crossref</w:t>
      </w:r>
    </w:p>
    <w:p>
      <w:pPr>
        <w:spacing w:before="0" w:after="80" w:lineRule="auto" w:line="276"/>
      </w:pPr>
      <w:r>
        <w:rPr>
          <w:b/>
        </w:rPr>
        <w:t xml:space="preserve">摘要（ZH）: </w:t>
      </w:r>
      <w:r>
        <w:t>摘要：我们报道了具有“NPO”沸石拓扑结构的钙插层硼碳骨架的合成。 Hexagonal CaB3C3 crystallizes in space group P62m (No. 189), under high-pressure, high-temperature conditions, in a structure predicted for hypothetical metastable carbon allotropes. The structure, which exhibits minimal or no substitutional framework disorder, is comprised of four-coordinated B/C atoms that form channels along the crystallographic Z-axis, trapping calcium ions. Calculations based on density functional theory (DFT) indicate that hexagonal CaB3C3 is thermodynamically stable above 30 GPa, and theoretical/experimental results suggest that the recoverable compound exhibits a superconducting transition near 5 K at ambient pressure. The formation of hexagonal CaB3C3 further expands the range of synthesizable structural topologies for carbon-based tetrahedral nets with versatile physical properties.</w:t>
      </w:r>
    </w:p>
    <w:p>
      <w:pPr>
        <w:spacing w:before="0" w:after="200" w:lineRule="auto" w:line="276"/>
      </w:pPr>
      <w:r>
        <w:rPr>
          <w:b/>
        </w:rPr>
        <w:t xml:space="preserve">Abstract (EN): </w:t>
      </w:r>
      <w:r>
        <w:t>We report the synthesis of a calcium-intercalated boron–carbon framework with the “NPO” zeolite topology. Hexagonal CaB3C3 crystallizes in space group P62m (No. 189), under high-pressure, high-temperature conditions, in a structure predicted for hypothetical metastable carbon allotropes. The structure, which exhibits minimal or no substitutional framework disorder, is comprised of four-coordinated B/C atoms that form channels along the crystallographic Z-axis, trapping calcium ions. Calculations based on density functional theory (DFT) indicate that hexagonal CaB3C3 is thermodynamically stable above 30 GPa, and theoretical/experimental results suggest that the recoverable compound exhibits a superconducting transition near 5 K at ambient pressure. The formation of hexagonal CaB3C3 further expands the range of synthesizable structural topologies for carbon-based tetrahedral nets with versatile physical properties.</w:t>
      </w:r>
    </w:p>
    <w:p>
      <w:pPr>
        <w:spacing w:before="120" w:after="120"/>
      </w:pPr>
      <w:r>
        <w:rPr>
          <w:sz w:val="18"/>
        </w:rPr>
        <w:t>——————————————————————————————————————————————————————————————————————</w:t>
      </w:r>
    </w:p>
    <w:p>
      <w:pPr>
        <w:spacing w:before="160" w:after="40" w:line="240" w:lineRule="auto"/>
      </w:pPr>
      <w:r>
        <w:rPr>
          <w:b/>
        </w:rPr>
        <w:t xml:space="preserve">[243] </w:t>
      </w:r>
      <w:hyperlink r:id="rId1027">
        <w:r>
          <w:rPr>
            <w:color w:val="1155CC"/>
            <w:u w:val="single"/>
          </w:rPr>
          <w:t>用于肿瘤微环境重编程和 STING 介导的免疫参与的 ROS 响应光热水凝胶</w:t>
        </w:r>
      </w:hyperlink>
    </w:p>
    <w:p>
      <w:pPr>
        <w:spacing w:before="0" w:after="80"/>
      </w:pPr>
      <w:r>
        <w:rPr>
          <w:i/>
          <w:sz w:val="20"/>
        </w:rPr>
        <w:t>EN: A ROS-Responsive Photothermal Hydrogel for Tumor Microenvironment Reprogramming and STING-Mediated Immune Engagement</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28">
        <w:r>
          <w:rPr>
            <w:color w:val="1155CC"/>
            <w:u w:val="single"/>
          </w:rPr>
          <w:t>10.1021/acsami.6c10311</w:t>
        </w:r>
      </w:hyperlink>
    </w:p>
    <w:p>
      <w:pPr>
        <w:spacing w:before="0" w:after="120"/>
      </w:pPr>
      <w:r>
        <w:rPr>
          <w:b/>
        </w:rPr>
        <w:t xml:space="preserve">Notes: </w:t>
      </w:r>
      <w:r>
        <w:t>abstract_source=crossref</w:t>
      </w:r>
    </w:p>
    <w:p>
      <w:pPr>
        <w:spacing w:before="0" w:after="80" w:lineRule="auto" w:line="276"/>
      </w:pPr>
      <w:r>
        <w:rPr>
          <w:b/>
        </w:rPr>
        <w:t xml:space="preserve">摘要（ZH）: </w:t>
      </w:r>
      <w:r>
        <w:t>摘要 光热疗法可以诱导局部肿瘤细胞死亡并引发抗肿瘤免疫反应。然而，其功效往往受到淋巴结免疫启动不足和热应激产生的持续ROS抑制免疫细胞功能的限制。通过将负载 MSA-2 的聚乙二醇化聚多巴胺纳米颗粒 (PPM) 嵌入 TSPBA-PVA 水凝胶中，构建了氧化应激响应性可注射水凝胶-纳米颗粒复合材料 (TP@PPM)。在近红外 (NIR) 照射下，PPM 介导光热细胞毒性，诱导肿瘤细胞热应激和线粒体功能障碍，并产生活性氧 (ROS)，引发免疫原性细胞死亡。肿瘤微环境中产生的相对稳定且可扩散的H2O2可以进入肿瘤间质并氧化水凝胶中的硼酸酯交联，从而促进水凝胶降解并实现受控的PPM释放。然后，PPM 在 6 小时内在肿瘤引流淋巴结中积累，并将 MSA-2 递送至树突状细胞并激活 STING 通路。在体外，TP@PPM 减弱了 MDSC 相关的 ROS 积累，并将 MDSC-T 细胞共培养系统中的 T 细胞增殖恢复至 44.8%。在体内，TP@PPM联合近红外照射促进了CD8+/CD4+T细胞的浸润，减少了肿瘤的肺转移。这种水凝胶-纳米颗粒复合平台有助于克服光热疗法引起的免疫抑制，减少TME中的氧化应激，并抑制肿瘤转移，为增强癌症免疫治疗提供了一种有前景的策略</w:t>
      </w:r>
    </w:p>
    <w:p>
      <w:pPr>
        <w:spacing w:before="0" w:after="200" w:lineRule="auto" w:line="276"/>
      </w:pPr>
      <w:r>
        <w:rPr>
          <w:b/>
        </w:rPr>
        <w:t xml:space="preserve">Abstract (EN): </w:t>
      </w:r>
      <w:r>
        <w:t>Photothermal therapy can induce local tumor cell death and trigger antitumor immune responses. However, its efficacy is often limited by insufficient lymph node immune priming and by sustained ROS generated from thermal stress, which suppress immune cell function. An oxidative-stress-responsive injectable hydrogel–nanoparticle composite (TP@PPM) was constructed by embedding MSA-2-loaded PEGylated polydopamine nanoparticles (PPM) into a TSPBA–PVA hydrogel. Upon near-infrared (NIR) irradiation, PPM mediated photothermal cytotoxicity, induced tumor-cell thermal stress and mitochondrial dysfunction, and generated reactive oxygen species (ROS), triggering immunogenic cell death. The relatively stable and diffusible H2O2 generated within the tumor microenvironment can enter the tumor interstitium and oxidize boronate ester crosslinks in the hydrogel, thereby promoting hydrogel degradation and enabling controlled PPM release. Then, the PPM accumulated in tumor-draining lymph nodes within 6 h and delivered MSA-2 to dendritic cells and activated the STING pathway. In vitro, TP@PPM attenuated MDSC-associated ROS accumulation and restored T cell proliferation to 44.8% in an MDSC-T cell coculture system. In vivo, TP@PPM combined with NIR irradiation promoted the infiltration of CD8+/CD4+ T cell and reduced pulmonary metastasis of the tumor. This hydrogel–nanoparticle composite platform helps overcome photothermal therapy-induced immune suppression, reduce oxidative stress in the TME, and inhibit tumor metastasis, offering a promising strategy for enhancing cancer immunotherapy.</w:t>
      </w:r>
    </w:p>
    <w:p>
      <w:pPr>
        <w:spacing w:before="120" w:after="120"/>
      </w:pPr>
      <w:r>
        <w:rPr>
          <w:sz w:val="18"/>
        </w:rPr>
        <w:t>——————————————————————————————————————————————————————————————————————</w:t>
      </w:r>
    </w:p>
    <w:p>
      <w:pPr>
        <w:spacing w:before="160" w:after="40" w:line="240" w:lineRule="auto"/>
      </w:pPr>
      <w:r>
        <w:rPr>
          <w:b/>
        </w:rPr>
        <w:t xml:space="preserve">[244] </w:t>
      </w:r>
      <w:hyperlink r:id="rId1029">
        <w:r>
          <w:rPr>
            <w:color w:val="1155CC"/>
            <w:u w:val="single"/>
          </w:rPr>
          <w:t>近红外区 I 响应复合支架通过镁离子和二甲双胍联合调节血管生成和成骨分化促进骨缺损修复</w:t>
        </w:r>
      </w:hyperlink>
    </w:p>
    <w:p>
      <w:pPr>
        <w:spacing w:before="0" w:after="80"/>
      </w:pPr>
      <w:r>
        <w:rPr>
          <w:i/>
          <w:sz w:val="20"/>
        </w:rPr>
        <w:t>EN: Near-Infrared Region I-Responsive Composite Scaffolds Promote Bone Defect Repair by Jointly Regulating Angiogenic and Osteogenic Differentiation through Magnesium Ions and Metformin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30">
        <w:r>
          <w:rPr>
            <w:color w:val="1155CC"/>
            <w:u w:val="single"/>
          </w:rPr>
          <w:t>10.1021/acsami.6c09109</w:t>
        </w:r>
      </w:hyperlink>
    </w:p>
    <w:p>
      <w:pPr>
        <w:spacing w:before="0" w:after="120"/>
      </w:pPr>
      <w:r>
        <w:rPr>
          <w:b/>
        </w:rPr>
        <w:t xml:space="preserve">Notes: </w:t>
      </w:r>
      <w:r>
        <w:t>abstract_source=crossref</w:t>
      </w:r>
    </w:p>
    <w:p>
      <w:pPr>
        <w:spacing w:before="0" w:after="80" w:lineRule="auto" w:line="276"/>
      </w:pPr>
      <w:r>
        <w:rPr>
          <w:b/>
        </w:rPr>
        <w:t xml:space="preserve">摘要（ZH）: </w:t>
      </w:r>
      <w:r>
        <w:t>摘要 目前骨缺损的修复面临着血管生成不足、成骨分化能力有限等多重挑战，给治疗带来了重大障碍。在这项研究中，采用3D打印技术制造了由PCL-nHA-nMgO（PHM）组成的三元复合支架。采用光热聚多巴胺（PDA）涂层进行表面修饰后，获得PHM@PDA复合支架。将二甲双胍 (Met) 和 PDA 负载到 GelMA 水凝胶中以产生 GPM 水凝胶。然后将 GPM 水凝胶填充到 PHM@PDA 复合支架中，形成近红外 I 区 (NIR-I) 响应的 PHM@PDA/GPM 复合支架。外层 GPM 层充当类似于体内的三维微环境，为细胞营养物质交换提供物理运输通道。在NIR-I刺激下，支架能够动态释放Mg2+和Met，上调VEGF和KDR的表达，加速血管网络重建，创造有利于细胞增殖的温和微环境。此外，通过激活PI3K/AKT信号通路，促进成骨相关因子（如转录因子Sp7、碱性磷酸酶、骨钙素）的表达，从而加速成骨分化过程。体内动物实验、显微CT和组织染色证实，在近红外光（NIR-I）刺激下，该支架显着增加骨矿物质密度、骨小梁厚度和骨小梁计数，并表现出优异的效果。</w:t>
      </w:r>
    </w:p>
    <w:p>
      <w:pPr>
        <w:spacing w:before="0" w:after="200" w:lineRule="auto" w:line="276"/>
      </w:pPr>
      <w:r>
        <w:rPr>
          <w:b/>
        </w:rPr>
        <w:t xml:space="preserve">Abstract (EN): </w:t>
      </w:r>
      <w:r>
        <w:t>Currently, the repair of bone defects faces multiple challenges, including insufficient angiogenesis and limited osteogenic differentiation capacity, which pose significant obstacles to treatment. In this study, a ternary composite scaffold composed of PCL-nHA-nMgO (PHM) was fabricated using 3D printing technology. After surface modification with a photothermal polydopamine (PDA) coating, a PHM@PDA composite scaffold was obtained. Metformin (Met) and PDA were loaded into GelMA hydrogels to produce GPM hydrogels. The GPM hydrogels were then packed into the PHM@PDA composite scaffolds, resulting in near-infrared region-I (NIR-I)-responsive PHM@PDA/GPM composite scaffolds. The outer GPM layer serves as a three-dimensional in vivo-like microenvironment, providing physical transport channels for cellular nutrient exchange. Upon stimulation by NIR-I, the scaffold enables the dynamic release of Mg2+ and Met, upregulates the expression of the VEGF and KDR, accelerates vascular network reconstruction, and creates a mild microenvironment conducive to cell proliferation. Furthermore, by activating the PI3K/AKT signaling pathway, it promotes the expression of osteogenesis-related factors (such as transcription factor Sp7, alkaline phosphatase, and osteocalcin), thereby accelerating the osteogenic differentiation process. In vivo animal experiments, micro-CT and tissue staining confirmed that, under near-infrared light (NIR-I) stimulation, this scaffold significantly increased bone mineral density, trabecular bone thickness, and trabecular bone count and demonstrated excellent angiogenic effects. In summary, this NIR-I-responsive composite scaffold can meet the dual requirements of reconstructing the vascular network and promoting osteogenic differentiation, enabling personalized precision therapy and offering a promising new treatment strategy for complex bone defects where vascular regeneration and osteogenic differentiation are challenging.</w:t>
      </w:r>
    </w:p>
    <w:p>
      <w:pPr>
        <w:spacing w:before="120" w:after="120"/>
      </w:pPr>
      <w:r>
        <w:rPr>
          <w:sz w:val="18"/>
        </w:rPr>
        <w:t>——————————————————————————————————————————————————————————————————————</w:t>
      </w:r>
    </w:p>
    <w:p>
      <w:pPr>
        <w:spacing w:before="160" w:after="40" w:line="240" w:lineRule="auto"/>
      </w:pPr>
      <w:r>
        <w:rPr>
          <w:b/>
        </w:rPr>
        <w:t xml:space="preserve">[245] </w:t>
      </w:r>
      <w:hyperlink r:id="rId1031">
        <w:r>
          <w:rPr>
            <w:color w:val="1155CC"/>
            <w:u w:val="single"/>
          </w:rPr>
          <w:t>新型无铅Cs2Ag0.75Bi0.75Ba0.5I6双钙钛矿：合成及其作为高性能光电探测器的应用</w:t>
        </w:r>
      </w:hyperlink>
    </w:p>
    <w:p>
      <w:pPr>
        <w:spacing w:before="0" w:after="80"/>
      </w:pPr>
      <w:r>
        <w:rPr>
          <w:i/>
          <w:sz w:val="20"/>
        </w:rPr>
        <w:t>EN: Novel Lead-Free Cs2Ag0.75Bi0.75Ba0.5I6 Double Perovskite: Synthesis and Application as High-Performance Photodetectors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32">
        <w:r>
          <w:rPr>
            <w:color w:val="1155CC"/>
            <w:u w:val="single"/>
          </w:rPr>
          <w:t>10.1021/acsami.6c11121</w:t>
        </w:r>
      </w:hyperlink>
    </w:p>
    <w:p>
      <w:pPr>
        <w:spacing w:before="0" w:after="120"/>
      </w:pPr>
      <w:r>
        <w:rPr>
          <w:b/>
        </w:rPr>
        <w:t xml:space="preserve">Notes: </w:t>
      </w:r>
      <w:r>
        <w:t>abstract_source=crossref</w:t>
      </w:r>
    </w:p>
    <w:p>
      <w:pPr>
        <w:spacing w:before="0" w:after="80" w:lineRule="auto" w:line="276"/>
      </w:pPr>
      <w:r>
        <w:rPr>
          <w:b/>
        </w:rPr>
        <w:t xml:space="preserve">摘要（ZH）: </w:t>
      </w:r>
      <w:r>
        <w:t>摘要 钙钛矿光电探测器在实际部署中面临两个持续的瓶颈：铅基系统的毒性和锡基替代品的氧化稳定性差。在无铅和无锡的 Cs2AgBiX6 双钙钛矿中，Cs2AgBiI6 的带隙 (∼2.1 eV) 比 Cs2AgBiBr6 (∼2.2 eV) 更窄，将光学吸收进一步扩展到可见光范围；然而，[AgI6]5− 和 [BiI6]3− 八面体的畸变限制了其相位稳定性。在这里，我们通过无溶剂机械化学球磨路线合成了 Cs2Ag0.75Bi0.75Ba0.5I6。 ICP-MS 确认 Ba2+ 的 B 位点成功替换，目标位点占据率为 0.5。 XRD 和稳定性测试显示结晶度和相稳定性增强。经过优化的器件可将暗电流降低 250 倍，峰值比探测率为 2.17 × 1010 Jones，响应时间为亚毫秒级；存放 30 天后，它仍保留 95% 的初始性能。该器件进一步在 785 和 1064 nm 处表现出亚带隙光响应，这归因于碘化物框架中的强电子-声子耦合。作为代表性应用，该器件作为接收器，无失真地恢复 500 kHz 调制信号；接收器的 3 dB 带宽为 1.493 MHz。</w:t>
      </w:r>
    </w:p>
    <w:p>
      <w:pPr>
        <w:spacing w:before="0" w:after="200" w:lineRule="auto" w:line="276"/>
      </w:pPr>
      <w:r>
        <w:rPr>
          <w:b/>
        </w:rPr>
        <w:t xml:space="preserve">Abstract (EN): </w:t>
      </w:r>
      <w:r>
        <w:t>Perovskite photodetectors face two persistent bottlenecks in practical deployment: the toxicity of Pb-based systems and the poor oxidative stability of Sn-based alternatives. Among lead-free and tin-free Cs2AgBiX6 double perovskites, Cs2AgBiI6 offers a narrower bandgap (∼2.1 eV) than Cs2AgBiBr6 (∼2.2 eV), extending optical absorption further into the visible range; however, distortion of the [AgI6]5− and [BiI6]3− octahedra limits its phase stability. Here, we synthesize Cs2Ag0.75Bi0.75Ba0.5I6 via a solvent-free mechanochemical ball-milling route. ICP-MS confirms successful B-site substitution of Ba2+ at the target 0.5 site occupancy. XRD and stability tests show enhanced crystallinity and phase stability. The optimized device delivers a 250-fold reduction in dark current, a peak specific detectivity of 2.17 × 1010 Jones, and a sub-millisecond response time; it retains 95% of its initial performance after 30 days of storage. The device further exhibits a sub-bandgap photoresponse at 785 and 1064 nm, attributed to strong electron−phonon coupling in the iodide framework. As a representative application, the device serves as the receiver, recovering 500 kHz modulated signals without distortion; the receiver has a 3-dB bandwidth of 1.493 MHz.</w:t>
      </w:r>
    </w:p>
    <w:p>
      <w:pPr>
        <w:spacing w:before="120" w:after="120"/>
      </w:pPr>
      <w:r>
        <w:rPr>
          <w:sz w:val="18"/>
        </w:rPr>
        <w:t>——————————————————————————————————————————————————————————————————————</w:t>
      </w:r>
    </w:p>
    <w:p>
      <w:pPr>
        <w:spacing w:before="160" w:after="40" w:line="240" w:lineRule="auto"/>
      </w:pPr>
      <w:r>
        <w:rPr>
          <w:b/>
        </w:rPr>
        <w:t xml:space="preserve">[246] </w:t>
      </w:r>
      <w:hyperlink r:id="rId1033">
        <w:r>
          <w:rPr>
            <w:color w:val="1155CC"/>
            <w:u w:val="single"/>
          </w:rPr>
          <w:t>用于按需解耦 MXene 薄膜环境稳定性和界面反应性的可逆分子外骨骼</w:t>
        </w:r>
      </w:hyperlink>
    </w:p>
    <w:p>
      <w:pPr>
        <w:spacing w:before="0" w:after="80"/>
      </w:pPr>
      <w:r>
        <w:rPr>
          <w:i/>
          <w:sz w:val="20"/>
        </w:rPr>
        <w:t>EN: Reversible Molecular Exoskeleton for On-Demand Decoupling of Environmental Stability and Interfacial Reactivity in MXene Films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34">
        <w:r>
          <w:rPr>
            <w:color w:val="1155CC"/>
            <w:u w:val="single"/>
          </w:rPr>
          <w:t>10.1021/acsami.6c07982</w:t>
        </w:r>
      </w:hyperlink>
    </w:p>
    <w:p>
      <w:pPr>
        <w:spacing w:before="0" w:after="120"/>
      </w:pPr>
      <w:r>
        <w:rPr>
          <w:b/>
        </w:rPr>
        <w:t xml:space="preserve">Notes: </w:t>
      </w:r>
      <w:r>
        <w:t>abstract_source=crossref</w:t>
      </w:r>
    </w:p>
    <w:p>
      <w:pPr>
        <w:spacing w:before="0" w:after="80" w:lineRule="auto" w:line="276"/>
      </w:pPr>
      <w:r>
        <w:rPr>
          <w:b/>
        </w:rPr>
        <w:t xml:space="preserve">摘要（ZH）: </w:t>
      </w:r>
      <w:r>
        <w:t>摘要 二维过渡金属碳化物（Ti3C2Tx MXenes）的实际商业化面临着一个基本的悖论：虽然环境隔离对于防止热力学引起的氧化降解是必要的，但传统的永久聚合物封装不可避免地牺牲了固有的界面反应性和电荷传输。在此，开发了一种可切换的界面工程策略，使用 pH 响应型 L100/EPH 聚合物基质构建可逆分子外骨骼，从而有效地将长期环境耐久性与按需物理化学功能脱钩。该基质建立了致密的动态氢键网络，不仅可以作为氧化渗透的严格动力学屏障，而且可以在结构上固定 MXene 纳米片以抑制层间滑移，从而增强机械韧性并抑制结构蠕变。因此，受保护的复合薄膜在恶劣的工业条件下表现出非凡的结构耐久性，同时在增强的界面极化驱动下实现了 68.66 dB 的增强电磁干扰屏蔽效能。至关重要的是，这种牺牲外骨骼可以通过温和的碱性激活快速定量地解离，从而无缝地重新激活 MXene 薄膜并恢复其无损的固有电导率 (6748 S cm−1) 和亲水性。这种可逆的动态接口策略为长期存储、传输和按需设备提供了高度可扩展且稳健的途径。</w:t>
      </w:r>
    </w:p>
    <w:p>
      <w:pPr>
        <w:spacing w:before="0" w:after="200" w:lineRule="auto" w:line="276"/>
      </w:pPr>
      <w:r>
        <w:rPr>
          <w:b/>
        </w:rPr>
        <w:t xml:space="preserve">Abstract (EN): </w:t>
      </w:r>
      <w:r>
        <w:t>The practical commercialization of two-dimensional transition-metal carbides (Ti3C2Tx MXenes) faces a fundamental paradox: while environmental isolation is necessary to prevent thermodynamically induced oxidative degradation, conventional permanent polymer encapsulation inevitably sacrifices intrinsic interfacial reactivity and charge transport. Herein, a switchable interfacial engineering strategy is developed to construct a reversible molecular exoskeleton using a pH-responsive L100/EPH polymer matrix, thereby effectively decoupling long-term environmental durability from on-demand physicochemical functionality. This matrix establishes a dense dynamic hydrogen-bonded network that not only serves as a stringent kinetic barrier to oxidative permeation but also structurally pins the MXene nanosheets to suppress inter-lamellar slippage, thereby reinforcing mechanical toughness and suppressing structural creep. Consequently, the protected composite film exhibits extraordinary structural endurance under severe industrial conditions, while achieving an enhanced electromagnetic interference shielding effectiveness of 68.66 dB, driven by intensified interfacial polarization. Crucially, this sacrificial exoskeleton can be rapidly and quantitatively dissociated via mild alkaline activation, thereby seamlessly reactivating the MXene film and restoring its non-destructive intrinsic conductivity (6748 S cm−1) and hydrophilicity. This reversible dynamic interface strategy provides a highly scalable and robust pathway for the long-term storage, transport, and on-demand device integration of highly reactive 2D materials.</w:t>
      </w:r>
    </w:p>
    <w:p>
      <w:pPr>
        <w:spacing w:before="120" w:after="120"/>
      </w:pPr>
      <w:r>
        <w:rPr>
          <w:sz w:val="18"/>
        </w:rPr>
        <w:t>——————————————————————————————————————————————————————————————————————</w:t>
      </w:r>
    </w:p>
    <w:p>
      <w:pPr>
        <w:spacing w:before="160" w:after="40" w:line="240" w:lineRule="auto"/>
      </w:pPr>
      <w:r>
        <w:rPr>
          <w:b/>
        </w:rPr>
        <w:t xml:space="preserve">[247] </w:t>
      </w:r>
      <w:hyperlink r:id="rId1035">
        <w:r>
          <w:rPr>
            <w:color w:val="1155CC"/>
            <w:u w:val="single"/>
          </w:rPr>
          <w:t>混合金属氧化物的 X 射线和离子束还原动力学作为信息工具</w:t>
        </w:r>
      </w:hyperlink>
    </w:p>
    <w:p>
      <w:pPr>
        <w:spacing w:before="0" w:after="80"/>
      </w:pPr>
      <w:r>
        <w:rPr>
          <w:i/>
          <w:sz w:val="20"/>
        </w:rPr>
        <w:t>EN: X-ray and Ion-Beam Reduction Kinetics of Mixed Metal Oxides as an Informative Tool</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36">
        <w:r>
          <w:rPr>
            <w:color w:val="1155CC"/>
            <w:u w:val="single"/>
          </w:rPr>
          <w:t>10.1021/acsami.6c07564</w:t>
        </w:r>
      </w:hyperlink>
    </w:p>
    <w:p>
      <w:pPr>
        <w:spacing w:before="0" w:after="120"/>
      </w:pPr>
      <w:r>
        <w:rPr>
          <w:b/>
        </w:rPr>
        <w:t xml:space="preserve">Notes: </w:t>
      </w:r>
      <w:r>
        <w:t>abstract_source=crossref</w:t>
      </w:r>
    </w:p>
    <w:p>
      <w:pPr>
        <w:spacing w:before="0" w:after="80" w:lineRule="auto" w:line="276"/>
      </w:pPr>
      <w:r>
        <w:rPr>
          <w:b/>
        </w:rPr>
        <w:t xml:space="preserve">摘要（ZH）: </w:t>
      </w:r>
      <w:r>
        <w:t>摘要 长期以来，离子束一直是表面科学中层层去除和深度分析不可或缺的工具，但由于辐射引起的化学损伤，其侵蚀性往往限制其在无机系统中的使用。在这里，我们重新审视这一“限制”，以此为契机探索离子束是否可以有目的地诱导氧化还原转变，从而揭示传统手段无法获得的化学和结构信息。使用一套混合金属氧化物（Ce-Mo、Ni/Co-Mo 和 Ce-Ti），我们证明离子束曝光可以驱动受控还原过程，该过程敏感地报告固有氧化还原稳定性和金属-氧键合，并为评估相对化学和电子变化提供了一种替代途径，以替代昂贵且耗时的同步加速器研究。</w:t>
      </w:r>
    </w:p>
    <w:p>
      <w:pPr>
        <w:spacing w:before="0" w:after="200" w:lineRule="auto" w:line="276"/>
      </w:pPr>
      <w:r>
        <w:rPr>
          <w:b/>
        </w:rPr>
        <w:t xml:space="preserve">Abstract (EN): </w:t>
      </w:r>
      <w:r>
        <w:t>Ion beams have long served as indispensable tools in surface science for layer removal and depth profiling, yet their aggressive nature often limits use to inorganic systems due to radiation-induced chemical damage. Here, we revisit this “limitation” as an opportunity to explore whether ion beams can purposefully induce redox transformations that reveal chemical and structural information inaccessible by conventional means. Using a suite of mixed metal oxides (Ce–Mo, Ni/Co–Mo, and Ce–Ti), we demonstrate that ion beam exposure can drive controlled reduction processes that sensitively report on intrinsic redox stability and metal–oxygen bonding and provide an alternative route by which to assess relative chemical and electronic changes, to otherwise costly and time-consuming synchrotron studies.</w:t>
      </w:r>
    </w:p>
    <w:p>
      <w:pPr>
        <w:spacing w:before="120" w:after="120"/>
      </w:pPr>
      <w:r>
        <w:rPr>
          <w:sz w:val="18"/>
        </w:rPr>
        <w:t>——————————————————————————————————————————————————————————————————————</w:t>
      </w:r>
    </w:p>
    <w:p>
      <w:pPr>
        <w:spacing w:before="160" w:after="40" w:line="240" w:lineRule="auto"/>
      </w:pPr>
      <w:r>
        <w:rPr>
          <w:b/>
        </w:rPr>
        <w:t xml:space="preserve">[248] </w:t>
      </w:r>
      <w:hyperlink r:id="rId1037">
        <w:r>
          <w:rPr>
            <w:color w:val="1155CC"/>
            <w:u w:val="single"/>
          </w:rPr>
          <w:t>通过 N 掺杂石墨烯量子点装饰增强薄膜纳米复合正向渗透膜中沸石 X−聚酰胺的相容性</w:t>
        </w:r>
      </w:hyperlink>
    </w:p>
    <w:p>
      <w:pPr>
        <w:spacing w:before="0" w:after="80"/>
      </w:pPr>
      <w:r>
        <w:rPr>
          <w:i/>
          <w:sz w:val="20"/>
        </w:rPr>
        <w:t>EN: Enhancing Zeolite X−Polyamide Compatibility in Thin-Film Nanocomposite Forward Osmosis Membranes via Decoration with N-Doped Graphene Quantum Dots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38">
        <w:r>
          <w:rPr>
            <w:color w:val="1155CC"/>
            <w:u w:val="single"/>
          </w:rPr>
          <w:t>10.1021/acsami.6c08798</w:t>
        </w:r>
      </w:hyperlink>
    </w:p>
    <w:p>
      <w:pPr>
        <w:spacing w:before="0" w:after="120"/>
      </w:pPr>
      <w:r>
        <w:rPr>
          <w:b/>
        </w:rPr>
        <w:t xml:space="preserve">Notes: </w:t>
      </w:r>
      <w:r>
        <w:t>abstract_source=crossref</w:t>
      </w:r>
    </w:p>
    <w:p>
      <w:pPr>
        <w:spacing w:before="0" w:after="80" w:lineRule="auto" w:line="276"/>
      </w:pPr>
      <w:r>
        <w:rPr>
          <w:b/>
        </w:rPr>
        <w:t xml:space="preserve">摘要（ZH）: </w:t>
      </w:r>
      <w:r>
        <w:t>摘要：将亲水性、多孔且与聚合物相容的纳米填料集成到薄膜纳米复合正向渗透（TFN-FO）膜中是提高水处理效率的一种有前景的策略。本研究重点是通过用N-GQD装饰Z来合成N掺杂石墨烯量子点@沸石X（N-GQDs@Z）纳米复合材料，以提高原始沸石与聚酰胺（PA）选择性层的相容性，同时利用两种组分的互补特性。在界面聚合过程中，合成的 N-GQDs@Z 纳米复合材料被嵌入到 TFN-FO 膜的 PA 层中。研究结果表明，N-GQDs@Z 有效调节 PA 表层的表面特性和结构，从而增强亲水性、减小厚度、控制粗糙度，并形成连续的、缺陷最小化的排斥层。通过最佳添加 N-GQDs@Z (0.010 wt%)，FO 模式下的水通量增加至 31.62 LMH，约为未改性 TFC 膜的 1.64 倍，同时具有 0.36 g/L 的高选择性（提高了 31%）。水/离子分离效率的提高源于 N-GQDs@Z/PA 界面相容性的改善、表面亲水性的增强、与较薄的 PA 层相关的较短的传输路径，以及 N-GQDs@Z 内传输通道的潜在贡献，其有效的孔隙可及性可能受到周围 PA 基质的调节。此外，性能最佳的膜对牛血清白蛋白表现出增强的防污性能</w:t>
      </w:r>
    </w:p>
    <w:p>
      <w:pPr>
        <w:spacing w:before="0" w:after="200" w:lineRule="auto" w:line="276"/>
      </w:pPr>
      <w:r>
        <w:rPr>
          <w:b/>
        </w:rPr>
        <w:t xml:space="preserve">Abstract (EN): </w:t>
      </w:r>
      <w:r>
        <w:t>The integration of hydrophilic, porous, and polymer-compatible nanofillers into thin-film nanocomposite–forward osmosis (TFN-FO) membranes is a promising strategy for enhancing water treatment efficiency. This research focuses on synthesizing an N-doped graphene quantum dots@zeolite X (N-GQDs@Z) nanocomposite by decorating Z with N-GQDs to improve the compatibility of pristine zeolite with the polyamide (PA) selective layer while exploiting the complementary properties of both components. The as-synthesized N-GQDs@Z nanocomposites were embedded into the PA layer of TFN-FO membranes during the interfacial polymerization. The findings reveal that N-GQDs@Z effectively modulates the surface properties and structure of the PA skin layer, causing enhanced hydrophilicity, reduced thickness, controlled roughness, and the formation of a continuous, defect-minimized rejection layer. With the optimal addition of N-GQDs@Z (0.010 wt %), the water flux increased to 31.62 LMH in FO mode, approximately 1.64 times that of the unmodified TFC membrane, accompanied by a high selectivity of 0.36 g/L (31% improvement). The augmentation in water/ion separation efficiency stems from improved N-GQDs@Z/PA interfacial compatibility, enhanced surface hydrophilicity, shorter transport pathways associated with the thinner PA layer, and the potential contribution of transport channels within N-GQDs@Z, whose effective pore accessibility may be regulated by the surrounding PA matrix. Moreover, the top-performing membrane exhibited enhanced antifouling performance against both bovine serum albumin and sodium alginate, with flux recovery ratios of 89.4% and 87.7%, respectively, and substantially reduced flux decline compared with the pristine TFC membrane. The optimized TFN-QZ2 membrane also exhibited excellent long-term operational stability with minimal Al leaching under simulated seawater desalination conditions, confirming the enhanced stability of the incorporated N-GQDs@Z nanofiller within the PA layer. This study demonstrates that N-GQDs@Z nanocomposites provide an effective strategy for simultaneously improving permeability, selectivity, antifouling behavior, and the long-term stability of TFN-FO desalination membranes while addressing the compatibility limitations of conventional zeolite fillers.</w:t>
      </w:r>
    </w:p>
    <w:p>
      <w:pPr>
        <w:spacing w:before="120" w:after="120"/>
      </w:pPr>
      <w:r>
        <w:rPr>
          <w:sz w:val="18"/>
        </w:rPr>
        <w:t>——————————————————————————————————————————————————————————————————————</w:t>
      </w:r>
    </w:p>
    <w:p>
      <w:pPr>
        <w:spacing w:before="160" w:after="40" w:line="240" w:lineRule="auto"/>
      </w:pPr>
      <w:r>
        <w:rPr>
          <w:b/>
        </w:rPr>
        <w:t xml:space="preserve">[249] </w:t>
      </w:r>
      <w:hyperlink r:id="rId1039">
        <w:r>
          <w:rPr>
            <w:color w:val="1155CC"/>
            <w:u w:val="single"/>
          </w:rPr>
          <w:t>多功能MoO3−X纳米酶-水凝胶用于协同光热抗菌疗法并增强耐药细菌感染伤口的愈合</w:t>
        </w:r>
      </w:hyperlink>
    </w:p>
    <w:p>
      <w:pPr>
        <w:spacing w:before="0" w:after="80"/>
      </w:pPr>
      <w:r>
        <w:rPr>
          <w:i/>
          <w:sz w:val="20"/>
        </w:rPr>
        <w:t>EN: Multifunctional MoO3− X Nanozyme-Hydrogel for Synergistic Photothermal Antibacterial Therapy and Enhanced Healing of Wounds Infected with Drug‑Resistant Bacteria</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40">
        <w:r>
          <w:rPr>
            <w:color w:val="1155CC"/>
            <w:u w:val="single"/>
          </w:rPr>
          <w:t>10.1021/acsami.6c11162</w:t>
        </w:r>
      </w:hyperlink>
    </w:p>
    <w:p>
      <w:pPr>
        <w:spacing w:before="0" w:after="120"/>
      </w:pPr>
      <w:r>
        <w:rPr>
          <w:b/>
        </w:rPr>
        <w:t xml:space="preserve">Notes: </w:t>
      </w:r>
      <w:r>
        <w:t>abstract_source=crossref</w:t>
      </w:r>
    </w:p>
    <w:p>
      <w:pPr>
        <w:spacing w:before="0" w:after="80" w:lineRule="auto" w:line="276"/>
      </w:pPr>
      <w:r>
        <w:rPr>
          <w:b/>
        </w:rPr>
        <w:t xml:space="preserve">摘要（ZH）: </w:t>
      </w:r>
      <w:r>
        <w:t>摘要 多重耐药（MDR）细菌感染和顽固性生物膜仍然是伤口愈合的棘手障碍，传统抗生素由于耐药性和生物膜渗透性差而疗效有限。为了解决这一未满足的临床需求，我们创新性地设计了一种多功能复合水凝胶（MoO3−X@CG-ODP），将富含氧空位的MoO3−X纳米酶整合到由L-谷氨酰胺接枝壳聚糖（CG）和3-氨基苯硼酸介导的氧化葡聚糖（ODP）形成的动态交联网络中。该复合材料表现出堆叠的纳米片形态（~240 nm）、49.70%的高光热转换效率和类似过氧化物酶的活性。在808 nm近红外照射下，水凝胶对MDR大肠杆菌和金黄色葡萄球菌的抑制率&gt;99%，并能有效消除生物膜。在小鼠伤口模型中，该材料显着加速伤口闭合，上调血管内皮生长因子（VEGF），下调肿瘤坏死因子-α（TNF-α），并保持良好的生物安全性。这项工作展示了通过光热疗法和纳米酶催化的联合作用对抗MDR感染的安全有效的策略，为临床伤口管理提供了广阔的前景。</w:t>
      </w:r>
    </w:p>
    <w:p>
      <w:pPr>
        <w:spacing w:before="0" w:after="200" w:lineRule="auto" w:line="276"/>
      </w:pPr>
      <w:r>
        <w:rPr>
          <w:b/>
        </w:rPr>
        <w:t xml:space="preserve">Abstract (EN): </w:t>
      </w:r>
      <w:r>
        <w:t>Multidrug-resistant (MDR) bacterial infections and recalcitrant biofilms remain intractable barriers to wound healing, with traditional antibiotics offering limited efficacy due to resistance and poor biofilm penetration. To address this unmet clinical need, we innovatively engineered a multifunctional composite hydrogel (MoO3−X@CG-ODP) by integrating oxygen-vacancy-rich MoO3−X nanozymes into a dynamic cross-linking network formed by L-glutamine-grafted chitosan (CG) and 3-aminophenylboronic acid-mediated oxidized dextran (ODP). The composite exhibits a stacked nanosheet morphology (∼240 nm), a high photothermal conversion efficiency of 49.70%, and peroxidase-like activity. Under 808 nm near-infrared irradiation, the hydrogel achieves &amp;gt;99% inhibition against MDR Escherichia coli and Staphylococcus aureus, along with effective biofilm eradication. In a murine wound model, the material significantly accelerated wound closure, up-regulated vascular endothelial growth factor (VEGF), down-regulated tumor necrosis factor-α (TNF-α), and maintained excellent biosafety. This work demonstrates a safe and effective strategy for combating MDR infections through the combined action of photothermal therapy and nanozyme catalysis, offering promising potential for clinical wound management.</w:t>
      </w:r>
    </w:p>
    <w:p>
      <w:pPr>
        <w:spacing w:before="120" w:after="120"/>
      </w:pPr>
      <w:r>
        <w:rPr>
          <w:sz w:val="18"/>
        </w:rPr>
        <w:t>——————————————————————————————————————————————————————————————————————</w:t>
      </w:r>
    </w:p>
    <w:p>
      <w:pPr>
        <w:spacing w:before="160" w:after="40" w:line="240" w:lineRule="auto"/>
      </w:pPr>
      <w:r>
        <w:rPr>
          <w:b/>
        </w:rPr>
        <w:t xml:space="preserve">[250] </w:t>
      </w:r>
      <w:hyperlink r:id="rId1041">
        <w:r>
          <w:rPr>
            <w:color w:val="1155CC"/>
            <w:u w:val="single"/>
          </w:rPr>
          <w:t>制备具有增强锌生物利用度的微晶纤维素/ZnO 量子点，用于减轻 DSS 诱导的小鼠溃疡性结肠炎</w:t>
        </w:r>
      </w:hyperlink>
    </w:p>
    <w:p>
      <w:pPr>
        <w:spacing w:before="0" w:after="80"/>
      </w:pPr>
      <w:r>
        <w:rPr>
          <w:i/>
          <w:sz w:val="20"/>
        </w:rPr>
        <w:t>EN: Fabrication of Microcrystalline Cellulose/ZnO Quantum Dots with Enhanced Zinc Bioavailability for Alleviating DSS-Induced Ulcerative Colitis in Mice</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42">
        <w:r>
          <w:rPr>
            <w:color w:val="1155CC"/>
            <w:u w:val="single"/>
          </w:rPr>
          <w:t>10.1021/acsami.6c13980</w:t>
        </w:r>
      </w:hyperlink>
    </w:p>
    <w:p>
      <w:pPr>
        <w:spacing w:before="0" w:after="120"/>
      </w:pPr>
      <w:r>
        <w:rPr>
          <w:b/>
        </w:rPr>
        <w:t xml:space="preserve">Notes: </w:t>
      </w:r>
      <w:r>
        <w:t>abstract_source=crossref</w:t>
      </w:r>
    </w:p>
    <w:p>
      <w:pPr>
        <w:spacing w:before="0" w:after="80" w:lineRule="auto" w:line="276"/>
      </w:pPr>
      <w:r>
        <w:rPr>
          <w:b/>
        </w:rPr>
        <w:t xml:space="preserve">摘要（ZH）: </w:t>
      </w:r>
      <w:r>
        <w:t>摘要 溃疡性结肠炎（UC）作为一种常见的炎症性肠病（IBD），对人类肠道健康构成重大威胁，已成为全球公共卫生问题。作为一种必需的微量元素，锌在维持肠道稳态和减缓 UC 进展方面发挥着至关重要的作用。然而，传统的氧化锌（ZnO）生物利用度较低；过量未吸收的锌会导致环境污染，长期过量使用会诱发细菌耐药性。为了解决这些关键缺陷，通过溶胶凝胶方法合成了微晶纤维素支撑的氧化锌量子点（MCC@ZnO QD）复合材料，其中氧化锌量子点被固定在微晶纤维素（MCC）基质上。系统评价了复合材料对葡聚糖硫酸钠（DSS）诱导的结肠炎的抗菌活性和保护功效。尽管ZnO负载量约为78.77 wt%，MCC@ZnO QDs复合材料表现出与纯ZnO QDs相当的治疗效果，包括减轻体重、恢复结肠长度、修复肠道屏障完整性、调节炎症细胞因子表达、增强抗氧化能力和重塑肠道微生物群。该复合物增强了锌的生物利用度，从而实现剂量减少和疗效提高，为UC的干预提供了绿色、高效的策略。</w:t>
      </w:r>
    </w:p>
    <w:p>
      <w:pPr>
        <w:spacing w:before="0" w:after="200" w:lineRule="auto" w:line="276"/>
      </w:pPr>
      <w:r>
        <w:rPr>
          <w:b/>
        </w:rPr>
        <w:t xml:space="preserve">Abstract (EN): </w:t>
      </w:r>
      <w:r>
        <w:t>Ulcerative colitis (UC), as a common inflammatory bowel disease (IBD), poses a significant threat to human intestinal health and has become a global public health issue. As an essential trace element, zinc plays a crucial role in maintaining intestinal homeostasis and mitigating UC progression. However, conventional zinc oxide (ZnO) suffers from low bioavailability; excessive unabsorbed zinc leads to environmental pollution, and long-term overuse can induce bacterial resistance. To address these critical drawbacks, a microcrystalline cellulose-supported ZnO quantum dots (MCC@ZnO QDs) composite was synthesized via a sol−gel method, where ZnO quantum dots were immobilized onto microcrystalline cellulose (MCC) matrices. The antibacterial activity and protective efficacy of the composite against dextran sulfate sodium (DSS)-induced colitis were systematically evaluated. Despite a ZnO loading of approximately 78.77 wt %, the MCC@ZnO QDs composite exhibited therapeutic effects comparable to those of pure ZnO QDs, including alleviating weight loss, restoring colon length, repairing intestinal barrier integrity, regulating inflammatory cytokine expression, enhancing antioxidant capacity, and remodeling the gut microbiota. This composite enhances zinc bioavailability, thereby achieving dose reduction with improved efficacy and providing a green, efficient strategy for the intervention of UC.</w:t>
      </w:r>
    </w:p>
    <w:p>
      <w:pPr>
        <w:spacing w:before="120" w:after="120"/>
      </w:pPr>
      <w:r>
        <w:rPr>
          <w:sz w:val="18"/>
        </w:rPr>
        <w:t>——————————————————————————————————————————————————————————————————————</w:t>
      </w:r>
    </w:p>
    <w:p>
      <w:pPr>
        <w:spacing w:before="160" w:after="40" w:line="240" w:lineRule="auto"/>
      </w:pPr>
      <w:r>
        <w:rPr>
          <w:b/>
        </w:rPr>
        <w:t xml:space="preserve">[251] </w:t>
      </w:r>
      <w:hyperlink r:id="rId1043">
        <w:r>
          <w:rPr>
            <w:color w:val="1155CC"/>
            <w:u w:val="single"/>
          </w:rPr>
          <w:t>LP-CVD 在液体表面制备银膜用于表面增强拉曼散射检测</w:t>
        </w:r>
      </w:hyperlink>
    </w:p>
    <w:p>
      <w:pPr>
        <w:spacing w:before="0" w:after="80"/>
      </w:pPr>
      <w:r>
        <w:rPr>
          <w:i/>
          <w:sz w:val="20"/>
        </w:rPr>
        <w:t>EN: LP-CVD Fabrication of Silver Films on Liquid Surfaces for Surface-Enhanced Raman Scattering Detection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44">
        <w:r>
          <w:rPr>
            <w:color w:val="1155CC"/>
            <w:u w:val="single"/>
          </w:rPr>
          <w:t>10.1021/acsami.6c16234</w:t>
        </w:r>
      </w:hyperlink>
    </w:p>
    <w:p>
      <w:pPr>
        <w:spacing w:before="0" w:after="120"/>
      </w:pPr>
      <w:r>
        <w:rPr>
          <w:b/>
        </w:rPr>
        <w:t xml:space="preserve">Notes: </w:t>
      </w:r>
      <w:r>
        <w:t>abstract_source=crossref</w:t>
      </w:r>
    </w:p>
    <w:p>
      <w:pPr>
        <w:spacing w:before="0" w:after="80" w:lineRule="auto" w:line="276"/>
      </w:pPr>
      <w:r>
        <w:rPr>
          <w:b/>
        </w:rPr>
        <w:t xml:space="preserve">摘要（ZH）: </w:t>
      </w:r>
      <w:r>
        <w:t>摘要：通过改进的液相化学气相沉积方法在 1-丁基-3-甲基咪唑鎓四氟硼酸盐离子液体表面制备银纳米结构薄膜，产生高度均匀、可重复的表面增强拉曼散射 (SERS) 基底，并具有优异的传感灵敏度。受益于液体基底优异的原子扩散率和弱界面限制，沉积态银纳米结构产生强大的等离子体耦合和均匀分布的热点，这是实现显着拉曼信号增强的两个关键因素。采用罗丹明 6G 作为探针分子，通过改变银粉的质量和沉积距离来系统地研究所制造的基底的 SERS 性能。结合时域有限差分 (FDTD) 模拟，结果证实优化的沉积参数显着提高了拉曼信号强度、基底均匀性和检测再现性。该工作为液体模板辅助银纳米结构的构建提供了可行可控的策略，为高性能SERS传感器件的设计和制备建立了可靠的平台。</w:t>
      </w:r>
    </w:p>
    <w:p>
      <w:pPr>
        <w:spacing w:before="0" w:after="200" w:lineRule="auto" w:line="276"/>
      </w:pPr>
      <w:r>
        <w:rPr>
          <w:b/>
        </w:rPr>
        <w:t xml:space="preserve">Abstract (EN): </w:t>
      </w:r>
      <w:r>
        <w:t>Silver nanostructured films are fabricated on the surface of 1-butyl-3-methylimidazolium tetrafluoroborate ionic liquid via a modified liquid-phase chemical vapor deposition approach, yielding highly uniform and reproducible surface-enhanced Raman scattering (SERS) substrates with excellent sensing sensitivity. Benefiting from the superior atomic diffusivity and weak interfacial confinement of the liquid substrate, the as-deposited Ag nanostructures generate robust plasmonic coupling and uniformly distributed hot spots, which serve as two critical factors for achieving prominent Raman signal enhancement. Rhodamine 6G is employed as a probe molecule to systematically investigate the SERS performance of the fabricated substrates by varying the mass of silver powder and the deposition distance. Combined with finite-difference time-domain (FDTD) simulations, the results confirm that optimized deposition parameters significantly improve the Raman signal intensity, substrate uniformity, and detection reproducibility. This work provides a feasible and controllable strategy for the construction of liquid-template-assisted Ag nanostructures and establishes a reliable platform for the design and preparation of high-performance SERS sensing devices.</w:t>
      </w:r>
    </w:p>
    <w:p>
      <w:pPr>
        <w:spacing w:before="120" w:after="120"/>
      </w:pPr>
      <w:r>
        <w:rPr>
          <w:sz w:val="18"/>
        </w:rPr>
        <w:t>——————————————————————————————————————————————————————————————————————</w:t>
      </w:r>
    </w:p>
    <w:p>
      <w:pPr>
        <w:spacing w:before="160" w:after="40" w:line="240" w:lineRule="auto"/>
      </w:pPr>
      <w:r>
        <w:rPr>
          <w:b/>
        </w:rPr>
        <w:t xml:space="preserve">[252] </w:t>
      </w:r>
      <w:hyperlink r:id="rId1045">
        <w:r>
          <w:rPr>
            <w:color w:val="1155CC"/>
            <w:u w:val="single"/>
          </w:rPr>
          <w:t>人工智能辅助 SERS 解码双酶活性，用于癫痫术中化学绘图</w:t>
        </w:r>
      </w:hyperlink>
    </w:p>
    <w:p>
      <w:pPr>
        <w:spacing w:before="0" w:after="80"/>
      </w:pPr>
      <w:r>
        <w:rPr>
          <w:i/>
          <w:sz w:val="20"/>
        </w:rPr>
        <w:t>EN: AI-Assisted SERS Decoding of Dual Enzymatic Activity for Intraoperative Chemical Mapping of Epilepsy</w:t>
      </w:r>
    </w:p>
    <w:p>
      <w:pPr>
        <w:spacing w:before="0" w:after="120"/>
      </w:pPr>
      <w:r>
        <w:rPr>
          <w:b/>
        </w:rPr>
        <w:t xml:space="preserve">Source: </w:t>
      </w:r>
      <w:r>
        <w:t>Journal of the American Chemical Society: Latest Articles (ACS Publications)</w:t>
      </w:r>
      <w:r>
        <w:t xml:space="preserve">    </w:t>
      </w:r>
      <w:r>
        <w:rPr>
          <w:b/>
        </w:rPr>
        <w:t xml:space="preserve">Pub date: </w:t>
      </w:r>
      <w:r>
        <w:t>2026-08-17 00:00:00+00:00</w:t>
      </w:r>
      <w:r>
        <w:t xml:space="preserve">    </w:t>
      </w:r>
      <w:r>
        <w:rPr>
          <w:b/>
        </w:rPr>
        <w:t xml:space="preserve">DOI: </w:t>
      </w:r>
      <w:hyperlink r:id="rId1046">
        <w:r>
          <w:rPr>
            <w:color w:val="1155CC"/>
            <w:u w:val="single"/>
          </w:rPr>
          <w:t>10.1021/jacs.6c09984</w:t>
        </w:r>
      </w:hyperlink>
    </w:p>
    <w:p>
      <w:pPr>
        <w:spacing w:before="0" w:after="120"/>
      </w:pPr>
      <w:r>
        <w:rPr>
          <w:b/>
        </w:rPr>
        <w:t xml:space="preserve">Notes: </w:t>
      </w:r>
      <w:r>
        <w:t>abstract_source=crossref</w:t>
      </w:r>
    </w:p>
    <w:p>
      <w:pPr>
        <w:spacing w:before="0" w:after="80" w:lineRule="auto" w:line="276"/>
      </w:pPr>
      <w:r>
        <w:rPr>
          <w:b/>
        </w:rPr>
        <w:t xml:space="preserve">摘要（ZH）: </w:t>
      </w:r>
      <w:r>
        <w:t>摘要 精准切除仍然是耐药性癫痫的最终治疗方法，但由于缺乏快速分子成像，术中癫痫病灶的划分受到阻碍。在此，我们报告了一种快速的人工智能 (AI) 加速表面增强拉曼散射 (SERS) 平台，用于同时绘制癫痫病灶处的 caspase-3 和基质金属蛋白酶-2 (MMP-2) 活性。为了克服传统上阻碍双酶追踪的动力学不匹配，我们采用人工智能驱动的工作流程来识别 MMP-2 肽底物，其催化动力学与其 caspase-3 对应物同步，将测量时间从几小时压缩到几分钟。定制的双分支交叉注意力 Kolmogorov-Arnold 网络 (DBC-KAN) 通过可学习的边缘激活捕获微妙的早期光谱演化模式，进一步加快了诊断速度，在样本加载 4 分钟内实现了 98.21% 的预测准确度，相对于商业活动测定（30-60 分钟）提高了 7 倍以上。值得注意的是，这些底物被集成到具有生物沉默区域内标的比率 SERS 阵列中，增强了定量鲁棒性，同时消除了光谱串扰。利用这个平台，我们建立了一个逻辑门控诊断框架（caspase-3/MMP-2比率），在转基因小鼠模型中成功区分癫痫灶与健康和炎症区域，并切除了人类皮质组织。这种人工智能驱动的 SERS 策略可提供超快的术中分子分析、PR</w:t>
      </w:r>
    </w:p>
    <w:p>
      <w:pPr>
        <w:spacing w:before="0" w:after="200" w:lineRule="auto" w:line="276"/>
      </w:pPr>
      <w:r>
        <w:rPr>
          <w:b/>
        </w:rPr>
        <w:t xml:space="preserve">Abstract (EN): </w:t>
      </w:r>
      <w:r>
        <w:t>Precision resection remains the definitive treatment for drug-resistant epilepsy, yet intraoperative demarcation of epileptic foci is hindered by the lack of rapid molecular imaging. Herein, we report a rapid, artificial intelligence (AI)-accelerated surface-enhanced Raman scattering (SERS) platform for the simultaneous mapping of caspase-3 and matrix metalloproteinase-2 (MMP-2) activities at epileptic foci. To overcome the kinetic mismatch that traditionally stalls dual-enzyme tracking, we employed an AI-driven workflow to identify an MMP-2 peptide substrate whose catalytic kinetics are synchronized with those of its caspase-3 counterpart, compressing measurement times from hours to minutes. A bespoke dual-branch cross-attention Kolmogorov–Arnold Network (DBC-KAN) further accelerated the diagnostic speed by capturing subtle early-stage spectral evolution patterns through learnable edge activations, achieving 98.21% predictive accuracy within 4 min of sample loading, a &amp;gt;7-fold improvement relative to commercial activity assays (30–60 min). Notably, these substrates were integrated into a ratiometric SERS array featuring biological-silent-region internal standards, enhancing quantitative robustness while eliminating spectral cross-talk. Leveraging this platform, we established a logic-gated diagnostic framework (caspase-3/MMP-2 ratio) that successfully discriminated epileptic foci from healthy and inflamed regions in transgenic murine models and resected human cortical tissues. This AI-driven SERS strategy delivers ultrafast intraoperative molecular profiling, providing a high-fidelity roadmap for precision neurosurgery.</w:t>
      </w:r>
    </w:p>
    <w:p>
      <w:pPr>
        <w:spacing w:before="120" w:after="120"/>
      </w:pPr>
      <w:r>
        <w:rPr>
          <w:sz w:val="18"/>
        </w:rPr>
        <w:t>——————————————————————————————————————————————————————————————————————</w:t>
      </w:r>
    </w:p>
    <w:p>
      <w:pPr>
        <w:spacing w:before="160" w:after="40" w:line="240" w:lineRule="auto"/>
      </w:pPr>
      <w:r>
        <w:rPr>
          <w:b/>
        </w:rPr>
        <w:t xml:space="preserve">[253] </w:t>
      </w:r>
      <w:hyperlink r:id="rId1047">
        <w:r>
          <w:rPr>
            <w:color w:val="1155CC"/>
            <w:u w:val="single"/>
          </w:rPr>
          <w:t>对“用于双功能防伪和 LED 应用的多色发射的卤素工程铜基材料”的修正</w:t>
        </w:r>
      </w:hyperlink>
    </w:p>
    <w:p>
      <w:pPr>
        <w:spacing w:before="0" w:after="80"/>
      </w:pPr>
      <w:r>
        <w:rPr>
          <w:i/>
          <w:sz w:val="20"/>
        </w:rPr>
        <w:t>EN: Correction to “Halogen-Engineered Copper-Based Materials with Multicolor Emission for Dual-Functional Anti-Counterfeiting and LED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48">
        <w:r>
          <w:rPr>
            <w:color w:val="1155CC"/>
            <w:u w:val="single"/>
          </w:rPr>
          <w:t>10.1021/acsami.6c15259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1049">
        <w:r>
          <w:rPr>
            <w:color w:val="1155CC"/>
            <w:u w:val="single"/>
          </w:rPr>
          <w:t>Ti3C2T x MXene 的乙烯基官能化能够接枝磺化聚电解质，以实现正向渗透海水淡化中的高脱盐率</w:t>
        </w:r>
      </w:hyperlink>
    </w:p>
    <w:p>
      <w:pPr>
        <w:spacing w:before="0" w:after="80"/>
      </w:pPr>
      <w:r>
        <w:rPr>
          <w:i/>
          <w:sz w:val="20"/>
        </w:rPr>
        <w:t>EN: Vinyl Functionalization of Ti3C2T x MXene Enables Grafting of Sulfonated Polyelectrolytes for High Salt Rejection in Forward Osmosis Desalination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50">
        <w:r>
          <w:rPr>
            <w:color w:val="1155CC"/>
            <w:u w:val="single"/>
          </w:rPr>
          <w:t>10.1021/acsami.6c10097</w:t>
        </w:r>
      </w:hyperlink>
    </w:p>
    <w:p>
      <w:pPr>
        <w:spacing w:before="0" w:after="120"/>
      </w:pPr>
      <w:r>
        <w:rPr>
          <w:b/>
        </w:rPr>
        <w:t xml:space="preserve">Notes: </w:t>
      </w:r>
      <w:r>
        <w:t>abstract_source=crossref</w:t>
      </w:r>
    </w:p>
    <w:p>
      <w:pPr>
        <w:spacing w:before="0" w:after="80" w:lineRule="auto" w:line="276"/>
      </w:pPr>
      <w:r>
        <w:rPr>
          <w:b/>
        </w:rPr>
        <w:t xml:space="preserve">摘要（ZH）: </w:t>
      </w:r>
      <w:r>
        <w:t>摘要 MXene 膜在水相分离方面很有前景，但从根本上受到膨胀引起的选择性损失和结构不稳定性的限制。在这里，我们首次报道了 Ti3C2Tx MXene 纳米片的乙烯基官能化，这使得随后能够在层状纳米通道内接枝阴离子聚电解质网络。乙烯基三乙氧基硅烷共价锚定在 Ti3C2TX 上，引入可聚合乙烯基，将 MXene 转变为用于界面聚合物集成的反应平台。随后，四种磺化单体（对苯乙烯磺酸钠、对苯乙烯磺酸铵、2-丙烯酰胺基-2-甲基丙磺酸（AmPS）和甲基丙烯酸3-磺基丙酯钾盐）中的每一种均在纳米通道内分别接枝和交联，形成水合离子交换聚合物网络。这种方法将易于膨胀的 Ti3C2TX 通道转化为抗膨胀、聚合物增强的纳米通道，具有增强的水合作用和强静电排斥能力。优化的乙烯基功能化 MXene-AmPS 膜在单盐条件下实现了近乎完全的脱盐率 (99.20–99.86%)，水渗透率为 0.1142 L m–2 h–1 bar–1，在模拟海水的混合盐进料下，脱盐率为 0.1134 L m–2 h–1 bar–1，达到 99.92–99.99%。该膜在 13 个再生循环中保持约 99.45% 的截留率，通量恢复率 &gt;90%。这些发现确立了乙烯基官能化聚合物接枝作为设计稳定、离子选择性 MXene 纳米通道的有效策略，从而实现前所未有的海水淡化</w:t>
      </w:r>
    </w:p>
    <w:p>
      <w:pPr>
        <w:spacing w:before="0" w:after="200" w:lineRule="auto" w:line="276"/>
      </w:pPr>
      <w:r>
        <w:rPr>
          <w:b/>
        </w:rPr>
        <w:t xml:space="preserve">Abstract (EN): </w:t>
      </w:r>
      <w:r>
        <w:t>MXene membranes are promising for aqueous separations but are fundamentally limited by swelling-induced loss of selectivity and structural instability. Here, we report, for the first time, vinyl functionalization of Ti3C2Tx MXene nanosheets, which enables subsequent grafting of anionic polyelectrolyte networks within the lamellar nanochannels. Vinyltriethoxysilane is covalently anchored onto Ti3C2Tx to introduce polymerizable vinyl groups, transforming the MXene into a reactive platform for interfacial polymer integration. Each of the four sulfonated monomers (sodium p-styrene sulfonate, ammonium p-styrene sulfonate, 2-acrylamido-2-methylpropanesulfonic acid (AmPS), and 3-sulfopropyl methacrylate potassium salt) is subsequently grafted and crosslinked separately within the nanochannels to form hydrated, ion-exchange polymer networks. This approach converts swelling-prone Ti3C2Tx galleries into anti-swelling, polymer-reinforced nanochannels with enhanced hydration and strong electrostatic exclusion. The optimized vinyl-functionalized MXene–AmPS membrane achieves near-complete salt rejection (99.20–99.86%) with a water permeance of 0.1142 L m–2 h–1 bar–1 under single-salt conditions and 99.92–99.99% rejection with 0.1134 L m–2 h–1 bar–1 under mixed-salt feeds simulating seawater. The membrane maintains ≈99.45% rejection over 13 regeneration cycles with &amp;gt;90% flux recovery. These findings establish vinyl functionalization-enabled polymer grafting as an effective strategy for engineering stable, ion-selective MXene nanochannels, delivering unprecedented desalination performance.</w:t>
      </w:r>
    </w:p>
    <w:p>
      <w:pPr>
        <w:spacing w:before="120" w:after="120"/>
      </w:pPr>
      <w:r>
        <w:rPr>
          <w:sz w:val="18"/>
        </w:rPr>
        <w:t>——————————————————————————————————————————————————————————————————————</w:t>
      </w:r>
    </w:p>
    <w:p>
      <w:pPr>
        <w:spacing w:before="160" w:after="40" w:line="240" w:lineRule="auto"/>
      </w:pPr>
      <w:r>
        <w:rPr>
          <w:b/>
        </w:rPr>
        <w:t xml:space="preserve">[255] </w:t>
      </w:r>
      <w:hyperlink r:id="rId1051">
        <w:r>
          <w:rPr>
            <w:color w:val="1155CC"/>
            <w:u w:val="single"/>
          </w:rPr>
          <w:t>基于高性能 Au/TPU 纳米纤维电极的可穿戴摩擦电传感器，用于物体识别、情绪识别和无线实时机器人控制</w:t>
        </w:r>
      </w:hyperlink>
    </w:p>
    <w:p>
      <w:pPr>
        <w:spacing w:before="0" w:after="80"/>
      </w:pPr>
      <w:r>
        <w:rPr>
          <w:i/>
          <w:sz w:val="20"/>
        </w:rPr>
        <w:t>EN: Wearable Triboelectric Sensors Based on High-Performance Au/TPU Nanofiber Electrodes for Object Recognition, Emotion Recognition, and Wireless Real-Time Robot Control</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52">
        <w:r>
          <w:rPr>
            <w:color w:val="1155CC"/>
            <w:u w:val="single"/>
          </w:rPr>
          <w:t>10.1021/acsami.6c06860</w:t>
        </w:r>
      </w:hyperlink>
    </w:p>
    <w:p>
      <w:pPr>
        <w:spacing w:before="0" w:after="120"/>
      </w:pPr>
      <w:r>
        <w:rPr>
          <w:b/>
        </w:rPr>
        <w:t xml:space="preserve">Notes: </w:t>
      </w:r>
      <w:r>
        <w:t>abstract_source=crossref</w:t>
      </w:r>
    </w:p>
    <w:p>
      <w:pPr>
        <w:spacing w:before="0" w:after="80" w:lineRule="auto" w:line="276"/>
      </w:pPr>
      <w:r>
        <w:rPr>
          <w:b/>
        </w:rPr>
        <w:t xml:space="preserve">摘要（ZH）: </w:t>
      </w:r>
      <w:r>
        <w:t>摘要 高导电性和可拉伸的纳米纤维是可穿戴设备的有前途的候选材料。然而，传统的电极材料受到拉伸应变、刚性材料和不渗透性的限制，这往往会降低柔性可穿戴传感器的性能。在此，开发了一种基于高导电性、可拉伸和透气的Au/TPU纳米纤维电极的可穿戴摩擦电传感器（WTS），用于物体识别、情感识别和无线实时机器人控制。通过阴离子辅助光化学沉积（APD）方法将Au纳米颗粒均匀沉积在TPU纳米纤维表面后，制备的Au/TPU纳米纤维电极实现了高导电网络和柔性特性的紧密结合，包括优异的导电性（668.9 S/m）、拉伸性（500%）和拉伸稳定性。基于 Au/TPU 纳米纤维电极，所制造的 WTS 表现出高性能的摩擦起电效应，可实现高灵敏度的刺激响应。此外，粘附在机械爪内侧的六个WTS单元可以在机器学习的帮助下实现高精度物体识别（94.7％）。同样，当五个WTS单元附着在人脸上时，可以成功识别不同的面部表情以进行情绪识别，从而进一步实现无线实时机器人控制以实现人机交互。因此，基于 Au/TPU 纳米纤维电极制造的 WTS 在可穿戴电子产品和 Arti 领域显示出相当大的潜力。</w:t>
      </w:r>
    </w:p>
    <w:p>
      <w:pPr>
        <w:spacing w:before="0" w:after="200" w:lineRule="auto" w:line="276"/>
      </w:pPr>
      <w:r>
        <w:rPr>
          <w:b/>
        </w:rPr>
        <w:t xml:space="preserve">Abstract (EN): </w:t>
      </w:r>
      <w:r>
        <w:t>Highly conductive and stretchable nanofibers are promising material candidates for wearable devices. However, traditional electrode materials are limited by their tensile strain, rigid material, and impermeability, which often deteriorates the performance of their flexible wearable sensors. Herein, a wearable triboelectric sensor (WTS) based on a highly conductive, stretchable, and breathable Au/TPU nanofiber electrode is developed for object recognition, emotion recognition, and wireless real-time robot control. After Au nanoparticles are uniformly deposited on the surface of TPU nanofibers through anion-assisted photochemical deposition (APD) method, the prepared Au/TPU nanofiber electrode achieves a tight combination of the high-conductive network and flexible feature, including an excellent conductivity (668.9 S/m), stretchability (500%), and tensile stability. Based on the Au/TPU nanofiber electrode, the fabricated WTS demonstrates high-performance triboelectric effects for high-sensitivity stimulus response. Furthermore, six WTS units adhered to the inner side of a mechanical claw can achieve high-accuracy object recognition (94.7%) with the assistance of machine learning. Similarly, when five WTS units are attached to the human face, different facial expressions can be successfully identified for emotion recognition to further enable wireless real-time robot control for human-machine interaction. Consequently, the fabricated WTS based on Au/TPU nanofiber electrode demonstrates a considerably impressive potential in the fields of wearable electronics and Artificial Intelligence (AI).</w:t>
      </w:r>
    </w:p>
    <w:p>
      <w:pPr>
        <w:spacing w:before="120" w:after="120"/>
      </w:pPr>
      <w:r>
        <w:rPr>
          <w:sz w:val="18"/>
        </w:rPr>
        <w:t>——————————————————————————————————————————————————————————————————————</w:t>
      </w:r>
    </w:p>
    <w:p>
      <w:pPr>
        <w:spacing w:before="160" w:after="40" w:line="240" w:lineRule="auto"/>
      </w:pPr>
      <w:r>
        <w:rPr>
          <w:b/>
        </w:rPr>
        <w:t xml:space="preserve">[256] </w:t>
      </w:r>
      <w:hyperlink r:id="rId1053">
        <w:r>
          <w:rPr>
            <w:color w:val="1155CC"/>
            <w:u w:val="single"/>
          </w:rPr>
          <w:t>用于多井流芯片中全氟辛酸的流动注射检测的嵌段共聚物稳定复合乳液</w:t>
        </w:r>
      </w:hyperlink>
    </w:p>
    <w:p>
      <w:pPr>
        <w:spacing w:before="0" w:after="80"/>
      </w:pPr>
      <w:r>
        <w:rPr>
          <w:i/>
          <w:sz w:val="20"/>
        </w:rPr>
        <w:t>EN: Block Copolymer-Stabilized Complex Emulsions for Flow-Injection Detection of Perfluorooctanoic Acid in Multiple-Well Flow Chips</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54">
        <w:r>
          <w:rPr>
            <w:color w:val="1155CC"/>
            <w:u w:val="single"/>
          </w:rPr>
          <w:t>10.1021/acsami.6c11304</w:t>
        </w:r>
      </w:hyperlink>
    </w:p>
    <w:p>
      <w:pPr>
        <w:spacing w:before="0" w:after="120"/>
      </w:pPr>
      <w:r>
        <w:rPr>
          <w:b/>
        </w:rPr>
        <w:t xml:space="preserve">Notes: </w:t>
      </w:r>
      <w:r>
        <w:t>abstract_source=crossref</w:t>
      </w:r>
    </w:p>
    <w:p>
      <w:pPr>
        <w:spacing w:before="0" w:after="80" w:lineRule="auto" w:line="276"/>
      </w:pPr>
      <w:r>
        <w:rPr>
          <w:b/>
        </w:rPr>
        <w:t xml:space="preserve">摘要（ZH）: </w:t>
      </w:r>
      <w:r>
        <w:t>摘要 全氟烷基物质和多氟烷基物质 (PFAS) 需要快速、可现场部署的筛查方法，特别是在高负荷和非饮用水流中。在这里，我们报告了一种响应性复合乳液平台，其中酸反应性嵌段共聚物（BCP）稳定碳氢化合物/碳氟化合物/水滴，并将全氟辛酸（PFOA）结合转化为光学可读的形态变化。采用原子转移自由基聚合法合成了聚苯乙烯嵌段聚（4-乙烯基吡啶）（PS-b-P4VP）和聚苯乙烯嵌段聚（甲基丙烯酸缩水甘油酯）（PS-b-PGMA），并筛选了其界面活性和乳液稳定性。所选共聚物 PS2.4k-b-P4VP2.7k 和 PS2.5k-b-PGMA1.8k 将烃/水界面张力分别降低至 25.77 和 13.23 mN m–1，并稳定了水中烃包氟碳液滴。接触 PFOA 后，液滴从被吞没的形态转变为 Janus 形态。该响应与 PS-b-P4VP 系统中吡啶质子化和吡啶鎓-全氟辛酸离子对的形成一致，并且在 PS-b-PGMA 系统中主要是氢键，环氧化物开环的贡献较小。添加 PFOA 的河水中保留了形态转变，并且与非氟化羧酸、腐殖酸和十二烷基硫酸钠的响应不同。与多孔流芯片集成可实现超过 10-500 ppb PFOA 的浓度依赖性响应时间，PS-b-P4VP 液滴在 10 ppb 下于 1133 秒内达到 Janus 状态。 ResNet18 模型对液滴过渡进行分类</w:t>
      </w:r>
    </w:p>
    <w:p>
      <w:pPr>
        <w:spacing w:before="0" w:after="200" w:lineRule="auto" w:line="276"/>
      </w:pPr>
      <w:r>
        <w:rPr>
          <w:b/>
        </w:rPr>
        <w:t xml:space="preserve">Abstract (EN): </w:t>
      </w:r>
      <w:r>
        <w:t>Rapid, field-deployable screening methods are needed for per- and polyfluoroalkyl substances (PFAS), particularly in high-load and non-potable water streams. Here, we report a responsive complex-emulsion platform in which acid-reactive block copolymers (BCPs) stabilize hydrocarbon/fluorocarbon/water droplets and convert perfluorooctanoic acid (PFOA) binding into an optically readable change in morphology. Polystyrene-block-poly(4-vinylpyridine) (PS-b-P4VP) and polystyrene-block-poly(glycidyl methacrylate) (PS-b-PGMA) were synthesized by atom transfer radical polymerization and screened for interfacial activity and emulsion stability. The selected copolymers, PS2.4k-b-P4VP2.7k and PS2.5k-b-PGMA1.8k, reduced the hydrocarbon/water interfacial tension to 25.77 and 13.23 mN m–1, respectively, and stabilized fluorocarbon-in-hydrocarbon-in-water droplets. Exposure to PFOA transformed the droplets from engulfed to Janus morphologies. The response is consistent with pyridine protonation and pyridinium–perfluorooctanoate ion-pair formation in the PS-b-P4VP system and primarily hydrogen bonding, with a minor contribution from epoxide ring opening, in the PS-b-PGMA system. The morphology transition was retained in PFOA-spiked river water and was distinct from the responses to nonfluorinated carboxylic acids, humic acid, and sodium dodecyl sulfate. Integration with a multiple-well flow chip enabled concentration-dependent response times over 10–500 ppb PFOA, with PS-b-P4VP droplets reaching the Janus state in 1133 s at 10 ppb. A ResNet18 model classified droplet transitions with 92.8% accuracy, a weighted F1 score of 92.8%, and an area under the receiver operating characteristic curve of 0.98. This work establishes chemically programmed complex emulsions as dynamic optical transducers for rapid, semiquantitative PFOA screening.</w:t>
      </w:r>
    </w:p>
    <w:p>
      <w:pPr>
        <w:spacing w:before="120" w:after="120"/>
      </w:pPr>
      <w:r>
        <w:rPr>
          <w:sz w:val="18"/>
        </w:rPr>
        <w:t>——————————————————————————————————————————————————————————————————————</w:t>
      </w:r>
    </w:p>
    <w:p>
      <w:pPr>
        <w:spacing w:before="160" w:after="40" w:line="240" w:lineRule="auto"/>
      </w:pPr>
      <w:r>
        <w:rPr>
          <w:b/>
        </w:rPr>
        <w:t xml:space="preserve">[257] </w:t>
      </w:r>
      <w:hyperlink r:id="rId1055">
        <w:r>
          <w:rPr>
            <w:color w:val="1155CC"/>
            <w:u w:val="single"/>
          </w:rPr>
          <w:t>银改性蚀刻铜泡沫上氯硝基苯高效选择性电催化加氢制氯苯胺</w:t>
        </w:r>
      </w:hyperlink>
    </w:p>
    <w:p>
      <w:pPr>
        <w:spacing w:before="0" w:after="80"/>
      </w:pPr>
      <w:r>
        <w:rPr>
          <w:i/>
          <w:sz w:val="20"/>
        </w:rPr>
        <w:t>EN: Highly Efficient and Selective Electrocatalytic Hydrogenation of Chloronitrobenzene to Chloroaniline on Ag-Modified Etched Cu Foam</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56">
        <w:r>
          <w:rPr>
            <w:color w:val="1155CC"/>
            <w:u w:val="single"/>
          </w:rPr>
          <w:t>10.1021/acsami.6c10314</w:t>
        </w:r>
      </w:hyperlink>
    </w:p>
    <w:p>
      <w:pPr>
        <w:spacing w:before="0" w:after="120"/>
      </w:pPr>
      <w:r>
        <w:rPr>
          <w:b/>
        </w:rPr>
        <w:t xml:space="preserve">Notes: </w:t>
      </w:r>
      <w:r>
        <w:t>abstract_source=crossref</w:t>
      </w:r>
    </w:p>
    <w:p>
      <w:pPr>
        <w:spacing w:before="0" w:after="80" w:lineRule="auto" w:line="276"/>
      </w:pPr>
      <w:r>
        <w:rPr>
          <w:b/>
        </w:rPr>
        <w:t xml:space="preserve">摘要（ZH）: </w:t>
      </w:r>
      <w:r>
        <w:t>摘要 用于合成高价值化学品的电催化氢化（ECH）引起了人们的广泛研究兴趣。在此，我们提出了一种通过简单的化学蚀刻和随后的 Ag+ 自动还原制备的自支撑 Ag 改性蚀刻铜泡沫电极（Ag-eCF），该电极具有优异的性能，活性为 2.38 μmol h–1 cm–2，p-ClPhNH2 选择性为 95.37%，电流密度为 50 mA cm–2 时法拉第效率为 98.9%，同时具有出色的可重复使用性和广泛的应用范围。基材适用性。结构和电化学表征表明，Cu 和 Ag 是 ClPhNO2 中硝基选择性氢化的活性位点，而 CF 的表面蚀刻增加了电化学活性表面积并降低了电荷转移电阻。 Ag的掺入优化了反应物和目标产物的吸附/解吸行为，促进活性氢的产生。密度泛函理论（DFT）计算进一步证实，性能的增强源于Ag修饰后p-ClPhNO2吸附的增强和反应能垒的降低。此外，与 0.2 wt% Ag-eCF 催化剂相比，较高的电流密度、极性溶剂和较高的反应物浓度有利于 p-ClPhNO2 转化为 p-ClPhNH2 的 ECH。这项工作为制造用于生产增值化学品的高性能电极提供了合理的设计策略。</w:t>
      </w:r>
    </w:p>
    <w:p>
      <w:pPr>
        <w:spacing w:before="0" w:after="200" w:lineRule="auto" w:line="276"/>
      </w:pPr>
      <w:r>
        <w:rPr>
          <w:b/>
        </w:rPr>
        <w:t xml:space="preserve">Abstract (EN): </w:t>
      </w:r>
      <w:r>
        <w:t>Electrocatalytic hydrogenation (ECH) for the synthesis of high-value chemicals has attracted significant research interest. Herein, we present a self-supporting Ag-modified etched Cu foam electrode (Ag-eCF) fabricated via a facile chemical etching and subsequent auto-reduction of Ag+, which achieved exceptional performance with an activity of 2.38 μmol h–1 cm–2, 95.37% selectivity of p-ClPhNH2, and a Faradaic efficiency of 98.9% at a current density of 50 mA cm–2, along with excellent reusability and broad substrate applicability. Structural and electrochemical characterizations reveal that Cu and Ag serve as the active sites for the selective hydrogenation of the nitro groups in ClPhNO2s, while surface etching of CF increases the electrochemically active surface area and reduces charge-transfer resistance. The incorporation of Ag optimizes the adsorption/desorption behavior of the reactant and target product, promoting the generation of active hydrogen. Density functional theory (DFT) calculations further confirm that the enhanced performance originates from strengthened p-ClPhNO2 adsorption and a lowered reaction energy barrier after Ag modification. Moreover, higher current density, polar solvents, and elevated reactant concentrations favor the ECH of p-ClPhNO2 to p-ClPhNH2 over the 0.2 wt% Ag-eCF catalyst. This work offers a rational design strategy for fabricating high-performance electrodes for the production of value-added chemicals.</w:t>
      </w:r>
    </w:p>
    <w:p>
      <w:pPr>
        <w:spacing w:before="120" w:after="120"/>
      </w:pPr>
      <w:r>
        <w:rPr>
          <w:sz w:val="18"/>
        </w:rPr>
        <w:t>——————————————————————————————————————————————————————————————————————</w:t>
      </w:r>
    </w:p>
    <w:p>
      <w:pPr>
        <w:spacing w:before="160" w:after="40" w:line="240" w:lineRule="auto"/>
      </w:pPr>
      <w:r>
        <w:rPr>
          <w:b/>
        </w:rPr>
        <w:t xml:space="preserve">[258] </w:t>
      </w:r>
      <w:hyperlink r:id="rId1057">
        <w:r>
          <w:rPr>
            <w:color w:val="1155CC"/>
            <w:u w:val="single"/>
          </w:rPr>
          <w:t>半乳糖基化纳米颗粒：重新定义 SERS、代谢和免疫调节中的糖驱动机制</w:t>
        </w:r>
      </w:hyperlink>
    </w:p>
    <w:p>
      <w:pPr>
        <w:spacing w:before="0" w:after="80"/>
      </w:pPr>
      <w:r>
        <w:rPr>
          <w:i/>
          <w:sz w:val="20"/>
        </w:rPr>
        <w:t>EN: Galactosylated Nanoparticles: Redefining Sugar-Driven Mechanisms in SERS, Metabolism, and Immune Modulation</w:t>
      </w:r>
    </w:p>
    <w:p>
      <w:pPr>
        <w:spacing w:before="0" w:after="120"/>
      </w:pPr>
      <w:r>
        <w:rPr>
          <w:b/>
        </w:rPr>
        <w:t xml:space="preserve">Source: </w:t>
      </w:r>
      <w:r>
        <w:t>ACS Applied Materials &amp; Interfaces: Latest Articles (ACS Publications)</w:t>
      </w:r>
      <w:r>
        <w:t xml:space="preserve">    </w:t>
      </w:r>
      <w:r>
        <w:rPr>
          <w:b/>
        </w:rPr>
        <w:t xml:space="preserve">Pub date: </w:t>
      </w:r>
      <w:r>
        <w:t>2026-08-17 00:00:00+00:00</w:t>
      </w:r>
      <w:r>
        <w:t xml:space="preserve">    </w:t>
      </w:r>
      <w:r>
        <w:rPr>
          <w:b/>
        </w:rPr>
        <w:t xml:space="preserve">DOI: </w:t>
      </w:r>
      <w:hyperlink r:id="rId1058">
        <w:r>
          <w:rPr>
            <w:color w:val="1155CC"/>
            <w:u w:val="single"/>
          </w:rPr>
          <w:t>10.1021/acsami.6c08086</w:t>
        </w:r>
      </w:hyperlink>
    </w:p>
    <w:p>
      <w:pPr>
        <w:spacing w:before="0" w:after="120"/>
      </w:pPr>
      <w:r>
        <w:rPr>
          <w:b/>
        </w:rPr>
        <w:t xml:space="preserve">Notes: </w:t>
      </w:r>
      <w:r>
        <w:t>abstract_source=crossref</w:t>
      </w:r>
    </w:p>
    <w:p>
      <w:pPr>
        <w:spacing w:before="0" w:after="80" w:lineRule="auto" w:line="276"/>
      </w:pPr>
      <w:r>
        <w:rPr>
          <w:b/>
        </w:rPr>
        <w:t xml:space="preserve">摘要（ZH）: </w:t>
      </w:r>
      <w:r>
        <w:t>摘要 半乳糖化纳米粒子（Gal-NPs）是一类连接分子识别、材料和生物医学功能的新型纳米平台。本综述提出了一个以半乳糖为中心的框架，其中半乳糖作为影响纳米生物相互作用和细胞反应的生物活性基序。我们提出了原位聚合、桥接和碳化等合成策略，能够在有机和无机纳米结构上显示受控的半乳糖，解决传统方法的异质性和可扩展性问题。表面展示的半乳糖可能促进多价受体结合、代谢变化和免疫重编程，特别是通过 ROS 途径促进巨噬细胞复极化。重要的是，与无机纳米核心的整合将半乳糖从被动生物分子配体转变为功能上可追踪的实体：等离子体和磁性成分可实现光学（例如SERS）和成像（例如MRI）读数，从而可以实时监测生物系统中半乳糖介导的靶向、积累和免疫调节。将生物活性与信号转导相结合，半乳糖基化纳米杂化物成为用于识别、干预和成像的可编程系统。本综述将半乳糖基化纳米粒子视为下一代治疗诊断学的多功能平台。</w:t>
      </w:r>
    </w:p>
    <w:p>
      <w:pPr>
        <w:spacing w:before="0" w:after="200" w:lineRule="auto" w:line="276"/>
      </w:pPr>
      <w:r>
        <w:rPr>
          <w:b/>
        </w:rPr>
        <w:t xml:space="preserve">Abstract (EN): </w:t>
      </w:r>
      <w:r>
        <w:t>Galactosylated nanoparticles (Gal-NPs) are a new class of nanoplatforms linking molecular recognition, materials, and biomedical functions. This Review presents a galactose-centered framework in which galactose serves as a bioactive motif that influences nano-bio interactions and cellular responses. We present synthetic strategies—such as in situ polymerization, bridge conjugation, and carbonization—that enable controlled galactose display on organic and inorganic nanostructures, addressing the heterogeneity and scalability issues of traditional methods. Surface-displayed galactose may promote multivalent receptor binding, metabolic changes, and immune reprogramming, especially macrophage repolarization via ROS pathway. Importantly, integration with inorganic nanocores transforms galactose from a passive biomolecular ligand into a functionally traceable entity: plasmonic and magnetic components enable optical (e.g., SERS) and imaging (e.g., MRI) readouts, allowing real-time monitoring of galactose-mediated targeting, accumulation, and immunomodulation in biological systems. Combining biological activity with signal transduction, galactosylated nanohybrids become programmable systems for recognition, intervention, and imaging. This Review sees galactosylated nanoparticles as a versatile platform for next-generation theranostics.</w:t>
      </w:r>
    </w:p>
    <w:p>
      <w:pPr>
        <w:spacing w:before="120" w:after="120"/>
      </w:pPr>
      <w:r>
        <w:rPr>
          <w:sz w:val="18"/>
        </w:rPr>
        <w:t>——————————————————————————————————————————————————————————————————————</w:t>
      </w:r>
    </w:p>
    <w:p>
      <w:pPr>
        <w:spacing w:before="160" w:after="40" w:line="240" w:lineRule="auto"/>
      </w:pPr>
      <w:r>
        <w:rPr>
          <w:b/>
        </w:rPr>
        <w:t xml:space="preserve">[259] </w:t>
      </w:r>
      <w:hyperlink r:id="rId1059">
        <w:r>
          <w:rPr>
            <w:color w:val="1155CC"/>
            <w:u w:val="single"/>
          </w:rPr>
          <w:t>油菜素类固醇调节的转录因子赋予表观遗传变化，抑制植物免疫</w:t>
        </w:r>
      </w:hyperlink>
    </w:p>
    <w:p>
      <w:pPr>
        <w:spacing w:before="0" w:after="80"/>
      </w:pPr>
      <w:r>
        <w:rPr>
          <w:i/>
          <w:sz w:val="20"/>
        </w:rPr>
        <w:t>EN: Brassinosteroid-regulated transcription factors confer epigenetic changes that repress plant immunity</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60">
        <w:r>
          <w:rPr>
            <w:color w:val="1155CC"/>
            <w:u w:val="single"/>
          </w:rPr>
          <w:t>10.1073/pnas.2532739123</w:t>
        </w:r>
      </w:hyperlink>
    </w:p>
    <w:p>
      <w:pPr>
        <w:spacing w:before="0" w:after="120"/>
      </w:pPr>
      <w:r>
        <w:rPr>
          <w:b/>
        </w:rPr>
        <w:t xml:space="preserve">Notes: </w:t>
      </w:r>
      <w:r>
        <w:t>abstract_source=crossref</w:t>
      </w:r>
    </w:p>
    <w:p>
      <w:pPr>
        <w:spacing w:before="0" w:after="80" w:lineRule="auto" w:line="276"/>
      </w:pPr>
      <w:r>
        <w:rPr>
          <w:b/>
        </w:rPr>
        <w:t xml:space="preserve">摘要（ZH）: </w:t>
      </w:r>
      <w:r>
        <w:t>当生物体遇到病原体时，它们会迅速激活复杂的防御程序以确保生存。虽然这些免疫反应至关重要，但它们通常也会带来一些代价，例如生长和发育的减少，因此必须严格控制。在这项研究中，我们揭示了类固醇激素油菜素内酯（BR）有助于这种控制</w:t>
      </w:r>
      <w:r>
        <w:t xml:space="preserve"> </w:t>
      </w:r>
      <w:r>
        <w:t>拟南芥</w:t>
      </w:r>
      <w:r>
        <w:t xml:space="preserve"> </w:t>
      </w:r>
      <w:r>
        <w:t>通过抑制免疫相关基因。我们提供的证据表明，BR 调节的碱性螺旋-环-螺旋 (bHLH) 转录因子 CESTA (CES) 及其同源物 BR 增强表达 (BEE)1-3 在含有核苷酸结合富含亮氨酸重复 (NLR) 型受体基因的富含转座元件 (TE) 的位点介导 DNA 甲基化变化，包括</w:t>
      </w:r>
      <w:r>
        <w:t xml:space="preserve"> </w:t>
      </w:r>
      <w:r>
        <w:t>NPR1-1 组成型 1 的抑制剂</w:t>
      </w:r>
      <w:r>
        <w:t xml:space="preserve"> </w:t>
      </w:r>
      <w:r>
        <w:t>（</w:t>
      </w:r>
      <w:r>
        <w:t xml:space="preserve"> </w:t>
      </w:r>
      <w:r>
        <w:t>SNC1</w:t>
      </w:r>
      <w:r>
        <w:t xml:space="preserve"> </w:t>
      </w:r>
      <w:r>
        <w:t>）。这些 CES 诱导的甲基化变化与剪接改变相关</w:t>
      </w:r>
      <w:r>
        <w:t xml:space="preserve"> </w:t>
      </w:r>
      <w:r>
        <w:t>SNC1</w:t>
      </w:r>
      <w:r>
        <w:t xml:space="preserve"> </w:t>
      </w:r>
      <w:r>
        <w:t>pre-mRNA，一个需要 BR 受体油菜素类固醇不敏感 1 (BRI1) 的过程。作为支持，我们证明 CES 与染色质重塑和剪接机制的组件相关。总之，我们的研究结果揭示了一种以前未被认识的 BR 诱导机制，该机制调节免疫基因的表观遗传和转录后调控，使植物能够优先考虑生长而不是防御。</w:t>
      </w:r>
    </w:p>
    <w:p>
      <w:pPr>
        <w:spacing w:before="0" w:after="200" w:lineRule="auto" w:line="276"/>
      </w:pPr>
      <w:r>
        <w:rPr>
          <w:b/>
        </w:rPr>
        <w:t xml:space="preserve">Abstract (EN): </w:t>
      </w:r>
      <w:r>
        <w:t>When organisms encounter pathogens, they rapidly activate complex defense programs to ensure survival. While these immune responses are vital, they often also incur trade-offs, such as reduced growth and development and must therefore be tightly controlled. In this study, we reveal that the steroid hormones brassinosteroids (BRs) contribute to this control in</w:t>
      </w:r>
      <w:r>
        <w:t xml:space="preserve"> </w:t>
      </w:r>
      <w:r>
        <w:t>Arabidopsis thaliana</w:t>
      </w:r>
      <w:r>
        <w:t xml:space="preserve"> </w:t>
      </w:r>
      <w:r>
        <w:t>by repressing immunity-related genes. We provide evidence that the BR-regulated basic helix–loop–helix (bHLH) transcription factor CESTA (CES), along with its homologs BR ENHANCED EXPRESSION (BEE)1-3, mediate DNA methylation changes at transposable element (TE)-rich loci containing nucleotide-binding leucine-rich-repeat (NLR)-type receptor genes, including</w:t>
      </w:r>
      <w:r>
        <w:t xml:space="preserve"> </w:t>
      </w:r>
      <w:r>
        <w:t>SUPPRESSOR OF NPR1-1 CONSTITUTIVE 1</w:t>
      </w:r>
      <w:r>
        <w:t xml:space="preserve"> </w:t>
      </w:r>
      <w:r>
        <w:t>(</w:t>
      </w:r>
      <w:r>
        <w:t xml:space="preserve"> </w:t>
      </w:r>
      <w:r>
        <w:t>SNC1</w:t>
      </w:r>
      <w:r>
        <w:t xml:space="preserve"> </w:t>
      </w:r>
      <w:r>
        <w:t>). These CES-induced methylation changes correlate with altered splicing of</w:t>
      </w:r>
      <w:r>
        <w:t xml:space="preserve"> </w:t>
      </w:r>
      <w:r>
        <w:t>SNC1</w:t>
      </w:r>
      <w:r>
        <w:t xml:space="preserve"> </w:t>
      </w:r>
      <w:r>
        <w:t>pre-mRNA, a process that requires the BR receptor BRASSINOSTEROID INSENSITIVE 1 (BRI1). In support, we show that CES associates with components of the chromatin remodeling and splicing machinery. Together, our findings reveal a previously unrecognized BR-induced mechanism that modulates the epigenetic and post transcriptional regulation of immune genes, enabling plants to prioritize growth over defense.</w:t>
      </w:r>
    </w:p>
    <w:p>
      <w:pPr>
        <w:spacing w:before="120" w:after="120"/>
      </w:pPr>
      <w:r>
        <w:rPr>
          <w:sz w:val="18"/>
        </w:rPr>
        <w:t>——————————————————————————————————————————————————————————————————————</w:t>
      </w:r>
    </w:p>
    <w:p>
      <w:pPr>
        <w:spacing w:before="160" w:after="40" w:line="240" w:lineRule="auto"/>
      </w:pPr>
      <w:r>
        <w:rPr>
          <w:b/>
        </w:rPr>
        <w:t xml:space="preserve">[260] </w:t>
      </w:r>
      <w:hyperlink r:id="rId1061">
        <w:r>
          <w:rPr>
            <w:color w:val="1155CC"/>
            <w:u w:val="single"/>
          </w:rPr>
          <w:t>CXCR4靶向双软化剂诱导肝纤维化衰老治疗</w:t>
        </w:r>
      </w:hyperlink>
    </w:p>
    <w:p>
      <w:pPr>
        <w:spacing w:before="0" w:after="80"/>
      </w:pPr>
      <w:r>
        <w:rPr>
          <w:i/>
          <w:sz w:val="20"/>
        </w:rPr>
        <w:t>EN: CXCR4-targeted dual softener for inducing senescence therapy in hepatic fibrosis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62">
        <w:r>
          <w:rPr>
            <w:color w:val="1155CC"/>
            <w:u w:val="single"/>
          </w:rPr>
          <w:t>10.1073/pnas.2600215123</w:t>
        </w:r>
      </w:hyperlink>
    </w:p>
    <w:p>
      <w:pPr>
        <w:spacing w:before="0" w:after="120"/>
      </w:pPr>
      <w:r>
        <w:rPr>
          <w:b/>
        </w:rPr>
        <w:t xml:space="preserve">Notes: </w:t>
      </w:r>
      <w:r>
        <w:t>abstract_source=crossref</w:t>
      </w:r>
    </w:p>
    <w:p>
      <w:pPr>
        <w:spacing w:before="0" w:after="80" w:lineRule="auto" w:line="276"/>
      </w:pPr>
      <w:r>
        <w:rPr>
          <w:b/>
        </w:rPr>
        <w:t xml:space="preserve">摘要（ZH）: </w:t>
      </w:r>
      <w:r>
        <w:t>肝纤维化是慢性肝病的主要病理驱动因素，包括代谢功能障碍相关的脂肪肝病和酒精相关的肝病，这些疾病共同造成了日益增长的全球健康负担。纤维化主要是由肝星状细胞（aHSC）的持续激活和僵硬的细胞外基质（ECM）的过度沉积介导的。致密且刚性的 ECM-aHSC 网络严重阻碍药物输送和渗透，对有效的抗纤维化治疗提出了重大挑战。在这里，我们开发了一种针对 aHSC 的纳米复合物（AMD3100/MnO</w:t>
      </w:r>
      <w:r>
        <w:rPr>
          <w:vertAlign w:val="subscript"/>
        </w:rPr>
        <w:t>2</w:t>
      </w:r>
      <w:r>
        <w:t>@BSA 纳米颗粒，AMB 纳米颗粒）来重塑这种刚性的纤维化屏障。该平台通过诱导细胞衰老和激活内源性免疫监视来抑制纤维化过程。在肝脏积累后，AMB NP 优先识别 aHSC 上的 CXCR4，随后释放 Mn</w:t>
      </w:r>
      <w:r>
        <w:t xml:space="preserve"> </w:t>
      </w:r>
      <w:r>
        <w:t>2+</w:t>
      </w:r>
      <w:r>
        <w:t xml:space="preserve"> </w:t>
      </w:r>
      <w:r>
        <w:t>参与干扰素基因环 GMP-AMP 合酶刺激剂 (cGAS-STING) 先天免疫途径，从而强力诱导细胞衰老、抑制细胞增殖并降低细胞硬度。这一过程增强了衰老相关分泌表型因子的产生，促进胶原蛋白降解和基质松弛，并促进免疫介导的衰老aHSC的清除。这些发现证明了 AMB NP 的强大抗纤维化功效，并强调了一种协同纳米医学策略，该策略整合了 aHSC 衰老诱导、免疫监视和 ECM 重塑</w:t>
      </w:r>
    </w:p>
    <w:p>
      <w:pPr>
        <w:spacing w:before="0" w:after="200" w:lineRule="auto" w:line="276"/>
      </w:pPr>
      <w:r>
        <w:rPr>
          <w:b/>
        </w:rPr>
        <w:t xml:space="preserve">Abstract (EN): </w:t>
      </w:r>
      <w:r>
        <w:t>Hepatic fibrosis is a central pathological driver of chronic liver diseases, including metabolic dysfunction-associated steatotic liver disease and alcohol-related liver disease, which collectively impose a growing global health burden. Fibrosis is primarily mediated by persistent activation of hepatic stellate cells (aHSCs) and excessive deposition of stiff extracellular matrix (ECM). The dense and rigid ECM-aHSCs network severely hinders drug delivery and penetration, posing a major challenge for effective antifibrotic therapy. Here, we developed an aHSCs-targeted nanocomplex (AMD3100/MnO</w:t>
      </w:r>
      <w:r>
        <w:rPr>
          <w:vertAlign w:val="subscript"/>
        </w:rPr>
        <w:t>2</w:t>
      </w:r>
      <w:r>
        <w:t>@BSA nanoparticles, AMB NPs) to remodel this rigid fibrotic barrier. This platform inhibits the fibrotic process by inducing cellular senescence and activating endogenous immune surveillance. Upon liver accumulation, AMB NPs preferentially recognize CXCR4 on aHSCs and subsequently release Mn</w:t>
      </w:r>
      <w:r>
        <w:t xml:space="preserve"> </w:t>
      </w:r>
      <w:r>
        <w:t>2+</w:t>
      </w:r>
      <w:r>
        <w:t xml:space="preserve"> </w:t>
      </w:r>
      <w:r>
        <w:t>to engage the cyclic GMP-AMP synthase-stimulator of interferon genes (cGAS–STING) innate immune pathway, thereby robustly inducing cellular senescence, suppressing cell proliferation and reducing cellular stiffness. This process enhances the production of senescence-associated secretory phenotype factors, promotes collagen degradation and matrix loosening, and facilitates immune-mediated clearance of senescent aHSCs. These findings demonstrate the potent antifibrotic efficacy of AMB NPs and highlight a synergistic nanomedicine strategy that integrates aHSCs senescence induction, immune surveillance, and ECM remodeling, providing a rational therapeutic framework for hepatic fibrosis intervention.</w:t>
      </w:r>
    </w:p>
    <w:p>
      <w:pPr>
        <w:spacing w:before="120" w:after="120"/>
      </w:pPr>
      <w:r>
        <w:rPr>
          <w:sz w:val="18"/>
        </w:rPr>
        <w:t>——————————————————————————————————————————————————————————————————————</w:t>
      </w:r>
    </w:p>
    <w:p>
      <w:pPr>
        <w:spacing w:before="160" w:after="40" w:line="240" w:lineRule="auto"/>
      </w:pPr>
      <w:r>
        <w:rPr>
          <w:b/>
        </w:rPr>
        <w:t xml:space="preserve">[261] </w:t>
      </w:r>
      <w:hyperlink r:id="rId1063">
        <w:r>
          <w:rPr>
            <w:color w:val="1155CC"/>
            <w:u w:val="single"/>
          </w:rPr>
          <w:t>1820 年马略卡鼠疫并不是典型的黑死病爆发</w:t>
        </w:r>
      </w:hyperlink>
    </w:p>
    <w:p>
      <w:pPr>
        <w:spacing w:before="0" w:after="80"/>
      </w:pPr>
      <w:r>
        <w:rPr>
          <w:i/>
          <w:sz w:val="20"/>
        </w:rPr>
        <w:t>EN: The 1820 Mallorca plague was not a classic bubonic outbreak</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64">
        <w:r>
          <w:rPr>
            <w:color w:val="1155CC"/>
            <w:u w:val="single"/>
          </w:rPr>
          <w:t>10.1073/pnas.2536892123</w:t>
        </w:r>
      </w:hyperlink>
    </w:p>
    <w:p>
      <w:pPr>
        <w:spacing w:before="0" w:after="120"/>
      </w:pPr>
      <w:r>
        <w:rPr>
          <w:b/>
        </w:rPr>
        <w:t xml:space="preserve">Notes: </w:t>
      </w:r>
      <w:r>
        <w:t>abstract_source=crossref</w:t>
      </w:r>
    </w:p>
    <w:p>
      <w:pPr>
        <w:spacing w:before="0" w:after="80" w:lineRule="auto" w:line="276"/>
      </w:pPr>
      <w:r>
        <w:rPr>
          <w:b/>
        </w:rPr>
        <w:t xml:space="preserve">摘要（ZH）: </w:t>
      </w:r>
      <w:r>
        <w:t>1820 年马略卡岛东部爆发的鼠疫长期以来被视为局部事件，传统上被归类为第二次鼠疫大流行的晚期腺鼠疫表现，为在细菌学背景下重新评估传播动态提供了独特的机会。使用以前未经检查的主要来源（包括每日死亡人数），我们将历史分析与贝叶斯流行病学模型相结合来估计基本再生数（</w:t>
      </w:r>
      <w:r>
        <w:t xml:space="preserve"> </w:t>
      </w:r>
      <w:r>
        <w:t>右</w:t>
      </w:r>
      <w:r>
        <w:rPr>
          <w:vertAlign w:val="subscript"/>
        </w:rPr>
        <w:t>0</w:t>
      </w:r>
      <w:r>
        <w:t xml:space="preserve"> </w:t>
      </w:r>
      <w:r>
        <w:t>）、松塞尔韦拉镇和卡普德佩拉镇（西班牙马略卡岛）的平均感染期和病死率。我们的结果显示了两个城镇之间的鲜明对比：Son Servera 表现出更高的传播潜力（</w:t>
      </w:r>
      <w:r>
        <w:t xml:space="preserve"> </w:t>
      </w:r>
      <w:r>
        <w:t>右</w:t>
      </w:r>
      <w:r>
        <w:rPr>
          <w:vertAlign w:val="subscript"/>
        </w:rPr>
        <w:t>0</w:t>
      </w:r>
      <w:r>
        <w:t xml:space="preserve"> </w:t>
      </w:r>
      <w:r>
        <w:t>≈</w:t>
      </w:r>
      <w:r>
        <w:t xml:space="preserve"> </w:t>
      </w:r>
      <w:r>
        <w:t>1.3</w:t>
      </w:r>
      <w:r>
        <w:t xml:space="preserve"> </w:t>
      </w:r>
      <w:r>
        <w:t>）和较长的传染期（</w:t>
      </w:r>
      <w:r>
        <w:t xml:space="preserve"> </w:t>
      </w:r>
      <w:r>
        <w:t>≈</w:t>
      </w:r>
      <w:r>
        <w:t xml:space="preserve"> </w:t>
      </w:r>
      <w:r>
        <w:t>2.8 d) 比卡普德佩拉 (</w:t>
      </w:r>
      <w:r>
        <w:t xml:space="preserve"> </w:t>
      </w:r>
      <w:r>
        <w:t>右</w:t>
      </w:r>
      <w:r>
        <w:rPr>
          <w:vertAlign w:val="subscript"/>
        </w:rPr>
        <w:t>0</w:t>
      </w:r>
    </w:p>
    <w:p>
      <w:pPr>
        <w:spacing w:before="0" w:after="200" w:lineRule="auto" w:line="276"/>
      </w:pPr>
      <w:r>
        <w:rPr>
          <w:b/>
        </w:rPr>
        <w:t xml:space="preserve">Abstract (EN): </w:t>
      </w:r>
      <w:r>
        <w:t>The 1820 plague outbreak in eastern Mallorca—long treated as a local episode and traditionally classified as a late bubonic manifestation of the Second Plague Pandemic—offers a unique opportunity to reassess transmission dynamics in a prebacteriological context. Using a previously unexamined primary source consisting of daily counts of deaths, we combine historical analysis with a Bayesian epidemiological model to estimate the basic reproduction number (</w:t>
      </w:r>
      <w:r>
        <w:t xml:space="preserve"> </w:t>
      </w:r>
      <w:r>
        <w:t>R</w:t>
      </w:r>
      <w:r>
        <w:rPr>
          <w:vertAlign w:val="subscript"/>
        </w:rPr>
        <w:t>0</w:t>
      </w:r>
      <w:r>
        <w:t xml:space="preserve"> </w:t>
      </w:r>
      <w:r>
        <w:t>), the mean infectious period, and the case-fatality ratio in the towns of Son Servera and Capdepera (Mallorca, Spain). Our results show stark contrasts between the two towns: Son Servera exhibited a higher transmission potential (</w:t>
      </w:r>
      <w:r>
        <w:t xml:space="preserve"> </w:t>
      </w:r>
      <w:r>
        <w:t>R</w:t>
      </w:r>
      <w:r>
        <w:rPr>
          <w:vertAlign w:val="subscript"/>
        </w:rPr>
        <w:t>0</w:t>
      </w:r>
      <w:r>
        <w:t xml:space="preserve"> </w:t>
      </w:r>
      <w:r>
        <w:t>≈</w:t>
      </w:r>
      <w:r>
        <w:t xml:space="preserve"> </w:t>
      </w:r>
      <w:r>
        <w:t>1.3</w:t>
      </w:r>
      <w:r>
        <w:t xml:space="preserve"> </w:t>
      </w:r>
      <w:r>
        <w:t>) and longer infectious period (</w:t>
      </w:r>
      <w:r>
        <w:t xml:space="preserve"> </w:t>
      </w:r>
      <w:r>
        <w:t>≈</w:t>
      </w:r>
      <w:r>
        <w:t xml:space="preserve"> </w:t>
      </w:r>
      <w:r>
        <w:t>2.8 d) than Capdepera (</w:t>
      </w:r>
      <w:r>
        <w:t xml:space="preserve"> </w:t>
      </w:r>
      <w:r>
        <w:t>R</w:t>
      </w:r>
      <w:r>
        <w:rPr>
          <w:vertAlign w:val="subscript"/>
        </w:rPr>
        <w:t>0</w:t>
      </w:r>
      <w:r>
        <w:t xml:space="preserve"> </w:t>
      </w:r>
      <w:r>
        <w:t>≈</w:t>
      </w:r>
      <w:r>
        <w:t xml:space="preserve"> </w:t>
      </w:r>
      <w:r>
        <w:t>1.0</w:t>
      </w:r>
      <w:r>
        <w:t xml:space="preserve"> </w:t>
      </w:r>
      <w:r>
        <w:t>;</w:t>
      </w:r>
      <w:r>
        <w:t xml:space="preserve"> </w:t>
      </w:r>
      <w:r>
        <w:t>≈</w:t>
      </w:r>
      <w:r>
        <w:t xml:space="preserve"> </w:t>
      </w:r>
      <w:r>
        <w:t>2.0 d). The overall case-fatality rate of 78%—together with short infectious periods and historical descriptions of rapid clinical decline—strongly suggests that pneumonic and septicemic forms contributed substantially to transmission, challenging earlier interpretations centered on bubonic plague and rodent-borne spread. Historical evidence also rules out an enzootic rat reservoir, pointing instead to human ectoparasites or direct human-to-human routes as the most likely drivers. Moreover, mortality among children increased significantly during the outbreak, indicating age-differentiated vulnerability. By integrating quantitative modeling with fine-grained archival records, this study reassesses the biological nature of one of the last major plagues in 19th-century western Europe and contributes to broader debates on plague ecology, transmission mechanisms, and the dynamics of late Second Pandemic outbreaks.</w:t>
      </w:r>
    </w:p>
    <w:p>
      <w:pPr>
        <w:spacing w:before="120" w:after="120"/>
      </w:pPr>
      <w:r>
        <w:rPr>
          <w:sz w:val="18"/>
        </w:rPr>
        <w:t>——————————————————————————————————————————————————————————————————————</w:t>
      </w:r>
    </w:p>
    <w:p>
      <w:pPr>
        <w:spacing w:before="160" w:after="40" w:line="240" w:lineRule="auto"/>
      </w:pPr>
      <w:r>
        <w:rPr>
          <w:b/>
        </w:rPr>
        <w:t xml:space="preserve">[262] </w:t>
      </w:r>
      <w:hyperlink r:id="rId1065">
        <w:r>
          <w:rPr>
            <w:color w:val="1155CC"/>
            <w:u w:val="single"/>
          </w:rPr>
          <w:t>水星地壳磁化强度的分布和起源</w:t>
        </w:r>
      </w:hyperlink>
    </w:p>
    <w:p>
      <w:pPr>
        <w:spacing w:before="0" w:after="80"/>
      </w:pPr>
      <w:r>
        <w:rPr>
          <w:i/>
          <w:sz w:val="20"/>
        </w:rPr>
        <w:t>EN: The distribution and origin of Mercury’s crustal magnetization</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66">
        <w:r>
          <w:rPr>
            <w:color w:val="1155CC"/>
            <w:u w:val="single"/>
          </w:rPr>
          <w:t>10.1073/pnas.2535723123</w:t>
        </w:r>
      </w:hyperlink>
    </w:p>
    <w:p>
      <w:pPr>
        <w:spacing w:before="0" w:after="120"/>
      </w:pPr>
      <w:r>
        <w:rPr>
          <w:b/>
        </w:rPr>
        <w:t xml:space="preserve">Notes: </w:t>
      </w:r>
      <w:r>
        <w:t>abstract_source=crossref</w:t>
      </w:r>
    </w:p>
    <w:p>
      <w:pPr>
        <w:spacing w:before="0" w:after="80" w:lineRule="auto" w:line="276"/>
      </w:pPr>
      <w:r>
        <w:rPr>
          <w:b/>
        </w:rPr>
        <w:t xml:space="preserve">摘要（ZH）: </w:t>
      </w:r>
      <w:r>
        <w:t>水星是除地球之外唯一同时拥有由核心发电机产生的全球磁场和由磁化岩石产生的地壳磁场的行星。地壳场提供了行星内部状态和演化的独特记录，因为磁化强度取决于磁化场和存在的磁性矿物。水星尚未解决的一个主要问题是当前（感应）磁化强度和远古（剩余）磁化强度的相对贡献——两者都是预期的，但很难分开。前者可以阐明地壳铁含量和/或磁性矿物性质的变化，后者可以限制发电机历史。在这里，我们利用水星、表面、空间环境、地球化学和测距任务的地壳现场观测来开发水星北纬地区的磁化模型。我们利用地壳厚度、磁性矿物学、铁含量和当今核心磁场的限制来评估感应磁化强度的预期强度。我们发现这些可以充分解释在大多数地方以及在一些通过撞击传递的铁磁化更强的陨石坑中观察到的地壳场。最强的地壳磁场，特别是在卡洛里斯，需要剩余磁化强度和/或不寻常的磁性矿物特性的贡献。我们的结果提供了对外源和内源地壳铁含量横向变化的限制。他们还强调了有关水星地壳磁性的知识差距，特别是其磁化率，这具有至关重要的影响</w:t>
      </w:r>
    </w:p>
    <w:p>
      <w:pPr>
        <w:spacing w:before="0" w:after="200" w:lineRule="auto" w:line="276"/>
      </w:pPr>
      <w:r>
        <w:rPr>
          <w:b/>
        </w:rPr>
        <w:t xml:space="preserve">Abstract (EN): </w:t>
      </w:r>
      <w:r>
        <w:t>Mercury is the only planet other than Earth to possess both a global magnetic field that arises from a core dynamo, and a crustal magnetic field that arises from magnetized rocks. Crustal fields provide unique records of a planet’s interior state and evolution because magnetizations depend on the magnetizing field and the magnetic minerals present. A major unresolved issue for Mercury is the relative contributions of present-day (induced) and ancient (remanent) magnetizations—both are expected but are difficult to separate. The former can elucidate variations in crustal iron content and/or magnetic mineral properties, the latter can constrain the dynamo history. Here, we use crustal field observations from the MErcury, Surface, Space ENvironment, GEochemistry and Ranging mission to develop a magnetization model for Mercury’s northern latitudes. We use constraints on crustal thickness, magnetic mineralogy, iron content, and the present-day core field to assess the expected magnitudes of induced magnetizations. We find that these can fully explain the observed crustal fields at most places, and at some more strongly magnetized craters through impact-delivered iron. The strongest crustal fields, especially at Caloris, require a contribution from remanent magnetization and/or unusual magnetic mineral properties. Our results provide constraints on lateral variations in crustal iron content of both exogenic and endogenic origin. They also highlight a knowledge gap regarding the magnetic properties of Mercury’s crust, specifically its magnetic susceptibility, that has critical implications for understanding whether even the strongest magnetizations can elucidate Mercury’s dynamo history.</w:t>
      </w:r>
    </w:p>
    <w:p>
      <w:pPr>
        <w:spacing w:before="120" w:after="120"/>
      </w:pPr>
      <w:r>
        <w:rPr>
          <w:sz w:val="18"/>
        </w:rPr>
        <w:t>——————————————————————————————————————————————————————————————————————</w:t>
      </w:r>
    </w:p>
    <w:p>
      <w:pPr>
        <w:spacing w:before="160" w:after="40" w:line="240" w:lineRule="auto"/>
      </w:pPr>
      <w:r>
        <w:rPr>
          <w:b/>
        </w:rPr>
        <w:t xml:space="preserve">[263] </w:t>
      </w:r>
      <w:hyperlink r:id="rId1067">
        <w:r>
          <w:rPr>
            <w:color w:val="1155CC"/>
            <w:u w:val="single"/>
          </w:rPr>
          <w:t>从帕洛马斯和德德里耶骨盆深入了解尼安德特人的发育、分娩和运动</w:t>
        </w:r>
      </w:hyperlink>
    </w:p>
    <w:p>
      <w:pPr>
        <w:spacing w:before="0" w:after="80"/>
      </w:pPr>
      <w:r>
        <w:rPr>
          <w:i/>
          <w:sz w:val="20"/>
        </w:rPr>
        <w:t>EN: Insights into Neanderthal development, childbirth, and locomotion from the Palomas and Dederiyeh pelves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68">
        <w:r>
          <w:rPr>
            <w:color w:val="1155CC"/>
            <w:u w:val="single"/>
          </w:rPr>
          <w:t>10.1073/pnas.2535303123</w:t>
        </w:r>
      </w:hyperlink>
    </w:p>
    <w:p>
      <w:pPr>
        <w:spacing w:before="0" w:after="120"/>
      </w:pPr>
      <w:r>
        <w:rPr>
          <w:b/>
        </w:rPr>
        <w:t xml:space="preserve">Notes: </w:t>
      </w:r>
      <w:r>
        <w:t>abstract_source=crossref</w:t>
      </w:r>
    </w:p>
    <w:p>
      <w:pPr>
        <w:spacing w:before="0" w:after="80" w:lineRule="auto" w:line="276"/>
      </w:pPr>
      <w:r>
        <w:rPr>
          <w:b/>
        </w:rPr>
        <w:t xml:space="preserve">摘要（ZH）: </w:t>
      </w:r>
      <w:r>
        <w:t>人类骨盆反映了分娩、双足运动以及骨盆底稳定性和体温调节等其他因素之间的进化妥协。然而，有限的化石证据阻碍了人们对这些因素如何塑造尼安德特人（我们最近灭绝的亲戚）骨盆形态的理解。在这里，我们展示了来自 Sima de las Palomas del Cabezo Gordo（西班牙）和 Dederiyeh Cave（叙利亚）的几乎完整的尼安德特人骨盆的新虚拟重建和形态测量分析，并将它们与其他尼安德特人和现代人类进行了比较。我们发现尼安德特人和人类的骨盆从幼年起就在整体形状上有所不同，但与人类具有相似的性别二态性模式。与分娩相关的骨盆区域表现出类似的功能形态，表明相似的分娩机制。相反，与运动相关的特征，例如髋关节方向和肌肉力臂几何形状不同，表明不同的姿势和步态适应。我们的研究结果与以下假设一致：传统上被视为“产科困境”的进化限制可能涉及分娩和盆底稳定性之间的权衡，而不是分娩和运动能力之间的权衡。</w:t>
      </w:r>
    </w:p>
    <w:p>
      <w:pPr>
        <w:spacing w:before="0" w:after="200" w:lineRule="auto" w:line="276"/>
      </w:pPr>
      <w:r>
        <w:rPr>
          <w:b/>
        </w:rPr>
        <w:t xml:space="preserve">Abstract (EN): </w:t>
      </w:r>
      <w:r>
        <w:t>The human pelvis reflects evolutionary compromises among childbirth, bipedal locomotion, and other factors such as pelvic floor stability and thermoregulation. However, limited fossil evidence has hindered understanding of how these factors shaped pelvic morphology in Neanderthals, our closest extinct relatives. Here, we present new virtual reconstructions and morphometric analyses of nearly complete Neanderthal pelves from Sima de las Palomas del Cabezo Gordo (Spain) and Dederiyeh Cave (Syria), comparing them with other Neanderthals and modern humans. We find that Neanderthal and human pelves differ in overall shape from an early age but share similar sexual dimorphism patterns with humans. Pelvic regions associated with childbirth exhibit comparable functional morphology, suggesting similar birth mechanisms. Conversely, locomotor-related features such as hip joint orientation and muscle moment arm geometry differ, indicating distinct stance and gait adaptations. Our findings are consistent with the hypothesis that evolutionary constraints traditionally framed as an “obstetrical dilemma” may have involved a trade-off between childbirth and pelvic floor stability, rather than between childbirth and locomotor performance.</w:t>
      </w:r>
    </w:p>
    <w:p>
      <w:pPr>
        <w:spacing w:before="120" w:after="120"/>
      </w:pPr>
      <w:r>
        <w:rPr>
          <w:sz w:val="18"/>
        </w:rPr>
        <w:t>——————————————————————————————————————————————————————————————————————</w:t>
      </w:r>
    </w:p>
    <w:p>
      <w:pPr>
        <w:spacing w:before="160" w:after="40" w:line="240" w:lineRule="auto"/>
      </w:pPr>
      <w:r>
        <w:rPr>
          <w:b/>
        </w:rPr>
        <w:t xml:space="preserve">[264] </w:t>
      </w:r>
      <w:hyperlink r:id="rId1069">
        <w:r>
          <w:rPr>
            <w:color w:val="1155CC"/>
            <w:u w:val="single"/>
          </w:rPr>
          <w:t>非晶固体中玻色子峰的平带视角</w:t>
        </w:r>
      </w:hyperlink>
    </w:p>
    <w:p>
      <w:pPr>
        <w:spacing w:before="0" w:after="80"/>
      </w:pPr>
      <w:r>
        <w:rPr>
          <w:i/>
          <w:sz w:val="20"/>
        </w:rPr>
        <w:t>EN: A flat-band perspective on the boson peak in amorphous solids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70">
        <w:r>
          <w:rPr>
            <w:color w:val="1155CC"/>
            <w:u w:val="single"/>
          </w:rPr>
          <w:t>10.1073/pnas.2534361123</w:t>
        </w:r>
      </w:hyperlink>
    </w:p>
    <w:p>
      <w:pPr>
        <w:spacing w:before="0" w:after="120"/>
      </w:pPr>
      <w:r>
        <w:rPr>
          <w:b/>
        </w:rPr>
        <w:t xml:space="preserve">Notes: </w:t>
      </w:r>
      <w:r>
        <w:t>abstract_source=crossref</w:t>
      </w:r>
    </w:p>
    <w:p>
      <w:pPr>
        <w:spacing w:before="0" w:after="80" w:lineRule="auto" w:line="276"/>
      </w:pPr>
      <w:r>
        <w:rPr>
          <w:b/>
        </w:rPr>
        <w:t xml:space="preserve">摘要（ZH）: </w:t>
      </w:r>
      <w:r>
        <w:t>玻色子峰是非晶固体的一种特征异常，广泛定义为与德拜理论的教科书预测相比，态密度和热容的低能量过剩。这种异常现象的起源长期以来一直是争论的焦点，并且仍然是一个活跃的争议话题。我们提出，玻色子峰可能具有一个定义的动力学特征：振动谱权重在窄频率窗口内的累积，仅微弱地依赖于波矢量。从这个角度来看，玻色子峰反映了动态结构因子中的平坦或弱色散带，而不是传播激发。我们通过这个镜头重新审视文献中的实验和模拟数据，并在 2D 和 3D 非晶系统中进行进一步的模拟。总而言之，这些分析为这种解释提供了令人信服的聚合证据，并极大地限制了玻色子峰值的可行理论描述的空间。</w:t>
      </w:r>
    </w:p>
    <w:p>
      <w:pPr>
        <w:spacing w:before="0" w:after="200" w:lineRule="auto" w:line="276"/>
      </w:pPr>
      <w:r>
        <w:rPr>
          <w:b/>
        </w:rPr>
        <w:t xml:space="preserve">Abstract (EN): </w:t>
      </w:r>
      <w:r>
        <w:t>The boson peak is a characteristic anomaly of amorphous solids broadly defined as a low-energy excess in the density of states and heat capacity compared to the textbook predictions of Debye theory. The origin of this anomaly has long been the subject of ongoing debate and remains a topic of active controversy. We propose that the boson peak may have a defining dynamical feature: the accumulation of vibrational spectral weight within a narrow frequency window that is only weakly dependent on wavevector. In this perspective, the boson peak reflects a flat or weakly dispersive band in the dynamical structure factor rather than a propagating excitation. We revisit both experimental and simulation data from the literature through this lens and conduct further simulations in 2D and 3D amorphous systems. Taken together, these analyses provide compelling converging evidence for this interpretation and sharply constrain the space of viable theoretical descriptions of the boson peak.</w:t>
      </w:r>
    </w:p>
    <w:p>
      <w:pPr>
        <w:spacing w:before="120" w:after="120"/>
      </w:pPr>
      <w:r>
        <w:rPr>
          <w:sz w:val="18"/>
        </w:rPr>
        <w:t>——————————————————————————————————————————————————————————————————————</w:t>
      </w:r>
    </w:p>
    <w:p>
      <w:pPr>
        <w:spacing w:before="160" w:after="40" w:line="240" w:lineRule="auto"/>
      </w:pPr>
      <w:r>
        <w:rPr>
          <w:b/>
        </w:rPr>
        <w:t xml:space="preserve">[265] </w:t>
      </w:r>
      <w:hyperlink r:id="rId1071">
        <w:r>
          <w:rPr>
            <w:color w:val="1155CC"/>
            <w:u w:val="single"/>
          </w:rPr>
          <w:t>慢性心理社会压力：大鼠和人类睡眠呼吸暂停发作的主要驱动因素</w:t>
        </w:r>
      </w:hyperlink>
    </w:p>
    <w:p>
      <w:pPr>
        <w:spacing w:before="0" w:after="80"/>
      </w:pPr>
      <w:r>
        <w:rPr>
          <w:i/>
          <w:sz w:val="20"/>
        </w:rPr>
        <w:t>EN: Chronic psychosocial stress: A primary driver of sleep apnea onset in rats and humans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72">
        <w:r>
          <w:rPr>
            <w:color w:val="1155CC"/>
            <w:u w:val="single"/>
          </w:rPr>
          <w:t>10.1073/pnas.2527702123</w:t>
        </w:r>
      </w:hyperlink>
    </w:p>
    <w:p>
      <w:pPr>
        <w:spacing w:before="0" w:after="120"/>
      </w:pPr>
      <w:r>
        <w:rPr>
          <w:b/>
        </w:rPr>
        <w:t xml:space="preserve">Notes: </w:t>
      </w:r>
      <w:r>
        <w:t>abstract_source=crossref</w:t>
      </w:r>
    </w:p>
    <w:p>
      <w:pPr>
        <w:spacing w:before="0" w:after="80" w:lineRule="auto" w:line="276"/>
      </w:pPr>
      <w:r>
        <w:rPr>
          <w:b/>
        </w:rPr>
        <w:t xml:space="preserve">摘要（ZH）: </w:t>
      </w:r>
      <w:r>
        <w:t>睡眠质量差和慢性社会心理压力是高血压、代谢性疾病和神经精神疾病的相互关联的危险因素。睡眠呼吸暂停 (SA) 是一种扰乱睡眠的呼吸系统疾病，影响着全球约 10 亿成年人。然而，SA 的起源仍不完全清楚。临床上，应激通路的激活通常被认为是 SA 的结果，而不是因果因素。在这里，我们将临床前实验与孟德尔随机化 (MR) 分析相结合，表明慢性心理社会压力是 SA 发作的主要驱动因素。在成年大鼠中，3周的社会隔离（SI；单一住房）激活了应激反应，增强了自然睡眠期间的呼吸暂停，并增加了对氧气的通气反应</w:t>
      </w:r>
      <w:r>
        <w:rPr>
          <w:vertAlign w:val="subscript"/>
        </w:rPr>
        <w:t>2</w:t>
      </w:r>
      <w:r>
        <w:t>和二氧化碳</w:t>
      </w:r>
      <w:r>
        <w:rPr>
          <w:vertAlign w:val="subscript"/>
        </w:rPr>
        <w:t>2</w:t>
      </w:r>
      <w:r>
        <w:t>挑战。仰卧麻醉大鼠中，O2 导致阻塞性呼吸暂停</w:t>
      </w:r>
      <w:r>
        <w:rPr>
          <w:vertAlign w:val="subscript"/>
        </w:rPr>
        <w:t>2</w:t>
      </w:r>
      <w:r>
        <w:t>SI 男性的去饱和频率是对照组的 5 倍，但对女性没有影响。气道运动控制中与 SI 相关的异常会导致该问题。 SI 还会导致血压升高和脂肪增加，尤其是男性。在人类中，使用来自欧洲队列（约 100,000 至 1,096,458 名参与者）的多种压力相关神经系统疾病的全基因组关联研究的 MR 分析揭示了孤独对 SA 风险的显着影响，与肥胖无关。总之，这些结果挑战了传统观点，即压力仅仅是 SA 的结果，而是将其定位为一种</w:t>
      </w:r>
    </w:p>
    <w:p>
      <w:pPr>
        <w:spacing w:before="0" w:after="200" w:lineRule="auto" w:line="276"/>
      </w:pPr>
      <w:r>
        <w:rPr>
          <w:b/>
        </w:rPr>
        <w:t xml:space="preserve">Abstract (EN): </w:t>
      </w:r>
      <w:r>
        <w:t>Poor sleep quality and chronic psychosocial stress are interrelated risk factors for hypertension, metabolic disease, and neuropsychiatric disorders. Sleep apnea (SA) is a respiratory disorder that disrupts sleep, affecting ~1 billion adults worldwide. However, the origins of SA remain incompletely understood. Clinically, activation of the stress pathways is often considered a consequence of SA rather than a causal factor. Here, we combined preclinical experiments with Mendelian randomization (MR) analysis to show that chronic psychosocial stress is a primary driver of SA onset. In adult rats, 3 wk of social isolation (SI; single housing) activated the stress response, augmented apneas during natural sleep, and increased the ventilatory responses to O</w:t>
      </w:r>
      <w:r>
        <w:rPr>
          <w:vertAlign w:val="subscript"/>
        </w:rPr>
        <w:t>2</w:t>
      </w:r>
      <w:r>
        <w:t>and CO</w:t>
      </w:r>
      <w:r>
        <w:rPr>
          <w:vertAlign w:val="subscript"/>
        </w:rPr>
        <w:t>2</w:t>
      </w:r>
      <w:r>
        <w:t>challenges. In supine anesthetized rats, obstructive apneas with O</w:t>
      </w:r>
      <w:r>
        <w:rPr>
          <w:vertAlign w:val="subscript"/>
        </w:rPr>
        <w:t>2</w:t>
      </w:r>
      <w:r>
        <w:t>desaturations were 5 times more frequent in SI males than in controls, with no effect in females. SI-related anomalies in airway motor control contribute to the problem. SI also induced increased blood pressure and augmented fat gain, especially in males. In humans, MR analysis using genome-wide association studies of multiple stress-related neurological disorders from European cohorts (~100,000 to 1,096,458 participants) revealed significant effects of loneliness on the risk of SA, independent of adiposity. Together, these results challenge the conventional view of stress as merely a consequence of SA and instead position it as a possible cause. These results open the door to a paradigm shift, recognizing psychosocial stress as a risk factor paves the way for alternative avenues in basic mechanistic research, as well as in preventive and therapeutic strategies.</w:t>
      </w:r>
    </w:p>
    <w:p>
      <w:pPr>
        <w:spacing w:before="120" w:after="120"/>
      </w:pPr>
      <w:r>
        <w:rPr>
          <w:sz w:val="18"/>
        </w:rPr>
        <w:t>——————————————————————————————————————————————————————————————————————</w:t>
      </w:r>
    </w:p>
    <w:p>
      <w:pPr>
        <w:spacing w:before="160" w:after="40" w:line="240" w:lineRule="auto"/>
      </w:pPr>
      <w:r>
        <w:rPr>
          <w:b/>
        </w:rPr>
        <w:t xml:space="preserve">[266] </w:t>
      </w:r>
      <w:hyperlink r:id="rId1073">
        <w:r>
          <w:rPr>
            <w:color w:val="1155CC"/>
            <w:u w:val="single"/>
          </w:rPr>
          <w:t>小热激蛋白在恰加斯病媒介中克氏锥虫感染和肠道稳态​​中的作用</w:t>
        </w:r>
      </w:hyperlink>
    </w:p>
    <w:p>
      <w:pPr>
        <w:spacing w:before="0" w:after="80"/>
      </w:pPr>
      <w:r>
        <w:rPr>
          <w:i/>
          <w:sz w:val="20"/>
        </w:rPr>
        <w:t>EN: The role of small Heat Shock Proteins in Trypanosoma cruzi infection and intestinal homeostasis in a Chagas disease vector</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74">
        <w:r>
          <w:rPr>
            <w:color w:val="1155CC"/>
            <w:u w:val="single"/>
          </w:rPr>
          <w:t>10.1073/pnas.2600647123</w:t>
        </w:r>
      </w:hyperlink>
    </w:p>
    <w:p>
      <w:pPr>
        <w:spacing w:before="0" w:after="120"/>
      </w:pPr>
      <w:r>
        <w:rPr>
          <w:b/>
        </w:rPr>
        <w:t xml:space="preserve">Notes: </w:t>
      </w:r>
      <w:r>
        <w:t>abstract_source=crossref</w:t>
      </w:r>
    </w:p>
    <w:p>
      <w:pPr>
        <w:spacing w:before="0" w:after="80" w:lineRule="auto" w:line="276"/>
      </w:pPr>
      <w:r>
        <w:rPr>
          <w:b/>
        </w:rPr>
        <w:t xml:space="preserve">摘要（ZH）: </w:t>
      </w:r>
      <w:r>
        <w:t>长叶红鹬</w:t>
      </w:r>
      <w:r>
        <w:t xml:space="preserve"> </w:t>
      </w:r>
      <w:r>
        <w:t>恰加斯病的昆虫媒介，摄入的血粉是自身体重的几倍。这种营养超载会引发特定的适应性反应，从而预防或修复多种压力源造成的损害，包括氧化、渗透和微生物挑战。一龄若虫消化器官的转录组分析显示，小热休克蛋白（sHSP）家族的五个成员在吸血后高表达，但在吸血后下调。</w:t>
      </w:r>
      <w:r>
        <w:t xml:space="preserve"> </w:t>
      </w:r>
      <w:r>
        <w:t>克氏锥虫</w:t>
      </w:r>
      <w:r>
        <w:t xml:space="preserve"> </w:t>
      </w:r>
      <w:r>
        <w:t>感染。 sHSP 是参与细胞稳态和应激反应的蛋白质。同时敲除所有 5 个 sHSP 会严重破坏昆虫的生理机能，导致肌动蛋白丝网络形成减少、蠕动中断、内质网 (ER) 扩张受阻、ER 与线粒体关联减少，同时增加活性氧的产生并诱导上皮细胞过早有丝分裂。锥虫感染再现了消化器官稳态的明显丧失，相反，受感染昆虫中 sHSP 的沉默增加了寄生虫数量。综上所述，我们的数据揭示了 sHSP 在吸血后中肠细胞稳态中的重要作用，并支持以下假设：sHSP 表达下调代表寄生虫对昆虫宿主的适应性操纵。</w:t>
      </w:r>
    </w:p>
    <w:p>
      <w:pPr>
        <w:spacing w:before="0" w:after="200" w:lineRule="auto" w:line="276"/>
      </w:pPr>
      <w:r>
        <w:rPr>
          <w:b/>
        </w:rPr>
        <w:t xml:space="preserve">Abstract (EN): </w:t>
      </w:r>
      <w:r>
        <w:t>Rhodnius prolixus</w:t>
      </w:r>
      <w:r>
        <w:t xml:space="preserve"> </w:t>
      </w:r>
      <w:r>
        <w:t>, an insect vector of Chagas disease, ingests blood meals several-fold its own body weight. This nutritional overload triggers specific adaptive responses that prevent or remediate damage from multiple stressors, including oxidative, osmotic, and microbial challenges. Transcriptomic analysis of first-instar nymph digestive apparatus revealed five members of the small Heat Shock Protein (sHSP) family that were highly expressed after blood meals but were downregulated upon</w:t>
      </w:r>
      <w:r>
        <w:t xml:space="preserve"> </w:t>
      </w:r>
      <w:r>
        <w:t>Trypanosoma cruzi</w:t>
      </w:r>
      <w:r>
        <w:t xml:space="preserve"> </w:t>
      </w:r>
      <w:r>
        <w:t>infection. sHSPs are proteins involved in cellular homeostasis and stress responses. Simultaneous knockdown of all five sHSPs profoundly disrupted insect physiology, causing decreased actin filament network formation, interrupted peristalsis, blocked endoplasmic reticulum (ER) expansion, and reduced ER–mitochondria association, while increasing reactive oxygen species generation and inducing premature epithelial cell mitosis. This apparent loss of digestive apparatus homeostasis was recapitulated by trypanosome infection and, conversely, sHSPs silencing in infected insects increased parasite numbers. Taken together, our data reveal a paramount role for sHSPs in midgut cell homeostasis following blood meals and support the hypothesis that sHSPs expression down regulation represents an adaptive manipulation of the insect host by the parasite.</w:t>
      </w:r>
    </w:p>
    <w:p>
      <w:pPr>
        <w:spacing w:before="120" w:after="120"/>
      </w:pPr>
      <w:r>
        <w:rPr>
          <w:sz w:val="18"/>
        </w:rPr>
        <w:t>——————————————————————————————————————————————————————————————————————</w:t>
      </w:r>
    </w:p>
    <w:p>
      <w:pPr>
        <w:spacing w:before="160" w:after="40" w:line="240" w:lineRule="auto"/>
      </w:pPr>
      <w:r>
        <w:rPr>
          <w:b/>
        </w:rPr>
        <w:t xml:space="preserve">[267] </w:t>
      </w:r>
      <w:hyperlink r:id="rId1075">
        <w:r>
          <w:rPr>
            <w:color w:val="1155CC"/>
            <w:u w:val="single"/>
          </w:rPr>
          <w:t>黑猩猩（Pan troglodytes）中央前回形态与特定模式意向交流之间的关联</w:t>
        </w:r>
      </w:hyperlink>
    </w:p>
    <w:p>
      <w:pPr>
        <w:spacing w:before="0" w:after="80"/>
      </w:pPr>
      <w:r>
        <w:rPr>
          <w:i/>
          <w:sz w:val="20"/>
        </w:rPr>
        <w:t>EN: Association between precentral gyrus morphology and modality-specific intentional communication in chimpanzees (Pan troglodytes)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76">
        <w:r>
          <w:rPr>
            <w:color w:val="1155CC"/>
            <w:u w:val="single"/>
          </w:rPr>
          <w:t>10.1073/pnas.2419514123</w:t>
        </w:r>
      </w:hyperlink>
    </w:p>
    <w:p>
      <w:pPr>
        <w:spacing w:before="0" w:after="120"/>
      </w:pPr>
      <w:r>
        <w:rPr>
          <w:b/>
        </w:rPr>
        <w:t xml:space="preserve">Notes: </w:t>
      </w:r>
      <w:r>
        <w:t>abstract_source=crossref</w:t>
      </w:r>
    </w:p>
    <w:p>
      <w:pPr>
        <w:spacing w:before="0" w:after="80" w:lineRule="auto" w:line="276"/>
      </w:pPr>
      <w:r>
        <w:rPr>
          <w:b/>
        </w:rPr>
        <w:t xml:space="preserve">摘要（ZH）: </w:t>
      </w:r>
      <w:r>
        <w:t>中央前回 (preCG) 在形态上由中央沟 (CS) 后部和上、下中央前沟 (preCS) 定义。沿背腹平面刺激前CG会以地形方式引起全身运动激活。在这项研究中，我们使用后图像分析来表征黑猩猩 278 幅磁共振图像扫描样本中 CS 和 preCS 的形状。利用这些数据，我们最初描述了六种最突出的 preCG 形状变异、它们的不对称性和遗传性。我们还测试了它们与选择性使用以声音和手动方式产生的引起注意的交流行为的关联。观察到 preCG 变异与声音交流（而非手动交流）之间存在关联。声音交流与左半球的下前CG形状显着相关。相比之下，CS 变体中没有发现关联。我们还发现三种 preCG 形状模式具有适度的遗传性，但与声音意向交流没有显着的遗传相关性。我们的结果表明，更好地选择性地使用用于有意交流的引起注意的声音与下前CG内的独特形态标志相关。</w:t>
      </w:r>
    </w:p>
    <w:p>
      <w:pPr>
        <w:spacing w:before="0" w:after="200" w:lineRule="auto" w:line="276"/>
      </w:pPr>
      <w:r>
        <w:rPr>
          <w:b/>
        </w:rPr>
        <w:t xml:space="preserve">Abstract (EN): </w:t>
      </w:r>
      <w:r>
        <w:t>The precentral gyrus (preCG) is morphologically defined posteriorly by the central sulcus (CS) and anteriorly by the superior and inferior precentral sulci (preCS). Stimulation of the preCG along the dorsal–ventral plane elicits motor activation across the body in a topographic manner. In this study, we used postimage analyses to characterize the shape of the CS and preCS in a sample of 278 magnetic resonance image scans of chimpanzees. Using these data, we initially described the six most prominent preCG shapes variants, their asymmetries, and heritability. We also tested for their association with selective use of attention-getting communicative behaviors produced in the vocal and manual modalities. Associations were observed between preCG variants and vocal, but not manual, communication. Vocal communication was significantly associated with the inferior preCG shape in the left hemisphere. In contrast, no association was found in CS variants. We also found modest heritability in three of the preCG shape patterns but no significant genetic correlation with vocal intentional communication. Our results suggest that better selective use of a vocal attention-getting sound used for intentional communication is associated with a unique morphological landmark within the inferior preCG.</w:t>
      </w:r>
    </w:p>
    <w:p>
      <w:pPr>
        <w:spacing w:before="120" w:after="120"/>
      </w:pPr>
      <w:r>
        <w:rPr>
          <w:sz w:val="18"/>
        </w:rPr>
        <w:t>——————————————————————————————————————————————————————————————————————</w:t>
      </w:r>
    </w:p>
    <w:p>
      <w:pPr>
        <w:spacing w:before="160" w:after="40" w:line="240" w:lineRule="auto"/>
      </w:pPr>
      <w:r>
        <w:rPr>
          <w:b/>
        </w:rPr>
        <w:t xml:space="preserve">[268] </w:t>
      </w:r>
      <w:hyperlink r:id="rId1077">
        <w:r>
          <w:rPr>
            <w:color w:val="1155CC"/>
            <w:u w:val="single"/>
          </w:rPr>
          <w:t>印度尼西亚东南部 4000 年前的彩绘匾额揭示了南岛绘画传统早于新石器时代陶器</w:t>
        </w:r>
      </w:hyperlink>
    </w:p>
    <w:p>
      <w:pPr>
        <w:spacing w:before="0" w:after="80"/>
      </w:pPr>
      <w:r>
        <w:rPr>
          <w:i/>
          <w:sz w:val="20"/>
        </w:rPr>
        <w:t>EN: 4000-year-old painted plaque from Southeast Indonesia reveals Austronesian Painting Tradition preceded Neolithic pottery</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78">
        <w:r>
          <w:rPr>
            <w:color w:val="1155CC"/>
            <w:u w:val="single"/>
          </w:rPr>
          <w:t>10.1073/pnas.2611580123</w:t>
        </w:r>
      </w:hyperlink>
    </w:p>
    <w:p>
      <w:pPr>
        <w:spacing w:before="0" w:after="120"/>
      </w:pPr>
      <w:r>
        <w:rPr>
          <w:b/>
        </w:rPr>
        <w:t xml:space="preserve">Notes: </w:t>
      </w:r>
      <w:r>
        <w:t>abstract_source=crossref</w:t>
      </w:r>
    </w:p>
    <w:p>
      <w:pPr>
        <w:spacing w:before="0" w:after="80" w:lineRule="auto" w:line="276"/>
      </w:pPr>
      <w:r>
        <w:rPr>
          <w:b/>
        </w:rPr>
        <w:t xml:space="preserve">摘要（ZH）: </w:t>
      </w:r>
      <w:r>
        <w:t>南岛人的迁徙是人类历史上最大规模的此类事件，台湾人的后裔殖民了从拉帕努伊到马达加斯加的岛屿。经济计划或特定意识形态在多大程度上促进了这种分散是不确定的。 “南岛绘画传统”（APT）是一种独特的岩石艺术风格，以在华莱士东部和新几内亚周围岛屿发现的小人物、船只和几何图案的绘画为主。到目前为止，APT 的年龄还没有得到很好的限制，不确定它是否通过早期全新世岛间网络内生出现，是否与最早的南岛移民一起到达，或者是否出现在大约 2,500 年前印度尼西亚金属时代加强的岛间接触期间。在此，我们报告了在马鲁古韦塔岛考古发掘中现场发掘的彩绘石匾的恢复情况。该斑块出现在旧石器时代和新石器时代占领之间的过渡层。它具有经典的“南岛语”红色同心圆和太阳射线图案，可追溯到 4090 年至 3900 年之间。 BP，明显早于该地点和该地区的第一个陶器。这块牌匾的年代较早，位于马鲁古东南部的陶瓷前层中，这支持了这样一种观点，即 APT 具有早期起源，并且南岛人侨民要么受到令人信服的象征意识形态的推动，要么利用了这种意识形态。</w:t>
      </w:r>
    </w:p>
    <w:p>
      <w:pPr>
        <w:spacing w:before="0" w:after="200" w:lineRule="auto" w:line="276"/>
      </w:pPr>
      <w:r>
        <w:rPr>
          <w:b/>
        </w:rPr>
        <w:t xml:space="preserve">Abstract (EN): </w:t>
      </w:r>
      <w:r>
        <w:t>The Austronesian dispersal is the largest such event in human history, with descendants of people from Taiwan colonizing islands from Rapa Nui to Madagascar. The extent to which this dispersal was facilitated by an economic package or a particular ideology is uncertain. The “Austronesian Painting Tradition” (APT) is a distinctive rock art style dominated by paintings of small human figures, boats, and geometric motifs found in eastern Wallacea and islands around New Guinea. The age of the APT is thus far poorly constrained, with uncertainty over whether it appeared endogenously through earlier Holocene interisland networks, if it arrived with the earliest Austronesian migrants, or if it appeared during the intensified interisland contact of the Indonesian Metal Age beginning ~2,500 y ago. Here we report the recovery of a painted stone plaque excavated in situ from archaeological excavation on Wetar Island, Maluku. The plaque occurs in a transitional layer between Paleolithic and Neolithic occupation. It bears a classic “Austronesian” red concentric circle and sun-ray motif and is dated to between 4090 and 3900 cal. BP, significantly earlier than the first pottery at the site and in this region. The early date for this plaque in a preceramic layer and its location in southeast Maluku supports the view that the APT had an early origin, and that the Austronesian diaspora was either propelled by or leveraged a compelling symbolic ideology.</w:t>
      </w:r>
    </w:p>
    <w:p>
      <w:pPr>
        <w:spacing w:before="120" w:after="120"/>
      </w:pPr>
      <w:r>
        <w:rPr>
          <w:sz w:val="18"/>
        </w:rPr>
        <w:t>——————————————————————————————————————————————————————————————————————</w:t>
      </w:r>
    </w:p>
    <w:p>
      <w:pPr>
        <w:spacing w:before="160" w:after="40" w:line="240" w:lineRule="auto"/>
      </w:pPr>
      <w:r>
        <w:rPr>
          <w:b/>
        </w:rPr>
        <w:t xml:space="preserve">[269] </w:t>
      </w:r>
      <w:hyperlink r:id="rId1079">
        <w:r>
          <w:rPr>
            <w:color w:val="1155CC"/>
            <w:u w:val="single"/>
          </w:rPr>
          <w:t>叶绿体膜蛋白是否与细胞核中的 DNA 结合？</w:t>
        </w:r>
      </w:hyperlink>
    </w:p>
    <w:p>
      <w:pPr>
        <w:spacing w:before="0" w:after="80"/>
      </w:pPr>
      <w:r>
        <w:rPr>
          <w:i/>
          <w:sz w:val="20"/>
        </w:rPr>
        <w:t>EN: Does a chloroplast membrane protein bind DNA in the nucleus?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80">
        <w:r>
          <w:rPr>
            <w:color w:val="1155CC"/>
            <w:u w:val="single"/>
          </w:rPr>
          <w:t>10.1073/pnas.2612932123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[270] </w:t>
      </w:r>
      <w:hyperlink r:id="rId1081">
        <w:r>
          <w:rPr>
            <w:color w:val="1155CC"/>
            <w:u w:val="single"/>
          </w:rPr>
          <w:t>黄石国家公园热液景观的冰后生态系统发展</w:t>
        </w:r>
      </w:hyperlink>
    </w:p>
    <w:p>
      <w:pPr>
        <w:spacing w:before="0" w:after="80"/>
      </w:pPr>
      <w:r>
        <w:rPr>
          <w:i/>
          <w:sz w:val="20"/>
        </w:rPr>
        <w:t>EN: Postglacial ecosystem development of a hydrothermal landscape in Yellowstone National Park</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82">
        <w:r>
          <w:rPr>
            <w:color w:val="1155CC"/>
            <w:u w:val="single"/>
          </w:rPr>
          <w:t>10.1073/pnas.2613422123</w:t>
        </w:r>
      </w:hyperlink>
    </w:p>
    <w:p>
      <w:pPr>
        <w:spacing w:before="0" w:after="120"/>
      </w:pPr>
      <w:r>
        <w:rPr>
          <w:b/>
        </w:rPr>
        <w:t xml:space="preserve">Notes: </w:t>
      </w:r>
      <w:r>
        <w:t>abstract_source=crossref</w:t>
      </w:r>
    </w:p>
    <w:p>
      <w:pPr>
        <w:spacing w:before="0" w:after="80" w:lineRule="auto" w:line="276"/>
      </w:pPr>
      <w:r>
        <w:rPr>
          <w:b/>
        </w:rPr>
        <w:t xml:space="preserve">摘要（ZH）: </w:t>
      </w:r>
      <w:r>
        <w:t>黄石地质生态系统一直是许多研究的主题，但黄石高原火山场及其标志性间歇泉盆地的生态历史却鲜为人知。在这项调查中，对下间歇泉盆地湖泊沉积岩芯的古环境分析与区域记录和古气候模型模拟进行了比较，以重建自 15,000 至 14,000 年前冰消期以来的植被、野火、湖沼学、热液动力学和气候驱动因素。来自下间歇泉盆地湖泊的花粉数据揭示了贫瘠的流纹土对植被历史的强烈影响：最初的晚冰期草原在 12.8 至 11.0 ka 期间被黑松森林取代，尽管气候发生了变化，但此后森林组成或覆盖率几乎没有变化。这种稳定性与黄石地区非流纹岩基质上更动态的植被响应形成鲜明对比，黄石地区的养分和水分利用率更高。下间歇泉盆地的野火活动最高且湖泊养分水平较低发生在 12 至 4 ka 期间，此时夏季明显温暖干燥，引发火灾的蒸气压赤字高出 29% 至 56%。根据沉积物中砷和铯的丰度推断，热液历史在空间和时间上都存在变化，但湖泊形成的热液事件与丰富的水分时期一致。因此，野火、湖沼学以及在某种程度上热液活动的长期变化受到日照驱动的气候变化的控制，而植被的反应则受到地质因素的抑制和限制。</w:t>
      </w:r>
    </w:p>
    <w:p>
      <w:pPr>
        <w:spacing w:before="0" w:after="200" w:lineRule="auto" w:line="276"/>
      </w:pPr>
      <w:r>
        <w:rPr>
          <w:b/>
        </w:rPr>
        <w:t xml:space="preserve">Abstract (EN): </w:t>
      </w:r>
      <w:r>
        <w:t>The Yellowstone geo-ecosystem has been the subject of much research, but the ecological history of the Yellowstone Plateau volcanic field and its iconic geyser basins is less known. In this investigation, paleoenvironmental analyses of sediment cores from lakes in Lower Geyser Basin were compared with regional records and paleoclimate model simulations to reconstruct the vegetation, wildfire, limnology, hydrothermal dynamics, and climate drivers since deglaciation, 15,000 to 14,000 years ago. Pollen data from Lower Geyser Basin lakes reveal the strong influence of infertile rhyolitic soils on vegetation history: an initial late-glacial steppe was replaced by lodgepole pine forest from 12.8 to 11.0 ka, with little change in forest composition or cover thereafter despite changing climate. This stability contrasts with the more dynamic vegetation response on nonrhyolite substrates in the Yellowstone region where nutrient and moisture availability is greater. Highest wildfire activity and low lake nutrient levels in Lower Geyser Basin occurred from 12 to 4 ka, when summers were substantially warmer and drier and fire-inducing vapor pressure deficits were 29 to 56% higher. The hydrothermal history, inferred from sedimentary arsenic and cesium abundances, was spatially and temporally variable but lake-forming hydrothermal events align with periods of abundant moisture. Thus, long-term changes in wildfire, limnology, and, to some extent, hydrothermal activity were governed by insolation-driven climate variations, whereas the vegetation response was muted and constrained by geologic processes. These findings suggest that warmer, drier conditions in the future could result in less hydrothermal activity yet little change in forest cover across the Yellowstone Plateau volcanic field despite more wildfires.</w:t>
      </w:r>
    </w:p>
    <w:p>
      <w:pPr>
        <w:spacing w:before="120" w:after="120"/>
      </w:pPr>
      <w:r>
        <w:rPr>
          <w:sz w:val="18"/>
        </w:rPr>
        <w:t>——————————————————————————————————————————————————————————————————————</w:t>
      </w:r>
    </w:p>
    <w:p>
      <w:pPr>
        <w:spacing w:before="160" w:after="40" w:line="240" w:lineRule="auto"/>
      </w:pPr>
      <w:r>
        <w:rPr>
          <w:b/>
        </w:rPr>
        <w:t xml:space="preserve">[271] </w:t>
      </w:r>
      <w:hyperlink r:id="rId1083">
        <w:r>
          <w:rPr>
            <w:color w:val="1155CC"/>
            <w:u w:val="single"/>
          </w:rPr>
          <w:t>摄入塑料会减少澳大利亚海鸟的招募和生存</w:t>
        </w:r>
      </w:hyperlink>
    </w:p>
    <w:p>
      <w:pPr>
        <w:spacing w:before="0" w:after="80"/>
      </w:pPr>
      <w:r>
        <w:rPr>
          <w:i/>
          <w:sz w:val="20"/>
        </w:rPr>
        <w:t>EN: Ingested plastics reduce recruitment and survival of an Australian seabird</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84">
        <w:r>
          <w:rPr>
            <w:color w:val="1155CC"/>
            <w:u w:val="single"/>
          </w:rPr>
          <w:t>10.1073/pnas.2613782123</w:t>
        </w:r>
      </w:hyperlink>
    </w:p>
    <w:p>
      <w:pPr>
        <w:spacing w:before="0" w:after="120"/>
      </w:pPr>
      <w:r>
        <w:rPr>
          <w:b/>
        </w:rPr>
        <w:t xml:space="preserve">Notes: </w:t>
      </w:r>
      <w:r>
        <w:t>abstract_source=crossref</w:t>
      </w:r>
    </w:p>
    <w:p>
      <w:pPr>
        <w:spacing w:before="0" w:after="80" w:lineRule="auto" w:line="276"/>
      </w:pPr>
      <w:r>
        <w:rPr>
          <w:b/>
        </w:rPr>
        <w:t xml:space="preserve">摘要（ZH）: </w:t>
      </w:r>
      <w:r>
        <w:t>塑料研究落后于许多其他环境危机 30 年，其中提到了对任何野生物种的人口影响，但尚未得到证实。应对这一“重大挑战”需要跨越多年可变风险的可靠数据。在这里，我们使用 15 年的标记重新捕获数据来估计塑料对紫貂海鸥人口统计的影响（</w:t>
      </w:r>
      <w:r>
        <w:t xml:space="preserve"> </w:t>
      </w:r>
      <w:r>
        <w:t>紫檀</w:t>
      </w:r>
      <w:r>
        <w:t xml:space="preserve"> </w:t>
      </w:r>
      <w:r>
        <w:t>）。我们发现，摄入 &gt; 1 克塑料的情况很常见，并且与鸟类存活并返回出生岛屿繁殖的概率至少降低 11% 相关，而摄入 &gt; 5 克塑料的鸟类几乎再也没有见过。在前所未有的地球变化和生物多样性崩溃的时代，这些结果为了解塑料在潜在推动物种衰退中的作用提供了急需的见解。</w:t>
      </w:r>
    </w:p>
    <w:p>
      <w:pPr>
        <w:spacing w:before="0" w:after="200" w:lineRule="auto" w:line="276"/>
      </w:pPr>
      <w:r>
        <w:rPr>
          <w:b/>
        </w:rPr>
        <w:t xml:space="preserve">Abstract (EN): </w:t>
      </w:r>
      <w:r>
        <w:t>Plastics research lags 30 y behind many other environmental crises, with population-level impacts alluded to but not yet demonstrated for any wild species. Addressing this “Grand Challenge” requires robust data that span many years of variable exposure. Here, we use 15 y of mark-recapture data to estimate plastics’ impact on the demography of Sable Shearwaters (</w:t>
      </w:r>
      <w:r>
        <w:t xml:space="preserve"> </w:t>
      </w:r>
      <w:r>
        <w:t>Ardenna carneipes</w:t>
      </w:r>
      <w:r>
        <w:t xml:space="preserve"> </w:t>
      </w:r>
      <w:r>
        <w:t>). We found that the ingestion of &amp;gt;1 g of plastic is common and associated with at least an 11% reduction in the probability of birds surviving to return and breed at their natal island, with birds that ingested &amp;gt;5 g of plastic almost never seen again. In a time of unprecedented planetary change and biodiversity collapse, these results provide much-needed insight into plastics’ role in potentially driving species decline.</w:t>
      </w:r>
    </w:p>
    <w:p>
      <w:pPr>
        <w:spacing w:before="120" w:after="120"/>
      </w:pPr>
      <w:r>
        <w:rPr>
          <w:sz w:val="18"/>
        </w:rPr>
        <w:t>——————————————————————————————————————————————————————————————————————</w:t>
      </w:r>
    </w:p>
    <w:p>
      <w:pPr>
        <w:spacing w:before="160" w:after="40" w:line="240" w:lineRule="auto"/>
      </w:pPr>
      <w:r>
        <w:rPr>
          <w:b/>
        </w:rPr>
        <w:t xml:space="preserve">[272] </w:t>
      </w:r>
      <w:hyperlink r:id="rId1085">
        <w:r>
          <w:rPr>
            <w:color w:val="1155CC"/>
            <w:u w:val="single"/>
          </w:rPr>
          <w:t>X 的 Feed 算法中的价值错位反映了参与度中的价值紧张</w:t>
        </w:r>
      </w:hyperlink>
    </w:p>
    <w:p>
      <w:pPr>
        <w:spacing w:before="0" w:after="80"/>
      </w:pPr>
      <w:r>
        <w:rPr>
          <w:i/>
          <w:sz w:val="20"/>
        </w:rPr>
        <w:t>EN: Value misalignments in X’s feed algorithm is a reflection of value tensions in engagement</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86">
        <w:r>
          <w:rPr>
            <w:color w:val="1155CC"/>
            <w:u w:val="single"/>
          </w:rPr>
          <w:t>10.1073/pnas.2610388123</w:t>
        </w:r>
      </w:hyperlink>
    </w:p>
    <w:p>
      <w:pPr>
        <w:spacing w:before="0" w:after="120"/>
      </w:pPr>
      <w:r>
        <w:rPr>
          <w:b/>
        </w:rPr>
        <w:t xml:space="preserve">Notes: </w:t>
      </w:r>
      <w:r>
        <w:t>abstract_source=crossref</w:t>
      </w:r>
    </w:p>
    <w:p>
      <w:pPr>
        <w:spacing w:before="0" w:after="80" w:lineRule="auto" w:line="276"/>
      </w:pPr>
      <w:r>
        <w:rPr>
          <w:b/>
        </w:rPr>
        <w:t xml:space="preserve">摘要（ZH）: </w:t>
      </w:r>
      <w:r>
        <w:t>社交媒体提要算法对据称是用户偏好的内容进行排名，但驱动这些算法的参与行为（充其量）是用户明确自我陈述的价值观的间接代理。生成的 Feed 值是否一致？如果不一致，原因是什么？我们通过注释参与者的 X (Twitter) 提要（N = 715 个美国用户）中表达的基本人类价值观来研究这个问题，分析帖子的价值表达与排名的“为你”页面提要中的帖子放大之间的关系，然后将放大的值与用户自己的价值观进行比较。我们观察到，关注帐户中的帖子清单反映了用户自我陈述的价值观，但用户的明确价值观与算法更有可能放大的价值表达之间存在总体负相关（错位）。我们通过参与行为来理解这种不一致，并观察到用户的参与行为可能与其规定的价值观不一致——可能导致算法学习并反映这些不一致的价值观。我们还发现了与这一理论相一致的党派差异：虽然该算法放大了与民主党和共和党自我陈述的价值观负相关的价值观，但它们对民主党来说更加不一致。事实上，回复是一种权重很大的参与形式，与民主党和共和党自我声明的价值观不太一致，而且对民主党来说更加不一致。总而言之，这些发现让我们得以一窥那些价值观之间的紧张关系。</w:t>
      </w:r>
    </w:p>
    <w:p>
      <w:pPr>
        <w:spacing w:before="0" w:after="200" w:lineRule="auto" w:line="276"/>
      </w:pPr>
      <w:r>
        <w:rPr>
          <w:b/>
        </w:rPr>
        <w:t xml:space="preserve">Abstract (EN): </w:t>
      </w:r>
      <w:r>
        <w:t>Social media feed algorithms rank content that is purported to be preferred by users, but the engagement behaviors that drive these algorithms are (at best) indirect proxies for users’ explicitly self-stated values. Are the resulting feeds value aligned, and if not, why? We investigate this question by annotating the basic human values expressed in participants’ X (Twitter) feeds (N = 715 US users), analyzing the relationship between the posts’ value expressions and the posts’ amplification in the ranked “For You” Page feed, and then comparing the amplified values to users’ own values. We observe that the inventory of posts from followed accounts reflects users’ self-stated values—but that there is an overall negative correlation (misalignment) between users’ explicit values and the value expressions the algorithm is more likely to amplify. We turn to engagement behavior to understand this misalignment and observe that users’ engagement behaviors can be misaligned with their stated values—likely causing the algorithm to learn and reflect these misaligned values. We also detect partisan differences consistent with this theory: While the algorithm amplifies values negatively correlated with both Democrats’ and Republicans’ self-stated values, they are more misaligned for Democrats. And in fact replying, a heavily weighted form of engagement, is associated with values that are less aligned for both Democrats’ and Republicans’ self-stated values, and is even more misaligned for Democrats. Taken together, these findings offer a glimpse into the tensions between the values that people hold and those that provoke reactions, and how these value tensions can produce misaligned outcomes.</w:t>
      </w:r>
    </w:p>
    <w:p>
      <w:pPr>
        <w:spacing w:before="120" w:after="120"/>
      </w:pPr>
      <w:r>
        <w:rPr>
          <w:sz w:val="18"/>
        </w:rPr>
        <w:t>——————————————————————————————————————————————————————————————————————</w:t>
      </w:r>
    </w:p>
    <w:p>
      <w:pPr>
        <w:spacing w:before="160" w:after="40" w:line="240" w:lineRule="auto"/>
      </w:pPr>
      <w:r>
        <w:rPr>
          <w:b/>
        </w:rPr>
        <w:t xml:space="preserve">[273] </w:t>
      </w:r>
      <w:hyperlink r:id="rId1087">
        <w:r>
          <w:rPr>
            <w:color w:val="1155CC"/>
            <w:u w:val="single"/>
          </w:rPr>
          <w:t>新生儿己烯雌酚暴露破坏子宫上皮顶端-基底极性和部分 EMT 状态</w:t>
        </w:r>
      </w:hyperlink>
    </w:p>
    <w:p>
      <w:pPr>
        <w:spacing w:before="0" w:after="80"/>
      </w:pPr>
      <w:r>
        <w:rPr>
          <w:i/>
          <w:sz w:val="20"/>
        </w:rPr>
        <w:t>EN: Neonatal diethylstilbestrol exposure disrupts uterine epithelial apical–basal polarity and partial EMT state</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88">
        <w:r>
          <w:rPr>
            <w:color w:val="1155CC"/>
            <w:u w:val="single"/>
          </w:rPr>
          <w:t>10.1073/pnas.2603458123</w:t>
        </w:r>
      </w:hyperlink>
    </w:p>
    <w:p>
      <w:pPr>
        <w:spacing w:before="0" w:after="120"/>
      </w:pPr>
      <w:r>
        <w:rPr>
          <w:b/>
        </w:rPr>
        <w:t xml:space="preserve">Notes: </w:t>
      </w:r>
      <w:r>
        <w:t>abstract_source=crossref</w:t>
      </w:r>
    </w:p>
    <w:p>
      <w:pPr>
        <w:spacing w:before="0" w:after="80" w:lineRule="auto" w:line="276"/>
      </w:pPr>
      <w:r>
        <w:rPr>
          <w:b/>
        </w:rPr>
        <w:t xml:space="preserve">摘要（ZH）: </w:t>
      </w:r>
      <w:r>
        <w:t>发育中的女性生殖道对外部激素刺激高度敏感，这可能导致不孕和妇科疾病。为了确定潜在的机制，我们使用小鼠模型来测试新生儿接触雌激素化学物质己烯雌酚（DES）对发育中的子宫的直接、细胞类型特异性影响。我们发现对照子宫上皮处于部分上皮-间质过渡状态，该状态在 DES 暴露后消失。这伴随着过早分化的证据，包括顶端-基底细胞极性的改变和缺乏</w:t>
      </w:r>
      <w:r>
        <w:t xml:space="preserve"> </w:t>
      </w:r>
      <w:r>
        <w:t>Lgr5</w:t>
      </w:r>
      <w:r>
        <w:t xml:space="preserve"> </w:t>
      </w:r>
      <w:r>
        <w:t>+ 子宫腺体形成所需的上皮干细胞群。上皮细胞和间充质细胞之间的细胞间通讯被重组，上皮细胞中的 Wnt 信号传导被异常激活。暴露于 DES 的子宫间质由于细胞外基质 (ECM) 胶原沉积增加而出现纤维化的早期迹象。从机制上讲，DES 暴露会导致细胞类型特异性的染色质可及性和基因表达发生变化，尤其是在上皮细胞中。这些变化可以部分地通过增强子区域染色质环的细胞特异性改变与 ERα 结合的改变来解释。这些发现表明，重编程细胞类型特异性分化轨迹和 ECM 特征是发育暴露于 DES 和可能的其他雌激素内分泌干扰化学物质的长期表型效应的基础。这些变化导致功能</w:t>
      </w:r>
    </w:p>
    <w:p>
      <w:pPr>
        <w:spacing w:before="0" w:after="200" w:lineRule="auto" w:line="276"/>
      </w:pPr>
      <w:r>
        <w:rPr>
          <w:b/>
        </w:rPr>
        <w:t xml:space="preserve">Abstract (EN): </w:t>
      </w:r>
      <w:r>
        <w:t>The developing female reproductive tract is highly sensitive to external hormonal stimulation, which can result in infertility and gynecologic diseases. To determine the underlying mechanisms, we used a mouse model to test the direct, cell type–specific effects of neonatal exposure to the estrogenic chemical, diethylstilbestrol (DES), on the developing uterus. We found that control uterine epithelium is in a partial epithelial–mesenchymal transition state that is lost following DES exposure. This is accompanied by evidence of premature differentiation including altered apical–basal cell polarity and absence of the</w:t>
      </w:r>
      <w:r>
        <w:t xml:space="preserve"> </w:t>
      </w:r>
      <w:r>
        <w:t>Lgr5</w:t>
      </w:r>
      <w:r>
        <w:t xml:space="preserve"> </w:t>
      </w:r>
      <w:r>
        <w:t>+ epithelial stem cell population required for uterine gland formation. Cell–cell communication between epithelial and mesenchymal cells is restructured, and Wnt signaling is aberrantly activated in the epithelium. The DES-exposed uterine mesenchyme has early signs of fibrosis through increased deposition of extracellular matrix (ECM) collagen. Mechanistically, DES exposure causes cell type–specific changes in chromatin accessibility and gene expression, most prominently in epithelial cells. These changes can be explained in part by cell-specific alterations in chromatin looping at enhancer regions in concert with alterations in ERα binding. These findings suggest that reprogramming cell type–specific differentiation trajectories and ECM characteristics underlie the long-term phenotypic effects of developmental exposure to DES and possibly other estrogenic endocrine disrupting chemicals. These changes lead to functional impairment of adult tissues and increased cancer risk.</w:t>
      </w:r>
    </w:p>
    <w:p>
      <w:pPr>
        <w:spacing w:before="120" w:after="120"/>
      </w:pPr>
      <w:r>
        <w:rPr>
          <w:sz w:val="18"/>
        </w:rPr>
        <w:t>——————————————————————————————————————————————————————————————————————</w:t>
      </w:r>
    </w:p>
    <w:p>
      <w:pPr>
        <w:spacing w:before="160" w:after="40" w:line="240" w:lineRule="auto"/>
      </w:pPr>
      <w:r>
        <w:rPr>
          <w:b/>
        </w:rPr>
        <w:t xml:space="preserve">[274] </w:t>
      </w:r>
      <w:hyperlink r:id="rId1089">
        <w:r>
          <w:rPr>
            <w:color w:val="1155CC"/>
            <w:u w:val="single"/>
          </w:rPr>
          <w:t>利用 CXCR3/CXCL10 轴通过增强 HNSCC 中的免疫运输和效应细胞启动来克服肿瘤免疫抑制</w:t>
        </w:r>
      </w:hyperlink>
    </w:p>
    <w:p>
      <w:pPr>
        <w:spacing w:before="0" w:after="80"/>
      </w:pPr>
      <w:r>
        <w:rPr>
          <w:i/>
          <w:sz w:val="20"/>
        </w:rPr>
        <w:t>EN: Exploiting the CXCR3/CXCL10 axis overrides tumor immune suppression by enhancing immune trafficking and effector cell priming in HNSCC</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90">
        <w:r>
          <w:rPr>
            <w:color w:val="1155CC"/>
            <w:u w:val="single"/>
          </w:rPr>
          <w:t>10.1073/pnas.2522360123</w:t>
        </w:r>
      </w:hyperlink>
    </w:p>
    <w:p>
      <w:pPr>
        <w:spacing w:before="0" w:after="120"/>
      </w:pPr>
      <w:r>
        <w:rPr>
          <w:b/>
        </w:rPr>
        <w:t xml:space="preserve">Notes: </w:t>
      </w:r>
      <w:r>
        <w:t>abstract_source=crossref</w:t>
      </w:r>
    </w:p>
    <w:p>
      <w:pPr>
        <w:spacing w:before="0" w:after="80" w:lineRule="auto" w:line="276"/>
      </w:pPr>
      <w:r>
        <w:rPr>
          <w:b/>
        </w:rPr>
        <w:t xml:space="preserve">摘要（ZH）: </w:t>
      </w:r>
      <w:r>
        <w:t>免疫抑制肿瘤微环境 (TME) 通过限制 CD8 的浸润和激活来限制检查点封锁对许多癌症的影响</w:t>
      </w:r>
      <w:r>
        <w:t xml:space="preserve"> </w:t>
      </w:r>
      <w:r>
        <w:t>+</w:t>
      </w:r>
      <w:r>
        <w:t xml:space="preserve"> </w:t>
      </w:r>
      <w:r>
        <w:t>T、CD4</w:t>
      </w:r>
      <w:r>
        <w:t xml:space="preserve"> </w:t>
      </w:r>
      <w:r>
        <w:t>+</w:t>
      </w:r>
      <w:r>
        <w:t xml:space="preserve"> </w:t>
      </w:r>
      <w:r>
        <w:t>T 细胞和 NK 细胞。利用头颈鳞状细胞癌的小鼠模型，我们证明了CXCL10的瘤内（IT）递送不仅通过招募这些细胞而且通过增强它们的抗肿瘤功能和阻碍血管生成来促进肿瘤消除并抑制复发。 CD8</w:t>
      </w:r>
      <w:r>
        <w:t xml:space="preserve"> </w:t>
      </w:r>
      <w:r>
        <w:t>+</w:t>
      </w:r>
      <w:r>
        <w:t xml:space="preserve"> </w:t>
      </w:r>
      <w:r>
        <w:t>T 细胞还表现出增强的激活、肿瘤抗原特异性和减少的 T 细胞耗竭。尽管将 CXCL10 注射到肿瘤中，CD8</w:t>
      </w:r>
      <w:r>
        <w:t xml:space="preserve"> </w:t>
      </w:r>
      <w:r>
        <w:t>+</w:t>
      </w:r>
      <w:r>
        <w:t xml:space="preserve"> </w:t>
      </w:r>
      <w:r>
        <w:t>和CD4</w:t>
      </w:r>
      <w:r>
        <w:t xml:space="preserve"> </w:t>
      </w:r>
      <w:r>
        <w:t>+</w:t>
      </w:r>
      <w:r>
        <w:t xml:space="preserve"> </w:t>
      </w:r>
      <w:r>
        <w:t>T 细胞在肿瘤引流淋巴结 (TdLN) 中表现出增强的存在和增殖，这与肿瘤和 TdLN 之间的 T 细胞启动和运输一致。总之，数据表明 CXCL10 促进了一个相互加强的反馈回路，将 TME 重新编程为免疫反应性抗肿瘤状态。 IT-CXCL10 和抗 PD-1 的结合进一步增加了肿瘤清除率，表明 CXCL10 驱动的 TME 重编程降低了有效检查点封锁的障碍。</w:t>
      </w:r>
    </w:p>
    <w:p>
      <w:pPr>
        <w:spacing w:before="0" w:after="200" w:lineRule="auto" w:line="276"/>
      </w:pPr>
      <w:r>
        <w:rPr>
          <w:b/>
        </w:rPr>
        <w:t xml:space="preserve">Abstract (EN): </w:t>
      </w:r>
      <w:r>
        <w:t>Immune-suppressive tumor microenvironments (TMEs) limit the impact of checkpoint blockade in many cancers by restricting the infiltration and activation of CD8</w:t>
      </w:r>
      <w:r>
        <w:t xml:space="preserve"> </w:t>
      </w:r>
      <w:r>
        <w:t>+</w:t>
      </w:r>
      <w:r>
        <w:t xml:space="preserve"> </w:t>
      </w:r>
      <w:r>
        <w:t>T, CD4</w:t>
      </w:r>
      <w:r>
        <w:t xml:space="preserve"> </w:t>
      </w:r>
      <w:r>
        <w:t>+</w:t>
      </w:r>
      <w:r>
        <w:t xml:space="preserve"> </w:t>
      </w:r>
      <w:r>
        <w:t>T, and NK cells. Utilizing murine models of head and neck squamous cell carcinoma, we demonstrated that intratumoral (IT) delivery of CXCL10 drives tumor elimination and inhibits recurrence not only by recruiting these cells but by enhancing their antitumoral functions and stunting angiogenesis. CD8</w:t>
      </w:r>
      <w:r>
        <w:t xml:space="preserve"> </w:t>
      </w:r>
      <w:r>
        <w:t>+</w:t>
      </w:r>
      <w:r>
        <w:t xml:space="preserve"> </w:t>
      </w:r>
      <w:r>
        <w:t>T cells also display enhanced activation, tumor-antigen specificity, and decreased T cell exhaustion. Despite administration of CXCL10 into tumors, CD8</w:t>
      </w:r>
      <w:r>
        <w:t xml:space="preserve"> </w:t>
      </w:r>
      <w:r>
        <w:t>+</w:t>
      </w:r>
      <w:r>
        <w:t xml:space="preserve"> </w:t>
      </w:r>
      <w:r>
        <w:t>and CD4</w:t>
      </w:r>
      <w:r>
        <w:t xml:space="preserve"> </w:t>
      </w:r>
      <w:r>
        <w:t>+</w:t>
      </w:r>
      <w:r>
        <w:t xml:space="preserve"> </w:t>
      </w:r>
      <w:r>
        <w:t>T cells show enhanced presence and proliferation in tumor-draining lymph nodes (TdLNs), consistent with T cell priming and trafficking between tumors and TdLNs. Together, the data suggest that CXCL10 promotes a mutually reinforcing feedback loop that reprograms the TME toward an immunologically responsive antitumoral state. Combining IT-CXCL10 and anti-PD-1 further increased tumor clearance, indicating that CXCL10-driven reprogramming of the TME lowers barriers to effective checkpoint blockade.</w:t>
      </w:r>
    </w:p>
    <w:p>
      <w:pPr>
        <w:spacing w:before="120" w:after="120"/>
      </w:pPr>
      <w:r>
        <w:rPr>
          <w:sz w:val="18"/>
        </w:rPr>
        <w:t>——————————————————————————————————————————————————————————————————————</w:t>
      </w:r>
    </w:p>
    <w:p>
      <w:pPr>
        <w:spacing w:before="160" w:after="40" w:line="240" w:lineRule="auto"/>
      </w:pPr>
      <w:r>
        <w:rPr>
          <w:b/>
        </w:rPr>
        <w:t xml:space="preserve">[275] </w:t>
      </w:r>
      <w:hyperlink r:id="rId1091">
        <w:r>
          <w:rPr>
            <w:color w:val="1155CC"/>
            <w:u w:val="single"/>
          </w:rPr>
          <w:t>莱姆病的生态学：长期数据、惊喜和综合</w:t>
        </w:r>
      </w:hyperlink>
    </w:p>
    <w:p>
      <w:pPr>
        <w:spacing w:before="0" w:after="80"/>
      </w:pPr>
      <w:r>
        <w:rPr>
          <w:i/>
          <w:sz w:val="20"/>
        </w:rPr>
        <w:t>EN: The ecology of Lyme disease: Long-term data, surprises, and a synthesis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92">
        <w:r>
          <w:rPr>
            <w:color w:val="1155CC"/>
            <w:u w:val="single"/>
          </w:rPr>
          <w:t>10.1073/pnas.2610907123</w:t>
        </w:r>
      </w:hyperlink>
    </w:p>
    <w:p>
      <w:pPr>
        <w:spacing w:before="0" w:after="120"/>
      </w:pPr>
      <w:r>
        <w:rPr>
          <w:b/>
        </w:rPr>
        <w:t xml:space="preserve">Notes: </w:t>
      </w:r>
      <w:r>
        <w:t>abstract_source=crossref</w:t>
      </w:r>
    </w:p>
    <w:p>
      <w:pPr>
        <w:spacing w:before="0" w:after="80" w:lineRule="auto" w:line="276"/>
      </w:pPr>
      <w:r>
        <w:rPr>
          <w:b/>
        </w:rPr>
        <w:t xml:space="preserve">摘要（ZH）: </w:t>
      </w:r>
      <w:r>
        <w:t>人类接触莱姆病和其他蜱传人畜共患病的风险受到蜱、病原体、蜱和病原体的脊椎动物宿主以及非生物条件之间相互作用的影响。这些生态系统固有的复杂性对开发有助于降低暴露风险的预测性理解提出了挑战。在这里，我们使用在美国纽约州流行地区的长期监测（&gt; 30 年）来评估莱姆病系统的概念模型。与传统观点相反，我们发现若虫黑腿蜱的丰度（人类的一个关键风险因素）与白尾鹿的丰度、幼虫蜱的先前丰度或季节性极端温度无关。相反，若虫蜱的丰度与之前白足鼠的丰度相关，而白足鼠的丰度又是由红橡树生产橡子驱动的。在我们相对完整的森林地区，人畜共患病原体的感染流行与白足鼠的数量无关，白足鼠是一种已知能高效传播感染的物种，而似乎是由于幼虫蜱在整个幼虫宿主群落中的分布所致。高密度的小鼠极大地减少了个体小鼠和花栗鼠的蜱负担，这表明公会内部对寄生虫的竞争。莱姆病风险源于生态群落的动态，而不是来自任何单一宿主种群的动态或极端季节性天气。这些动态很复杂但可以预测，例如</w:t>
      </w:r>
    </w:p>
    <w:p>
      <w:pPr>
        <w:spacing w:before="0" w:after="200" w:lineRule="auto" w:line="276"/>
      </w:pPr>
      <w:r>
        <w:rPr>
          <w:b/>
        </w:rPr>
        <w:t xml:space="preserve">Abstract (EN): </w:t>
      </w:r>
      <w:r>
        <w:t>Risk of human exposure to Lyme disease and other tick-borne zoonoses is affected by interactions between ticks, pathogens, vertebrate hosts for ticks and pathogens, and abiotic conditions. Inherent complexities in these ecological systems present challenges to the development of a predictive understanding useful for reducing exposure risk. Here we evaluate a conceptual model of the Lyme disease system using long-term monitoring (&amp;gt;30 y) at sites within an endemic region of New York State, United States. Contrary to conventional wisdom, we found that the abundance of nymphal black-legged ticks—a key risk factor for humans—was not correlated with the abundance of white-tailed deer, the prior abundance of larval ticks, or seasonal temperature extremes. Instead, the abundance of nymphal ticks was correlated with prior abundance of white-footed mice, which in turn was driven by production of acorns by red oak trees. Infection prevalence with zoonotic pathogens at our relatively intact forest sites was not associated with the abundance of white-footed mice, a species known to transmit infection with high efficiency, but instead appeared to arise from the distribution of larval ticks across the entire community of larval hosts. High densities of mice strongly reduced the tick burdens on individual mice and chipmunks, suggesting intraguild competition for parasites. Lyme disease risk arises from the dynamics of the ecological community, rather than from the dynamics of any single population of hosts or from extreme seasonal weather. These dynamics are complex but predictable, such that understanding them can facilitate improvements in management and education aimed at protecting public health.</w:t>
      </w:r>
    </w:p>
    <w:p>
      <w:pPr>
        <w:spacing w:before="120" w:after="120"/>
      </w:pPr>
      <w:r>
        <w:rPr>
          <w:sz w:val="18"/>
        </w:rPr>
        <w:t>——————————————————————————————————————————————————————————————————————</w:t>
      </w:r>
    </w:p>
    <w:p>
      <w:pPr>
        <w:spacing w:before="160" w:after="40" w:line="240" w:lineRule="auto"/>
      </w:pPr>
      <w:r>
        <w:rPr>
          <w:b/>
        </w:rPr>
        <w:t xml:space="preserve">[276] </w:t>
      </w:r>
      <w:hyperlink r:id="rId1093">
        <w:r>
          <w:rPr>
            <w:color w:val="1155CC"/>
            <w:u w:val="single"/>
          </w:rPr>
          <w:t>通过 K+ 选择性通道视紫红质的单一电流揭示了激活状态复合物内的多种电导状态</w:t>
        </w:r>
      </w:hyperlink>
    </w:p>
    <w:p>
      <w:pPr>
        <w:spacing w:before="0" w:after="80"/>
      </w:pPr>
      <w:r>
        <w:rPr>
          <w:i/>
          <w:sz w:val="20"/>
        </w:rPr>
        <w:t>EN: Unitary currents through K+ selective channelrhodopsins reveal multiple conductance states within an activated state complex</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94">
        <w:r>
          <w:rPr>
            <w:color w:val="1155CC"/>
            <w:u w:val="single"/>
          </w:rPr>
          <w:t>10.1073/pnas.2604725123</w:t>
        </w:r>
      </w:hyperlink>
    </w:p>
    <w:p>
      <w:pPr>
        <w:spacing w:before="0" w:after="120"/>
      </w:pPr>
      <w:r>
        <w:rPr>
          <w:b/>
        </w:rPr>
        <w:t xml:space="preserve">Notes: </w:t>
      </w:r>
      <w:r>
        <w:t>abstract_source=crossref</w:t>
      </w:r>
    </w:p>
    <w:p>
      <w:pPr>
        <w:spacing w:before="0" w:after="80" w:lineRule="auto" w:line="276"/>
      </w:pPr>
      <w:r>
        <w:rPr>
          <w:b/>
        </w:rPr>
        <w:t xml:space="preserve">摘要（ZH）: </w:t>
      </w:r>
      <w:r>
        <w:t>光遗传学利用脑细胞中表达的藻类光敏感通道视紫红质 ChR，极大地促进了对神经元活动如何产生感觉、认知和行为的分析。为了揭示单一电导和门控机制的细节，我们记录了潜在抑制 K 的单一电流</w:t>
      </w:r>
      <w:r>
        <w:t xml:space="preserve"> </w:t>
      </w:r>
      <w:r>
        <w:t>+</w:t>
      </w:r>
      <w:r>
        <w:t xml:space="preserve"> </w:t>
      </w:r>
      <w:r>
        <w:t>飞西门子分辨率下的选择性 ChR HcKCR1 和 WiChR1。两个 ChR 均以突发方式打开，KCR1 的主电导为 1.6 pS，WiChR1 的主电导为 2.4 pS，但它们伴随着广泛分布的电导水平，覆盖 0.3 至 3.0 pS 的连续范围。在 WiChR1 中，这些突发大约是 KCR1 中的四倍长。激活态复合物中的光循环和闭开门控似乎是两个正交过程。两个 ChR 的单通道电流解释了各自全细胞电流的所有特征。我们的数据提供了对单个视紫红质通道分子的极小且异质电导水平的深入了解，并为定制大脑网络神经元光遗传学控制的特定工具打开了大门。</w:t>
      </w:r>
    </w:p>
    <w:p>
      <w:pPr>
        <w:spacing w:before="0" w:after="200" w:lineRule="auto" w:line="276"/>
      </w:pPr>
      <w:r>
        <w:rPr>
          <w:b/>
        </w:rPr>
        <w:t xml:space="preserve">Abstract (EN): </w:t>
      </w:r>
      <w:r>
        <w:t>The analysis of how sensation, cognition, and behavior arise from neuronal activity has been enormously facilitated by optogenetics, using algae-derived light sensitive channelrhodopsins, ChRs, expressed in brain cells. To disclose the unitary conductance and the details of the gating mechanism, we recorded unitary currents of the potentially inhibitory K</w:t>
      </w:r>
      <w:r>
        <w:t xml:space="preserve"> </w:t>
      </w:r>
      <w:r>
        <w:t>+</w:t>
      </w:r>
      <w:r>
        <w:t xml:space="preserve"> </w:t>
      </w:r>
      <w:r>
        <w:t>selective ChRs HcKCR1 and WiChR1 at femtosiemens resolution. Both ChRs open in bursts with a large dominating conductance of 1.6 pS for KCR1 and 2.4 pS for WiChR1 but they are accompanied by widely distributed conductance levels covering a continuum of between 0.3 and 3.0 pS. In WiChR1, these bursts are approximately four times longer than in KCR1. The photocycle and the closed-open gating in an activated state complex seem to be two orthogonal processes. The single-channel currents of the two ChRs explain all characteristic features of the respective whole-cell currents. Our data provide insight into exceptionally small and heterogeneous conductance levels of single channelrhodopsin molecules and open the door to tailor specific tools for optogenetic control in neurons of brain networks.</w:t>
      </w:r>
    </w:p>
    <w:p>
      <w:pPr>
        <w:spacing w:before="120" w:after="120"/>
      </w:pPr>
      <w:r>
        <w:rPr>
          <w:sz w:val="18"/>
        </w:rPr>
        <w:t>——————————————————————————————————————————————————————————————————————</w:t>
      </w:r>
    </w:p>
    <w:p>
      <w:pPr>
        <w:spacing w:before="160" w:after="40" w:line="240" w:lineRule="auto"/>
      </w:pPr>
      <w:r>
        <w:rPr>
          <w:b/>
        </w:rPr>
        <w:t xml:space="preserve">[277] </w:t>
      </w:r>
      <w:hyperlink r:id="rId1095">
        <w:r>
          <w:rPr>
            <w:color w:val="1155CC"/>
            <w:u w:val="single"/>
          </w:rPr>
          <w:t>血清 IgA 蛋白质组学揭示了抗人诺如病毒的二聚体和单体 IgA 库的克隆组成和中和作用</w:t>
        </w:r>
      </w:hyperlink>
    </w:p>
    <w:p>
      <w:pPr>
        <w:spacing w:before="0" w:after="80"/>
      </w:pPr>
      <w:r>
        <w:rPr>
          <w:i/>
          <w:sz w:val="20"/>
        </w:rPr>
        <w:t>EN: Serum IgA proteomics reveals clonal composition and neutralization of dimeric and monomeric IgA repertoires against human norovirus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96">
        <w:r>
          <w:rPr>
            <w:color w:val="1155CC"/>
            <w:u w:val="single"/>
          </w:rPr>
          <w:t>10.1073/pnas.2603905123</w:t>
        </w:r>
      </w:hyperlink>
    </w:p>
    <w:p>
      <w:pPr>
        <w:spacing w:before="0" w:after="120"/>
      </w:pPr>
      <w:r>
        <w:rPr>
          <w:b/>
        </w:rPr>
        <w:t xml:space="preserve">Notes: </w:t>
      </w:r>
      <w:r>
        <w:t>abstract_source=crossref</w:t>
      </w:r>
    </w:p>
    <w:p>
      <w:pPr>
        <w:spacing w:before="0" w:after="80" w:lineRule="auto" w:line="276"/>
      </w:pPr>
      <w:r>
        <w:rPr>
          <w:b/>
        </w:rPr>
        <w:t xml:space="preserve">摘要（ZH）: </w:t>
      </w:r>
      <w:r>
        <w:t>对人诺如病毒的保护与附着配体阻断抗体滴度、粪便 IgA 滴度和血清 IgA 滴度相关。血清中的 IgA 反应包括约 80% 至 95% 的单体 IgA (mIgA) 和 5% 至 20% 的二聚体 IgA (dIgA)。利用血清 LC-MS/MS 蛋白质组学，我们建立了循环 IgG 和 IgA 之间以及 dIgA 和 mIgA 之间的克隆关系。我们观察到稳定状态下循环 IgG 和 IgA 之间有一定程度的克隆重叠，并发现超过 80% 的抗原特异性 mIgA 也可检测为 dIgA。我们对血清 IgA 克隆型靶向的诺如病毒 GII.4 病毒样颗粒 (VLP) 上的中和表位进行了生化表征，并证明 dIgA 以表位特异性方式相对于 mIgA 和 IgG 显着增强中和效力。冷冻电子显微镜和冷冻电子断层扫描显示，IgA 二聚化是否增强病毒中和取决于 VLP 上的表位可及性和抗体结合方向。总之，这些发现提供了血清 IgA 反应的分子水平分辨率，并定义了 dIgA 以表位特异性方式增强中和效力的结构基础。</w:t>
      </w:r>
    </w:p>
    <w:p>
      <w:pPr>
        <w:spacing w:before="0" w:after="200" w:lineRule="auto" w:line="276"/>
      </w:pPr>
      <w:r>
        <w:rPr>
          <w:b/>
        </w:rPr>
        <w:t xml:space="preserve">Abstract (EN): </w:t>
      </w:r>
      <w:r>
        <w:t>Protection against human norovirus correlates with attachment ligand blockade antibody titers, fecal IgA titers, and serum IgA titers. IgA responses in serum comprise approximately 80 to 95% of monomeric IgA (mIgA) and 5 to 20% of dimeric IgA (dIgA). Using serum LC–MS/MS proteomics, we established clonal relationships between circulating IgG and IgA, as well as between dIgA and mIgA. We observed a modest degree of clonal overlap between circulating IgG and IgA at steady state and found that more than 80% of antigen-specific mIgA was also detectable as dIgA. We biochemically characterized neutralizing epitopes on norovirus GII.4 virus-like particles (VLPs) targeted by serum IgA clonotypes and demonstrated that dIgA markedly enhances neutralization potency relative to mIgA and IgG in an epitope-specific manner. Cryoelectron microscopy and cryoelectron tomography revealed that whether IgA dimerization enhances viral neutralization depends on epitope accessibility on the VLP and antibody binding orientation. Together, these findings provide molecular-level resolution of the serum IgA response and define the structural basis by which dIgA enhances neutralization potency in an epitope-specific manner.</w:t>
      </w:r>
    </w:p>
    <w:p>
      <w:pPr>
        <w:spacing w:before="120" w:after="120"/>
      </w:pPr>
      <w:r>
        <w:rPr>
          <w:sz w:val="18"/>
        </w:rPr>
        <w:t>——————————————————————————————————————————————————————————————————————</w:t>
      </w:r>
    </w:p>
    <w:p>
      <w:pPr>
        <w:spacing w:before="160" w:after="40" w:line="240" w:lineRule="auto"/>
      </w:pPr>
      <w:r>
        <w:rPr>
          <w:b/>
        </w:rPr>
        <w:t xml:space="preserve">[278] </w:t>
      </w:r>
      <w:hyperlink r:id="rId1097">
        <w:r>
          <w:rPr>
            <w:color w:val="1155CC"/>
            <w:u w:val="single"/>
          </w:rPr>
          <w:t>随机重复开辟了一条进入折叠蛋白质空间的途径</w:t>
        </w:r>
      </w:hyperlink>
    </w:p>
    <w:p>
      <w:pPr>
        <w:spacing w:before="0" w:after="80"/>
      </w:pPr>
      <w:r>
        <w:rPr>
          <w:i/>
          <w:sz w:val="20"/>
        </w:rPr>
        <w:t>EN: Random repeats open a route into folded protein space</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098">
        <w:r>
          <w:rPr>
            <w:color w:val="1155CC"/>
            <w:u w:val="single"/>
          </w:rPr>
          <w:t>10.1073/pnas.2620768123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1099">
        <w:r>
          <w:rPr>
            <w:color w:val="1155CC"/>
            <w:u w:val="single"/>
          </w:rPr>
          <w:t>宿主DNA修复因子增强抗病毒核苷类似物耐药机制</w:t>
        </w:r>
      </w:hyperlink>
    </w:p>
    <w:p>
      <w:pPr>
        <w:spacing w:before="0" w:after="80"/>
      </w:pPr>
      <w:r>
        <w:rPr>
          <w:i/>
          <w:sz w:val="20"/>
        </w:rPr>
        <w:t>EN: Host DNA repair factors empower a mechanism of antiviral nucleoside analog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00">
        <w:r>
          <w:rPr>
            <w:color w:val="1155CC"/>
            <w:u w:val="single"/>
          </w:rPr>
          <w:t>10.1073/pnas.2618057123</w:t>
        </w:r>
      </w:hyperlink>
    </w:p>
    <w:p>
      <w:pPr>
        <w:spacing w:before="0" w:after="120"/>
      </w:pPr>
      <w:r>
        <w:rPr>
          <w:b/>
        </w:rPr>
        <w:t xml:space="preserve">Notes: </w:t>
      </w:r>
      <w:r>
        <w:t>abstract_source=crossref</w:t>
      </w:r>
    </w:p>
    <w:p>
      <w:pPr>
        <w:spacing w:before="0" w:after="80" w:lineRule="auto" w:line="276"/>
      </w:pPr>
      <w:r>
        <w:rPr>
          <w:b/>
        </w:rPr>
        <w:t xml:space="preserve">摘要（ZH）: </w:t>
      </w:r>
      <w:r>
        <w:t>宿主功能如何影响抗病毒药物的耐药性尚不清楚。更昔洛韦是一种链终止核苷类似物，是针对人类巨细胞病毒的一线疗法，人类巨细胞病毒是一种广泛传播的疱疹病毒，可在免疫功能低下的个体和新生儿中引起危及生命的疾病。更昔洛韦耐药性是由影响病毒激酶 UL97 和/或病毒聚合酶 UL54 的突变引起的，可能导致治疗失败。在这些突变中，那些降低病毒 DNA 聚合酶核酸外切酶活性的突变允许更昔洛韦掺入而无需链终止。然而，含有掺入的核苷酸类似物的DNA链的命运尚不清楚。我们在此表明​​，含有更昔洛韦的模板 DNA 无法支持核酸外切酶突变聚合酶对互补链的 DNA 合成。此外，虽然DNA合成和更昔洛韦掺入在被野生型聚合酶病毒感染的药物处理的成纤维细胞中受到限制，但核酸外切酶抗性突变病毒可以更好地合成全长基因组并将更多的更昔洛韦掺入DNA中。值得注意的是，当药物被去除时，更昔洛韦从 DNA 中丢失，这表明含有更昔洛韦的模板被修复。我们确定了宿主核苷酸切除修复成分、着色性干皮病 A 组 (XPA) 和修复酶聚合酶 kappa，它们都是突变体病毒更昔洛韦耐药性所必需的，聚合酶 kappa 是突变体西多福韦耐药性所必需的，这证明了宿主 DNA 修复机制在抗病毒机制中的作用。</w:t>
      </w:r>
    </w:p>
    <w:p>
      <w:pPr>
        <w:spacing w:before="0" w:after="200" w:lineRule="auto" w:line="276"/>
      </w:pPr>
      <w:r>
        <w:rPr>
          <w:b/>
        </w:rPr>
        <w:t xml:space="preserve">Abstract (EN): </w:t>
      </w:r>
      <w:r>
        <w:t>How host functions affect resistance to antiviral drugs is poorly understood. Ganciclovir, a chain-terminating nucleoside analog, is a first-line therapy against human cytomegalovirus, a widespread herpesvirus that causes life-threatening disease in immunocompromised individuals and newborns. Ganciclovir resistance, which is caused by mutations that affect the viral kinase, UL97, and/or the viral polymerase, UL54, can cause treatment failures. Among these mutations, those reducing the exonuclease activity of the viral DNA polymerase permit ganciclovir incorporation without chain termination. However, the fate of DNA strands containing the incorporated nucleotide analog is unknown. We show here that template DNA containing ganciclovir fails to support DNA synthesis of the complementary strand by exonuclease-mutant polymerase. Moreover, while DNA synthesis and ganciclovir incorporation are limited in drug-treated fibroblasts infected by virus with wild-type polymerase, an exonuclease-resistant mutant virus can better synthesize full-length genomes and incorporate substantially more ganciclovir into DNA. Notably, ganciclovir is lost from DNA when drug is removed, suggesting that ganciclovir-containing templates are repaired. We identify the host nucleotide excision repair component, xeroderma pigmentosum group A (XPA), and the repair enzyme, polymerase kappa, as each being necessary for mutant virus ganciclovir resistance and polymerase kappa as being required for the mutant’s cidofovir resistance, demonstrating a role for host DNA repair machinery in a mechanism of antiviral resistance. We propose a model for this mechanism, which has relevance for other antiviral drugs and other nucleoside analog therapeutics, that highlights the participation of host DNA repair machinery during human cytomegalovirus DNA replication.</w:t>
      </w:r>
    </w:p>
    <w:p>
      <w:pPr>
        <w:spacing w:before="120" w:after="120"/>
      </w:pPr>
      <w:r>
        <w:rPr>
          <w:sz w:val="18"/>
        </w:rPr>
        <w:t>——————————————————————————————————————————————————————————————————————</w:t>
      </w:r>
    </w:p>
    <w:p>
      <w:pPr>
        <w:spacing w:before="160" w:after="40" w:line="240" w:lineRule="auto"/>
      </w:pPr>
      <w:r>
        <w:rPr>
          <w:b/>
        </w:rPr>
        <w:t xml:space="preserve">[280] </w:t>
      </w:r>
      <w:hyperlink r:id="rId1101">
        <w:r>
          <w:rPr>
            <w:color w:val="1155CC"/>
            <w:u w:val="single"/>
          </w:rPr>
          <w:t>人类p24货物受体的结构和机制</w:t>
        </w:r>
      </w:hyperlink>
    </w:p>
    <w:p>
      <w:pPr>
        <w:spacing w:before="0" w:after="80"/>
      </w:pPr>
      <w:r>
        <w:rPr>
          <w:i/>
          <w:sz w:val="20"/>
        </w:rPr>
        <w:t>EN: Architecture and mechanism of the human p24 cargo receptor</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02">
        <w:r>
          <w:rPr>
            <w:color w:val="1155CC"/>
            <w:u w:val="single"/>
          </w:rPr>
          <w:t>10.1073/pnas.2610235123</w:t>
        </w:r>
      </w:hyperlink>
    </w:p>
    <w:p>
      <w:pPr>
        <w:spacing w:before="0" w:after="120"/>
      </w:pPr>
      <w:r>
        <w:rPr>
          <w:b/>
        </w:rPr>
        <w:t xml:space="preserve">Notes: </w:t>
      </w:r>
      <w:r>
        <w:t>abstract_source=crossref</w:t>
      </w:r>
    </w:p>
    <w:p>
      <w:pPr>
        <w:spacing w:before="0" w:after="80" w:lineRule="auto" w:line="276"/>
      </w:pPr>
      <w:r>
        <w:rPr>
          <w:b/>
        </w:rPr>
        <w:t xml:space="preserve">摘要（ZH）: </w:t>
      </w:r>
      <w:r>
        <w:t>货物受体的 p24 跨膜 emp24 结构域家族是分泌运输的核心，但其分子组织和调控原理仍然难以捉摸。在这里，我们展示了人类 p24 复合物在三种 pH 状态下的冷冻电镜结构，并结合了针对糖基磷脂酰肌醇锚定蛋白 (GPI-AP) 货物的系统功能分析。我们确定了一个紧密连锁的 p24α2–p24β1–p24δ1–p24γ2 异四聚体作为 GPI-AP 接合的最小单元，解决了有关 p24 化学计量和高阶组装的长期不确定性。我们揭示了 p24α2 和 p24α3 之间的功能冗余，以及货物结合所需的 p24γ2 的选择性掺入。系统筛选确定了两个稳定的子组合：p24β1–p24δ1 和 p24α2–p24β1–p24δ1，表明了逐步的组装途径。跨多个 pH 状态的比较结构分析揭示了一个以卷曲线圈层 0 和 +1 为中心的保守质子传感网络，该网络驱动协调的跨膜重排，从而实现 pH 依赖性货物释放。我们的研究结果建立了一个将 p24 结构、亚型多样性和 pH 调节联系起来的综合框架，为理解 p24 运输复杂性提供了基础。</w:t>
      </w:r>
    </w:p>
    <w:p>
      <w:pPr>
        <w:spacing w:before="0" w:after="200" w:lineRule="auto" w:line="276"/>
      </w:pPr>
      <w:r>
        <w:rPr>
          <w:b/>
        </w:rPr>
        <w:t xml:space="preserve">Abstract (EN): </w:t>
      </w:r>
      <w:r>
        <w:t>The p24 transmembrane emp24 domain family of cargo receptors is central to secretory trafficking, yet its molecular organization and regulatory principles have remained elusive. Here, we present cryo–EM structures of human p24 complex in three pH states, integrated with systematic functional analyses focused on glycosylphosphatidylinositol-anchored protein (GPI-AP) cargo. We identify a tightly interlocked p24α2–p24β1–p24δ1–p24γ2 heterotetramer as the minimal unit for GPI-AP engagement, resolving long-standing uncertainties regarding p24 stoichiometry and higher-order assembly. We reveal functional redundancy between p24α2 and p24α3, alongside selective incorporation of p24γ2 required for cargo binding. Systematic screening identifies two stable subassemblies: p24β1–p24δ1 and p24α2–p24β1–p24δ1, suggesting a stepwise assembly pathway. Comparative structural analysis across multiple pH states uncovers a conserved proton-sensing network centered on Coiled-coil layers 0 and +1 that drives coordinated transmembrane rearrangements, underlying pH-dependent cargo release. Our findings establish an integrated framework linking p24 architecture, isoform diversity, and pH regulation, offering a basis for understanding p24 trafficking complexity.</w:t>
      </w:r>
    </w:p>
    <w:p>
      <w:pPr>
        <w:spacing w:before="120" w:after="120"/>
      </w:pPr>
      <w:r>
        <w:rPr>
          <w:sz w:val="18"/>
        </w:rPr>
        <w:t>——————————————————————————————————————————————————————————————————————</w:t>
      </w:r>
    </w:p>
    <w:p>
      <w:pPr>
        <w:spacing w:before="160" w:after="40" w:line="240" w:lineRule="auto"/>
      </w:pPr>
      <w:r>
        <w:rPr>
          <w:b/>
        </w:rPr>
        <w:t xml:space="preserve">[281] </w:t>
      </w:r>
      <w:hyperlink r:id="rId1103">
        <w:r>
          <w:rPr>
            <w:color w:val="1155CC"/>
            <w:u w:val="single"/>
          </w:rPr>
          <w:t>母亲太空飞行造成的跨代损失</w:t>
        </w:r>
      </w:hyperlink>
    </w:p>
    <w:p>
      <w:pPr>
        <w:spacing w:before="0" w:after="80"/>
      </w:pPr>
      <w:r>
        <w:rPr>
          <w:i/>
          <w:sz w:val="20"/>
        </w:rPr>
        <w:t>EN: The transgenerational toll of maternal spaceflight</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04">
        <w:r>
          <w:rPr>
            <w:color w:val="1155CC"/>
            <w:u w:val="single"/>
          </w:rPr>
          <w:t>10.1073/pnas.2621879123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1105">
        <w:r>
          <w:rPr>
            <w:color w:val="1155CC"/>
            <w:u w:val="single"/>
          </w:rPr>
          <w:t>回复 Regon 和 Charuvi：支持 BpELIP1 在 BpFLC 调节中核染色质相关作用的证据</w:t>
        </w:r>
      </w:hyperlink>
    </w:p>
    <w:p>
      <w:pPr>
        <w:spacing w:before="0" w:after="80"/>
      </w:pPr>
      <w:r>
        <w:rPr>
          <w:i/>
          <w:sz w:val="20"/>
        </w:rPr>
        <w:t>EN: Reply to Regon and Charuvi: Evidence supporting a nuclear chromatin-associated role of BpELIP1 in BpFLC 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06">
        <w:r>
          <w:rPr>
            <w:color w:val="1155CC"/>
            <w:u w:val="single"/>
          </w:rPr>
          <w:t>10.1073/pnas.2617958123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1107">
        <w:r>
          <w:rPr>
            <w:color w:val="1155CC"/>
            <w:u w:val="single"/>
          </w:rPr>
          <w:t>搭便车检测问题：群体如何平衡公平与合作</w:t>
        </w:r>
      </w:hyperlink>
    </w:p>
    <w:p>
      <w:pPr>
        <w:spacing w:before="0" w:after="80"/>
      </w:pPr>
      <w:r>
        <w:rPr>
          <w:i/>
          <w:sz w:val="20"/>
        </w:rPr>
        <w:t>EN: The free-rider detection problem: How groups balance fairness and cooperation</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08">
        <w:r>
          <w:rPr>
            <w:color w:val="1155CC"/>
            <w:u w:val="single"/>
          </w:rPr>
          <w:t>10.1073/pnas.2622914123</w:t>
        </w:r>
      </w:hyperlink>
    </w:p>
    <w:p>
      <w:pPr>
        <w:spacing w:before="0" w:after="120"/>
      </w:pPr>
      <w:r>
        <w:rPr>
          <w:b/>
        </w:rPr>
        <w:t xml:space="preserve">Notes: </w:t>
      </w:r>
      <w:r>
        <w:t>abstract_source=openalex</w:t>
      </w:r>
    </w:p>
    <w:p>
      <w:pPr>
        <w:spacing w:before="0" w:after="80" w:lineRule="auto" w:line="276"/>
      </w:pPr>
      <w:r>
        <w:rPr>
          <w:b/>
        </w:rPr>
        <w:t xml:space="preserve">摘要（ZH）: </w:t>
      </w:r>
      <w:r>
        <w:t>规则指导和约束人类社会的行为。他们在协调社会生活方面发挥着核心作用。然而，规则有时会被明确地应用，有时会更加灵活。您超出了速度限制吗？警察可能不太关心你的理由——规则就是规则。您错过了论文的截止日期，但提供了令人信服的解释？老师可能会给予你无罪推论并延长截止日期。为什么规则有时应用得很严格，而有时却应用得比较灵活？利-帕尼斯等人。 (1) 开发一个引人注目的博弈论模型来理解这一点，将其与人类社会的另外两个核心原则联系起来：合作和欺骗。</w:t>
      </w:r>
    </w:p>
    <w:p>
      <w:pPr>
        <w:spacing w:before="0" w:after="200" w:lineRule="auto" w:line="276"/>
      </w:pPr>
      <w:r>
        <w:rPr>
          <w:b/>
        </w:rPr>
        <w:t xml:space="preserve">Abstract (EN): </w:t>
      </w:r>
      <w:r>
        <w:t>Rules guide and restrict behavior in human society. They play a central role in coordinating social life. Yet, rules are sometimes applied categorically and sometimes more flexibly. You exceeded a speed limit? A police officer may care little about your reason—a rule is a rule. You missed the deadline for an essay but provide a compelling explanation? A teacher may give you the benefit of the doubt and extend the deadline. Why are rules sometimes applied rigidly, while in other circumstances they are applied more flexibly? Lie-Panis et al. (1) develop a compelling game-theoretic model to make sense of this, by connecting it to two other central tenets of human societies: cooperation and deception.</w:t>
      </w:r>
    </w:p>
    <w:p>
      <w:pPr>
        <w:spacing w:before="120" w:after="120"/>
      </w:pPr>
      <w:r>
        <w:rPr>
          <w:sz w:val="18"/>
        </w:rPr>
        <w:t>——————————————————————————————————————————————————————————————————————</w:t>
      </w:r>
    </w:p>
    <w:p>
      <w:pPr>
        <w:spacing w:before="160" w:after="40" w:line="240" w:lineRule="auto"/>
      </w:pPr>
      <w:r>
        <w:rPr>
          <w:b/>
        </w:rPr>
        <w:t xml:space="preserve">[284] </w:t>
      </w:r>
      <w:hyperlink r:id="rId1109">
        <w:r>
          <w:rPr>
            <w:color w:val="1155CC"/>
            <w:u w:val="single"/>
          </w:rPr>
          <w:t>对 Zhou 等人的更正，变暖大大增强了南极沿海冰间湖作为关键碳汇的作用</w:t>
        </w:r>
      </w:hyperlink>
    </w:p>
    <w:p>
      <w:pPr>
        <w:spacing w:before="0" w:after="80"/>
      </w:pPr>
      <w:r>
        <w:rPr>
          <w:i/>
          <w:sz w:val="20"/>
        </w:rPr>
        <w:t>EN: Correction for Zhou et al., Warming substantially amplifies Antarctic coastal polynyas as key carbon sinks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10">
        <w:r>
          <w:rPr>
            <w:color w:val="1155CC"/>
            <w:u w:val="single"/>
          </w:rPr>
          <w:t>10.1073/pnas.2627297123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[285] </w:t>
      </w:r>
      <w:hyperlink r:id="rId1111">
        <w:r>
          <w:rPr>
            <w:color w:val="1155CC"/>
            <w:u w:val="single"/>
          </w:rPr>
          <w:t>Herpe 等人的修正，当替代方案变得至关重要时：线粒体甘油 3 磷酸脱氢酶的作用</w:t>
        </w:r>
      </w:hyperlink>
    </w:p>
    <w:p>
      <w:pPr>
        <w:spacing w:before="0" w:after="80"/>
      </w:pPr>
      <w:r>
        <w:rPr>
          <w:i/>
          <w:sz w:val="20"/>
        </w:rPr>
        <w:t>EN: Correction for Herpe et al., When alternative becomes essential: The role of mitochondrial glycerol-3-phosphate dehydrogenase</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12">
        <w:r>
          <w:rPr>
            <w:color w:val="1155CC"/>
            <w:u w:val="single"/>
          </w:rPr>
          <w:t>10.1073/pnas.2626815123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[286] </w:t>
      </w:r>
      <w:hyperlink r:id="rId1113">
        <w:r>
          <w:rPr>
            <w:color w:val="1155CC"/>
            <w:u w:val="single"/>
          </w:rPr>
          <w:t>更正 Wang 等人的观点，可配位的 PNT 结构域将 ERG 确立为前列腺癌的直接靶向致癌驱动因素</w:t>
        </w:r>
      </w:hyperlink>
    </w:p>
    <w:p>
      <w:pPr>
        <w:spacing w:before="0" w:after="80"/>
      </w:pPr>
      <w:r>
        <w:rPr>
          <w:i/>
          <w:sz w:val="20"/>
        </w:rPr>
        <w:t>EN: Correction for Wang et al., A ligandable PNT domain establishes ERG as a directly targetable oncogenic driver in prostate cancer</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14">
        <w:r>
          <w:rPr>
            <w:color w:val="1155CC"/>
            <w:u w:val="single"/>
          </w:rPr>
          <w:t>10.1073/pnas.2626818123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1115">
        <w:r>
          <w:rPr>
            <w:color w:val="1155CC"/>
            <w:u w:val="single"/>
          </w:rPr>
          <w:t>Chioino 等人的修正，腹侧纹状体 D1 神经元中的 Mitofusin-2 通过性别特异性线粒体突触重编程调节基于努力的动机</w:t>
        </w:r>
      </w:hyperlink>
    </w:p>
    <w:p>
      <w:pPr>
        <w:spacing w:before="0" w:after="80"/>
      </w:pPr>
      <w:r>
        <w:rPr>
          <w:i/>
          <w:sz w:val="20"/>
        </w:rPr>
        <w:t>EN: Correction for Chioino et al., Mitofusin-2 in ventral striatal D1 neurons regulates effort-based motivation through sex-specific mitochondrial–synaptic reprogramming</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16">
        <w:r>
          <w:rPr>
            <w:color w:val="1155CC"/>
            <w:u w:val="single"/>
          </w:rPr>
          <w:t>10.1073/pnas.2627119123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1117">
        <w:r>
          <w:rPr>
            <w:color w:val="1155CC"/>
            <w:u w:val="single"/>
          </w:rPr>
          <w:t>更正 Yang 等人的观点，Superenhancer 驱动 MARCO 的肿瘤特异性剪接变体促进三阴性乳腺癌进展</w:t>
        </w:r>
      </w:hyperlink>
    </w:p>
    <w:p>
      <w:pPr>
        <w:spacing w:before="0" w:after="80"/>
      </w:pPr>
      <w:r>
        <w:rPr>
          <w:i/>
          <w:sz w:val="20"/>
        </w:rPr>
        <w:t>EN: Correction for Yang et al., Superenhancer drives a tumor-specific splicing variant of MARCO to promote triple-negative breast cancer progression</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18">
        <w:r>
          <w:rPr>
            <w:color w:val="1155CC"/>
            <w:u w:val="single"/>
          </w:rPr>
          <w:t>10.1073/pnas.2626420123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[289] </w:t>
      </w:r>
      <w:hyperlink r:id="rId1119">
        <w:r>
          <w:rPr>
            <w:color w:val="1155CC"/>
            <w:u w:val="single"/>
          </w:rPr>
          <w:t>对 Brown 等人的《氘化水与天王星卫星的形成》的修正</w:t>
        </w:r>
      </w:hyperlink>
    </w:p>
    <w:p>
      <w:pPr>
        <w:spacing w:before="0" w:after="80"/>
      </w:pPr>
      <w:r>
        <w:rPr>
          <w:i/>
          <w:sz w:val="20"/>
        </w:rPr>
        <w:t>EN: Correction for Brown et al., Deuterated water and the formation of the satellites of Uranus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20">
        <w:r>
          <w:rPr>
            <w:color w:val="1155CC"/>
            <w:u w:val="single"/>
          </w:rPr>
          <w:t>10.1073/pnas.2625637123</w:t>
        </w:r>
      </w:hyperlink>
    </w:p>
    <w:p>
      <w:pPr>
        <w:spacing w:before="0" w:after="120"/>
      </w:pPr>
      <w:r>
        <w:rPr>
          <w:b/>
        </w:rPr>
        <w:t xml:space="preserve">Notes: </w:t>
      </w:r>
      <w:r>
        <w:t>abstract_source=openalex</w:t>
      </w:r>
    </w:p>
    <w:p>
      <w:pPr>
        <w:spacing w:before="0" w:after="80" w:lineRule="auto" w:line="276"/>
      </w:pPr>
      <w:r>
        <w:rPr>
          <w:b/>
        </w:rPr>
        <w:t xml:space="preserve">摘要（ZH）: </w:t>
      </w:r>
      <w:r>
        <w:t>作者指出，图 1234 和表 1 显示不正确。作者解释说，“Ariel 尾随半球和 Umbriel 尾随半球的光谱在分析中无意中切换。图 1234 中显示的光谱和表中的数据已切换这些光谱”。图表和表格已相应更新。更新的图表和表格如下。已发表的论文已更新。</w:t>
      </w:r>
    </w:p>
    <w:p>
      <w:pPr>
        <w:spacing w:before="0" w:after="200" w:lineRule="auto" w:line="276"/>
      </w:pPr>
      <w:r>
        <w:rPr>
          <w:b/>
        </w:rPr>
        <w:t xml:space="preserve">Abstract (EN): </w:t>
      </w:r>
      <w:r>
        <w:t>The authors note that Figs.1234and Table 1 appeared incorrectly.The authors explain that "the spectra of the trailing hemisphere of Ariel and the trailing hemisphere of Umbriel were inadvertently switched in the analysis.The spectra shown in Figs.1234and the data in the table have these spectra switched".The figures and table have been updated accordingly.The updated figures and table appear below.The published paper has been updated.</w:t>
      </w:r>
    </w:p>
    <w:p>
      <w:pPr>
        <w:spacing w:before="120" w:after="120"/>
      </w:pPr>
      <w:r>
        <w:rPr>
          <w:sz w:val="18"/>
        </w:rPr>
        <w:t>——————————————————————————————————————————————————————————————————————</w:t>
      </w:r>
    </w:p>
    <w:p>
      <w:pPr>
        <w:spacing w:before="160" w:after="40" w:line="240" w:lineRule="auto"/>
      </w:pPr>
      <w:r>
        <w:rPr>
          <w:b/>
        </w:rPr>
        <w:t xml:space="preserve">[290] </w:t>
      </w:r>
      <w:hyperlink r:id="rId1121">
        <w:r>
          <w:rPr>
            <w:color w:val="1155CC"/>
            <w:u w:val="single"/>
          </w:rPr>
          <w:t>病毒癌蛋白 E5 激活后膜中 PDGFRβ 的结构重排</w:t>
        </w:r>
      </w:hyperlink>
    </w:p>
    <w:p>
      <w:pPr>
        <w:spacing w:before="0" w:after="80"/>
      </w:pPr>
      <w:r>
        <w:rPr>
          <w:i/>
          <w:sz w:val="20"/>
        </w:rPr>
        <w:t>EN: Structural rearrangements of PDGFRβ in the membrane upon activation by the viral oncoprotein E5</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22">
        <w:r>
          <w:rPr>
            <w:color w:val="1155CC"/>
            <w:u w:val="single"/>
          </w:rPr>
          <w:t>10.1073/pnas.2603552123</w:t>
        </w:r>
      </w:hyperlink>
    </w:p>
    <w:p>
      <w:pPr>
        <w:spacing w:before="0" w:after="120"/>
      </w:pPr>
      <w:r>
        <w:rPr>
          <w:b/>
        </w:rPr>
        <w:t xml:space="preserve">Notes: </w:t>
      </w:r>
      <w:r>
        <w:t>abstract_source=crossref</w:t>
      </w:r>
    </w:p>
    <w:p>
      <w:pPr>
        <w:spacing w:before="0" w:after="80" w:lineRule="auto" w:line="276"/>
      </w:pPr>
      <w:r>
        <w:rPr>
          <w:b/>
        </w:rPr>
        <w:t xml:space="preserve">摘要（ZH）: </w:t>
      </w:r>
      <w:r>
        <w:t>来自牛乳头瘤病毒的跨膜蛋白 E5 是最短的天然癌蛋白。作为二聚体，它通过脂质双层内的特定螺旋-螺旋相互作用以不依赖于配体的方式激活血小板源性生长因子受体 β (PDGFRβ)。对于这两种蛋白质，我们确定了它们在对齐的膜样品中跨膜螺旋的详细方向。固态</w:t>
      </w:r>
      <w:r>
        <w:rPr>
          <w:vertAlign w:val="subscript"/>
        </w:rPr>
        <w:t>15</w:t>
      </w:r>
      <w:r>
        <w:t>N-NMR 用于研究单独的蛋白质片段以及异质复合物中的蛋白质片段。值得注意的是，E5 与 PDGFRβ 的组装导致了双方的结构重排。 E5 的结合触发 PDGFRβ 螺旋绕其轴旋转。同时，E5 螺旋在膜中旋转以暴露 Gln17 和 Asp33，从而允许它们各自与 PDGFRβ 上的 Thr513 和 Lys499 相互作用。基于这些不同的膜方向，我们提出了异聚 E5-PDGFRβ 复合物的结构模型，以及致癌受体激活的机制。</w:t>
      </w:r>
    </w:p>
    <w:p>
      <w:pPr>
        <w:spacing w:before="0" w:after="200" w:lineRule="auto" w:line="276"/>
      </w:pPr>
      <w:r>
        <w:rPr>
          <w:b/>
        </w:rPr>
        <w:t xml:space="preserve">Abstract (EN): </w:t>
      </w:r>
      <w:r>
        <w:t>The transmembrane protein E5 from bovine papillomavirus is the shortest naturally occurring oncoprotein. As a dimer, it activates the platelet-derived growth factor receptor β (PDGFRβ) in a ligand-independent manner by specific helix–helix interactions within the lipid bilayer. For both proteins, we determined the detailed orientations of their transmembrane helices in aligned membrane samples. Solid-state</w:t>
      </w:r>
      <w:r>
        <w:rPr>
          <w:vertAlign w:val="subscript"/>
        </w:rPr>
        <w:t>15</w:t>
      </w:r>
      <w:r>
        <w:t>N-NMR was used to study either protein segment alone, as well as in the heterocomplex. Remarkably, the assembly of E5 with PDGFRβ led to structural rearrangements of both partners. Binding of E5 triggers a rotation of the PDGFRβ helices around their axes. At the same time, the E5 helices rotate in the membrane to expose Gln17 as well as Asp33, allowing their respective interaction with Thr513 and Lys499 on PDGFRβ. Based on these distinct membrane orientations, we present structural models of the heteromeric E5-PDGFRβ complex, and a mechanism for oncogenic receptor activation.</w:t>
      </w:r>
    </w:p>
    <w:p>
      <w:pPr>
        <w:spacing w:before="120" w:after="120"/>
      </w:pPr>
      <w:r>
        <w:rPr>
          <w:sz w:val="18"/>
        </w:rPr>
        <w:t>——————————————————————————————————————————————————————————————————————</w:t>
      </w:r>
    </w:p>
    <w:p>
      <w:pPr>
        <w:spacing w:before="160" w:after="40" w:line="240" w:lineRule="auto"/>
      </w:pPr>
      <w:r>
        <w:rPr>
          <w:b/>
        </w:rPr>
        <w:t xml:space="preserve">[291] </w:t>
      </w:r>
      <w:hyperlink r:id="rId1123">
        <w:r>
          <w:rPr>
            <w:color w:val="1155CC"/>
            <w:u w:val="single"/>
          </w:rPr>
          <w:t>印度 Singhbhum 克拉通微生物垫残余物中 3.5 Ga 生物碳的直接测年</w:t>
        </w:r>
      </w:hyperlink>
    </w:p>
    <w:p>
      <w:pPr>
        <w:spacing w:before="0" w:after="80"/>
      </w:pPr>
      <w:r>
        <w:rPr>
          <w:i/>
          <w:sz w:val="20"/>
        </w:rPr>
        <w:t>EN: Direct dating of 3.5 Ga biogenic carbon in a microbial mat remnant, Singhbhum Craton, India</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24">
        <w:r>
          <w:rPr>
            <w:color w:val="1155CC"/>
            <w:u w:val="single"/>
          </w:rPr>
          <w:t>10.1073/pnas.2617912123</w:t>
        </w:r>
      </w:hyperlink>
    </w:p>
    <w:p>
      <w:pPr>
        <w:spacing w:before="0" w:after="120"/>
      </w:pPr>
      <w:r>
        <w:rPr>
          <w:b/>
        </w:rPr>
        <w:t xml:space="preserve">Notes: </w:t>
      </w:r>
      <w:r>
        <w:t>abstract_source=crossref</w:t>
      </w:r>
    </w:p>
    <w:p>
      <w:pPr>
        <w:spacing w:before="0" w:after="80" w:lineRule="auto" w:line="276"/>
      </w:pPr>
      <w:r>
        <w:rPr>
          <w:b/>
        </w:rPr>
        <w:t xml:space="preserve">摘要（ZH）: </w:t>
      </w:r>
      <w:r>
        <w:t>被解释为同火山成因的锆石是从印度 Singhbhum 克拉通东部铁矿石绿岩带的下部绿片岩“黑白带状”Bhitardari 燧石中回收的，产量为</w:t>
      </w:r>
      <w:r>
        <w:rPr>
          <w:vertAlign w:val="subscript"/>
        </w:rPr>
        <w:t>207</w:t>
      </w:r>
      <w:r>
        <w:t>铅/</w:t>
      </w:r>
      <w:r>
        <w:rPr>
          <w:vertAlign w:val="subscript"/>
        </w:rPr>
        <w:t>206</w:t>
      </w:r>
      <w:r>
        <w:t>Pb锆石年龄为3497±5 Ma（</w:t>
      </w:r>
      <w:r>
        <w:t xml:space="preserve"> </w:t>
      </w:r>
      <w:r>
        <w:t>n</w:t>
      </w:r>
      <w:r>
        <w:t xml:space="preserve"> </w:t>
      </w:r>
      <w:r>
        <w:t>= 4；平均水温差 = 1.2)。这种燧石含有丰富的碳质物质 (CM)，以两种结构模式出现：1) 分布在基质内的超细纹层和 2) 晚期石英脉中的石墨片。体积δ</w:t>
      </w:r>
      <w:r>
        <w:rPr>
          <w:vertAlign w:val="subscript"/>
        </w:rPr>
        <w:t>13</w:t>
      </w:r>
      <w:r>
        <w:t>C</w:t>
      </w:r>
      <w:r>
        <w:t xml:space="preserve"> </w:t>
      </w:r>
      <w:r>
        <w:t>CM</w:t>
      </w:r>
      <w:r>
        <w:t xml:space="preserve"> </w:t>
      </w:r>
      <w:r>
        <w:t>Bhitardari 燧石中两种模式的结果均为 -30.9‰，我们将其解释为反映了生物起源。这代表了直接测年、含有 CM 的古太古代岩石的记录，其中 δ</w:t>
      </w:r>
      <w:r>
        <w:rPr>
          <w:vertAlign w:val="subscript"/>
        </w:rPr>
        <w:t>13</w:t>
      </w:r>
      <w:r>
        <w:t>C</w:t>
      </w:r>
      <w:r>
        <w:t xml:space="preserve"> </w:t>
      </w:r>
      <w:r>
        <w:t>CM</w:t>
      </w:r>
      <w:r>
        <w:t xml:space="preserve"> </w:t>
      </w:r>
      <w:r>
        <w:t>生物活性的诊断。观察到的同位素组成与相对复杂的代谢机制（例如卡尔文循环）增加了 3.5 Ga 一致。</w:t>
      </w:r>
    </w:p>
    <w:p>
      <w:pPr>
        <w:spacing w:before="0" w:after="200" w:lineRule="auto" w:line="276"/>
      </w:pPr>
      <w:r>
        <w:rPr>
          <w:b/>
        </w:rPr>
        <w:t xml:space="preserve">Abstract (EN): </w:t>
      </w:r>
      <w:r>
        <w:t>Zircons interpreted to be of syn-volcanic origin recovered from the lower greenschist “black and white banded” Bhitardari chert, Eastern Iron Ore greenstone belt, Singhbhum craton, India, yield a</w:t>
      </w:r>
      <w:r>
        <w:rPr>
          <w:vertAlign w:val="subscript"/>
        </w:rPr>
        <w:t>207</w:t>
      </w:r>
      <w:r>
        <w:t>Pb/</w:t>
      </w:r>
      <w:r>
        <w:rPr>
          <w:vertAlign w:val="subscript"/>
        </w:rPr>
        <w:t>206</w:t>
      </w:r>
      <w:r>
        <w:t>Pb zircon age of 3497 ± 5 Ma (</w:t>
      </w:r>
      <w:r>
        <w:t xml:space="preserve"> </w:t>
      </w:r>
      <w:r>
        <w:t>n</w:t>
      </w:r>
      <w:r>
        <w:t xml:space="preserve"> </w:t>
      </w:r>
      <w:r>
        <w:t>= 4; MSWD = 1.2). This chert contains abundant carbonaceous matter (CM) that occurs in two textural modes: 1) ultrafine laminae distributed within the matrix and 2) graphite flakes in late quartz veins. Bulk δ</w:t>
      </w:r>
      <w:r>
        <w:rPr>
          <w:vertAlign w:val="subscript"/>
        </w:rPr>
        <w:t>13</w:t>
      </w:r>
      <w:r>
        <w:t>C</w:t>
      </w:r>
      <w:r>
        <w:t xml:space="preserve"> </w:t>
      </w:r>
      <w:r>
        <w:t>CM</w:t>
      </w:r>
      <w:r>
        <w:t xml:space="preserve"> </w:t>
      </w:r>
      <w:r>
        <w:t>of both modes in the Bhitardari chert yield a value of −30.9‰, which we interpret as reflecting a biogenic origin. This represents the documentation of a directly dated, CM-bearing, Paleoarchean rock with δ</w:t>
      </w:r>
      <w:r>
        <w:rPr>
          <w:vertAlign w:val="subscript"/>
        </w:rPr>
        <w:t>13</w:t>
      </w:r>
      <w:r>
        <w:t>C</w:t>
      </w:r>
      <w:r>
        <w:t xml:space="preserve"> </w:t>
      </w:r>
      <w:r>
        <w:t>CM</w:t>
      </w:r>
      <w:r>
        <w:t xml:space="preserve"> </w:t>
      </w:r>
      <w:r>
        <w:t>diagnostic of biologic activity. The observed isotopic compositions are consistent with the rise of relatively sophisticated metabolic mechanisms (e.g., Calvin cycle) by 3.5 Ga.</w:t>
      </w:r>
    </w:p>
    <w:p>
      <w:pPr>
        <w:spacing w:before="120" w:after="120"/>
      </w:pPr>
      <w:r>
        <w:rPr>
          <w:sz w:val="18"/>
        </w:rPr>
        <w:t>——————————————————————————————————————————————————————————————————————</w:t>
      </w:r>
    </w:p>
    <w:p>
      <w:pPr>
        <w:spacing w:before="160" w:after="40" w:line="240" w:lineRule="auto"/>
      </w:pPr>
      <w:r>
        <w:rPr>
          <w:b/>
        </w:rPr>
        <w:t xml:space="preserve">[292] </w:t>
      </w:r>
      <w:hyperlink r:id="rId1125">
        <w:r>
          <w:rPr>
            <w:color w:val="1155CC"/>
            <w:u w:val="single"/>
          </w:rPr>
          <w:t>VIA1 是类囊体膜完整性的保守调节因子，通过 VIPP1 发挥作用</w:t>
        </w:r>
      </w:hyperlink>
    </w:p>
    <w:p>
      <w:pPr>
        <w:spacing w:before="0" w:after="80"/>
      </w:pPr>
      <w:r>
        <w:rPr>
          <w:i/>
          <w:sz w:val="20"/>
        </w:rPr>
        <w:t>EN: VIA1 is a conserved regulator of thylakoid membrane integrity that acts through VIPP1</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26">
        <w:r>
          <w:rPr>
            <w:color w:val="1155CC"/>
            <w:u w:val="single"/>
          </w:rPr>
          <w:t>10.1073/pnas.2605816123</w:t>
        </w:r>
      </w:hyperlink>
    </w:p>
    <w:p>
      <w:pPr>
        <w:spacing w:before="0" w:after="120"/>
      </w:pPr>
      <w:r>
        <w:rPr>
          <w:b/>
        </w:rPr>
        <w:t xml:space="preserve">Notes: </w:t>
      </w:r>
      <w:r>
        <w:t>abstract_source=crossref</w:t>
      </w:r>
    </w:p>
    <w:p>
      <w:pPr>
        <w:spacing w:before="0" w:after="80" w:lineRule="auto" w:line="276"/>
      </w:pPr>
      <w:r>
        <w:rPr>
          <w:b/>
        </w:rPr>
        <w:t xml:space="preserve">摘要（ZH）: </w:t>
      </w:r>
      <w:r>
        <w:t>类囊体膜对于含氧光合作用是不可或缺的，但保护这些膜免受光氧化损伤的机制仍知之甚少。通过筛选在叶绿体未折叠蛋白反应过程中诱导的特征较差的蛋白，我们确定 VIA1 是模型绿藻在强光下保持类囊体完整性的重要因素</w:t>
      </w:r>
      <w:r>
        <w:t xml:space="preserve"> </w:t>
      </w:r>
      <w:r>
        <w:t>莱茵衣藻</w:t>
      </w:r>
      <w:r>
        <w:t xml:space="preserve"> </w:t>
      </w:r>
      <w:r>
        <w:t>。 VIA1 的缺失会导致对光氧化应激的过敏和类囊体的快速肿胀。 VIA1 定位于类囊体膜并直接结合质体中的囊泡诱导蛋白 1 (VIPP1)，这是类囊体生物发生和重塑所必需的 ESCRT-III 样蛋白。结构引导诱变表明，这种相互作用是 VIA1 功能所必需的，并且由翼状螺旋结构域界面介导，让人想起 ESCRT-II/ESCRT-III 结合模式。来自蓝藻和陆地植物的 VIA1 直系同源物拯救了衣藻</w:t>
      </w:r>
      <w:r>
        <w:t xml:space="preserve"> </w:t>
      </w:r>
      <w:r>
        <w:t>通过1</w:t>
      </w:r>
      <w:r>
        <w:t xml:space="preserve"> </w:t>
      </w:r>
      <w:r>
        <w:t>突变表型和 VIA1 的破坏</w:t>
      </w:r>
      <w:r>
        <w:t xml:space="preserve"> </w:t>
      </w:r>
      <w:r>
        <w:t>集胞藻</w:t>
      </w:r>
      <w:r>
        <w:t xml:space="preserve"> </w:t>
      </w:r>
      <w:r>
        <w:t>。 PCC 6803 会损害生长，尤其是在轻度胁迫下。总之，这些发现表明 VIA1 是一种进化上保守的蛋白质，通过与 VIPP1 的相互作用促进类囊体膜稳态。</w:t>
      </w:r>
    </w:p>
    <w:p>
      <w:pPr>
        <w:spacing w:before="0" w:after="200" w:lineRule="auto" w:line="276"/>
      </w:pPr>
      <w:r>
        <w:rPr>
          <w:b/>
        </w:rPr>
        <w:t xml:space="preserve">Abstract (EN): </w:t>
      </w:r>
      <w:r>
        <w:t>Thylakoid membranes are indispensable for oxygenic photosynthesis, yet the mechanisms that protect these membranes from photooxidative damage remain poorly understood. By screening poorly characterized proteins induced during the chloroplast unfolded protein response, we identify VIA1 as an essential factor for preserving thylakoid integrity under high light in the model green alga</w:t>
      </w:r>
      <w:r>
        <w:t xml:space="preserve"> </w:t>
      </w:r>
      <w:r>
        <w:t>Chlamydomonas reinhardtii</w:t>
      </w:r>
      <w:r>
        <w:t xml:space="preserve"> </w:t>
      </w:r>
      <w:r>
        <w:t>. Loss of VIA1 causes hypersensitivity to photo-oxidative stress and rapid thylakoid swelling. VIA1 localizes to thylakoid membranes and directly binds Vesicle-Inducing Protein in Plastids 1 (VIPP1), an ESCRT-III-like protein essential for thylakoid biogenesis and remodeling. Structure-guided mutagenesis shows that this interaction is required for VIA1 function and is mediated by a winged-helix domain interface reminiscent of ESCRT-II/ESCRT-III binding mode. VIA1 orthologs from cyanobacteria and land plants rescue the Chlamydomonas</w:t>
      </w:r>
      <w:r>
        <w:t xml:space="preserve"> </w:t>
      </w:r>
      <w:r>
        <w:t>via1</w:t>
      </w:r>
      <w:r>
        <w:t xml:space="preserve"> </w:t>
      </w:r>
      <w:r>
        <w:t>mutant phenotype, and disruption of VIA1 in</w:t>
      </w:r>
      <w:r>
        <w:t xml:space="preserve"> </w:t>
      </w:r>
      <w:r>
        <w:t>Synechocystis sp</w:t>
      </w:r>
      <w:r>
        <w:t xml:space="preserve"> </w:t>
      </w:r>
      <w:r>
        <w:t>. PCC 6803 impairs growth, especially under light stress. Together, these findings establish VIA1 as an evolutionarily conserved protein that contributes to thylakoid membrane homeostasis via its interaction with VIPP1.</w:t>
      </w:r>
    </w:p>
    <w:p>
      <w:pPr>
        <w:spacing w:before="120" w:after="120"/>
      </w:pPr>
      <w:r>
        <w:rPr>
          <w:sz w:val="18"/>
        </w:rPr>
        <w:t>——————————————————————————————————————————————————————————————————————</w:t>
      </w:r>
    </w:p>
    <w:p>
      <w:pPr>
        <w:spacing w:before="160" w:after="40" w:line="240" w:lineRule="auto"/>
      </w:pPr>
      <w:r>
        <w:rPr>
          <w:b/>
        </w:rPr>
        <w:t xml:space="preserve">[293] </w:t>
      </w:r>
      <w:hyperlink r:id="rId1127">
        <w:r>
          <w:rPr>
            <w:color w:val="1155CC"/>
            <w:u w:val="single"/>
          </w:rPr>
          <w:t>外周羧基体成分调节蓝藻糖原沉积</w:t>
        </w:r>
      </w:hyperlink>
    </w:p>
    <w:p>
      <w:pPr>
        <w:spacing w:before="0" w:after="80"/>
      </w:pPr>
      <w:r>
        <w:rPr>
          <w:i/>
          <w:sz w:val="20"/>
        </w:rPr>
        <w:t>EN: A peripheral carboxysome component regulates cyanobacterial glycogen deposition</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28">
        <w:r>
          <w:rPr>
            <w:color w:val="1155CC"/>
            <w:u w:val="single"/>
          </w:rPr>
          <w:t>10.1073/pnas.2607702123</w:t>
        </w:r>
      </w:hyperlink>
    </w:p>
    <w:p>
      <w:pPr>
        <w:spacing w:before="0" w:after="120"/>
      </w:pPr>
      <w:r>
        <w:rPr>
          <w:b/>
        </w:rPr>
        <w:t xml:space="preserve">Notes: </w:t>
      </w:r>
      <w:r>
        <w:t>abstract_source=crossref</w:t>
      </w:r>
    </w:p>
    <w:p>
      <w:pPr>
        <w:spacing w:before="0" w:after="80" w:lineRule="auto" w:line="276"/>
      </w:pPr>
      <w:r>
        <w:rPr>
          <w:b/>
        </w:rPr>
        <w:t xml:space="preserve">摘要（ZH）: </w:t>
      </w:r>
      <w:r>
        <w:t>在蓝细菌中，卡尔文循环的碳水化合物产物可用作细胞生物合成的前体或作为葡萄糖聚合物储存在糖原颗粒中。蓝藻的碳固定发生在羧基体中，而糖原通过 GlgC 在胞质溶胶中合成，以支持呼吸和在黑暗中的生存。在这里，我们鉴定了一种羧基体相关蛋白，</w:t>
      </w:r>
      <w:r>
        <w:t xml:space="preserve"> </w:t>
      </w:r>
      <w:r>
        <w:t>C</w:t>
      </w:r>
      <w:r>
        <w:t xml:space="preserve"> </w:t>
      </w:r>
      <w:r>
        <w:t>羧基体</w:t>
      </w:r>
      <w:r>
        <w:t xml:space="preserve"> </w:t>
      </w:r>
      <w:r>
        <w:t>我</w:t>
      </w:r>
      <w:r>
        <w:t xml:space="preserve"> </w:t>
      </w:r>
      <w:r>
        <w:t>互动</w:t>
      </w:r>
      <w:r>
        <w:t xml:space="preserve"> </w:t>
      </w:r>
      <w:r>
        <w:t>磷</w:t>
      </w:r>
      <w:r>
        <w:t xml:space="preserve"> </w:t>
      </w:r>
      <w:r>
        <w:t>蛋白质 G (CipG)，似乎在物理上连接这些过程。 CipG 在蓝藻基因组中与外周羧基体结构蛋白共结合，并通过需要保守色氨酸残基的过程定位到体内羧基体。 CipG 与 GlgC 共沉淀，并且是将 GlgC 亚群募集到羧基体表面所必需的。 CipG 突变体表现出糖原缺乏，而 CipG 过表达使糖原积累比野生型增加约六倍。综上所述，我们的结果强调了 CipG 在蓝藻能量代谢中的作用，并表明羧基体具有支撑与蓝藻中碳分配相关的关键酶的额外能力。</w:t>
      </w:r>
    </w:p>
    <w:p>
      <w:pPr>
        <w:spacing w:before="0" w:after="200" w:lineRule="auto" w:line="276"/>
      </w:pPr>
      <w:r>
        <w:rPr>
          <w:b/>
        </w:rPr>
        <w:t xml:space="preserve">Abstract (EN): </w:t>
      </w:r>
      <w:r>
        <w:t>In cyanobacteria, carbohydrate products of the Calvin cycle can be utilized as precursors for cellular biosynthesis or stored as glucose polymers in glycogen granules. Cyanobacterial carbon fixation occurs in the carboxysome, while glycogen is synthesized in the cytosol via GlgC to support respiration and survival in the dark. Here, we identify a carboxysome-associated protein,</w:t>
      </w:r>
      <w:r>
        <w:t xml:space="preserve"> </w:t>
      </w:r>
      <w:r>
        <w:t>C</w:t>
      </w:r>
      <w:r>
        <w:t xml:space="preserve"> </w:t>
      </w:r>
      <w:r>
        <w:t>arboxysome</w:t>
      </w:r>
      <w:r>
        <w:t xml:space="preserve"> </w:t>
      </w:r>
      <w:r>
        <w:t>I</w:t>
      </w:r>
      <w:r>
        <w:t xml:space="preserve"> </w:t>
      </w:r>
      <w:r>
        <w:t>nteracting</w:t>
      </w:r>
      <w:r>
        <w:t xml:space="preserve"> </w:t>
      </w:r>
      <w:r>
        <w:t>P</w:t>
      </w:r>
      <w:r>
        <w:t xml:space="preserve"> </w:t>
      </w:r>
      <w:r>
        <w:t>rotein G (CipG), that appears to physically link these processes. CipG coassociates in cyanobacterial genomes with peripheral carboxysome structural proteins and localizes to carboxysomes in vivo via a process that requires conserved tryptophan residues. CipG coprecipitates with GlgC and is required for the recruitment of a subpopulation of GlgC to the surface of the carboxysome. CipG mutants display a glycogen deficiency, while CipG overexpression increases glycogen accumulation ~sixfold compared to wild type. Taken together, our results highlight a role for CipG in cyanobacterial energy metabolism and suggest an additional capacity for the carboxysome to scaffold key enzymes related to carbon partitioning in cyanobacteria.</w:t>
      </w:r>
    </w:p>
    <w:p>
      <w:pPr>
        <w:spacing w:before="120" w:after="120"/>
      </w:pPr>
      <w:r>
        <w:rPr>
          <w:sz w:val="18"/>
        </w:rPr>
        <w:t>——————————————————————————————————————————————————————————————————————</w:t>
      </w:r>
    </w:p>
    <w:p>
      <w:pPr>
        <w:spacing w:before="160" w:after="40" w:line="240" w:lineRule="auto"/>
      </w:pPr>
      <w:r>
        <w:rPr>
          <w:b/>
        </w:rPr>
        <w:t xml:space="preserve">[294] </w:t>
      </w:r>
      <w:hyperlink r:id="rId1129">
        <w:r>
          <w:rPr>
            <w:color w:val="1155CC"/>
            <w:u w:val="single"/>
          </w:rPr>
          <w:t>猿和猴垂直攀爬的运动学趋同为有关早期人类树栖生活的争论提供了信息</w:t>
        </w:r>
      </w:hyperlink>
    </w:p>
    <w:p>
      <w:pPr>
        <w:spacing w:before="0" w:after="80"/>
      </w:pPr>
      <w:r>
        <w:rPr>
          <w:i/>
          <w:sz w:val="20"/>
        </w:rPr>
        <w:t>EN: A kinematic convergence in ape and monkey vertical climbing informs debates on early hominin arborealism</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30">
        <w:r>
          <w:rPr>
            <w:color w:val="1155CC"/>
            <w:u w:val="single"/>
          </w:rPr>
          <w:t>10.1073/pnas.2608183123</w:t>
        </w:r>
      </w:hyperlink>
    </w:p>
    <w:p>
      <w:pPr>
        <w:spacing w:before="0" w:after="120"/>
      </w:pPr>
      <w:r>
        <w:rPr>
          <w:b/>
        </w:rPr>
        <w:t xml:space="preserve">Notes: </w:t>
      </w:r>
      <w:r>
        <w:t>abstract_source=crossref</w:t>
      </w:r>
    </w:p>
    <w:p>
      <w:pPr>
        <w:spacing w:before="0" w:after="80" w:lineRule="auto" w:line="276"/>
      </w:pPr>
      <w:r>
        <w:rPr>
          <w:b/>
        </w:rPr>
        <w:t xml:space="preserve">摘要（ZH）: </w:t>
      </w:r>
      <w:r>
        <w:t>最近关于早期人类树栖的争论集中在将脚骨化石解释为形态上类似于“非洲猿”或“猴子”。这些相互对立的解释助长了对黑猩猩和人类最后共同祖先（LCA）的相互竞争的运动重建，包括对垂直攀爬行为普遍性的分歧。然而，目前尚不清楚拥有类似猿或猴子的脚是否会影响攀爬的安全性和效率，部分原因是关于在自然栖息地移动的猴类的运动学数据很少。在这里，我们展示了一种多产的垂直攀爬类猴的脚的详细运动学数据（</w:t>
      </w:r>
      <w:r>
        <w:t xml:space="preserve"> </w:t>
      </w:r>
      <w:r>
        <w:t>尾尾猴</w:t>
      </w:r>
      <w:r>
        <w:t xml:space="preserve"> </w:t>
      </w:r>
      <w:r>
        <w:t>;乌黑白眉猴）在野外。我们发现，黑白眉猴在垂直攀爬过程中表现出非凡的中足背屈程度（~46°），该值与黑猩猩的脚踝背屈幅度几乎无法区分，并且略大于攀爬雨林狩猎采集者的脚踝背屈。这一结果表明，无论踏板的整体形态如何，垂直运动带来的健身挑战都会在灵长类足部生物力学中产生运动学​​收敛，以提高攀爬安全性。即使与后来的古人类相比，LCA 保留了更像猴子的脚，我们的研究结果表明，垂直攀爬仍然是其运动能力的一个合理组成部分。</w:t>
      </w:r>
    </w:p>
    <w:p>
      <w:pPr>
        <w:spacing w:before="0" w:after="200" w:lineRule="auto" w:line="276"/>
      </w:pPr>
      <w:r>
        <w:rPr>
          <w:b/>
        </w:rPr>
        <w:t xml:space="preserve">Abstract (EN): </w:t>
      </w:r>
      <w:r>
        <w:t>Recent debates on early hominin arborealism center around interpretations of fossilized foot bones as being either “African ape”- or “monkey”- like in their morphology. These dueling interpretations fuel competing locomotor reconstructions of the last common ancestor of chimpanzees and humans (LCA), including disagreements about the prevalence of vertical climbing behaviors. Yet it remains unclear if possessing an ape- or monkey-like foot impacts the safety and efficiency of climbing, in part because few kinematic data exist on cercopithecoid monkeys moving in their natural habitats. Here, we present detailed kinematic data on the feet of a prolific vertically-climbing cercopithecoid monkey (</w:t>
      </w:r>
      <w:r>
        <w:t xml:space="preserve"> </w:t>
      </w:r>
      <w:r>
        <w:t>Cercocebus atys</w:t>
      </w:r>
      <w:r>
        <w:t xml:space="preserve"> </w:t>
      </w:r>
      <w:r>
        <w:t>; the sooty mangabey) in the wild. We show that sooty mangabeys exhibit an extraordinary degree of midfoot dorsiflexion (~46°) during vertical climbs, a value nearly indistinguishable in magnitude to the ankle dorsiflexion of chimpanzees and slightly larger than the ankle dorsiflexion of climbing rainforest hunter-gatherers. This result suggests that, regardless of overall pedal morphology, the fitness challenges posed by vertical movements produced a kinematic convergence in primate foot biomechanics to improve climbing safety. Even if the LCA retained a more monkey-like foot compared to later hominins, our findings suggest that vertical climbing would still be a plausible component of its locomotor repertoire.</w:t>
      </w:r>
    </w:p>
    <w:p>
      <w:pPr>
        <w:spacing w:before="120" w:after="120"/>
      </w:pPr>
      <w:r>
        <w:rPr>
          <w:sz w:val="18"/>
        </w:rPr>
        <w:t>——————————————————————————————————————————————————————————————————————</w:t>
      </w:r>
    </w:p>
    <w:p>
      <w:pPr>
        <w:spacing w:before="160" w:after="40" w:line="240" w:lineRule="auto"/>
      </w:pPr>
      <w:r>
        <w:rPr>
          <w:b/>
        </w:rPr>
        <w:t xml:space="preserve">[295] </w:t>
      </w:r>
      <w:hyperlink r:id="rId1131">
        <w:r>
          <w:rPr>
            <w:color w:val="1155CC"/>
            <w:u w:val="single"/>
          </w:rPr>
          <w:t>微重力下的选择性囊泡可塑性将外周转录组重塑与飞行后前庭功能障碍联系起来</w:t>
        </w:r>
      </w:hyperlink>
    </w:p>
    <w:p>
      <w:pPr>
        <w:spacing w:before="0" w:after="80"/>
      </w:pPr>
      <w:r>
        <w:rPr>
          <w:i/>
          <w:sz w:val="20"/>
        </w:rPr>
        <w:t>EN: Selective saccular plasticity under microgravity links peripheral transcriptomic remodeling to postflight vestibular dysfunction</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32">
        <w:r>
          <w:rPr>
            <w:color w:val="1155CC"/>
            <w:u w:val="single"/>
          </w:rPr>
          <w:t>10.1073/pnas.2605593123</w:t>
        </w:r>
      </w:hyperlink>
    </w:p>
    <w:p>
      <w:pPr>
        <w:spacing w:before="0" w:after="120"/>
      </w:pPr>
      <w:r>
        <w:rPr>
          <w:b/>
        </w:rPr>
        <w:t xml:space="preserve">Notes: </w:t>
      </w:r>
      <w:r>
        <w:t>abstract_source=crossref</w:t>
      </w:r>
    </w:p>
    <w:p>
      <w:pPr>
        <w:spacing w:before="0" w:after="80" w:lineRule="auto" w:line="276"/>
      </w:pPr>
      <w:r>
        <w:rPr>
          <w:b/>
        </w:rPr>
        <w:t xml:space="preserve">摘要（ZH）: </w:t>
      </w:r>
      <w:r>
        <w:t>长时间暴露在微重力下会破坏人体平衡和空间定向，但前庭适应太空飞行的分子机制仍然知之甚少。在这里，我们测试了这样的假设：球囊（主要的重力感应耳石器官）在太空飞行期间经历选择性重塑并导致短暂的飞行后姿势不稳定。使用跨物种方法，我们将小鼠耳石器官的转录组分析与宇航员的生理评估结合起来。 35 天的太空飞行后，对小鼠耳石感觉上皮进行基于激光显微切割的 RNA 测序，结果显示球囊中存在明显的器官特异性转录组重塑，而椭圆囊保持稳定。主成分和聚类分析表明，囊状转录组在微重力下向椭圆囊状轮廓转变，同时伴随着与突触和神经元功能相关的基因的变化。启动子基序分析确定了 NFAT 相关转录网络，表明 Ca</w:t>
      </w:r>
      <w:r>
        <w:t xml:space="preserve"> </w:t>
      </w:r>
      <w:r>
        <w:t>2+</w:t>
      </w:r>
      <w:r>
        <w:t xml:space="preserve"> </w:t>
      </w:r>
      <w:r>
        <w:t>突触可塑性的依赖性调节作为重力依赖性适应的潜在分子基础。与此同时，对长期任务（157至328天）后的宇航员进行的前庭测试显示，返回地球后球囊介导的颈前庭诱发肌源性电位选择性减弱，姿势摇摆增加，而椭圆囊介导的反应和半规管功能得以保留。囊泡功能和姿势稳定性</w:t>
      </w:r>
    </w:p>
    <w:p>
      <w:pPr>
        <w:spacing w:before="0" w:after="200" w:lineRule="auto" w:line="276"/>
      </w:pPr>
      <w:r>
        <w:rPr>
          <w:b/>
        </w:rPr>
        <w:t xml:space="preserve">Abstract (EN): </w:t>
      </w:r>
      <w:r>
        <w:t>Long-duration exposure to microgravity disrupts human balance and spatial orientation, yet the molecular mechanisms underlying vestibular adaptation to spaceflight remain poorly understood. Here, we tested the hypothesis that the saccule, the primary gravity-sensing otolith organ, undergoes selective remodeling during spaceflight and contributes to transient postflight postural instability. Using a cross-species approach, we combined transcriptomic analysis of mouse otolith organs with physiological assessments in astronauts. Laser microdissection–based RNA sequencing of mouse otolith sensory epithelia after a 35-d spaceflight revealed pronounced, organ-specific transcriptomic remodeling in the saccule, whereas the utricle remained stable. Principal component and clustering analyses demonstrated that the saccular transcriptome shifted toward an utricle-like profile under microgravity, accompanied by changes in genes related to synaptic and neuronal function. Promoter motif analysis identified NFAT-associated transcriptional networks, suggesting Ca</w:t>
      </w:r>
      <w:r>
        <w:t xml:space="preserve"> </w:t>
      </w:r>
      <w:r>
        <w:t>2+</w:t>
      </w:r>
      <w:r>
        <w:t xml:space="preserve"> </w:t>
      </w:r>
      <w:r>
        <w:t>-dependent regulation of synaptic plasticity as a potential molecular substrate of gravity-dependent adaptation. In parallel, vestibular testing in astronauts following long-duration missions (157 to 328 d) revealed selective attenuation of saccule-mediated cervical vestibular-evoked myogenic potentials and increased postural sway immediately after return to Earth, while utricle-mediated responses and semicircular canal function were preserved. Both saccular function and postural stability recovered within approximately 10 d. Notably, early postflight postural instability was partially mitigated by noisy galvanic vestibular stimulation, consistent with stochastic resonance–mediated sensory enhancement. Together, these findings identify the saccule as a plastic gravity sensor and establish a mechanistic link between peripheral molecular remodeling and functional balance deficits after spaceflight, providing a framework for developing countermeasures to facilitate vestibular readaptation during human space exploration.</w:t>
      </w:r>
    </w:p>
    <w:p>
      <w:pPr>
        <w:spacing w:before="120" w:after="120"/>
      </w:pPr>
      <w:r>
        <w:rPr>
          <w:sz w:val="18"/>
        </w:rPr>
        <w:t>——————————————————————————————————————————————————————————————————————</w:t>
      </w:r>
    </w:p>
    <w:p>
      <w:pPr>
        <w:spacing w:before="160" w:after="40" w:line="240" w:lineRule="auto"/>
      </w:pPr>
      <w:r>
        <w:rPr>
          <w:b/>
        </w:rPr>
        <w:t xml:space="preserve">[296] </w:t>
      </w:r>
      <w:hyperlink r:id="rId1133">
        <w:r>
          <w:rPr>
            <w:color w:val="1155CC"/>
            <w:u w:val="single"/>
          </w:rPr>
          <w:t>金属硅酸盐混溶性引起的无核系外行星</w:t>
        </w:r>
      </w:hyperlink>
    </w:p>
    <w:p>
      <w:pPr>
        <w:spacing w:before="0" w:after="80"/>
      </w:pPr>
      <w:r>
        <w:rPr>
          <w:i/>
          <w:sz w:val="20"/>
        </w:rPr>
        <w:t>EN: Coreless exoplanets induced by metal–silicate miscibility</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34">
        <w:r>
          <w:rPr>
            <w:color w:val="1155CC"/>
            <w:u w:val="single"/>
          </w:rPr>
          <w:t>10.1073/pnas.2615884123</w:t>
        </w:r>
      </w:hyperlink>
    </w:p>
    <w:p>
      <w:pPr>
        <w:spacing w:before="0" w:after="120"/>
      </w:pPr>
      <w:r>
        <w:rPr>
          <w:b/>
        </w:rPr>
        <w:t xml:space="preserve">Notes: </w:t>
      </w:r>
      <w:r>
        <w:t>abstract_source=crossref</w:t>
      </w:r>
    </w:p>
    <w:p>
      <w:pPr>
        <w:spacing w:before="0" w:after="80" w:lineRule="auto" w:line="276"/>
      </w:pPr>
      <w:r>
        <w:rPr>
          <w:b/>
        </w:rPr>
        <w:t xml:space="preserve">摘要（ZH）: </w:t>
      </w:r>
      <w:r>
        <w:t>由于金属和硅酸盐在典型的行星形成条件下不混溶，通常预计系外行星的岩石内部会分化为硅酸盐地幔和金属核心。在这里，我们使用由从头开始的机器学习潜力驱动的大规模分子动力学模拟来探索金属液体和硅酸盐熔体在系外行星内部极端压力-温度条件下的相行为。结果绘制了固溶线闭合曲线，在该曲线之上，铁和硅酸盐混合物的单一均匀液相是稳定的。在我们的整体地球成分和内部模型的假设下，推断的固溶线闭合曲线允许在一些具有厚气体包层的热超级地球和亚海王星中存在深层部分混合或在极端情况下完全混合的金属硅酸盐内部。与分化行星相比，无核行星表现出几乎相同的质量半径关系，但其内部压缩程度明显较低，中心压力降低了两倍。内部压缩的减少可能会强烈影响它们的热物理性质和内部动力学。无核行星还拥有更大​​的流体洛夫数，这个量在未来的任务中可能是可观测和可测试的。</w:t>
      </w:r>
    </w:p>
    <w:p>
      <w:pPr>
        <w:spacing w:before="0" w:after="200" w:lineRule="auto" w:line="276"/>
      </w:pPr>
      <w:r>
        <w:rPr>
          <w:b/>
        </w:rPr>
        <w:t xml:space="preserve">Abstract (EN): </w:t>
      </w:r>
      <w:r>
        <w:t>The rocky interiors of exoplanets are generally expected to differentiate into a silicate mantle and a metallic core due to the immiscibility of metal and silicate under typical planetary formation conditions. Here, we use large-scale molecular dynamics simulations driven by machine-learning potentials of ab initio quality to explore the phase behavior of metallic liquids and silicate melts under the extreme pressure–temperature conditions of the exoplanetary interiors. The results map out the solvus closure curve, above which a single homogeneous liquid phase of the iron and silicate mixture is stable. Under the assumptions of our bulk Earth composition and interior models, the inferred solvus closure curve permits deep partially mixed or, in extreme cases, fully mixed metal–silicate interiors in some hot super-Earths and sub-Neptunes with thick gas envelopes. Compared with differentiated planets, coreless planets exhibit nearly identical mass–radius relationships but possess markedly less compressed interiors, with central pressures reduced by up to a factor of two. This reduction in internal compression may strongly influence their thermophysical properties and interior dynamics. Coreless planets also possess a larger fluid Love number, a quantity potentially observable and testable in future missions.</w:t>
      </w:r>
    </w:p>
    <w:p>
      <w:pPr>
        <w:spacing w:before="120" w:after="120"/>
      </w:pPr>
      <w:r>
        <w:rPr>
          <w:sz w:val="18"/>
        </w:rPr>
        <w:t>——————————————————————————————————————————————————————————————————————</w:t>
      </w:r>
    </w:p>
    <w:p>
      <w:pPr>
        <w:spacing w:before="160" w:after="40" w:line="240" w:lineRule="auto"/>
      </w:pPr>
      <w:r>
        <w:rPr>
          <w:b/>
        </w:rPr>
        <w:t xml:space="preserve">[297] </w:t>
      </w:r>
      <w:hyperlink r:id="rId1135">
        <w:r>
          <w:rPr>
            <w:color w:val="1155CC"/>
            <w:u w:val="single"/>
          </w:rPr>
          <w:t>通过温度和磁场操纵 CrPS4 中的局域激子</w:t>
        </w:r>
      </w:hyperlink>
    </w:p>
    <w:p>
      <w:pPr>
        <w:spacing w:before="0" w:after="80"/>
      </w:pPr>
      <w:r>
        <w:rPr>
          <w:i/>
          <w:sz w:val="20"/>
        </w:rPr>
        <w:t>EN: Manipulation of localized excitons in CrPS4 by temperature and magnetic field</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36">
        <w:r>
          <w:rPr>
            <w:color w:val="1155CC"/>
            <w:u w:val="single"/>
          </w:rPr>
          <w:t>10.1073/pnas.2616584123</w:t>
        </w:r>
      </w:hyperlink>
    </w:p>
    <w:p>
      <w:pPr>
        <w:spacing w:before="0" w:after="120"/>
      </w:pPr>
      <w:r>
        <w:rPr>
          <w:b/>
        </w:rPr>
        <w:t xml:space="preserve">Notes: </w:t>
      </w:r>
      <w:r>
        <w:t>abstract_source=crossref</w:t>
      </w:r>
    </w:p>
    <w:p>
      <w:pPr>
        <w:spacing w:before="0" w:after="80" w:lineRule="auto" w:line="276"/>
      </w:pPr>
      <w:r>
        <w:rPr>
          <w:b/>
        </w:rPr>
        <w:t xml:space="preserve">摘要（ZH）: </w:t>
      </w:r>
      <w:r>
        <w:t>层状范德华磁性半导体为探索与自旋和晶格自由度交织的激子现象提供了一个多功能平台，使激子能够充当磁序的敏感探针。肌酸磷酸酯</w:t>
      </w:r>
      <w:r>
        <w:rPr>
          <w:vertAlign w:val="subscript"/>
        </w:rPr>
        <w:t>4</w:t>
      </w:r>
      <w:r>
        <w:t>是一种层状反铁磁半导体，具有丰富的激子特征，其微观起源以及与磁有序的联系仍不完全清楚。在这里，我们研究了块状 CrPS 的电子和激子特性</w:t>
      </w:r>
      <w:r>
        <w:rPr>
          <w:vertAlign w:val="subscript"/>
        </w:rPr>
        <w:t>4</w:t>
      </w:r>
      <w:r>
        <w:t>结合多体摄动理论、动态平均场理论和基于光致发光的实验。我们的计算建立了 CrPS</w:t>
      </w:r>
      <w:r>
        <w:rPr>
          <w:vertAlign w:val="subscript"/>
        </w:rPr>
        <w:t>4</w:t>
      </w:r>
      <w:r>
        <w:t>作为反铁磁相带隙为 2.48 eV 的直接带隙半导体。理论预测了几个亚带隙激子跃迁，包括多个自旋允许的激子和一个额外的自旋翻转激发，主要集中在 Cr 上</w:t>
      </w:r>
      <w:r>
        <w:t xml:space="preserve"> </w:t>
      </w:r>
      <w:r>
        <w:t>3+</w:t>
      </w:r>
      <w:r>
        <w:t xml:space="preserve"> </w:t>
      </w:r>
      <w:r>
        <w:t>离子。依赖于温度和磁场的光学测量揭示了局域态之间热驱动激子的重新分布，并识别了特征能量变化，从而提供了 CrPS 中磁相变的清晰光学特征</w:t>
      </w:r>
      <w:r>
        <w:rPr>
          <w:vertAlign w:val="subscript"/>
        </w:rPr>
        <w:t>4</w:t>
      </w:r>
      <w:r>
        <w:t>。这些结果提供了对反铁磁体激子转变的见解，并提出了全光学传感和光驱动控制其磁序的潜在途径。</w:t>
      </w:r>
    </w:p>
    <w:p>
      <w:pPr>
        <w:spacing w:before="0" w:after="200" w:lineRule="auto" w:line="276"/>
      </w:pPr>
      <w:r>
        <w:rPr>
          <w:b/>
        </w:rPr>
        <w:t xml:space="preserve">Abstract (EN): </w:t>
      </w:r>
      <w:r>
        <w:t>Layered van der Waals magnetic semiconductors provide a versatile platform for exploring excitonic phenomena intertwined with spin and lattice degrees of freedom, enabling excitons to act as sensitive probes of magnetic order. CrPS</w:t>
      </w:r>
      <w:r>
        <w:rPr>
          <w:vertAlign w:val="subscript"/>
        </w:rPr>
        <w:t>4</w:t>
      </w:r>
      <w:r>
        <w:t>is a layered antiferromagnetic semiconductor that hosts rich excitonic features whose microscopic origin and connection to magnetic ordering remain incompletely understood. Here, we investigate the electronic and excitonic properties of bulk CrPS</w:t>
      </w:r>
      <w:r>
        <w:rPr>
          <w:vertAlign w:val="subscript"/>
        </w:rPr>
        <w:t>4</w:t>
      </w:r>
      <w:r>
        <w:t>using a combination of many-body perturbation theory, dynamical mean-field theory, and photoluminescence-based experiments. Our calculations establish CrPS</w:t>
      </w:r>
      <w:r>
        <w:rPr>
          <w:vertAlign w:val="subscript"/>
        </w:rPr>
        <w:t>4</w:t>
      </w:r>
      <w:r>
        <w:t>as a direct-gap semiconductor with a bandgap of 2.48 eV in the antiferromagnetic phase. Several subbandgap excitonic transitions are predicted by theory, comprising multiple spin-allowed excitons and an additional spin-flip excitation, predominantly localized on the Cr</w:t>
      </w:r>
      <w:r>
        <w:t xml:space="preserve"> </w:t>
      </w:r>
      <w:r>
        <w:t>3+</w:t>
      </w:r>
      <w:r>
        <w:t xml:space="preserve"> </w:t>
      </w:r>
      <w:r>
        <w:t>ions. Temperature- and magnetic-field-dependent optical measurements reveal thermally driven exciton redistribution among localized states and identify characteristic energy shifts that provide clear optical signatures of magnetic phase transitions in CrPS</w:t>
      </w:r>
      <w:r>
        <w:rPr>
          <w:vertAlign w:val="subscript"/>
        </w:rPr>
        <w:t>4</w:t>
      </w:r>
      <w:r>
        <w:t>. These results provide insights into the excitonic transitions of antiferromagnets and suggest potential routes for all-optical sensing and light-driven control of their magnetic order.</w:t>
      </w:r>
    </w:p>
    <w:p>
      <w:pPr>
        <w:spacing w:before="120" w:after="120"/>
      </w:pPr>
      <w:r>
        <w:rPr>
          <w:sz w:val="18"/>
        </w:rPr>
        <w:t>——————————————————————————————————————————————————————————————————————</w:t>
      </w:r>
    </w:p>
    <w:p>
      <w:pPr>
        <w:spacing w:before="160" w:after="40" w:line="240" w:lineRule="auto"/>
      </w:pPr>
      <w:r>
        <w:rPr>
          <w:b/>
        </w:rPr>
        <w:t xml:space="preserve">[298] </w:t>
      </w:r>
      <w:hyperlink r:id="rId1137">
        <w:r>
          <w:rPr>
            <w:color w:val="1155CC"/>
            <w:u w:val="single"/>
          </w:rPr>
          <w:t>三分之一的基孔肯雅病毒脑炎或脊髓炎病例是由中和 I 型干扰素的自身抗体引起的</w:t>
        </w:r>
      </w:hyperlink>
    </w:p>
    <w:p>
      <w:pPr>
        <w:spacing w:before="0" w:after="80"/>
      </w:pPr>
      <w:r>
        <w:rPr>
          <w:i/>
          <w:sz w:val="20"/>
        </w:rPr>
        <w:t>EN: Autoantibodies neutralizing type I interferons underlie a third of cases of Chikungunya virus encephalitis or myelitis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38">
        <w:r>
          <w:rPr>
            <w:color w:val="1155CC"/>
            <w:u w:val="single"/>
          </w:rPr>
          <w:t>10.1073/pnas.2616897123</w:t>
        </w:r>
      </w:hyperlink>
    </w:p>
    <w:p>
      <w:pPr>
        <w:spacing w:before="0" w:after="120"/>
      </w:pPr>
      <w:r>
        <w:rPr>
          <w:b/>
        </w:rPr>
        <w:t xml:space="preserve">Notes: </w:t>
      </w:r>
      <w:r>
        <w:t>abstract_source=crossref</w:t>
      </w:r>
    </w:p>
    <w:p>
      <w:pPr>
        <w:spacing w:before="0" w:after="80" w:lineRule="auto" w:line="276"/>
      </w:pPr>
      <w:r>
        <w:rPr>
          <w:b/>
        </w:rPr>
        <w:t xml:space="preserve">摘要（ZH）: </w:t>
      </w:r>
      <w:r>
        <w:t>基孔肯雅病毒 (CHIKV) 感染通常不会危及生命，但在极少数情况下可能会影响中枢神经系统 (CNS)。在来自马提尼克岛（法国海外领土）和巴西（0 至 89 岁患者）的三组 CHIKV 确诊病例中，</w:t>
      </w:r>
      <w:r>
        <w:t xml:space="preserve"> </w:t>
      </w:r>
      <w:r>
        <w:t>n</w:t>
      </w:r>
      <w:r>
        <w:t xml:space="preserve"> </w:t>
      </w:r>
      <w:r>
        <w:t>= 245），20 名患者患有 CNS 感染（年龄 17 至 87 岁）。 35% 的脑炎 (4/15)、脑脊髓炎 (1/2) 或脊髓炎 (2/3) 患者（4 名男性和 3 名女性，年龄 17 至 87 岁）中发现中和 I 型干扰素 (AAN-I-IFN) 的自身抗体，但在 225 名无 CNS 感染的患者中不存在。他们中和了高浓度（10 至 1,000 ng/mL）的 IFN-α2、IFN-α8 和 IFN-ω，并且一名患者的抗体也中和了 IFN-β。所有样品还中和了其他 10 种 IFN-α 亚型（至少 100 pg/mL）。这种血液自身抗体组合分别出现在 70 岁以下和 70 岁以上健康个体的约 0.02% 和 0.6% 中。因此，在 CHIKV 感染之前存在 AAN-I-IFN 会使中枢神经系统疾病的风险相对于普通人群增加约 850 倍。</w:t>
      </w:r>
    </w:p>
    <w:p>
      <w:pPr>
        <w:spacing w:before="0" w:after="200" w:lineRule="auto" w:line="276"/>
      </w:pPr>
      <w:r>
        <w:rPr>
          <w:b/>
        </w:rPr>
        <w:t xml:space="preserve">Abstract (EN): </w:t>
      </w:r>
      <w:r>
        <w:t>Chikungunya virus (CHIKV) infection is typically not life threatening but may, in rare cases, affect the central nervous system (CNS). In three cohorts of confirmed CHIKV cases from Martinique (French overseas territory) and Brazil (patients aged 0 to 89 y,</w:t>
      </w:r>
      <w:r>
        <w:t xml:space="preserve"> </w:t>
      </w:r>
      <w:r>
        <w:t>n</w:t>
      </w:r>
      <w:r>
        <w:t xml:space="preserve"> </w:t>
      </w:r>
      <w:r>
        <w:t>= 245), 20 patients had CNS infection (aged 17 to 87 y). Autoantibodies neutralizing type I interferons (AAN-I-IFN) were found in 35% of patients (4 male and 3 female, aged 17 to 87 y) with encephalitis (4/15), encephalomyelitis (1/2), or myelitis (2/3), but were absent in 225 patients without CNS infection. They neutralized high concentrations (10 to 1,000 ng/mL) of IFN-α2, IFN-α8, and IFN-ω, and the antibodies of one patient also neutralized IFN-β. All samples also neutralized the other 10 IFN-α subtypes (at least 100 pg/mL). This combination of blood autoantibodies occurs in ~0.02% and 0.6% of healthy individuals under and over 70 y of age, respectively. The presence of AAN-I-IFN before CHIKV infection therefore increased the risk of CNS disease ~850-fold relative to the general population.</w:t>
      </w:r>
    </w:p>
    <w:p>
      <w:pPr>
        <w:spacing w:before="120" w:after="120"/>
      </w:pPr>
      <w:r>
        <w:rPr>
          <w:sz w:val="18"/>
        </w:rPr>
        <w:t>——————————————————————————————————————————————————————————————————————</w:t>
      </w:r>
    </w:p>
    <w:p>
      <w:pPr>
        <w:spacing w:before="160" w:after="40" w:line="240" w:lineRule="auto"/>
      </w:pPr>
      <w:r>
        <w:rPr>
          <w:b/>
        </w:rPr>
        <w:t xml:space="preserve">[299] </w:t>
      </w:r>
      <w:hyperlink r:id="rId1139">
        <w:r>
          <w:rPr>
            <w:color w:val="1155CC"/>
            <w:u w:val="single"/>
          </w:rPr>
          <w:t>纳图夫采集者三千年来食用蜥蜴和蛇</w:t>
        </w:r>
      </w:hyperlink>
    </w:p>
    <w:p>
      <w:pPr>
        <w:spacing w:before="0" w:after="80"/>
      </w:pPr>
      <w:r>
        <w:rPr>
          <w:i/>
          <w:sz w:val="20"/>
        </w:rPr>
        <w:t>EN: Three millennia of lizard and snake consumption by Natufian foragers</w:t>
      </w:r>
    </w:p>
    <w:p>
      <w:pPr>
        <w:spacing w:before="0" w:after="120"/>
      </w:pPr>
      <w:r>
        <w:rPr>
          <w:b/>
        </w:rPr>
        <w:t xml:space="preserve">Source: </w:t>
      </w:r>
      <w:r>
        <w:t>Proceedings of the National Academy of Sciences: Keyword search for query</w:t>
      </w:r>
      <w:r>
        <w:t xml:space="preserve">    </w:t>
      </w:r>
      <w:r>
        <w:rPr>
          <w:b/>
        </w:rPr>
        <w:t xml:space="preserve">Pub date: </w:t>
      </w:r>
      <w:r>
        <w:t>2026-08-17 07:00:00+00:00</w:t>
      </w:r>
      <w:r>
        <w:t xml:space="preserve">    </w:t>
      </w:r>
      <w:r>
        <w:rPr>
          <w:b/>
        </w:rPr>
        <w:t xml:space="preserve">DOI: </w:t>
      </w:r>
      <w:hyperlink r:id="rId1140">
        <w:r>
          <w:rPr>
            <w:color w:val="1155CC"/>
            <w:u w:val="single"/>
          </w:rPr>
          <w:t>10.1073/pnas.2609354123</w:t>
        </w:r>
      </w:hyperlink>
    </w:p>
    <w:p>
      <w:pPr>
        <w:spacing w:before="0" w:after="120"/>
      </w:pPr>
      <w:r>
        <w:rPr>
          <w:b/>
        </w:rPr>
        <w:t xml:space="preserve">Notes: </w:t>
      </w:r>
      <w:r>
        <w:t>abstract_source=crossref</w:t>
      </w:r>
    </w:p>
    <w:p>
      <w:pPr>
        <w:spacing w:before="0" w:after="80" w:lineRule="auto" w:line="276"/>
      </w:pPr>
      <w:r>
        <w:rPr>
          <w:b/>
        </w:rPr>
        <w:t xml:space="preserve">摘要（ZH）: </w:t>
      </w:r>
      <w:r>
        <w:t>有鳞动物（蜥蜴和蛇）的开发为了解更新世末期人类饮食的灵活性提供了一个鲜有记录的窗口。这项研究分析了 el-Wad Terrace（以色​​列）超过三千年的有鳞动物遗骸，揭示了体型庞大的蛇和蜥蜴构成了纳图夫生存的重要且一致的部分。蛇椎骨被屠宰的反复证据表明，在所有职业阶段都经常食用蛇。有鳞丰度和骨修饰模式的变化对应于场地使用强度的变化以及人类和动物捕食者对古动物沉积的相对贡献。基于物种的栖息地权重表明地中海马基环境大致稳定，检测到的环境变化不会显着改变当地有鳞动物的丰度，这表明有鳞动物利用的变化不太可能是环境强迫造成的。在区域记录中，纳图夫爬行动物群聚集在一起，展示了人类的觅食选择，并与旧石器时代遗址的群落形成对比。在后者中，爬行动物的数量要少得多，按地理分类结构，并且包括更多样化和更小的类群。为了努力了解导致依赖有鳞动物获取食物的社会经济环境，我们通过考虑体型、敏捷性以及处理不同类群相关的风险来评估它们的猎物排名。我们发现，尽管栖息强度存在波动，但高排名和中排名的物种始终是目标，这表明</w:t>
      </w:r>
    </w:p>
    <w:p>
      <w:pPr>
        <w:spacing w:before="0" w:after="200" w:lineRule="auto" w:line="276"/>
      </w:pPr>
      <w:r>
        <w:rPr>
          <w:b/>
        </w:rPr>
        <w:t xml:space="preserve">Abstract (EN): </w:t>
      </w:r>
      <w:r>
        <w:t>Squamate (lizard and snake) exploitation provides a rarely documented window into human dietary flexibility at the end of the Pleistocene. This study analyzes over three millennia of squamate remains from el-Wad Terrace (Israel), revealing that large-bodied snakes and lizards formed a substantial and consistent part of Natufian subsistence. Repeated evidence of butchery on snake vertebrae indicates regular consumption across all occupation phases. Shifts in squamate abundance and bone modification patterns correspond to shifts in site-use intensity and the relative contribution of human and animal predators to archaeofaunal deposition. Species-based habitat weighting indicates a broadly stable Mediterranean maquis environment, where detected environmental shifts would not substantially alter local squamate abundance, demonstrating that variation in squamate use is unlikely to have resulted from environmental forcing. In the regional record, Natufian herpetofaunal assemblages cluster together, demonstrating human foraging choices and contrasting with those of older Paleolithic sites. In the latter, herpetofauna is far less abundant, taxonomically structured by geography, and includes more diverse and smaller-bodied taxa. Striving to understand the socioeconomic circumstances that contributed to relying on squamates for food, we assess their prey ranking by accounting for body size, agility, and the risks associated with handling different taxa. We found that high- and medium-ranked species were consistently targeted despite fluctuations in habitation intensity, suggesting squamate resilience. These results uncover the long-term role of reptiles in emerging sedentary lifeways and possibly early human impact on local reptile communities.</w:t>
      </w:r>
    </w:p>
    <w:p>
      <w:pPr>
        <w:spacing w:before="120" w:after="120"/>
      </w:pPr>
      <w:r>
        <w:rPr>
          <w:sz w:val="18"/>
        </w:rPr>
        <w:t>——————————————————————————————————————————————————————————————————————</w:t>
      </w:r>
    </w:p>
    <w:p>
      <w:pPr>
        <w:spacing w:before="160" w:after="40" w:line="240" w:lineRule="auto"/>
      </w:pPr>
      <w:r>
        <w:rPr>
          <w:b/>
        </w:rPr>
        <w:t xml:space="preserve">[300] </w:t>
      </w:r>
      <w:hyperlink r:id="rId1141">
        <w:r>
          <w:rPr>
            <w:color w:val="1155CC"/>
            <w:u w:val="single"/>
          </w:rPr>
          <w:t>双核钛自由基催化不对称动力学拆分2-芳基氧杂环丁烷</w:t>
        </w:r>
      </w:hyperlink>
    </w:p>
    <w:p>
      <w:pPr>
        <w:spacing w:before="0" w:after="80"/>
      </w:pPr>
      <w:r>
        <w:rPr>
          <w:i/>
          <w:sz w:val="20"/>
        </w:rPr>
        <w:t>EN: Asymmetric Kinetic Resolution of 2‐Aryl Oxetanes by Dinuclear Titanium Radical Catalysis</w:t>
      </w:r>
    </w:p>
    <w:p>
      <w:pPr>
        <w:spacing w:before="0" w:after="120"/>
      </w:pPr>
      <w:r>
        <w:rPr>
          <w:b/>
        </w:rPr>
        <w:t xml:space="preserve">Source: </w:t>
      </w:r>
      <w:r>
        <w:t>Wiley: Angewandte Chemie International Edition: Table of Contents</w:t>
      </w:r>
      <w:r>
        <w:t xml:space="preserve">    </w:t>
      </w:r>
      <w:r>
        <w:rPr>
          <w:b/>
        </w:rPr>
        <w:t xml:space="preserve">Pub date: </w:t>
      </w:r>
      <w:r>
        <w:t>2026-08-17 08:11:17+00:00</w:t>
      </w:r>
      <w:r>
        <w:t xml:space="preserve">    </w:t>
      </w:r>
      <w:r>
        <w:rPr>
          <w:b/>
        </w:rPr>
        <w:t xml:space="preserve">DOI: </w:t>
      </w:r>
      <w:hyperlink r:id="rId1142">
        <w:r>
          <w:rPr>
            <w:color w:val="1155CC"/>
            <w:u w:val="single"/>
          </w:rPr>
          <w:t>10.1002/anie.9795533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2-芳基氧杂环丁烷是有价值的应变环合成子，但对该底物类别的广泛有用的化学动力学分辨率仍然基本上不可用。在这里，我们报告了一种双核（salen）钛催化的自由基开环策略，用于在温和条件下动力学拆分2-芳基氧杂环丁烷。该反应可容纳多种芳基、杂芳基和药物缀合底物，提供具有高区域和对映选择性的对映体富集的氧杂环丁烷。由此产生的氧杂环丁烷可作为多功能手性平台，并能够以简洁、模块化和对映体保留的方式获得药学相关目标，包括（</w:t>
      </w:r>
      <w:r>
        <w:t xml:space="preserve"> </w:t>
      </w:r>
      <w:r>
        <w:t>S</w:t>
      </w:r>
      <w:r>
        <w:t xml:space="preserve"> </w:t>
      </w:r>
      <w:r>
        <w:t>)-托莫西汀,(</w:t>
      </w:r>
      <w:r>
        <w:t xml:space="preserve"> </w:t>
      </w:r>
      <w:r>
        <w:t>S</w:t>
      </w:r>
      <w:r>
        <w:t xml:space="preserve"> </w:t>
      </w:r>
      <w:r>
        <w:t>)-尼索西汀，和(</w:t>
      </w:r>
      <w:r>
        <w:t xml:space="preserve"> </w:t>
      </w:r>
      <w:r>
        <w:t>S</w:t>
      </w:r>
      <w:r>
        <w:t xml:space="preserve"> </w:t>
      </w:r>
      <w:r>
        <w:t>)-氟西汀。机理研究支持 Curtin-Hammett 型立体化学模型，其中非对映体 Ti-氧杂环丁烷中间体通过不寻常的配体-底物 C-H·π 相互作用进行区分，在 C─O 键均裂过程中表现出独特的稳定性/反应性关系。除了建立广泛有用的 2-芳基氧杂环丁烷动力学拆分之外，这项工作还揭示了 Salen-钛自由基催化中有吸引力的配体-底物识别的不寻常模式。</w:t>
      </w:r>
    </w:p>
    <w:p>
      <w:pPr>
        <w:spacing w:before="0" w:after="200" w:lineRule="auto" w:line="276"/>
      </w:pPr>
      <w:r>
        <w:rPr>
          <w:b/>
        </w:rPr>
        <w:t xml:space="preserve">Abstract (EN): </w:t>
      </w:r>
      <w:r>
        <w:t>2‐Aryl oxetanes are valuable strained‐ring synthons, yet a broadly useful chemical kinetic resolution of this substrate class has remained largely unavailable. Here we report a dinuclear (salen)titanium‐catalyzed radical ring‐opening strategy for the kinetic resolution of 2‐aryl oxetanes under mild conditions. The reaction accommodates diverse aryl‐, heteroaryl‐, and drug‐conjugated substrates, delivering enantioenriched oxetanes with high regio‐ and enantioselectivity. The resulting oxetanes serve as versatile chiral platforms and enable concise, modular, and enantio‐retentive access to pharmaceutically relevant targets, including (</w:t>
      </w:r>
      <w:r>
        <w:t xml:space="preserve"> </w:t>
      </w:r>
      <w:r>
        <w:t>S</w:t>
      </w:r>
      <w:r>
        <w:t xml:space="preserve"> </w:t>
      </w:r>
      <w:r>
        <w:t>)‐Atomoxetine, (</w:t>
      </w:r>
      <w:r>
        <w:t xml:space="preserve"> </w:t>
      </w:r>
      <w:r>
        <w:t>S</w:t>
      </w:r>
      <w:r>
        <w:t xml:space="preserve"> </w:t>
      </w:r>
      <w:r>
        <w:t>)‐Nisoxetine, and (</w:t>
      </w:r>
      <w:r>
        <w:t xml:space="preserve"> </w:t>
      </w:r>
      <w:r>
        <w:t>S</w:t>
      </w:r>
      <w:r>
        <w:t xml:space="preserve"> </w:t>
      </w:r>
      <w:r>
        <w:t>)‐Fluoxetine. Mechanistic studies support a Curtin–Hammett‐type stereochemical model in which diastereomeric Ti–oxetane intermediates, differentiated by an unusual ligand–substrate C–H···π interaction, display distinct stability/reactivity relationships during C─O bond homolysis. Beyond establishing a broadly useful kinetic resolution of 2‐aryl oxetanes, this work reveals an unusual mode of attractive ligand–substrate recognition in salen–titanium radical catalysis.</w:t>
      </w:r>
    </w:p>
    <w:p>
      <w:pPr>
        <w:spacing w:before="120" w:after="120"/>
      </w:pPr>
      <w:r>
        <w:rPr>
          <w:sz w:val="18"/>
        </w:rPr>
        <w:t>——————————————————————————————————————————————————————————————————————</w:t>
      </w:r>
    </w:p>
    <w:p>
      <w:pPr>
        <w:spacing w:before="160" w:after="40" w:line="240" w:lineRule="auto"/>
      </w:pPr>
      <w:r>
        <w:rPr>
          <w:b/>
        </w:rPr>
        <w:t xml:space="preserve">[301] </w:t>
      </w:r>
      <w:hyperlink r:id="rId1143">
        <w:r>
          <w:rPr>
            <w:color w:val="1155CC"/>
            <w:u w:val="single"/>
          </w:rPr>
          <w:t>用于体现智能的摩擦电触觉传感器：设计、性能和应用</w:t>
        </w:r>
      </w:hyperlink>
    </w:p>
    <w:p>
      <w:pPr>
        <w:spacing w:before="0" w:after="80"/>
      </w:pPr>
      <w:r>
        <w:rPr>
          <w:i/>
          <w:sz w:val="20"/>
        </w:rPr>
        <w:t>EN: Triboelectric Tactile Sensors for Embodied Intelligence: Design, Performances, and Applications</w:t>
      </w:r>
    </w:p>
    <w:p>
      <w:pPr>
        <w:spacing w:before="0" w:after="120"/>
      </w:pPr>
      <w:r>
        <w:rPr>
          <w:b/>
        </w:rPr>
        <w:t xml:space="preserve">Source: </w:t>
      </w:r>
      <w:r>
        <w:t>Wiley: Advanced Materials: Table of Contents</w:t>
      </w:r>
      <w:r>
        <w:t xml:space="preserve">    </w:t>
      </w:r>
      <w:r>
        <w:rPr>
          <w:b/>
        </w:rPr>
        <w:t xml:space="preserve">Pub date: </w:t>
      </w:r>
      <w:r>
        <w:t>2026-08-17 08:43:43+00:00</w:t>
      </w:r>
      <w:r>
        <w:t xml:space="preserve">    </w:t>
      </w:r>
      <w:r>
        <w:rPr>
          <w:b/>
        </w:rPr>
        <w:t xml:space="preserve">DOI: </w:t>
      </w:r>
      <w:hyperlink r:id="rId1144">
        <w:r>
          <w:rPr>
            <w:color w:val="1155CC"/>
            <w:u w:val="single"/>
          </w:rPr>
          <w:t>10.1002/adma.74599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身智能正在推动人工智能从数字推理走向真实的物理交互，而触觉感知能力却落后于算法的进步，成为制约机器人闭环交互实际落地的关键瓶颈。我们提出摩擦电事件驱动的触觉传感可以作为体现智能的触觉信息获取策略。凭借其机械触发输出和自供电运行的鲜明特点，为克服复杂环境和高密度部署下信号采集、传输和供电的局限性提供了新途径。基于这个视角，本文以摩擦电事件驱动的触觉传感为中心，从触觉事件到电信号的转换机制、材料和结构设计、关键部署性能和具身交互应用四个方面系统地讨论了摩擦电触觉传感器的具身智能实现路径。特别强调揭示设计策略、部署能力和场景适应性之间的内在关系。最后，本综述进一步讨论了摩擦电事件驱动的触觉传感从设备级性能优化向事件驱动的系统级感知范式发展的关键挑战和未来方向。</w:t>
      </w:r>
    </w:p>
    <w:p>
      <w:pPr>
        <w:spacing w:before="0" w:after="200" w:lineRule="auto" w:line="276"/>
      </w:pPr>
      <w:r>
        <w:rPr>
          <w:b/>
        </w:rPr>
        <w:t xml:space="preserve">Abstract (EN): </w:t>
      </w:r>
      <w:r>
        <w:t>Embodied intelligence is driving artificial intelligence from digital reasoning toward real physical interaction, while tactile perception capabilities lag behind algorithmic advances and have become a critical bottleneck restricting the practical implementation of robotic closed‐loop interaction. We propose that triboelectric event‐driven tactile sensing can serve as a tactile information acquisition strategy for embodied intelligence. With its distinctive characteristics of mechanically triggered output and self‐powered operation, it provides a new route to overcoming the limitations of signal acquisition, transmission, and power supply in complex environments and under high‐density deployment. Based on this perspective, this review centers on triboelectric event‐driven tactile sensing and systematically discusses the implementation pathways of triboelectric tactile sensors for embodied intelligence from four aspects: the conversion mechanisms from tactile events to electrical signals, material and structural design, key deployment performance, and embodied interactive applications. Particular emphasis is placed on revealing the intrinsic relationships among design strategies, deployment capabilities, and scenario adaptability. Finally, this review further discusses the key challenges and future directions that must still be addressed for triboelectric event‐driven tactile sensing to advance from device‐level performance optimization toward an event‐driven system‐level perception paradigm.</w:t>
      </w:r>
    </w:p>
    <w:p>
      <w:pPr>
        <w:spacing w:before="120" w:after="120"/>
      </w:pPr>
      <w:r>
        <w:rPr>
          <w:sz w:val="18"/>
        </w:rPr>
        <w:t>——————————————————————————————————————————————————————————————————————</w:t>
      </w:r>
    </w:p>
    <w:p>
      <w:pPr>
        <w:spacing w:before="160" w:after="40" w:line="240" w:lineRule="auto"/>
      </w:pPr>
      <w:r>
        <w:rPr>
          <w:b/>
        </w:rPr>
        <w:t xml:space="preserve">[302] </w:t>
      </w:r>
      <w:hyperlink r:id="rId1145">
        <w:r>
          <w:rPr>
            <w:color w:val="1155CC"/>
            <w:u w:val="single"/>
          </w:rPr>
          <w:t>热敏脂质体负载水凝胶可实现机械化学级联疗法以促进血管生成</w:t>
        </w:r>
      </w:hyperlink>
    </w:p>
    <w:p>
      <w:pPr>
        <w:spacing w:before="0" w:after="80"/>
      </w:pPr>
      <w:r>
        <w:rPr>
          <w:i/>
          <w:sz w:val="20"/>
        </w:rPr>
        <w:t>EN: Thermosensitive Liposome‐Loaded Hydrogels Enable Mechano‐Chemical Cascade Therapy for Promoting Angiogenesis</w:t>
      </w:r>
    </w:p>
    <w:p>
      <w:pPr>
        <w:spacing w:before="0" w:after="120"/>
      </w:pPr>
      <w:r>
        <w:rPr>
          <w:b/>
        </w:rPr>
        <w:t xml:space="preserve">Source: </w:t>
      </w:r>
      <w:r>
        <w:t>Wiley: Advanced Materials: Table of Contents</w:t>
      </w:r>
      <w:r>
        <w:t xml:space="preserve">    </w:t>
      </w:r>
      <w:r>
        <w:rPr>
          <w:b/>
        </w:rPr>
        <w:t xml:space="preserve">Pub date: </w:t>
      </w:r>
      <w:r>
        <w:t>2026-08-17 08:45:07+00:00</w:t>
      </w:r>
      <w:r>
        <w:t xml:space="preserve">    </w:t>
      </w:r>
      <w:r>
        <w:rPr>
          <w:b/>
        </w:rPr>
        <w:t xml:space="preserve">DOI: </w:t>
      </w:r>
      <w:hyperlink r:id="rId1146">
        <w:r>
          <w:rPr>
            <w:color w:val="1155CC"/>
            <w:u w:val="single"/>
          </w:rPr>
          <w:t>10.1002/adma.74671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已知选择性生物物理或化学信号传导途径的药理学激活可调节血管生成；然而，这些线索是否可以以时间协调、级联的方式进行调节以产生稳定且功能性的血管网络仍不清楚，特别是在缺血微环境中。在这里，我们展示了一个机械化学级联，其中TRPV4（瞬时受体电位香草酸4）介导的机械传感启动内皮激活，然后是血小板衍生生长因子-BB（PDGF-BB）信号传导，驱动血管形成和成熟。具体来说，我们设计了一种热敏脂质体负载水凝胶，它响应内源性温度变化，以实现血管生成引发剂和稳定因子的精确、按时间顺序的释放。在小鼠严重肢体缺血模型中，TRPV4激动剂GSK1016790A的早期释放引发血管生成激活，伴随着缺血修复过程中局部温度逐渐恢复，这为延迟PDGF-BB释放提供了预期的热窗口，以支持新生血管成熟。热适应性级联释放实现了 91.5% 的肢体灌注恢复，加上成熟血管密度的大幅飙升，产生了优于同时治疗的卓越功能恢复。我们的研究结果不仅阐明了机械化学协同疗法治疗缺血性疾病的变革潜力，而且揭示了时间协调的促血管生成和稳定信号在治疗中的关键作用。</w:t>
      </w:r>
    </w:p>
    <w:p>
      <w:pPr>
        <w:spacing w:before="0" w:after="200" w:lineRule="auto" w:line="276"/>
      </w:pPr>
      <w:r>
        <w:rPr>
          <w:b/>
        </w:rPr>
        <w:t xml:space="preserve">Abstract (EN): </w:t>
      </w:r>
      <w:r>
        <w:t>Pharmacological activation of selective biophysical or chemical signaling pathways is known to regulate angiogenesis; however, whether these cues can be modulated in a temporally coordinated, cascade‐like manner to generate stable and functional vascular networks remains unclear, particularly in the ischemic microenvironment. Here, we demonstrate a mechanochemical cascade in which TRPV4 (transient receptor potential vanilloid 4)‐mediated mechanosensing initiates endothelial activation, followed by platelet‐derived growth factor‐BB (PDGF‐BB) signaling that drives vascular formation and maturation. Specifically, we engineered a thermosensitive liposome‐loaded hydrogel that responds to endogenous temperature changes to achieve precise, temporally ordered release of angiogenic initiators and stabilizing factors. In a murine critical limb ischemia model, early release of the TRPV4 agonist GSK1016790A initiated angiogenic activation, accompanied by gradual local temperature recovery during ischemic repair, which provided the expected thermal window for delayed PDGF‐BB release to support nascent vessel maturation. The thermo‐adaptive cascade release achieved 91.5% restoration of limb perfusion, coupled with a substantial surge in mature vessel density, yielding superior functional recovery that outperforms simultaneous therapy. Our findings not only illuminate the transformative potential of mechano‐chemical synergistic therapies for ischemic diseases but also unveil the pivotal role of temporally orchestrated pro‐angiogenic and stabilizing signals in driving robust, self‐regulated vascular regeneration.</w:t>
      </w:r>
    </w:p>
    <w:p>
      <w:pPr>
        <w:spacing w:before="120" w:after="120"/>
      </w:pPr>
      <w:r>
        <w:rPr>
          <w:sz w:val="18"/>
        </w:rPr>
        <w:t>——————————————————————————————————————————————————————————————————————</w:t>
      </w:r>
    </w:p>
    <w:p>
      <w:pPr>
        <w:spacing w:before="160" w:after="40" w:line="240" w:lineRule="auto"/>
      </w:pPr>
      <w:r>
        <w:rPr>
          <w:b/>
        </w:rPr>
        <w:t xml:space="preserve">[303] </w:t>
      </w:r>
      <w:hyperlink r:id="rId1147">
        <w:r>
          <w:rPr>
            <w:color w:val="1155CC"/>
            <w:u w:val="single"/>
          </w:rPr>
          <w:t>工程类软骨 PVA 水凝胶：双阶段结晶动力学调节克服强度与含水量的权衡</w:t>
        </w:r>
      </w:hyperlink>
    </w:p>
    <w:p>
      <w:pPr>
        <w:spacing w:before="0" w:after="80"/>
      </w:pPr>
      <w:r>
        <w:rPr>
          <w:i/>
          <w:sz w:val="20"/>
        </w:rPr>
        <w:t>EN: Engineering Cartilage‐Like PVA Hydrogels: Dual‐Stage Crystallization Kinetics Regulations Overcome the Strength–Water Content Trade‐Off</w:t>
      </w:r>
    </w:p>
    <w:p>
      <w:pPr>
        <w:spacing w:before="0" w:after="120"/>
      </w:pPr>
      <w:r>
        <w:rPr>
          <w:b/>
        </w:rPr>
        <w:t xml:space="preserve">Source: </w:t>
      </w:r>
      <w:r>
        <w:t>Wiley: Advanced Materials: Table of Contents</w:t>
      </w:r>
      <w:r>
        <w:t xml:space="preserve">    </w:t>
      </w:r>
      <w:r>
        <w:rPr>
          <w:b/>
        </w:rPr>
        <w:t xml:space="preserve">Pub date: </w:t>
      </w:r>
      <w:r>
        <w:t>2026-08-17 08:48:44+00:00</w:t>
      </w:r>
      <w:r>
        <w:t xml:space="preserve">    </w:t>
      </w:r>
      <w:r>
        <w:rPr>
          <w:b/>
        </w:rPr>
        <w:t xml:space="preserve">DOI: </w:t>
      </w:r>
      <w:hyperlink r:id="rId1148">
        <w:r>
          <w:rPr>
            <w:color w:val="1155CC"/>
            <w:u w:val="single"/>
          </w:rPr>
          <w:t>10.1002/adma.74656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用于软骨修复的 PVA 水凝胶的开发受到同时结合高机械强度和高含水量的挑战的限制。为了解决这个问题，提出了“双阶段控温结晶淬火方法”。该方法精确调节结晶动力学，从而能够精确控制凝胶网络拓扑。所得水凝胶的含水量为 83.41% ± 0.51%，拉伸强度为 2.68 ± 0.14 MPa，压缩模量为 0.53 ± 0.02 MPa，超过机器学习预测的各项性能阈值超过 300%。正如多尺度分析所揭示的那样，这种性能归因于细化微晶的均匀、各向同性网络，这有利于均匀的应力分布和有效的能量耗散。此外，该水凝胶具有低摩擦系数、仿生孔隙率和优异的软骨细胞相容性。这项工作提供了一种先进的软骨修复材料，并通过结晶动力学调节为聚合物凝胶设计建立了一种新颖的热力学范式。</w:t>
      </w:r>
    </w:p>
    <w:p>
      <w:pPr>
        <w:spacing w:before="0" w:after="200" w:lineRule="auto" w:line="276"/>
      </w:pPr>
      <w:r>
        <w:rPr>
          <w:b/>
        </w:rPr>
        <w:t xml:space="preserve">Abstract (EN): </w:t>
      </w:r>
      <w:r>
        <w:t>The development of PVA hydrogels for cartilage repair is limited by the challenge of simultaneously combining high mechanical strength with high water content. To address this, a “Dual‐Stage Temperature‐Controlled Crystallization Quenching Method” is proposed. The approach precisely regulates crystallization kinetics, enabling meticulous control over the gel network topology. The obtained hydrogel achieves a water content of 83.41% ± 0.51%, a tensile strength of 2.68 ± 0.14 MPa, and a compressive modulus of 0.53 ± 0.02 MPa, exceeding machine learning‐predicted thresholds for each property by over 300%. This performance is attributed to a uniform, isotropic network of refined crystallites, as revealed by multiscale analysis, which facilitates homogeneous stress distribution and efficient energy dissipation. Furthermore, the hydrogel possesses a low friction coefficient, biomimetic porosity, and excellent chondrocyte compatibility. This work provides an advanced cartilage repair material and establishes a novel thermodynamic paradigm for polymer gel design through crystallization kinetics regulation.</w:t>
      </w:r>
    </w:p>
    <w:p>
      <w:pPr>
        <w:spacing w:before="120" w:after="120"/>
      </w:pPr>
      <w:r>
        <w:rPr>
          <w:sz w:val="18"/>
        </w:rPr>
        <w:t>——————————————————————————————————————————————————————————————————————</w:t>
      </w:r>
    </w:p>
    <w:p>
      <w:pPr>
        <w:spacing w:before="160" w:after="40" w:line="240" w:lineRule="auto"/>
      </w:pPr>
      <w:r>
        <w:rPr>
          <w:b/>
        </w:rPr>
        <w:t xml:space="preserve">[304] </w:t>
      </w:r>
      <w:hyperlink r:id="rId1149">
        <w:r>
          <w:rPr>
            <w:color w:val="1155CC"/>
            <w:u w:val="single"/>
          </w:rPr>
          <w:t>顺铂掺杂黑磷纳米药物通过压电介导的适应性稳态破坏克服铂基抗癌药物耐药性</w:t>
        </w:r>
      </w:hyperlink>
    </w:p>
    <w:p>
      <w:pPr>
        <w:spacing w:before="0" w:after="80"/>
      </w:pPr>
      <w:r>
        <w:rPr>
          <w:i/>
          <w:sz w:val="20"/>
        </w:rPr>
        <w:t>EN: Cisplatin‐Doped Black Phosphorus Nanomedicines Overcome Platinum‐Based Anticancer Drug Resistance via Piezoelectric‐Mediated Adaptive Homeostasis Disruption</w:t>
      </w:r>
    </w:p>
    <w:p>
      <w:pPr>
        <w:spacing w:before="0" w:after="120"/>
      </w:pPr>
      <w:r>
        <w:rPr>
          <w:b/>
        </w:rPr>
        <w:t xml:space="preserve">Source: </w:t>
      </w:r>
      <w:r>
        <w:t>Wiley: Advanced Materials: Table of Contents</w:t>
      </w:r>
      <w:r>
        <w:t xml:space="preserve">    </w:t>
      </w:r>
      <w:r>
        <w:rPr>
          <w:b/>
        </w:rPr>
        <w:t xml:space="preserve">Pub date: </w:t>
      </w:r>
      <w:r>
        <w:t>2026-08-17 08:51:10+00:00</w:t>
      </w:r>
      <w:r>
        <w:t xml:space="preserve">    </w:t>
      </w:r>
      <w:r>
        <w:rPr>
          <w:b/>
        </w:rPr>
        <w:t xml:space="preserve">DOI: </w:t>
      </w:r>
      <w:hyperlink r:id="rId1150">
        <w:r>
          <w:rPr>
            <w:color w:val="1155CC"/>
            <w:u w:val="single"/>
          </w:rPr>
          <w:t>10.1002/adma.202523163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类化疗药物的临床疗效经常会因长期治疗过程中出现耐药性而降低。顺铂（DDP）耐药肿瘤通过建立一种新的适应性稳态来适应化疗应激，这种状态可以在药物压力下维持细胞生存，尽管代价是高代谢负担和获得性脆弱性。利用这一固有弱点，我们设计了一种由聚多巴胺涂层保护的 DDP 掺杂黑磷 (BP) 纳米药物 (DDP-BP@PDA)，它协同传递 DDP 和压电 BP，精确破坏电阻稳态，从而逆转 DDP 耐药。 DDP-BP@PDA 改变了 DDP 的细胞内摄取途径，并通过压电催化破坏了耐药细胞的氧化还原平衡。同时，压电极化通过电子注入增强了过氧化物酶样活性，导致大量活性氧（ROS）的产生。这种 ROS 的爆发损害了内质网 (ER) 膜的完整性，加剧了蛋白质折叠负担，从而放大了 ER 应激。机制研究表明，过度的内质网应激会下调DNA修复蛋白的表达，使耐药细胞对DDP诱导的DNA损伤高度敏感。通过这些协同作用，DDP-BP@PDA破坏了DDP耐药细胞的适应性稳态，从而显着抑制了DDP耐药肿瘤的进展。这项研究建立了一种有前途的治疗策略，通过压电来对抗 DDP 耐药性</w:t>
      </w:r>
    </w:p>
    <w:p>
      <w:pPr>
        <w:spacing w:before="0" w:after="200" w:lineRule="auto" w:line="276"/>
      </w:pPr>
      <w:r>
        <w:rPr>
          <w:b/>
        </w:rPr>
        <w:t xml:space="preserve">Abstract (EN): </w:t>
      </w:r>
      <w:r>
        <w:t>The clinical efficacy of platinum‐based chemotherapeutics is frequently diminished by the emergence of resistance during prolonged treatment. Cisplatin (DDP)‐resistant tumors adapt to chemotherapeutic stress by establishing a new state of adaptive homeostasis that sustains cellular survival under drug pressure, albeit at the expense of high metabolic burden and acquired vulnerability. Exploiting this intrinsic weakness, we designed a DDP‐doped black phosphorus (BP) nanomedicine protected by polydopamine coating (DDP‐BP@PDA) that synergistically delivered DDP and piezoelectric BP to precisely disrupt resistance homeostasis and thereby reverse DDP resistance. DDP‐BP@PDA altered the intracellular uptake pathway of DDP and disrupted the redox balance of resistant cells via piezocatalysis. Concurrently, piezoelectric polarization enhanced the peroxidase‐like activity via electron injection, leading to the generation of substantial reactive oxygen species (ROS). This ROS burst compromised the integrity of the endoplasmic reticulum (ER) membrane and exacerbated the protein‐folding burden, thereby amplifying ER stress. Mechanism study reveals that excessive ER stress downregulated the expression of DNA repair proteins, making resistant cells highly sensitive to DDP‐induced DNA damage. Through these synergistic effects, DDP‐BP@PDA disrupted the adaptive homeostasis of DDP‐resistant cells, thereby significantly inhibiting the progression of DDP‐resistant tumors. This study establishes a promising therapeutic strategy to combat DDP‐resistance via piezoelectric‐driven disruption of adaptive homeostasis.</w:t>
      </w:r>
    </w:p>
    <w:p>
      <w:pPr>
        <w:spacing w:before="120" w:after="120"/>
      </w:pPr>
      <w:r>
        <w:rPr>
          <w:sz w:val="18"/>
        </w:rPr>
        <w:t>——————————————————————————————————————————————————————————————————————</w:t>
      </w:r>
    </w:p>
    <w:p>
      <w:pPr>
        <w:spacing w:before="160" w:after="40" w:line="240" w:lineRule="auto"/>
      </w:pPr>
      <w:r>
        <w:rPr>
          <w:b/>
        </w:rPr>
        <w:t xml:space="preserve">[305] </w:t>
      </w:r>
      <w:hyperlink r:id="rId1151">
        <w:r>
          <w:rPr>
            <w:color w:val="1155CC"/>
            <w:u w:val="single"/>
          </w:rPr>
          <w:t>非正交偏振复用和可拆卸衍射处理器</w:t>
        </w:r>
      </w:hyperlink>
    </w:p>
    <w:p>
      <w:pPr>
        <w:spacing w:before="0" w:after="80"/>
      </w:pPr>
      <w:r>
        <w:rPr>
          <w:i/>
          <w:sz w:val="20"/>
        </w:rPr>
        <w:t>EN: Nonorthogonal Polarization‐Multiplexed and Detachable Diffractive Processors</w:t>
      </w:r>
    </w:p>
    <w:p>
      <w:pPr>
        <w:spacing w:before="0" w:after="120"/>
      </w:pPr>
      <w:r>
        <w:rPr>
          <w:b/>
        </w:rPr>
        <w:t xml:space="preserve">Source: </w:t>
      </w:r>
      <w:r>
        <w:t>Wiley: Advanced Materials: Table of Contents</w:t>
      </w:r>
      <w:r>
        <w:t xml:space="preserve">    </w:t>
      </w:r>
      <w:r>
        <w:rPr>
          <w:b/>
        </w:rPr>
        <w:t xml:space="preserve">Pub date: </w:t>
      </w:r>
      <w:r>
        <w:t>2026-08-17 08:52:35+00:00</w:t>
      </w:r>
      <w:r>
        <w:t xml:space="preserve">    </w:t>
      </w:r>
      <w:r>
        <w:rPr>
          <w:b/>
        </w:rPr>
        <w:t xml:space="preserve">DOI: </w:t>
      </w:r>
      <w:hyperlink r:id="rId1152">
        <w:r>
          <w:rPr>
            <w:color w:val="1155CC"/>
            <w:u w:val="single"/>
          </w:rPr>
          <w:t>10.1002/adma.74700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偏振复用为并行全光处理提供了一种优雅的途径，但其固有的正交性从根本上限制了衍射系统中的通道容量和层间相互作用。我们提出了一种可拆卸的衍射处理器，它利用非正交偏振复用来克服这些瓶颈。该处理器采用由可拆卸衍射层组成的类卷积架构，可实现全局和层间功能复用，从而加速训练并扩展多功能性。实验上，我们在双层系统中的 4 个偏振解耦通道上实现了 12 个独立功能（4 个分类器和 8 个全息图），并使用三层配置扩展到支持 6 个分类器和 36 个全息图的 18 个通道。此外，我们展示了一种结合图像变换和全息生成的多级光学加密框架。这项工作为多功能衍射计算建立了一个可扩展的框架，支持紧凑型处理器、大容量全息术和安全光学信息技术。</w:t>
      </w:r>
    </w:p>
    <w:p>
      <w:pPr>
        <w:spacing w:before="0" w:after="200" w:lineRule="auto" w:line="276"/>
      </w:pPr>
      <w:r>
        <w:rPr>
          <w:b/>
        </w:rPr>
        <w:t xml:space="preserve">Abstract (EN): </w:t>
      </w:r>
      <w:r>
        <w:t>Polarization multiplexing provides an elegant route for parallel all‐optical processing, yet its intrinsic orthogonality fundamentally limits channel capacity and interlayer interaction in diffractive systems. We present a detachable diffractive processor that leverages nonorthogonal polarization multiplexing to overcome these bottlenecks. The processor features a convolutional‐like architecture composed of detachable diffractive layers, enabling global and interlayer function multiplexing with accelerated training and expanded versatility. Experimentally, we realize 12 independent functions—4 classifiers and 8 holograms—across 4 polarization‐decoupled channels in a dual‐layer system and extend to 18 channels supporting 6 classifiers and 36 holograms using a triple‐layer configuration. Furthermore, we demonstrate a multi‐level optical encryption framework that combines image transformation and holographic generation. This work establishes a scalable framework for multifunctional diffractive computing, enabling compact processors, high‐capacity holography, and secure optical information technologies.</w:t>
      </w:r>
    </w:p>
    <w:p>
      <w:pPr>
        <w:spacing w:before="120" w:after="120"/>
      </w:pPr>
      <w:r>
        <w:rPr>
          <w:sz w:val="18"/>
        </w:rPr>
        <w:t>——————————————————————————————————————————————————————————————————————</w:t>
      </w:r>
    </w:p>
    <w:p>
      <w:pPr>
        <w:spacing w:before="160" w:after="40" w:line="240" w:lineRule="auto"/>
      </w:pPr>
      <w:r>
        <w:rPr>
          <w:b/>
        </w:rPr>
        <w:t xml:space="preserve">[306] </w:t>
      </w:r>
      <w:hyperlink r:id="rId1153">
        <w:r>
          <w:rPr>
            <w:color w:val="1155CC"/>
            <w:u w:val="single"/>
          </w:rPr>
          <w:t>Janus Nanozyme 具有可编程催化开关，用于糖尿病伤口的适应性治疗</w:t>
        </w:r>
      </w:hyperlink>
    </w:p>
    <w:p>
      <w:pPr>
        <w:spacing w:before="0" w:after="80"/>
      </w:pPr>
      <w:r>
        <w:rPr>
          <w:i/>
          <w:sz w:val="20"/>
        </w:rPr>
        <w:t>EN: Janus Nanozyme With Programmable Catalytic Switching for Adaptive Therapy of Diabetic Wounds</w:t>
      </w:r>
    </w:p>
    <w:p>
      <w:pPr>
        <w:spacing w:before="0" w:after="120"/>
      </w:pPr>
      <w:r>
        <w:rPr>
          <w:b/>
        </w:rPr>
        <w:t xml:space="preserve">Source: </w:t>
      </w:r>
      <w:r>
        <w:t>Wiley: Advanced Materials: Table of Contents</w:t>
      </w:r>
      <w:r>
        <w:t xml:space="preserve">    </w:t>
      </w:r>
      <w:r>
        <w:rPr>
          <w:b/>
        </w:rPr>
        <w:t xml:space="preserve">Pub date: </w:t>
      </w:r>
      <w:r>
        <w:t>2026-08-17 08:52:39+00:00</w:t>
      </w:r>
      <w:r>
        <w:t xml:space="preserve">    </w:t>
      </w:r>
      <w:r>
        <w:rPr>
          <w:b/>
        </w:rPr>
        <w:t xml:space="preserve">DOI: </w:t>
      </w:r>
      <w:hyperlink r:id="rId1154">
        <w:r>
          <w:rPr>
            <w:color w:val="1155CC"/>
            <w:u w:val="single"/>
          </w:rPr>
          <w:t>10.1002/adma.74674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糖尿病伤口愈合需要活性氧（ROS）的动态双向调节。在此，在密度泛函理论（DFT）计算的指导下，我们提出了一种可编程策略，通过Janus结构的Cu-Ag纳米粒子（CuAg-J）中的紧密异质界面来设计催化途径。理论模拟表明，独特的 Cu-Ag 异质界面会诱导电荷转移到氧中间体，从而能够自发形成活性物质和 pH 可切换的催化活性。在酸性条件下，CuAg-J 表现出类似过氧化物酶（POD）的活性（</w:t>
      </w:r>
      <w:r>
        <w:t xml:space="preserve"> </w:t>
      </w:r>
      <w:r>
        <w:t>K</w:t>
      </w:r>
      <w:r>
        <w:t xml:space="preserve"> </w:t>
      </w:r>
      <w:r>
        <w:t>米</w:t>
      </w:r>
      <w:r>
        <w:t xml:space="preserve"> </w:t>
      </w:r>
      <w:r>
        <w:t>= 0.19 毫米，</w:t>
      </w:r>
      <w:r>
        <w:t xml:space="preserve"> </w:t>
      </w:r>
      <w:r>
        <w:t>V</w:t>
      </w:r>
      <w:r>
        <w:t xml:space="preserve"> </w:t>
      </w:r>
      <w:r>
        <w:t>最大</w:t>
      </w:r>
      <w:r>
        <w:t xml:space="preserve"> </w:t>
      </w:r>
      <w:r>
        <w:t>= 0.38 µM/s) 用于抗菌 ROS 生成。在中性条件下，它表现出超氧化物歧化酶（SOD）样和过氧化氢酶（CAT）样活性（</w:t>
      </w:r>
      <w:r>
        <w:t xml:space="preserve"> </w:t>
      </w:r>
      <w:r>
        <w:t>K</w:t>
      </w:r>
      <w:r>
        <w:t xml:space="preserve"> </w:t>
      </w:r>
      <w:r>
        <w:t>米</w:t>
      </w:r>
      <w:r>
        <w:t xml:space="preserve"> </w:t>
      </w:r>
      <w:r>
        <w:t>= 9.48 毫米，</w:t>
      </w:r>
      <w:r>
        <w:t xml:space="preserve"> </w:t>
      </w:r>
      <w:r>
        <w:t>V</w:t>
      </w:r>
      <w:r>
        <w:t xml:space="preserve"> </w:t>
      </w:r>
      <w:r>
        <w:t>最大</w:t>
      </w:r>
      <w:r>
        <w:t xml:space="preserve"> </w:t>
      </w:r>
      <w:r>
        <w:t>= 6.88 µM/s) 用于 ROS 清除和氧气生产。在感染的糖尿病伤口模型中，这种双向ROS调节有效打破了氧化应激-缺氧-炎症的恶性循环，显着加速愈合，并在第14天实现了92.04%的伤口闭合。这项研究不仅提出了一种高性能纳米酶，而且为工程智能催化材料提供了新的设计原理，该材料能够响应动态微环境条件进行自主功能切换</w:t>
      </w:r>
    </w:p>
    <w:p>
      <w:pPr>
        <w:spacing w:before="0" w:after="200" w:lineRule="auto" w:line="276"/>
      </w:pPr>
      <w:r>
        <w:rPr>
          <w:b/>
        </w:rPr>
        <w:t xml:space="preserve">Abstract (EN): </w:t>
      </w:r>
      <w:r>
        <w:t>Diabetic wound healing requires dynamic bidirectional regulation of reactive oxygen species (ROS). Herein, guided by density functional theory (DFT) calculations, we propose a programmable strategy to engineer catalytic pathways via an intimate heterointerface in Janus‐structured Cu‐Ag nanoparticles (CuAg‐J). Theoretical simulations reveal that the unique Cu‐Ag heterointerface induces a charge transfer to oxygen intermediates, enabling spontaneous formation of reactive species and pH‑switchable catalytic activity. Under acidic conditions, CuAg‐J exhibits peroxidase (POD)‐like activity (</w:t>
      </w:r>
      <w:r>
        <w:t xml:space="preserve"> </w:t>
      </w:r>
      <w:r>
        <w:t>K</w:t>
      </w:r>
      <w:r>
        <w:t xml:space="preserve"> </w:t>
      </w:r>
      <w:r>
        <w:t>m</w:t>
      </w:r>
      <w:r>
        <w:t xml:space="preserve"> </w:t>
      </w:r>
      <w:r>
        <w:t>= 0.19 mM,</w:t>
      </w:r>
      <w:r>
        <w:t xml:space="preserve"> </w:t>
      </w:r>
      <w:r>
        <w:t>V</w:t>
      </w:r>
      <w:r>
        <w:t xml:space="preserve"> </w:t>
      </w:r>
      <w:r>
        <w:t>max</w:t>
      </w:r>
      <w:r>
        <w:t xml:space="preserve"> </w:t>
      </w:r>
      <w:r>
        <w:t>= 0.38 µM/s) for antibacterial ROS generation. Under neutral conditions, it displays superoxide dismutase (SOD)‐like and catalase (CAT)‐like activities (</w:t>
      </w:r>
      <w:r>
        <w:t xml:space="preserve"> </w:t>
      </w:r>
      <w:r>
        <w:t>K</w:t>
      </w:r>
      <w:r>
        <w:t xml:space="preserve"> </w:t>
      </w:r>
      <w:r>
        <w:t>m</w:t>
      </w:r>
      <w:r>
        <w:t xml:space="preserve"> </w:t>
      </w:r>
      <w:r>
        <w:t>= 9.48 mM,</w:t>
      </w:r>
      <w:r>
        <w:t xml:space="preserve"> </w:t>
      </w:r>
      <w:r>
        <w:t>V</w:t>
      </w:r>
      <w:r>
        <w:t xml:space="preserve"> </w:t>
      </w:r>
      <w:r>
        <w:t>max</w:t>
      </w:r>
      <w:r>
        <w:t xml:space="preserve"> </w:t>
      </w:r>
      <w:r>
        <w:t>= 6.88 µM/s) for ROS scavenging and oxygen production. In an infected diabetic wound model, this bidirectional ROS regulation effectively breaks the oxidative stress–hypoxia–inflammation vicious cycle, significantly accelerating healing and achieving 92.04% wound closure by Day 14. This study not only presents a high‐performance nanozyme but also provides a new design rationale for engineering intelligent catalytic materials capable of autonomous function switching in response to dynamic microenvironmental conditions.</w:t>
      </w:r>
    </w:p>
    <w:p>
      <w:pPr>
        <w:spacing w:before="120" w:after="120"/>
      </w:pPr>
      <w:r>
        <w:rPr>
          <w:sz w:val="18"/>
        </w:rPr>
        <w:t>——————————————————————————————————————————————————————————————————————</w:t>
      </w:r>
    </w:p>
    <w:p>
      <w:pPr>
        <w:spacing w:before="160" w:after="40" w:line="240" w:lineRule="auto"/>
      </w:pPr>
      <w:r>
        <w:rPr>
          <w:b/>
        </w:rPr>
        <w:t xml:space="preserve">[307] </w:t>
      </w:r>
      <w:hyperlink r:id="rId1155">
        <w:r>
          <w:rPr>
            <w:color w:val="1155CC"/>
            <w:u w:val="single"/>
          </w:rPr>
          <w:t>受骨骼肌启发的超强动态共价液晶弹性体具有卓越的驱动性能</w:t>
        </w:r>
      </w:hyperlink>
    </w:p>
    <w:p>
      <w:pPr>
        <w:spacing w:before="0" w:after="80"/>
      </w:pPr>
      <w:r>
        <w:rPr>
          <w:i/>
          <w:sz w:val="20"/>
        </w:rPr>
        <w:t>EN: Skeletal‐Muscle‐Inspired Superstrong Dynamic Covalent Liquid‐Crystal Elastomers With Exceptional Actuation Performance</w:t>
      </w:r>
    </w:p>
    <w:p>
      <w:pPr>
        <w:spacing w:before="0" w:after="120"/>
      </w:pPr>
      <w:r>
        <w:rPr>
          <w:b/>
        </w:rPr>
        <w:t xml:space="preserve">Source: </w:t>
      </w:r>
      <w:r>
        <w:t>Wiley: Advanced Materials: Table of Contents</w:t>
      </w:r>
      <w:r>
        <w:t xml:space="preserve">    </w:t>
      </w:r>
      <w:r>
        <w:rPr>
          <w:b/>
        </w:rPr>
        <w:t xml:space="preserve">Pub date: </w:t>
      </w:r>
      <w:r>
        <w:t>2026-08-17 08:56:57+00:00</w:t>
      </w:r>
      <w:r>
        <w:t xml:space="preserve">    </w:t>
      </w:r>
      <w:r>
        <w:rPr>
          <w:b/>
        </w:rPr>
        <w:t xml:space="preserve">DOI: </w:t>
      </w:r>
      <w:hyperlink r:id="rId1156">
        <w:r>
          <w:rPr>
            <w:color w:val="1155CC"/>
            <w:u w:val="single"/>
          </w:rPr>
          <w:t>10.1002/adma.74679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作为一种用于人造肌肉和软机器人的新兴致动器材料，动态共价液晶弹性体（DCv-LCE）通过动态键交换实现网络重组，从而允许致动器重新编程、致动模式调整和材料回收。尽管有这些独特的优势，现有的 DCv-LCE 在实际应用中仍然受到有限的驱动性能的影响。受非共价相互作用在自然骨骼肌驱动中的关键作用的启发，我们通过故意设计同时结合氢键和金属配位交联的动态共价液晶网络，开发了超强 DCv-LCE (SS-DCv-LCE)。双非共价交联协同增强SS-DCv-LCE，在室温下产生极高的杨氏模量（~27.6 MPa）和超高强度（~30.7 MPa），同时在高温下显着增强机械鲁棒性。因此，SS-DCv-LCE 可提供高达 1.6 MPa 的驱动应力和高达 486.1 kJ m 的工作能力</w:t>
      </w:r>
      <w:r>
        <w:t xml:space="preserve"> </w:t>
      </w:r>
      <w:r>
        <w:t>−3</w:t>
      </w:r>
      <w:r>
        <w:t xml:space="preserve"> </w:t>
      </w:r>
      <w:r>
        <w:t>，分别比人类骨骼肌高约 4.5 倍和约 12.1 倍，也远远超过现有最先进的弹性体 DCv-LCE。此外，SS-DCv-LCE 具有可重编程性和可再加工性，能够重塑和回收成具有不同几何形状和驱动模式的执行器。这项工作建立了一种新的高性能驱动网络架构设计</w:t>
      </w:r>
    </w:p>
    <w:p>
      <w:pPr>
        <w:spacing w:before="0" w:after="200" w:lineRule="auto" w:line="276"/>
      </w:pPr>
      <w:r>
        <w:rPr>
          <w:b/>
        </w:rPr>
        <w:t xml:space="preserve">Abstract (EN): </w:t>
      </w:r>
      <w:r>
        <w:t>As an emerging actuator material for artificial muscles and soft robotics, dynamic covalent liquid‐crystal elastomers (DCv‐LCEs) enable network reorganization through dynamic bond exchange, allowing actuator reprogramming, actuation‐mode tuning, and material recycling. Despite these distinctive advantages, existing DCv‐LCEs still suffer from limited actuation performance for practical applications. Inspired by the critical role of noncovalent interactions in natural skeletal‐muscle actuation, we develop a superstrong DCv‐LCE (SS‐DCv‐LCE) by deliberately engineering a dynamic covalent liquid‐crystal network that simultaneously incorporates hydrogen‐bonding and metal‐coordination crosslinks. The dual noncovalent crosslinks synergistically reinforce SS‐DCv‐LCE, giving rise to a remarkably high Young's modulus (∼27.6 MPa) and a superhigh strength (∼30.7 MPa) at room temperature, while also imparting significantly enhanced mechanical robustness at elevated temperatures. As a result, SS‐DCv‐LCE delivers an actuation stress of up to 1.6 MPa and a work capacity of up to 486.1 kJ m</w:t>
      </w:r>
      <w:r>
        <w:t xml:space="preserve"> </w:t>
      </w:r>
      <w:r>
        <w:t>−3</w:t>
      </w:r>
      <w:r>
        <w:t xml:space="preserve"> </w:t>
      </w:r>
      <w:r>
        <w:t>, which are ∼4.5‐ and ∼12.1‐fold higher than those of human skeletal muscle, respectively, and also far exceed those of existing state‐of‐the‐art elastomeric DCv‐LCEs. Moreover, SS‐DCv‐LCE exhibits reprogrammability and reprocessability, enabling reshaping and recycling into actuators with diverse geometries and actuation modes. This work establishes a new network‐architecture design for high‐actuation‐performance DCv‐LCEs, opening opportunities for practical applications in artificial muscles and soft robotics.</w:t>
      </w:r>
    </w:p>
    <w:p>
      <w:pPr>
        <w:spacing w:before="120" w:after="120"/>
      </w:pPr>
      <w:r>
        <w:rPr>
          <w:sz w:val="18"/>
        </w:rPr>
        <w:t>——————————————————————————————————————————————————————————————————————</w:t>
      </w:r>
    </w:p>
    <w:p>
      <w:pPr>
        <w:spacing w:before="160" w:after="40" w:line="240" w:lineRule="auto"/>
      </w:pPr>
      <w:r>
        <w:rPr>
          <w:b/>
        </w:rPr>
        <w:t xml:space="preserve">[308] </w:t>
      </w:r>
      <w:hyperlink r:id="rId1157">
        <w:r>
          <w:rPr>
            <w:color w:val="1155CC"/>
            <w:u w:val="single"/>
          </w:rPr>
          <w:t>S-亚硝基硫醇作为硫醇保护基团用于均质软水凝胶的受控硫醇-马来酰亚胺交联</w:t>
        </w:r>
      </w:hyperlink>
    </w:p>
    <w:p>
      <w:pPr>
        <w:spacing w:before="0" w:after="80"/>
      </w:pPr>
      <w:r>
        <w:rPr>
          <w:i/>
          <w:sz w:val="20"/>
        </w:rPr>
        <w:t>EN: S‐Nitrosothiols as Thiol‐Protecting Groups for Controlled Thiol‐Maleimide Crosslinking of Homogeneous Soft Hydrogels</w:t>
      </w:r>
    </w:p>
    <w:p>
      <w:pPr>
        <w:spacing w:before="0" w:after="120"/>
      </w:pPr>
      <w:r>
        <w:rPr>
          <w:b/>
        </w:rPr>
        <w:t xml:space="preserve">Source: </w:t>
      </w:r>
      <w:r>
        <w:t>Wiley: Advanced Materials: Table of Contents</w:t>
      </w:r>
      <w:r>
        <w:t xml:space="preserve">    </w:t>
      </w:r>
      <w:r>
        <w:rPr>
          <w:b/>
        </w:rPr>
        <w:t xml:space="preserve">Pub date: </w:t>
      </w:r>
      <w:r>
        <w:t>2026-08-17 08:59:44+00:00</w:t>
      </w:r>
      <w:r>
        <w:t xml:space="preserve">    </w:t>
      </w:r>
      <w:r>
        <w:rPr>
          <w:b/>
        </w:rPr>
        <w:t xml:space="preserve">DOI: </w:t>
      </w:r>
      <w:hyperlink r:id="rId1158">
        <w:r>
          <w:rPr>
            <w:color w:val="1155CC"/>
            <w:u w:val="single"/>
          </w:rPr>
          <w:t>10.1002/adma.74627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醇-马来酰亚胺迈克尔型加成因其在生理条件下的化学选择性和快速动力学而被用于生物共轭和水凝胶交联。然而，这种相同的反应性限制了其在软水凝胶中的使用，因为凝胶化通常比前体混合进行得更快，导致空间异质网络。在这里，引入S-亚硝基硫醇（RSNO）作为硫醇保护基团，抑制过早的硫醇-马来酰亚胺偶联，并在按需交联之前实现聚合物前体的均匀混合。尽管人们普遍假设 RSNO 不稳定性，但 RSNO 修饰的四臂聚乙二醇 (PEGSNO) 在 4°C 避光条件下在水溶液中可稳定保存数月。亲核试剂抗坏血酸钠或硫代硫酸钠 (STS) 触发硫醇再生并与马来酰亚胺修饰的 PEG 进行受控交联。所得水凝胶是均匀的，杨氏模量可通过独立改变亲核体特性、浓度或聚合物含量在生理相关范围内调节。在基于马来酰亚胺改性冷水鱼皮明胶的细胞粘附系统中，STS 触发的凝胶化支持 3D 细胞封装，细胞相容性取决于配方和细胞类型，而基质硬度则通过聚合物含量和 STS 浓度进行调节。这项工作将 RSNO 化学确立为一种先前未探索的受控硫醇-马来酰亚胺交联策略，能够实现可重复、均匀的网络形成，并具有双功能材料耦合网络形成的潜力</w:t>
      </w:r>
    </w:p>
    <w:p>
      <w:pPr>
        <w:spacing w:before="0" w:after="200" w:lineRule="auto" w:line="276"/>
      </w:pPr>
      <w:r>
        <w:rPr>
          <w:b/>
        </w:rPr>
        <w:t xml:space="preserve">Abstract (EN): </w:t>
      </w:r>
      <w:r>
        <w:t>The thiol‐maleimide Michael‐type addition is used in bioconjugation and hydrogel crosslinking for its chemoselectivity and rapid kinetics under physiological conditions. However, this same reactivity limits its use for soft hydrogels, as gelation often proceeds faster than precursor mixing, leading to spatially heterogeneous networks. Here, S‐nitrosothiols (RSNOs) are introduced as thiol‐protecting groups that suppress premature thiol‐maleimide coupling and enable homogeneous mixing of polymer precursors prior to on‐demand crosslinking. Despite common assumptions about RSNO instability, RSNO‐modified 4‐arm polyethylene glycol (PEGSNO) is stable in aqueous solution for months at 4°C protected from light. The nucleophiles sodium ascorbate or sodium thiosulfate (STS) trigger thiol regeneration and controlled crosslinking with maleimide‐modified PEG. The resulting hydrogels are homogeneous with Young's moduli tunable across a physiologically relevant range by independently varying nucleophile identity, concentration, or polymer content. In a cell‐adhesive system based on maleimide‐modified cold water fish skin gelatin, STS‐triggered gelation supports 3D cell encapsulation, with cytocompatibility depending on formulation and cell type, while matrix stiffness is tuned through polymer content and STS concentration. This work establishes RSNO chemistry as a previously unexplored strategy for controlled thiol‐maleimide crosslinking, enabling reproducible, homogeneous network formation, with potential for dual‐function materials coupling network formation with local reactive nitrogen species delivery.</w:t>
      </w:r>
    </w:p>
    <w:p>
      <w:pPr>
        <w:spacing w:before="120" w:after="120"/>
      </w:pPr>
      <w:r>
        <w:rPr>
          <w:sz w:val="18"/>
        </w:rPr>
        <w:t>——————————————————————————————————————————————————————————————————————</w:t>
      </w:r>
    </w:p>
    <w:p>
      <w:pPr>
        <w:spacing w:before="160" w:after="40" w:line="240" w:lineRule="auto"/>
      </w:pPr>
      <w:r>
        <w:rPr>
          <w:b/>
        </w:rPr>
        <w:t xml:space="preserve">[309] </w:t>
      </w:r>
      <w:hyperlink r:id="rId1159">
        <w:r>
          <w:rPr>
            <w:color w:val="1155CC"/>
            <w:u w:val="single"/>
          </w:rPr>
          <w:t>弹性体 3D 打印微环境可在健康和患病的人类多能干细胞衍生的神经上皮细胞中进行纳牛顿力测量</w:t>
        </w:r>
      </w:hyperlink>
    </w:p>
    <w:p>
      <w:pPr>
        <w:spacing w:before="0" w:after="80"/>
      </w:pPr>
      <w:r>
        <w:rPr>
          <w:i/>
          <w:sz w:val="20"/>
        </w:rPr>
        <w:t>EN: Elastomeric 3D‐Printed Microenvironments Enable Nanonewton Force Measurements in Healthy and Diseased Human Pluripotent Stem Cell‐Derived Neuroepithelial Cells</w:t>
      </w:r>
    </w:p>
    <w:p>
      <w:pPr>
        <w:spacing w:before="0" w:after="120"/>
      </w:pPr>
      <w:r>
        <w:rPr>
          <w:b/>
        </w:rPr>
        <w:t xml:space="preserve">Source: </w:t>
      </w:r>
      <w:r>
        <w:t>Wiley: Advanced Materials: Table of Contents</w:t>
      </w:r>
      <w:r>
        <w:t xml:space="preserve">    </w:t>
      </w:r>
      <w:r>
        <w:rPr>
          <w:b/>
        </w:rPr>
        <w:t xml:space="preserve">Pub date: </w:t>
      </w:r>
      <w:r>
        <w:t>2026-08-17 09:05:37+00:00</w:t>
      </w:r>
      <w:r>
        <w:t xml:space="preserve">    </w:t>
      </w:r>
      <w:r>
        <w:rPr>
          <w:b/>
        </w:rPr>
        <w:t xml:space="preserve">DOI: </w:t>
      </w:r>
      <w:hyperlink r:id="rId1160">
        <w:r>
          <w:rPr>
            <w:color w:val="1155CC"/>
            <w:u w:val="single"/>
          </w:rPr>
          <w:t>10.1002/adma.74596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神经发育过程中，细胞在迁移和分化时会在其微环境中产生机械力并对其做出反应。这些力量对于人脑的发育至关重要，因为它们被转化为调节关键神经生物学过程的细胞内信号，并可能参与病理过程。然而，在三维（3D）微环境中测量纳牛顿（nN）范围内的这种力仍然具有技术挑战性和计算密集性。在这里，我们提出了应对这一挑战的解决方案，该解决方案基于通过双光子聚合 (2PP) 和定制湿法蚀刻工艺制造的弹性体 3D 微结构。由此产生的独立梁结构能够量化多能干细胞衍生的神经上皮祖细胞施加的 nN 力。我们使用活细胞共焦成像显微镜、扫描电子显微镜 (SEM) 和原子力显微镜 (AFM) 来表征细胞的形态及其施加的力，并辅以内部例程的支持，用于基于强度的偏转测量（具有亚像素分辨率）。使用该平台，我们将健康神经细胞和携带与结节性硬化症 (TSC) 相关的 TSC2 基因突变的神经细胞的神经元牵引力精确量化为低至 1.2 nN。所提出的弹性体微环境为研究细胞骨架力学、3D 神经力学生物学以及开发体外疾病治疗模型铺平了道路。</w:t>
      </w:r>
    </w:p>
    <w:p>
      <w:pPr>
        <w:spacing w:before="0" w:after="200" w:lineRule="auto" w:line="276"/>
      </w:pPr>
      <w:r>
        <w:rPr>
          <w:b/>
        </w:rPr>
        <w:t xml:space="preserve">Abstract (EN): </w:t>
      </w:r>
      <w:r>
        <w:t>During neural development, cells generate and respond to mechanical forces within their microenvironment while they migrate and differentiate. These forces are central to the development of the human brain, as they are transduced into intracellular signals that regulate key neurobiological processes and may be involved in pathological processes. However, measurement of such forces in the nanonewton (nN) range within a three‐dimensional (3D) microenvironment remains technically challenging and computationally intensive. Here, we present a solution to this challenge, based on elastomeric 3D microstructures fabricated via two‐photon polymerization (2PP) and a tailored wet‐etching process. The resulting free‐standing beam architectures enable the quantification of nN forces exerted by pluripotent stem cell‐derived neuroepithelial progenitor cells. We characterized the morphology of the cells and the forces they exerted using live‐cell confocal imaging microscopy, scanning electron microscopy (SEM), supported by an in‐house routine for intensity‐based deflection measurements with sub‐pixel resolution, and atomic force microscopy (AFM). Using this platform, we precisely quantified neuronal traction forces down to 1.2 nN from both healthy neural cells and those carrying a TSC2 gene mutation linked to tuberous sclerosis complex (TSC). The proposed elastomeric microenvironment paves the way for investigating cytoskeletal mechanics, neuromechanobiology in 3D, and for developing in vitro disease treatment models.</w:t>
      </w:r>
    </w:p>
    <w:p>
      <w:pPr>
        <w:spacing w:before="120" w:after="120"/>
      </w:pPr>
      <w:r>
        <w:rPr>
          <w:sz w:val="18"/>
        </w:rPr>
        <w:t>——————————————————————————————————————————————————————————————————————</w:t>
      </w:r>
    </w:p>
    <w:p>
      <w:pPr>
        <w:spacing w:before="160" w:after="40" w:line="240" w:lineRule="auto"/>
      </w:pPr>
      <w:r>
        <w:rPr>
          <w:b/>
        </w:rPr>
        <w:t xml:space="preserve">[310] </w:t>
      </w:r>
      <w:hyperlink r:id="rId1161">
        <w:r>
          <w:rPr>
            <w:color w:val="1155CC"/>
            <w:u w:val="single"/>
          </w:rPr>
          <w:t>利用准一维电子对密度调制实现空气稳定二维超导体 Nb2Pd3Te5</w:t>
        </w:r>
      </w:hyperlink>
    </w:p>
    <w:p>
      <w:pPr>
        <w:spacing w:before="0" w:after="80"/>
      </w:pPr>
      <w:r>
        <w:rPr>
          <w:i/>
          <w:sz w:val="20"/>
        </w:rPr>
        <w:t>EN: Realization of Air‐Stable Two‐Dimensional Superconductor Nb2Pd3Te5 With Quasi‐One‐Dimensional Pair Density Modulation</w:t>
      </w:r>
    </w:p>
    <w:p>
      <w:pPr>
        <w:spacing w:before="0" w:after="120"/>
      </w:pPr>
      <w:r>
        <w:rPr>
          <w:b/>
        </w:rPr>
        <w:t xml:space="preserve">Source: </w:t>
      </w:r>
      <w:r>
        <w:t>Wiley: Advanced Materials: Table of Contents</w:t>
      </w:r>
      <w:r>
        <w:t xml:space="preserve">    </w:t>
      </w:r>
      <w:r>
        <w:rPr>
          <w:b/>
        </w:rPr>
        <w:t xml:space="preserve">Pub date: </w:t>
      </w:r>
      <w:r>
        <w:t>2026-08-17 09:07:58+00:00</w:t>
      </w:r>
      <w:r>
        <w:t xml:space="preserve">    </w:t>
      </w:r>
      <w:r>
        <w:rPr>
          <w:b/>
        </w:rPr>
        <w:t xml:space="preserve">DOI: </w:t>
      </w:r>
      <w:hyperlink r:id="rId1162">
        <w:r>
          <w:rPr>
            <w:color w:val="1155CC"/>
            <w:u w:val="single"/>
          </w:rPr>
          <w:t>10.1002/adma.74711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超导体为探索降维超导和涌现的量子现象提供了丰富的平台。将准一维（准一维）结构图案纳入二维超导体中，为设计强电子各向异性提供了一条强大的途径，从而实现非常规超导态和各向异性超导输运功能。然而，这样的系统仍然很少实现。在这里，我们报告了二维超导体 Nb 的实现</w:t>
      </w:r>
      <w:r>
        <w:rPr>
          <w:vertAlign w:val="subscript"/>
        </w:rPr>
        <w:t>2</w:t>
      </w:r>
      <w:r>
        <w:t>钯</w:t>
      </w:r>
      <w:r>
        <w:rPr>
          <w:vertAlign w:val="subscript"/>
        </w:rPr>
        <w:t>3</w:t>
      </w:r>
      <w:r>
        <w:t>碲</w:t>
      </w:r>
      <w:r>
        <w:rPr>
          <w:vertAlign w:val="subscript"/>
        </w:rPr>
        <w:t>5</w:t>
      </w:r>
      <w:r>
        <w:t>，表现出内在的准一维对密度调制。单层和双层铌</w:t>
      </w:r>
      <w:r>
        <w:rPr>
          <w:vertAlign w:val="subscript"/>
        </w:rPr>
        <w:t>2</w:t>
      </w:r>
      <w:r>
        <w:t>钯</w:t>
      </w:r>
      <w:r>
        <w:rPr>
          <w:vertAlign w:val="subscript"/>
        </w:rPr>
        <w:t>3</w:t>
      </w:r>
      <w:r>
        <w:t>碲</w:t>
      </w:r>
      <w:r>
        <w:rPr>
          <w:vertAlign w:val="subscript"/>
        </w:rPr>
        <w:t>5</w:t>
      </w:r>
      <w:r>
        <w:t>通过范德华外延合成。使用超低温扫描隧道显微镜/光谱学，我们观察到了~0.6 K 以下的准一维晶体结构和超导性，并具有明显的准一维对密度调制。值得注意的是，单层和双层 Nb</w:t>
      </w:r>
      <w:r>
        <w:rPr>
          <w:vertAlign w:val="subscript"/>
        </w:rPr>
        <w:t>2</w:t>
      </w:r>
      <w:r>
        <w:t>钯</w:t>
      </w:r>
      <w:r>
        <w:rPr>
          <w:vertAlign w:val="subscript"/>
        </w:rPr>
        <w:t>3</w:t>
      </w:r>
      <w:r>
        <w:t>碲</w:t>
      </w:r>
      <w:r>
        <w:rPr>
          <w:vertAlign w:val="subscript"/>
        </w:rPr>
        <w:t>5</w:t>
      </w:r>
      <w:r>
        <w:t>表现出较强的空气稳定性。我们的研究结果以原子方式建立了二维 Nb</w:t>
      </w:r>
      <w:r>
        <w:rPr>
          <w:vertAlign w:val="subscript"/>
        </w:rPr>
        <w:t>2</w:t>
      </w:r>
      <w:r>
        <w:t>钯</w:t>
      </w:r>
      <w:r>
        <w:rPr>
          <w:vertAlign w:val="subscript"/>
        </w:rPr>
        <w:t>3</w:t>
      </w:r>
      <w:r>
        <w:t>碲</w:t>
      </w:r>
      <w:r>
        <w:rPr>
          <w:vertAlign w:val="subscript"/>
        </w:rPr>
        <w:t>5</w:t>
      </w:r>
      <w:r>
        <w:t>作为探索新型低维量子的强大且有前途的平台</w:t>
      </w:r>
    </w:p>
    <w:p>
      <w:pPr>
        <w:spacing w:before="0" w:after="200" w:lineRule="auto" w:line="276"/>
      </w:pPr>
      <w:r>
        <w:rPr>
          <w:b/>
        </w:rPr>
        <w:t xml:space="preserve">Abstract (EN): </w:t>
      </w:r>
      <w:r>
        <w:t>Two‐dimensional (2D) superconductors provide a fertile platform for exploring reduced‐dimensional superconductivity and emergent quantum phenomena. Incorporating quasi‐one‐dimensional (quasi‐1D) structural motifs into 2D superconductors offers a powerful route to engineer strong electronic anisotropy, enabling unconventional superconducting states and anisotropic superconducting transport functionalities. However, such systems remain rarely realized. Here we report the realization of a 2D superconductor Nb</w:t>
      </w:r>
      <w:r>
        <w:rPr>
          <w:vertAlign w:val="subscript"/>
        </w:rPr>
        <w:t>2</w:t>
      </w:r>
      <w:r>
        <w:t>Pd</w:t>
      </w:r>
      <w:r>
        <w:rPr>
          <w:vertAlign w:val="subscript"/>
        </w:rPr>
        <w:t>3</w:t>
      </w:r>
      <w:r>
        <w:t>Te</w:t>
      </w:r>
      <w:r>
        <w:rPr>
          <w:vertAlign w:val="subscript"/>
        </w:rPr>
        <w:t>5</w:t>
      </w:r>
      <w:r>
        <w:t>, exhibiting an intrinsic quasi‐1D pair density modulation. Monolayer and bilayer Nb</w:t>
      </w:r>
      <w:r>
        <w:rPr>
          <w:vertAlign w:val="subscript"/>
        </w:rPr>
        <w:t>2</w:t>
      </w:r>
      <w:r>
        <w:t>Pd</w:t>
      </w:r>
      <w:r>
        <w:rPr>
          <w:vertAlign w:val="subscript"/>
        </w:rPr>
        <w:t>3</w:t>
      </w:r>
      <w:r>
        <w:t>Te</w:t>
      </w:r>
      <w:r>
        <w:rPr>
          <w:vertAlign w:val="subscript"/>
        </w:rPr>
        <w:t>5</w:t>
      </w:r>
      <w:r>
        <w:t>is synthesized via van‐der‐Waals epitaxy. Using ultralow‐temperature scanning tunneling microscopy/spectroscopy, we observe the quasi‐1D crystal structure and superconductivity below ∼0.6 K with a pronounced quasi‐1D pair density modulation. Remarkably, both monolayer and bilayer Nb</w:t>
      </w:r>
      <w:r>
        <w:rPr>
          <w:vertAlign w:val="subscript"/>
        </w:rPr>
        <w:t>2</w:t>
      </w:r>
      <w:r>
        <w:t>Pd</w:t>
      </w:r>
      <w:r>
        <w:rPr>
          <w:vertAlign w:val="subscript"/>
        </w:rPr>
        <w:t>3</w:t>
      </w:r>
      <w:r>
        <w:t>Te</w:t>
      </w:r>
      <w:r>
        <w:rPr>
          <w:vertAlign w:val="subscript"/>
        </w:rPr>
        <w:t>5</w:t>
      </w:r>
      <w:r>
        <w:t>show strong air stability. Our findings establish atomically 2D Nb</w:t>
      </w:r>
      <w:r>
        <w:rPr>
          <w:vertAlign w:val="subscript"/>
        </w:rPr>
        <w:t>2</w:t>
      </w:r>
      <w:r>
        <w:t>Pd</w:t>
      </w:r>
      <w:r>
        <w:rPr>
          <w:vertAlign w:val="subscript"/>
        </w:rPr>
        <w:t>3</w:t>
      </w:r>
      <w:r>
        <w:t>Te</w:t>
      </w:r>
      <w:r>
        <w:rPr>
          <w:vertAlign w:val="subscript"/>
        </w:rPr>
        <w:t>5</w:t>
      </w:r>
      <w:r>
        <w:t>as a robust and promising platform for exploring novel low‐dimensional quantum phenomena and anisotropy‐enabled superconducting devices.</w:t>
      </w:r>
    </w:p>
    <w:p>
      <w:pPr>
        <w:spacing w:before="120" w:after="120"/>
      </w:pPr>
      <w:r>
        <w:rPr>
          <w:sz w:val="18"/>
        </w:rPr>
        <w:t>——————————————————————————————————————————————————————————————————————</w:t>
      </w:r>
    </w:p>
    <w:p>
      <w:pPr>
        <w:spacing w:before="160" w:after="40" w:line="240" w:lineRule="auto"/>
      </w:pPr>
      <w:r>
        <w:rPr>
          <w:b/>
        </w:rPr>
        <w:t xml:space="preserve">[311] </w:t>
      </w:r>
      <w:hyperlink r:id="rId1163">
        <w:r>
          <w:rPr>
            <w:color w:val="1155CC"/>
            <w:u w:val="single"/>
          </w:rPr>
          <w:t>${D}^{0}\text{−}{D}_{s}^{+}$ 流在 $\sqrt{{s}_{NN}}=5.36$ TeV 处从早期 ${D}_{s}^{+}$ 形成分裂的系统尺寸依赖性</w:t>
        </w:r>
      </w:hyperlink>
    </w:p>
    <w:p>
      <w:pPr>
        <w:spacing w:before="0" w:after="80"/>
      </w:pPr>
      <w:r>
        <w:rPr>
          <w:i/>
          <w:sz w:val="20"/>
        </w:rPr>
        <w:t>EN: System-size dependence of the ${D}^{0}\text{−}{D}_{s}^{+}$ flow splitting from early ${D}_{s}^{+}$ formation at $\sqrt{{s}_{NN}}=5.36$ TeV</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64">
        <w:r>
          <w:rPr>
            <w:color w:val="1155CC"/>
            <w:u w:val="single"/>
          </w:rPr>
          <w:t>10.1103/94d3-nfy8</w:t>
        </w:r>
      </w:hyperlink>
    </w:p>
    <w:p>
      <w:pPr>
        <w:spacing w:before="0" w:after="120"/>
      </w:pPr>
      <w:r>
        <w:rPr>
          <w:b/>
        </w:rPr>
        <w:t xml:space="preserve">Notes: </w:t>
      </w:r>
      <w:r>
        <w:t>abstract_source=rss_description</w:t>
      </w:r>
    </w:p>
    <w:p>
      <w:pPr>
        <w:spacing w:before="0" w:after="80" w:lineRule="auto" w:line="276"/>
      </w:pPr>
      <w:r>
        <w:rPr>
          <w:b/>
        </w:rPr>
        <w:t xml:space="preserve">摘要（ZH）: </w:t>
      </w:r>
      <w:r>
        <w:t>作者：杜辉、郝晓伟、戴伟、赵嘉兴、张本伟和王恩科我们研究了具有顺序强子化的重夸克输运框架内瞬发 ${D}^{0}$ 和 ${D}_{s}^{+}$ 介子之间的椭圆流分裂，其中 ${D}_{s}^{+}$ 形成于$1.2\phantom{\rule{0.16em}{0ex}}{T}_{c}$ 和 ${D}^{0}$ 在 ${T}_{c}$。我们提出了......[物理。 Rev. C 114, 024907] 于 2026 年 8 月 17 日星期一发布</w:t>
      </w:r>
    </w:p>
    <w:p>
      <w:pPr>
        <w:spacing w:before="0" w:after="200" w:lineRule="auto" w:line="276"/>
      </w:pPr>
      <w:r>
        <w:rPr>
          <w:b/>
        </w:rPr>
        <w:t xml:space="preserve">Abstract (EN): </w:t>
      </w:r>
      <w:r>
        <w:t>Author(s): Hui Du, Xiao-Wei Hao, Wei Dai, Jiaxing Zhao, Ben-Wei Zhang, and Enke WangWe investigate the elliptic-flow splitting between prompt ${D}^{0}$ and ${D}_{s}^{+}$ mesons within a heavy-quark transport framework with sequential hadronization, in which ${D}_{s}^{+}$ forms at $1.2\phantom{\rule{0.16em}{0ex}}{T}_{c}$ and ${D}^{0}$ at ${T}_{c}$. We present model calculations for …[Phys. Rev. C 114, 024907] Published Mon Aug 17, 2026</w:t>
      </w:r>
    </w:p>
    <w:p>
      <w:pPr>
        <w:spacing w:before="120" w:after="120"/>
      </w:pPr>
      <w:r>
        <w:rPr>
          <w:sz w:val="18"/>
        </w:rPr>
        <w:t>——————————————————————————————————————————————————————————————————————</w:t>
      </w:r>
    </w:p>
    <w:p>
      <w:pPr>
        <w:spacing w:before="160" w:after="40" w:line="240" w:lineRule="auto"/>
      </w:pPr>
      <w:r>
        <w:rPr>
          <w:b/>
        </w:rPr>
        <w:t xml:space="preserve">[312] </w:t>
      </w:r>
      <w:hyperlink r:id="rId1165">
        <w:r>
          <w:rPr>
            <w:color w:val="1155CC"/>
            <w:u w:val="single"/>
          </w:rPr>
          <w:t>$α$ 重碎片在 $^{256,258}\mathrm{Fm}$ 自发裂变中的裂变构型中的作用</w:t>
        </w:r>
      </w:hyperlink>
    </w:p>
    <w:p>
      <w:pPr>
        <w:spacing w:before="0" w:after="80"/>
      </w:pPr>
      <w:r>
        <w:rPr>
          <w:i/>
          <w:sz w:val="20"/>
        </w:rPr>
        <w:t>EN: Role of $α$ clustering of heavy fragments in scission configurations in spontaneous fission of $^{256,258}\mathrm{Fm}$</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66">
        <w:r>
          <w:rPr>
            <w:color w:val="1155CC"/>
            <w:u w:val="single"/>
          </w:rPr>
          <w:t>10.1103/jh8h-k9hf</w:t>
        </w:r>
      </w:hyperlink>
    </w:p>
    <w:p>
      <w:pPr>
        <w:spacing w:before="0" w:after="120"/>
      </w:pPr>
      <w:r>
        <w:rPr>
          <w:b/>
        </w:rPr>
        <w:t xml:space="preserve">Notes: </w:t>
      </w:r>
      <w:r>
        <w:t>abstract_source=rss_description</w:t>
      </w:r>
    </w:p>
    <w:p>
      <w:pPr>
        <w:spacing w:before="0" w:after="80" w:lineRule="auto" w:line="276"/>
      </w:pPr>
      <w:r>
        <w:rPr>
          <w:b/>
        </w:rPr>
        <w:t xml:space="preserve">摘要（ZH）: </w:t>
      </w:r>
      <w:r>
        <w:t>作者：H. Paşca、G. G. Adamian 和 N. V. Antonenko同时考虑了裂变构型中重碎片 $α$ 聚集对 $^{256,258}\mathrm{Fm}$ 自发裂变碎片的质量、电荷、中子多重性和总动能分布的影响。对一些可观测数据的预测表明……[物理。 Rev. C 114, 024608] 于 2026 年 8 月 17 日星期一发布</w:t>
      </w:r>
    </w:p>
    <w:p>
      <w:pPr>
        <w:spacing w:before="0" w:after="200" w:lineRule="auto" w:line="276"/>
      </w:pPr>
      <w:r>
        <w:rPr>
          <w:b/>
        </w:rPr>
        <w:t xml:space="preserve">Abstract (EN): </w:t>
      </w:r>
      <w:r>
        <w:t>Author(s): H. Paşca, G. G. Adamian, and N. V. AntonenkoThe effect of $α$ clustering of heavy fragment in scission configurations on the mass, charge, neutron multiplicity, and total kinetic energy distributions of fragments of spontaneous fission of $^{256,258}\mathrm{Fm}$ is simultaneously considered. Predictions for some observables are presented that…[Phys. Rev. C 114, 024608] Published Mon Aug 17, 2026</w:t>
      </w:r>
    </w:p>
    <w:p>
      <w:pPr>
        <w:spacing w:before="120" w:after="120"/>
      </w:pPr>
      <w:r>
        <w:rPr>
          <w:sz w:val="18"/>
        </w:rPr>
        <w:t>——————————————————————————————————————————————————————————————————————</w:t>
      </w:r>
    </w:p>
    <w:p>
      <w:pPr>
        <w:spacing w:before="160" w:after="40" w:line="240" w:lineRule="auto"/>
      </w:pPr>
      <w:r>
        <w:rPr>
          <w:b/>
        </w:rPr>
        <w:t xml:space="preserve">[313] </w:t>
      </w:r>
      <w:hyperlink r:id="rId1167">
        <w:r>
          <w:rPr>
            <w:color w:val="1155CC"/>
            <w:u w:val="single"/>
          </w:rPr>
          <w:t>质子核散射总非弹性截面的经验公式</w:t>
        </w:r>
      </w:hyperlink>
    </w:p>
    <w:p>
      <w:pPr>
        <w:spacing w:before="0" w:after="80"/>
      </w:pPr>
      <w:r>
        <w:rPr>
          <w:i/>
          <w:sz w:val="20"/>
        </w:rPr>
        <w:t>EN: Empirical formula for total inelastic cross section of proton-nucleus scattering</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68">
        <w:r>
          <w:rPr>
            <w:color w:val="1155CC"/>
            <w:u w:val="single"/>
          </w:rPr>
          <w:t>10.1103/vjxf-v7c4</w:t>
        </w:r>
      </w:hyperlink>
    </w:p>
    <w:p>
      <w:pPr>
        <w:spacing w:before="0" w:after="120"/>
      </w:pPr>
      <w:r>
        <w:rPr>
          <w:b/>
        </w:rPr>
        <w:t xml:space="preserve">Notes: </w:t>
      </w:r>
      <w:r>
        <w:t>abstract_source=rss_description</w:t>
      </w:r>
    </w:p>
    <w:p>
      <w:pPr>
        <w:spacing w:before="0" w:after="80" w:lineRule="auto" w:line="276"/>
      </w:pPr>
      <w:r>
        <w:rPr>
          <w:b/>
        </w:rPr>
        <w:t xml:space="preserve">摘要（ZH）: </w:t>
      </w:r>
      <w:r>
        <w:t>作者：Hemant Kumar、Tanmay Maji、Deepa Gupta 和 Ashavani Kumar 我们提出了一个通用经验公式，用于计算由不同能量的质子散射的各种目标核的总非弹性截面，该公式适用于从 $15\phantom{\rule{4pt}{0ex}}\mathrm{MeV}$ 到$1\phantom{\rule{4pt}{0ex}}\mathrm{TeV}$。拟议的莫...[物理。 Rev. C 114, 024607] 于 2026 年 8 月 17 日星期一发布</w:t>
      </w:r>
    </w:p>
    <w:p>
      <w:pPr>
        <w:spacing w:before="0" w:after="200" w:lineRule="auto" w:line="276"/>
      </w:pPr>
      <w:r>
        <w:rPr>
          <w:b/>
        </w:rPr>
        <w:t xml:space="preserve">Abstract (EN): </w:t>
      </w:r>
      <w:r>
        <w:t>Author(s): Hemant Kumar, Tanmay Maji, Deepa Gupta, and Ashavani KumarWe propose a generic empirical formula for total inelastic cross sections for various target nuclei scattered by a proton at different energies, which is applicable over a wide range of energy from $15\phantom{\rule{4pt}{0ex}}\mathrm{MeV}$ to $1\phantom{\rule{4pt}{0ex}}\mathrm{TeV}$. The proposed mo…[Phys. Rev. C 114, 024607] Published Mon Aug 17, 2026</w:t>
      </w:r>
    </w:p>
    <w:p>
      <w:pPr>
        <w:spacing w:before="120" w:after="120"/>
      </w:pPr>
      <w:r>
        <w:rPr>
          <w:sz w:val="18"/>
        </w:rPr>
        <w:t>——————————————————————————————————————————————————————————————————————</w:t>
      </w:r>
    </w:p>
    <w:p>
      <w:pPr>
        <w:spacing w:before="160" w:after="40" w:line="240" w:lineRule="auto"/>
      </w:pPr>
      <w:r>
        <w:rPr>
          <w:b/>
        </w:rPr>
        <w:t xml:space="preserve">[314] </w:t>
      </w:r>
      <w:hyperlink r:id="rId1169">
        <w:r>
          <w:rPr>
            <w:color w:val="1155CC"/>
            <w:u w:val="single"/>
          </w:rPr>
          <w:t>对裂变和重离子反应发生器坐标方法当前实施的批判性评估</w:t>
        </w:r>
      </w:hyperlink>
    </w:p>
    <w:p>
      <w:pPr>
        <w:spacing w:before="0" w:after="80"/>
      </w:pPr>
      <w:r>
        <w:rPr>
          <w:i/>
          <w:sz w:val="20"/>
        </w:rPr>
        <w:t>EN: Critical assessment of the current implementations of the generator coordinate method for fission and heavy-ion reactions</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70">
        <w:r>
          <w:rPr>
            <w:color w:val="1155CC"/>
            <w:u w:val="single"/>
          </w:rPr>
          <w:t>10.1103/2z3h-12hs</w:t>
        </w:r>
      </w:hyperlink>
    </w:p>
    <w:p>
      <w:pPr>
        <w:spacing w:before="0" w:after="120"/>
      </w:pPr>
      <w:r>
        <w:rPr>
          <w:b/>
        </w:rPr>
        <w:t xml:space="preserve">Notes: </w:t>
      </w:r>
      <w:r>
        <w:t>abstract_source=rss_description</w:t>
      </w:r>
    </w:p>
    <w:p>
      <w:pPr>
        <w:spacing w:before="0" w:after="80" w:lineRule="auto" w:line="276"/>
      </w:pPr>
      <w:r>
        <w:rPr>
          <w:b/>
        </w:rPr>
        <w:t xml:space="preserve">摘要（ZH）: </w:t>
      </w:r>
      <w:r>
        <w:t>作者：Aurel Bulgac发电机坐标法（GCM）由Wheeler在核物理学中引入，并由Peierls及其合作者于20世纪50年代独立引入，至今仍然是处理核大幅集体运动最常用的近似方法之一。 GCM 受到类似方法的启发……[Phys. Rev. C 114, 024606] 于 2026 年 8 月 17 日星期一发布</w:t>
      </w:r>
    </w:p>
    <w:p>
      <w:pPr>
        <w:spacing w:before="0" w:after="200" w:lineRule="auto" w:line="276"/>
      </w:pPr>
      <w:r>
        <w:rPr>
          <w:b/>
        </w:rPr>
        <w:t xml:space="preserve">Abstract (EN): </w:t>
      </w:r>
      <w:r>
        <w:t>Author(s): Aurel BulgacThe generator coordinate method (GCM) was introduced in nuclear physics by Wheeler and independently by Peierls and their collaborators in 1950s and it is still one of the most used approximations for treating nuclear large-amplitude collective motion. GCM was inspired by similar methods introduced …[Phys. Rev. C 114, 024606] Published Mon Aug 17, 2026</w:t>
      </w:r>
    </w:p>
    <w:p>
      <w:pPr>
        <w:spacing w:before="120" w:after="120"/>
      </w:pPr>
      <w:r>
        <w:rPr>
          <w:sz w:val="18"/>
        </w:rPr>
        <w:t>——————————————————————————————————————————————————————————————————————</w:t>
      </w:r>
    </w:p>
    <w:p>
      <w:pPr>
        <w:spacing w:before="160" w:after="40" w:line="240" w:lineRule="auto"/>
      </w:pPr>
      <w:r>
        <w:rPr>
          <w:b/>
        </w:rPr>
        <w:t xml:space="preserve">[315] </w:t>
      </w:r>
      <w:hyperlink r:id="rId1171">
        <w:r>
          <w:rPr>
            <w:color w:val="1155CC"/>
            <w:u w:val="single"/>
          </w:rPr>
          <w:t>基于模拟的 200 GeV $p+p$ 碰撞中轻味和重味喷流的喷流子结构研究</w:t>
        </w:r>
      </w:hyperlink>
    </w:p>
    <w:p>
      <w:pPr>
        <w:spacing w:before="0" w:after="80"/>
      </w:pPr>
      <w:r>
        <w:rPr>
          <w:i/>
          <w:sz w:val="20"/>
        </w:rPr>
        <w:t>EN: Simulation-based study of jet substructure of light- and heavy-flavor jets in $p+p$ collisions at 200 GeV</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72">
        <w:r>
          <w:rPr>
            <w:color w:val="1155CC"/>
            <w:u w:val="single"/>
          </w:rPr>
          <w:t>10.1103/zh98-jf1w</w:t>
        </w:r>
      </w:hyperlink>
    </w:p>
    <w:p>
      <w:pPr>
        <w:spacing w:before="0" w:after="120"/>
      </w:pPr>
      <w:r>
        <w:rPr>
          <w:b/>
        </w:rPr>
        <w:t xml:space="preserve">Notes: </w:t>
      </w:r>
      <w:r>
        <w:t>abstract_source=rss_description</w:t>
      </w:r>
    </w:p>
    <w:p>
      <w:pPr>
        <w:spacing w:before="0" w:after="80" w:lineRule="auto" w:line="276"/>
      </w:pPr>
      <w:r>
        <w:rPr>
          <w:b/>
        </w:rPr>
        <w:t xml:space="preserve">摘要（ZH）: </w:t>
      </w:r>
      <w:r>
        <w:t>作者：Zhuoheng Yang、Oleh Fedkevych 和 Roli EshaJet 在 CERN 大型强子对撞机的子结构研究已用于约束部分子分布函数、测试微扰量子色动力学、测量强耦合常数以及探测夸克-胶子等离子体的特性。我们将这些研究扩展到降低碰撞能量……[物理。 Rev. C 114, 024908] 于 2026 年 8 月 17 日星期一发布</w:t>
      </w:r>
    </w:p>
    <w:p>
      <w:pPr>
        <w:spacing w:before="0" w:after="200" w:lineRule="auto" w:line="276"/>
      </w:pPr>
      <w:r>
        <w:rPr>
          <w:b/>
        </w:rPr>
        <w:t xml:space="preserve">Abstract (EN): </w:t>
      </w:r>
      <w:r>
        <w:t>Author(s): Zhuoheng Yang, Oleh Fedkevych, and Roli EshaJet substructure studies at the CERN Large Hadron Collider have been used to constrain parton distribution functions, test perturbative quantum chromodynamics, measure the strong-coupling constant, and probe the properties of the quark-gluon plasma. We extend these studies to lower collision energie…[Phys. Rev. C 114, 024908] Published Mon Aug 17, 2026</w:t>
      </w:r>
    </w:p>
    <w:p>
      <w:pPr>
        <w:spacing w:before="120" w:after="120"/>
      </w:pPr>
      <w:r>
        <w:rPr>
          <w:sz w:val="18"/>
        </w:rPr>
        <w:t>——————————————————————————————————————————————————————————————————————</w:t>
      </w:r>
    </w:p>
    <w:p>
      <w:pPr>
        <w:spacing w:before="160" w:after="40" w:line="240" w:lineRule="auto"/>
      </w:pPr>
      <w:r>
        <w:rPr>
          <w:b/>
        </w:rPr>
        <w:t xml:space="preserve">[316] </w:t>
      </w:r>
      <w:hyperlink r:id="rId1173">
        <w:r>
          <w:rPr>
            <w:color w:val="1155CC"/>
            <w:u w:val="single"/>
          </w:rPr>
          <w:t>从裸露的两个核子相互作用到相对论框架中的核物质和有限核</w:t>
        </w:r>
      </w:hyperlink>
    </w:p>
    <w:p>
      <w:pPr>
        <w:spacing w:before="0" w:after="80"/>
      </w:pPr>
      <w:r>
        <w:rPr>
          <w:i/>
          <w:sz w:val="20"/>
        </w:rPr>
        <w:t>EN: From bare two-nucleon interaction to nuclear matter and finite nuclei in a relativistic framework</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74">
        <w:r>
          <w:rPr>
            <w:color w:val="1155CC"/>
            <w:u w:val="single"/>
          </w:rPr>
          <w:t>10.1103/pd1h-cdwc</w:t>
        </w:r>
      </w:hyperlink>
    </w:p>
    <w:p>
      <w:pPr>
        <w:spacing w:before="0" w:after="120"/>
      </w:pPr>
      <w:r>
        <w:rPr>
          <w:b/>
        </w:rPr>
        <w:t xml:space="preserve">Notes: </w:t>
      </w:r>
      <w:r>
        <w:t>abstract_source=rss_description</w:t>
      </w:r>
    </w:p>
    <w:p>
      <w:pPr>
        <w:spacing w:before="0" w:after="80" w:lineRule="auto" w:line="276"/>
      </w:pPr>
      <w:r>
        <w:rPr>
          <w:b/>
        </w:rPr>
        <w:t xml:space="preserve">摘要（ZH）: </w:t>
      </w:r>
      <w:r>
        <w:t>作者：沉世航、陆俊旭、耿立生、邹伟江和孟杰几十年来，在统一框架内理解核力、无限核物质和有限核一直是核物理学的核心挑战。虽然大多数从头算研究都采用非相对论薛定谔方程框架，但这项工作提供了相对论视角。使用...[物理。 Rev. C 114, 024328] 于 2026 年 8 月 17 日星期一发布</w:t>
      </w:r>
    </w:p>
    <w:p>
      <w:pPr>
        <w:spacing w:before="0" w:after="200" w:lineRule="auto" w:line="276"/>
      </w:pPr>
      <w:r>
        <w:rPr>
          <w:b/>
        </w:rPr>
        <w:t xml:space="preserve">Abstract (EN): </w:t>
      </w:r>
      <w:r>
        <w:t>Author(s): Shihang Shen, Jun-Xu Lu, Li-Sheng Geng, Wei-Jiang Zou, and Jie MengUnderstanding nuclear forces, infinite nuclear matter, and finite nuclei within a unified framework has remained a central challenge in nuclear physics for decades. While most ab initio studies employ nonrelativistic Schrödinger-equation frameworks, this work offers a relativistic perspective. Using…[Phys. Rev. C 114, 024328] Published Mon Aug 17, 2026</w:t>
      </w:r>
    </w:p>
    <w:p>
      <w:pPr>
        <w:spacing w:before="120" w:after="120"/>
      </w:pPr>
      <w:r>
        <w:rPr>
          <w:sz w:val="18"/>
        </w:rPr>
        <w:t>——————————————————————————————————————————————————————————————————————</w:t>
      </w:r>
    </w:p>
    <w:p>
      <w:pPr>
        <w:spacing w:before="160" w:after="40" w:line="240" w:lineRule="auto"/>
      </w:pPr>
      <w:r>
        <w:rPr>
          <w:b/>
        </w:rPr>
        <w:t xml:space="preserve">[317] </w:t>
      </w:r>
      <w:hyperlink r:id="rId1175">
        <w:r>
          <w:rPr>
            <w:color w:val="1155CC"/>
            <w:u w:val="single"/>
          </w:rPr>
          <w:t>核滴线与超新星物质的组成</w:t>
        </w:r>
      </w:hyperlink>
    </w:p>
    <w:p>
      <w:pPr>
        <w:spacing w:before="0" w:after="80"/>
      </w:pPr>
      <w:r>
        <w:rPr>
          <w:i/>
          <w:sz w:val="20"/>
        </w:rPr>
        <w:t>EN: Nuclear drip line and the composition of supernova matter</w:t>
      </w:r>
    </w:p>
    <w:p>
      <w:pPr>
        <w:spacing w:before="0" w:after="120"/>
      </w:pPr>
      <w:r>
        <w:rPr>
          <w:b/>
        </w:rPr>
        <w:t xml:space="preserve">Source: </w:t>
      </w:r>
      <w:r>
        <w:t>Recent Articles in Phys. Rev. C</w:t>
      </w:r>
      <w:r>
        <w:t xml:space="preserve">    </w:t>
      </w:r>
      <w:r>
        <w:rPr>
          <w:b/>
        </w:rPr>
        <w:t xml:space="preserve">Pub date: </w:t>
      </w:r>
      <w:r>
        <w:t>2026-08-17 10:00:00+00:00</w:t>
      </w:r>
      <w:r>
        <w:t xml:space="preserve">    </w:t>
      </w:r>
      <w:r>
        <w:rPr>
          <w:b/>
        </w:rPr>
        <w:t xml:space="preserve">DOI: </w:t>
      </w:r>
      <w:hyperlink r:id="rId1176">
        <w:r>
          <w:rPr>
            <w:color w:val="1155CC"/>
            <w:u w:val="single"/>
          </w:rPr>
          <w:t>10.1103/vm76-3bcj</w:t>
        </w:r>
      </w:hyperlink>
    </w:p>
    <w:p>
      <w:pPr>
        <w:spacing w:before="0" w:after="120"/>
      </w:pPr>
      <w:r>
        <w:rPr>
          <w:b/>
        </w:rPr>
        <w:t xml:space="preserve">Notes: </w:t>
      </w:r>
      <w:r>
        <w:t>abstract_source=rss_description</w:t>
      </w:r>
    </w:p>
    <w:p>
      <w:pPr>
        <w:spacing w:before="0" w:after="80" w:lineRule="auto" w:line="276"/>
      </w:pPr>
      <w:r>
        <w:rPr>
          <w:b/>
        </w:rPr>
        <w:t xml:space="preserve">摘要（ZH）: </w:t>
      </w:r>
      <w:r>
        <w:t>作者：S. Maity 和 S. Mallik 核滴水线在确定极端天体物理条件下的物质成分方面发挥着至关重要的作用。在核心塌陷超新星和中子星地壳中，物质被驱使远离饱和密度和核稳定性；原子核与大量自由中子共存，对……[物理。 Rev. C 114, 025803] 于 2026 年 8 月 17 日星期一发布</w:t>
      </w:r>
    </w:p>
    <w:p>
      <w:pPr>
        <w:spacing w:before="0" w:after="200" w:lineRule="auto" w:line="276"/>
      </w:pPr>
      <w:r>
        <w:rPr>
          <w:b/>
        </w:rPr>
        <w:t xml:space="preserve">Abstract (EN): </w:t>
      </w:r>
      <w:r>
        <w:t>Author(s): S. Maity and S. MallikThe nuclear drip line plays a crucial role in determining the composition of matter under extreme astrophysical conditions. In core-collapse supernovae and neutron-star crusts, matter is driven far from saturation density and nuclear stability; nuclei coexist with a sea of free neutrons, an effect t…[Phys. Rev. C 114, 025803] Published Mon Aug 17, 2026</w:t>
      </w:r>
    </w:p>
    <w:p>
      <w:pPr>
        <w:spacing w:before="120" w:after="120"/>
      </w:pPr>
      <w:r>
        <w:rPr>
          <w:sz w:val="18"/>
        </w:rPr>
        <w:t>——————————————————————————————————————————————————————————————————————</w:t>
      </w:r>
    </w:p>
    <w:p>
      <w:pPr>
        <w:spacing w:before="160" w:after="40" w:line="240" w:lineRule="auto"/>
      </w:pPr>
      <w:r>
        <w:rPr>
          <w:b/>
        </w:rPr>
        <w:t xml:space="preserve">[318] </w:t>
      </w:r>
      <w:hyperlink r:id="rId1177">
        <w:r>
          <w:rPr>
            <w:color w:val="1155CC"/>
            <w:u w:val="single"/>
          </w:rPr>
          <w:t>一般洛伦兹自旋的四环胶子反常维数：超越部分</w:t>
        </w:r>
      </w:hyperlink>
    </w:p>
    <w:p>
      <w:pPr>
        <w:spacing w:before="0" w:after="80"/>
      </w:pPr>
      <w:r>
        <w:rPr>
          <w:i/>
          <w:sz w:val="20"/>
        </w:rPr>
        <w:t>EN: Four-Loop Gluon Anomalous Dimension of General Lorentz Spin: Transcendental Part</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78">
        <w:r>
          <w:rPr>
            <w:color w:val="1155CC"/>
            <w:u w:val="single"/>
          </w:rPr>
          <w:t>10.1103/g4l4-t4cv</w:t>
        </w:r>
      </w:hyperlink>
    </w:p>
    <w:p>
      <w:pPr>
        <w:spacing w:before="0" w:after="120"/>
      </w:pPr>
      <w:r>
        <w:rPr>
          <w:b/>
        </w:rPr>
        <w:t xml:space="preserve">Notes: </w:t>
      </w:r>
      <w:r>
        <w:t>abstract_source=rss_description</w:t>
      </w:r>
    </w:p>
    <w:p>
      <w:pPr>
        <w:spacing w:before="0" w:after="80" w:lineRule="auto" w:line="276"/>
      </w:pPr>
      <w:r>
        <w:rPr>
          <w:b/>
        </w:rPr>
        <w:t xml:space="preserve">摘要（ZH）: </w:t>
      </w:r>
      <w:r>
        <w:t>作者：B. A. Kniehl, S.-O. Moch、V. N. Velizhanin 和 A. Vogt 我们考虑了一般规范理论的夸克味单重态扇区中任意洛伦兹自旋 $N$ 的扭曲二胶子算子的反常维数 ${γ}_{gg}^{(3)}(N)$ 在四个循环中的分布，并通过应用 Lenstra-Lenstra-Lová 以解析形式构造其与 $ζ(3)$ 成比例的贡献…[Phys.莱特牧师。 137, 081901] 发布于 2026 年 8 月 17 日星期一</w:t>
      </w:r>
    </w:p>
    <w:p>
      <w:pPr>
        <w:spacing w:before="0" w:after="200" w:lineRule="auto" w:line="276"/>
      </w:pPr>
      <w:r>
        <w:rPr>
          <w:b/>
        </w:rPr>
        <w:t xml:space="preserve">Abstract (EN): </w:t>
      </w:r>
      <w:r>
        <w:t>Author(s): B. A. Kniehl, S.-O. Moch, V. N. Velizhanin, and A. VogtWe consider the anomalous dimension ${γ}_{gg}^{(3)}(N)$ of the twist-two gluon operator of arbitrary Lorentz spin $N$ in the quark flavor singlet sector of a general gauge theory at four loops and construct its contribution proportional to $ζ(3)$ in analytic form by applying the Lenstra-Lenstra-Lová…[Phys. Rev. Lett. 137, 081901] Published Mon Aug 17, 2026</w:t>
      </w:r>
    </w:p>
    <w:p>
      <w:pPr>
        <w:spacing w:before="120" w:after="120"/>
      </w:pPr>
      <w:r>
        <w:rPr>
          <w:sz w:val="18"/>
        </w:rPr>
        <w:t>——————————————————————————————————————————————————————————————————————</w:t>
      </w:r>
    </w:p>
    <w:p>
      <w:pPr>
        <w:spacing w:before="160" w:after="40" w:line="240" w:lineRule="auto"/>
      </w:pPr>
      <w:r>
        <w:rPr>
          <w:b/>
        </w:rPr>
        <w:t xml:space="preserve">[319] </w:t>
      </w:r>
      <w:hyperlink r:id="rId1179">
        <w:r>
          <w:rPr>
            <w:color w:val="1155CC"/>
            <w:u w:val="single"/>
          </w:rPr>
          <w:t>悬浮磁体力传感器对自旋-自旋速度相关的奇异相互作用的严格约束</w:t>
        </w:r>
      </w:hyperlink>
    </w:p>
    <w:p>
      <w:pPr>
        <w:spacing w:before="0" w:after="80"/>
      </w:pPr>
      <w:r>
        <w:rPr>
          <w:i/>
          <w:sz w:val="20"/>
        </w:rPr>
        <w:t>EN: Stringent Constraints on Spin-Spin-Velocity-Dependent Exotic Interactions with a Levitated Magnet Force Sensor</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80">
        <w:r>
          <w:rPr>
            <w:color w:val="1155CC"/>
            <w:u w:val="single"/>
          </w:rPr>
          <w:t>10.1103/35c1-ylnx</w:t>
        </w:r>
      </w:hyperlink>
    </w:p>
    <w:p>
      <w:pPr>
        <w:spacing w:before="0" w:after="120"/>
      </w:pPr>
      <w:r>
        <w:rPr>
          <w:b/>
        </w:rPr>
        <w:t xml:space="preserve">Notes: </w:t>
      </w:r>
      <w:r>
        <w:t>abstract_source=rss_description</w:t>
      </w:r>
    </w:p>
    <w:p>
      <w:pPr>
        <w:spacing w:before="0" w:after="80" w:lineRule="auto" w:line="276"/>
      </w:pPr>
      <w:r>
        <w:rPr>
          <w:b/>
        </w:rPr>
        <w:t xml:space="preserve">摘要（ZH）: </w:t>
      </w:r>
      <w:r>
        <w:t>作者：Kenan Tian、Siwen Chen、Lei Wang、Yuanji Shen、Ding Jiang Long、Rui Li、Han Xie、Yiming Chen、Xiangian、Hao Wang、Ruoyu Ding、Chang-Kui Duan、Peiran Yin、Xi Kong 和 Pu Huang 在涉及新玻色子场的标准模型的扩展中预测，奇异的自旋-自旋速度相关相互作用可以解决从暗物质到宇宙不对称性的基本难题。然而，在厘米尺度上探索这些微弱的潜在相互作用提出了巨大的挑战……[物理。莱特牧师。 137, 081001] 于 2026 年 8 月 17 日星期一发布</w:t>
      </w:r>
    </w:p>
    <w:p>
      <w:pPr>
        <w:spacing w:before="0" w:after="200" w:lineRule="auto" w:line="276"/>
      </w:pPr>
      <w:r>
        <w:rPr>
          <w:b/>
        </w:rPr>
        <w:t xml:space="preserve">Abstract (EN): </w:t>
      </w:r>
      <w:r>
        <w:t>Author(s): Kenan Tian, Siwen Chen, Lei Wang, Yuanji Sheng, Dingjiang Long, Rui Li, Han Xie, Yiming Chen, Xiang Bian, Hao Wang, Ruoyu Ding, Chang-Kui Duan, Peiran Yin, Xi Kong, and Pu HuangExotic spin-spin-velocity-dependent interactions, predicted in extensions of the standard model involving new bosonic fields, could resolve fundamental puzzles from dark matter to cosmic asymmetry. However, exploring these weak potential interactions at centimeter scales presents formidable challeng…[Phys. Rev. Lett. 137, 081001] Published Mon Aug 17, 2026</w:t>
      </w:r>
    </w:p>
    <w:p>
      <w:pPr>
        <w:spacing w:before="120" w:after="120"/>
      </w:pPr>
      <w:r>
        <w:rPr>
          <w:sz w:val="18"/>
        </w:rPr>
        <w:t>——————————————————————————————————————————————————————————————————————</w:t>
      </w:r>
    </w:p>
    <w:p>
      <w:pPr>
        <w:spacing w:before="160" w:after="40" w:line="240" w:lineRule="auto"/>
      </w:pPr>
      <w:r>
        <w:rPr>
          <w:b/>
        </w:rPr>
        <w:t xml:space="preserve">[320] </w:t>
      </w:r>
      <w:hyperlink r:id="rId1181">
        <w:r>
          <w:rPr>
            <w:color w:val="1155CC"/>
            <w:u w:val="single"/>
          </w:rPr>
          <w:t>$\mathrm{O}+\mathrm{O}$ 和 $\mathrm{Ne}+\mathrm{Ne}$ 碰撞中长程集体流的观察及其对核结构研究的启示</w:t>
        </w:r>
      </w:hyperlink>
    </w:p>
    <w:p>
      <w:pPr>
        <w:spacing w:before="0" w:after="80"/>
      </w:pPr>
      <w:r>
        <w:rPr>
          <w:i/>
          <w:sz w:val="20"/>
        </w:rPr>
        <w:t>EN: Observation of Long-Range Collective Flow in $\mathrm{O}+\mathrm{O}$ and $\mathrm{Ne}+\mathrm{Ne}$ Collisions and Implications for Nuclear Structure Studies</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82">
        <w:r>
          <w:rPr>
            <w:color w:val="1155CC"/>
            <w:u w:val="single"/>
          </w:rPr>
          <w:t>10.1103/26wx-tg6f</w:t>
        </w:r>
      </w:hyperlink>
    </w:p>
    <w:p>
      <w:pPr>
        <w:spacing w:before="0" w:after="120"/>
      </w:pPr>
      <w:r>
        <w:rPr>
          <w:b/>
        </w:rPr>
        <w:t xml:space="preserve">Notes: </w:t>
      </w:r>
      <w:r>
        <w:t>abstract_source=rss_description</w:t>
      </w:r>
    </w:p>
    <w:p>
      <w:pPr>
        <w:spacing w:before="0" w:after="80" w:lineRule="auto" w:line="276"/>
      </w:pPr>
      <w:r>
        <w:rPr>
          <w:b/>
        </w:rPr>
        <w:t xml:space="preserve">摘要（ZH）: </w:t>
      </w:r>
      <w:r>
        <w:t>作者：A. Hayrapetyan 等人。 (CMS Collaboration)大型强子对撞机的轻离子碰撞揭示了集体流体动力流，中心 Ne-Ne 碰撞中的椭圆流比 OO 碰撞中更大，这可能是由于 20Ne 的保龄球瓶核形状所致。莱特牧师。 137, 082302] 于 2026 年 8 月 17 日星期一发布</w:t>
      </w:r>
    </w:p>
    <w:p>
      <w:pPr>
        <w:spacing w:before="0" w:after="200" w:lineRule="auto" w:line="276"/>
      </w:pPr>
      <w:r>
        <w:rPr>
          <w:b/>
        </w:rPr>
        <w:t xml:space="preserve">Abstract (EN): </w:t>
      </w:r>
      <w:r>
        <w:t>Author(s): A. Hayrapetyan et al. (CMS Collaboration)Light-ion collisions at the LHC reveal collective hydrodynamic flow with a larger elliptic flow in central Ne-Ne collisions than in OO collisions that might be due to the bowling-pin nuclear shape of 20Ne.[Phys. Rev. Lett. 137, 082302] Published Mon Aug 17, 2026</w:t>
      </w:r>
    </w:p>
    <w:p>
      <w:pPr>
        <w:spacing w:before="120" w:after="120"/>
      </w:pPr>
      <w:r>
        <w:rPr>
          <w:sz w:val="18"/>
        </w:rPr>
        <w:t>——————————————————————————————————————————————————————————————————————</w:t>
      </w:r>
    </w:p>
    <w:p>
      <w:pPr>
        <w:spacing w:before="160" w:after="40" w:line="240" w:lineRule="auto"/>
      </w:pPr>
      <w:r>
        <w:rPr>
          <w:b/>
        </w:rPr>
        <w:t xml:space="preserve">[321] </w:t>
      </w:r>
      <w:hyperlink r:id="rId1183">
        <w:r>
          <w:rPr>
            <w:color w:val="1155CC"/>
            <w:u w:val="single"/>
          </w:rPr>
          <w:t>$\mathrm{O}+\mathrm{O}$ 和 $\mathrm{Ne}+\mathrm{Ne}$ 在 $\sqrt{s}_{\mathrm{NN}}}=5.36\text{ }\text{ }\mathrm{TeV}$ 碰撞中核几何驱动各向异性流的证据</w:t>
        </w:r>
      </w:hyperlink>
    </w:p>
    <w:p>
      <w:pPr>
        <w:spacing w:before="0" w:after="80"/>
      </w:pPr>
      <w:r>
        <w:rPr>
          <w:i/>
          <w:sz w:val="20"/>
        </w:rPr>
        <w:t>EN: Evidence of Nuclear Geometry-Driven Anisotropic Flow in $\mathrm{O}+\mathrm{O}$ and $\mathrm{Ne}+\mathrm{Ne}$ Collisions at $\sqrt{{s}_{\mathrm{NN}}}=5.36\text{ }\text{ }\mathrm{TeV}$</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84">
        <w:r>
          <w:rPr>
            <w:color w:val="1155CC"/>
            <w:u w:val="single"/>
          </w:rPr>
          <w:t>10.1103/gymp-vp87</w:t>
        </w:r>
      </w:hyperlink>
    </w:p>
    <w:p>
      <w:pPr>
        <w:spacing w:before="0" w:after="120"/>
      </w:pPr>
      <w:r>
        <w:rPr>
          <w:b/>
        </w:rPr>
        <w:t xml:space="preserve">Notes: </w:t>
      </w:r>
      <w:r>
        <w:t>abstract_source=rss_description</w:t>
      </w:r>
    </w:p>
    <w:p>
      <w:pPr>
        <w:spacing w:before="0" w:after="80" w:lineRule="auto" w:line="276"/>
      </w:pPr>
      <w:r>
        <w:rPr>
          <w:b/>
        </w:rPr>
        <w:t xml:space="preserve">摘要（ZH）: </w:t>
      </w:r>
      <w:r>
        <w:t>作者：I. J. Abualrob 等人(ALICE Collaboration)大型强子对撞机上的轻离子碰撞揭示了集体流体动力流，中心 Ne-Ne 碰撞中的椭圆流比 OO 碰撞中更大，这可能是由于 20Ne 的保龄球瓶核形状所致。莱特牧师。 137, 082301] 发布于 2026 年 8 月 17 日星期一</w:t>
      </w:r>
    </w:p>
    <w:p>
      <w:pPr>
        <w:spacing w:before="0" w:after="200" w:lineRule="auto" w:line="276"/>
      </w:pPr>
      <w:r>
        <w:rPr>
          <w:b/>
        </w:rPr>
        <w:t xml:space="preserve">Abstract (EN): </w:t>
      </w:r>
      <w:r>
        <w:t>Author(s): I. J. Abualrob et al. (ALICE Collaboration)Light-ion collisions at the LHC reveal collective hydrodynamic flow with a larger elliptic flow in central Ne-Ne collisions than in OO collisions that might be due to the bowling-pin nuclear shape of 20Ne.[Phys. Rev. Lett. 137, 082301] Published Mon Aug 17, 2026</w:t>
      </w:r>
    </w:p>
    <w:p>
      <w:pPr>
        <w:spacing w:before="120" w:after="120"/>
      </w:pPr>
      <w:r>
        <w:rPr>
          <w:sz w:val="18"/>
        </w:rPr>
        <w:t>——————————————————————————————————————————————————————————————————————</w:t>
      </w:r>
    </w:p>
    <w:p>
      <w:pPr>
        <w:spacing w:before="160" w:after="40" w:line="240" w:lineRule="auto"/>
      </w:pPr>
      <w:r>
        <w:rPr>
          <w:b/>
        </w:rPr>
        <w:t xml:space="preserve">[322] </w:t>
      </w:r>
      <w:hyperlink r:id="rId1185">
        <w:r>
          <w:rPr>
            <w:color w:val="1155CC"/>
            <w:u w:val="single"/>
          </w:rPr>
          <w:t>重锕系元素的变形和魔力：首次观察$^{252}\mathrm{Fm}$基态旋转带</w:t>
        </w:r>
      </w:hyperlink>
    </w:p>
    <w:p>
      <w:pPr>
        <w:spacing w:before="0" w:after="80"/>
      </w:pPr>
      <w:r>
        <w:rPr>
          <w:i/>
          <w:sz w:val="20"/>
        </w:rPr>
        <w:t>EN: Deformation and Magicity in Heavy Actinides: First Observation of the Ground-State Rotational Band of $^{252}\mathrm{Fm}$</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86">
        <w:r>
          <w:rPr>
            <w:color w:val="1155CC"/>
            <w:u w:val="single"/>
          </w:rPr>
          <w:t>10.1103/7gzt-ldn5</w:t>
        </w:r>
      </w:hyperlink>
    </w:p>
    <w:p>
      <w:pPr>
        <w:spacing w:before="0" w:after="120"/>
      </w:pPr>
      <w:r>
        <w:rPr>
          <w:b/>
        </w:rPr>
        <w:t xml:space="preserve">Notes: </w:t>
      </w:r>
      <w:r>
        <w:t>abstract_source=rss_description</w:t>
      </w:r>
    </w:p>
    <w:p>
      <w:pPr>
        <w:spacing w:before="0" w:after="80" w:lineRule="auto" w:line="276"/>
      </w:pPr>
      <w:r>
        <w:rPr>
          <w:b/>
        </w:rPr>
        <w:t xml:space="preserve">摘要（ZH）: </w:t>
      </w:r>
      <w:r>
        <w:t>作者：R. Orlandi 等人。对 252Fm 基态旋转带的观察提供了令人信服的证据，证明 Z=100 和 N=152 充当变形的双魔壳闭合。莱特牧师。 137, 082501] 发布于 2026 年 8 月 17 日星期一</w:t>
      </w:r>
    </w:p>
    <w:p>
      <w:pPr>
        <w:spacing w:before="0" w:after="200" w:lineRule="auto" w:line="276"/>
      </w:pPr>
      <w:r>
        <w:rPr>
          <w:b/>
        </w:rPr>
        <w:t xml:space="preserve">Abstract (EN): </w:t>
      </w:r>
      <w:r>
        <w:t>Author(s): R. Orlandi et al.Observation of the ground-state rotational band in 252Fm provides compelling evidence that Z=100 and N=152 act as a deformed doubly magic shell closure.[Phys. Rev. Lett. 137, 082501] Published Mon Aug 17, 2026</w:t>
      </w:r>
    </w:p>
    <w:p>
      <w:pPr>
        <w:spacing w:before="120" w:after="120"/>
      </w:pPr>
      <w:r>
        <w:rPr>
          <w:sz w:val="18"/>
        </w:rPr>
        <w:t>——————————————————————————————————————————————————————————————————————</w:t>
      </w:r>
    </w:p>
    <w:p>
      <w:pPr>
        <w:spacing w:before="160" w:after="40" w:line="240" w:lineRule="auto"/>
      </w:pPr>
      <w:r>
        <w:rPr>
          <w:b/>
        </w:rPr>
        <w:t xml:space="preserve">[323] </w:t>
      </w:r>
      <w:hyperlink r:id="rId1187">
        <w:r>
          <w:rPr>
            <w:color w:val="1155CC"/>
            <w:u w:val="single"/>
          </w:rPr>
          <w:t>外尔半金属中的鲁棒二维表面超导性和涡旋晶格 $γ\text{−}{\mathrm{PtBi}}_{2}$</w:t>
        </w:r>
      </w:hyperlink>
    </w:p>
    <w:p>
      <w:pPr>
        <w:spacing w:before="0" w:after="80"/>
      </w:pPr>
      <w:r>
        <w:rPr>
          <w:i/>
          <w:sz w:val="20"/>
        </w:rPr>
        <w:t>EN: Robust Two-Dimensional Surface Superconductivity and Vortex Lattice in the Weyl Semimetal $γ\text{−}{\mathrm{PtBi}}_{2}$</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88">
        <w:r>
          <w:rPr>
            <w:color w:val="1155CC"/>
            <w:u w:val="single"/>
          </w:rPr>
          <w:t>10.1103/9cyw-m5zr</w:t>
        </w:r>
      </w:hyperlink>
    </w:p>
    <w:p>
      <w:pPr>
        <w:spacing w:before="0" w:after="120"/>
      </w:pPr>
      <w:r>
        <w:rPr>
          <w:b/>
        </w:rPr>
        <w:t xml:space="preserve">Notes: </w:t>
      </w:r>
      <w:r>
        <w:t>abstract_source=rss_description</w:t>
      </w:r>
    </w:p>
    <w:p>
      <w:pPr>
        <w:spacing w:before="0" w:after="80" w:lineRule="auto" w:line="276"/>
      </w:pPr>
      <w:r>
        <w:rPr>
          <w:b/>
        </w:rPr>
        <w:t xml:space="preserve">摘要（ZH）: </w:t>
      </w:r>
      <w:r>
        <w:t>作者：Jose Antonio Moreno、Pablo García Talavera、Edwin Herrera、Sara López Valle、Zhuoqi Li、Lin-Lin Wang、Sergey Bud’ko、Alexander I. Buzdin、Isabel Guillamón、Paul C. Canfield 和 Hermann Suderow 在拓扑半金属 γ-PtBi2 中观察到表面超导涡形成，这证实了表面的鲁棒性在比块体更高的 Tc 下实现超导。莱特牧师。 137, 086001] 发布于 2026 年 8 月 17 日星期一</w:t>
      </w:r>
    </w:p>
    <w:p>
      <w:pPr>
        <w:spacing w:before="0" w:after="200" w:lineRule="auto" w:line="276"/>
      </w:pPr>
      <w:r>
        <w:rPr>
          <w:b/>
        </w:rPr>
        <w:t xml:space="preserve">Abstract (EN): </w:t>
      </w:r>
      <w:r>
        <w:t>Author(s): Jose Antonio Moreno, Pablo García Talavera, Edwin Herrera, Sara López Valle, Zhuoqi Li, Lin-Lin Wang, Sergey Bud’ko, Alexander I. Buzdin, Isabel Guillamón, Paul C. Canfield, and Hermann SuderowVortex formation from surface superconductivity is observed in the topological semimetal γ-PtBi2, which confirms the robustness of the surface superconductivity at a higher Tc than the bulk.[Phys. Rev. Lett. 137, 086001] Published Mon Aug 17, 2026</w:t>
      </w:r>
    </w:p>
    <w:p>
      <w:pPr>
        <w:spacing w:before="120" w:after="120"/>
      </w:pPr>
      <w:r>
        <w:rPr>
          <w:sz w:val="18"/>
        </w:rPr>
        <w:t>——————————————————————————————————————————————————————————————————————</w:t>
      </w:r>
    </w:p>
    <w:p>
      <w:pPr>
        <w:spacing w:before="160" w:after="40" w:line="240" w:lineRule="auto"/>
      </w:pPr>
      <w:r>
        <w:rPr>
          <w:b/>
        </w:rPr>
        <w:t xml:space="preserve">[324] </w:t>
      </w:r>
      <w:hyperlink r:id="rId1189">
        <w:r>
          <w:rPr>
            <w:color w:val="1155CC"/>
            <w:u w:val="single"/>
          </w:rPr>
          <w:t>三维节环半金属中的量子化自旋霍尔效应：几何缩放和对称工程自旋响应</w:t>
        </w:r>
      </w:hyperlink>
    </w:p>
    <w:p>
      <w:pPr>
        <w:spacing w:before="0" w:after="80"/>
      </w:pPr>
      <w:r>
        <w:rPr>
          <w:i/>
          <w:sz w:val="20"/>
        </w:rPr>
        <w:t>EN: Quantized Spin Hall Effect in Three-Dimensional Nodal-Ring Semimetal: Geometric Scaling and Symmetry-Engineered Spin Response</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90">
        <w:r>
          <w:rPr>
            <w:color w:val="1155CC"/>
            <w:u w:val="single"/>
          </w:rPr>
          <w:t>10.1103/74ky-d71n</w:t>
        </w:r>
      </w:hyperlink>
    </w:p>
    <w:p>
      <w:pPr>
        <w:spacing w:before="0" w:after="120"/>
      </w:pPr>
      <w:r>
        <w:rPr>
          <w:b/>
        </w:rPr>
        <w:t xml:space="preserve">Notes: </w:t>
      </w:r>
      <w:r>
        <w:t>abstract_source=rss_description</w:t>
      </w:r>
    </w:p>
    <w:p>
      <w:pPr>
        <w:spacing w:before="0" w:after="80" w:lineRule="auto" w:line="276"/>
      </w:pPr>
      <w:r>
        <w:rPr>
          <w:b/>
        </w:rPr>
        <w:t xml:space="preserve">摘要（ZH）: </w:t>
      </w:r>
      <w:r>
        <w:t>作者：Jiali Chen、Chaoxi Cui、Zhi-Ming Yu、Wei Jiang 和 Yugui Yao磁性 Weyl 半金属中的反常霍尔电导率与 Weyl 节点之间的动量分离成线性比例，建立了三维霍尔响应的几何范式。在这里，我们发现了自旋霍尔效应中的类似现象：量子化的自旋霍尔电导率（…[Phys. Rev. Lett. 137, 086301] 于 2026 年 8 月 17 日星期一发布</w:t>
      </w:r>
    </w:p>
    <w:p>
      <w:pPr>
        <w:spacing w:before="0" w:after="200" w:lineRule="auto" w:line="276"/>
      </w:pPr>
      <w:r>
        <w:rPr>
          <w:b/>
        </w:rPr>
        <w:t xml:space="preserve">Abstract (EN): </w:t>
      </w:r>
      <w:r>
        <w:t>Author(s): Jiali Chen, Chaoxi Cui, Zhi-Ming Yu, Wei Jiang, and Yugui YaoThe anomalous Hall conductivity in magnetic Weyl semimetals scales linearly with the momentum separation between Weyl nodes, establishing a geometric paradigm for three-dimensional Hall responses. Here, we discover an analogous phenomenon in the spin Hall effect: a quantized spin Hall conductivity (…[Phys. Rev. Lett. 137, 086301] Published Mon Aug 17, 2026</w:t>
      </w:r>
    </w:p>
    <w:p>
      <w:pPr>
        <w:spacing w:before="120" w:after="120"/>
      </w:pPr>
      <w:r>
        <w:rPr>
          <w:sz w:val="18"/>
        </w:rPr>
        <w:t>——————————————————————————————————————————————————————————————————————</w:t>
      </w:r>
    </w:p>
    <w:p>
      <w:pPr>
        <w:spacing w:before="160" w:after="40" w:line="240" w:lineRule="auto"/>
      </w:pPr>
      <w:r>
        <w:rPr>
          <w:b/>
        </w:rPr>
        <w:t xml:space="preserve">[325] </w:t>
      </w:r>
      <w:hyperlink r:id="rId1191">
        <w:r>
          <w:rPr>
            <w:color w:val="1155CC"/>
            <w:u w:val="single"/>
          </w:rPr>
          <w:t>反常Floquet系统中的量子化Chern-Simons轴子耦合</w:t>
        </w:r>
      </w:hyperlink>
    </w:p>
    <w:p>
      <w:pPr>
        <w:spacing w:before="0" w:after="80"/>
      </w:pPr>
      <w:r>
        <w:rPr>
          <w:i/>
          <w:sz w:val="20"/>
        </w:rPr>
        <w:t>EN: Quantized Chern-Simons Axion Coupling in Anomalous Floquet Systems</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92">
        <w:r>
          <w:rPr>
            <w:color w:val="1155CC"/>
            <w:u w:val="single"/>
          </w:rPr>
          <w:t>10.1103/8l6h-b89b</w:t>
        </w:r>
      </w:hyperlink>
    </w:p>
    <w:p>
      <w:pPr>
        <w:spacing w:before="0" w:after="120"/>
      </w:pPr>
      <w:r>
        <w:rPr>
          <w:b/>
        </w:rPr>
        <w:t xml:space="preserve">Notes: </w:t>
      </w:r>
      <w:r>
        <w:t>abstract_source=rss_description</w:t>
      </w:r>
    </w:p>
    <w:p>
      <w:pPr>
        <w:spacing w:before="0" w:after="80" w:lineRule="auto" w:line="276"/>
      </w:pPr>
      <w:r>
        <w:rPr>
          <w:b/>
        </w:rPr>
        <w:t xml:space="preserve">摘要（ZH）: </w:t>
      </w:r>
      <w:r>
        <w:t>作者：Lucila Peralta Gavensky、Nathan Goldman 和 Gonzalo Usaj 量化体响应函数是拓扑相的标志性特征，但它们在周期性驱动 (Floquet) 系统中的表现尚未完全建立。在这里，我们展示了二维反常 Floquet 系统表现出以 Chern-Simons 轴编码的量化体响应……[Phys.莱特牧师。 137, 086601] 发布于 2026 年 8 月 17 日星期一</w:t>
      </w:r>
    </w:p>
    <w:p>
      <w:pPr>
        <w:spacing w:before="0" w:after="200" w:lineRule="auto" w:line="276"/>
      </w:pPr>
      <w:r>
        <w:rPr>
          <w:b/>
        </w:rPr>
        <w:t xml:space="preserve">Abstract (EN): </w:t>
      </w:r>
      <w:r>
        <w:t>Author(s): Lucila Peralta Gavensky, Nathan Goldman, and Gonzalo UsajQuantized bulk response functions are hallmark signatures of topological phases, but their manifestation in periodically driven (Floquet) systems is not yet fully established. Here, we show that two-dimensional anomalous Floquet systems exhibit a quantized bulk response encoded in a Chern-Simons axi…[Phys. Rev. Lett. 137, 086601] Published Mon Aug 17, 2026</w:t>
      </w:r>
    </w:p>
    <w:p>
      <w:pPr>
        <w:spacing w:before="120" w:after="120"/>
      </w:pPr>
      <w:r>
        <w:rPr>
          <w:sz w:val="18"/>
        </w:rPr>
        <w:t>——————————————————————————————————————————————————————————————————————</w:t>
      </w:r>
    </w:p>
    <w:p>
      <w:pPr>
        <w:spacing w:before="160" w:after="40" w:line="240" w:lineRule="auto"/>
      </w:pPr>
      <w:r>
        <w:rPr>
          <w:b/>
        </w:rPr>
        <w:t xml:space="preserve">[326] </w:t>
      </w:r>
      <w:hyperlink r:id="rId1193">
        <w:r>
          <w:rPr>
            <w:color w:val="1155CC"/>
            <w:u w:val="single"/>
          </w:rPr>
          <w:t>晶格变形引起的高阶混合拓扑</w:t>
        </w:r>
      </w:hyperlink>
    </w:p>
    <w:p>
      <w:pPr>
        <w:spacing w:before="0" w:after="80"/>
      </w:pPr>
      <w:r>
        <w:rPr>
          <w:i/>
          <w:sz w:val="20"/>
        </w:rPr>
        <w:t>EN: Lattice Deformation Induced Higher-Order Hybrid Topology</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94">
        <w:r>
          <w:rPr>
            <w:color w:val="1155CC"/>
            <w:u w:val="single"/>
          </w:rPr>
          <w:t>10.1103/4y5t-mh92</w:t>
        </w:r>
      </w:hyperlink>
    </w:p>
    <w:p>
      <w:pPr>
        <w:spacing w:before="0" w:after="120"/>
      </w:pPr>
      <w:r>
        <w:rPr>
          <w:b/>
        </w:rPr>
        <w:t xml:space="preserve">Notes: </w:t>
      </w:r>
      <w:r>
        <w:t>abstract_source=rss_description</w:t>
      </w:r>
    </w:p>
    <w:p>
      <w:pPr>
        <w:spacing w:before="0" w:after="80" w:lineRule="auto" w:line="276"/>
      </w:pPr>
      <w:r>
        <w:rPr>
          <w:b/>
        </w:rPr>
        <w:t xml:space="preserve">摘要（ZH）: </w:t>
      </w:r>
      <w:r>
        <w:t>作者：Peng Wu、Yu-Gui Peng、Qi-Li Sun、Min-Hang Ling、Weiyin Deng、Xue-Feng Zhu 和 Zengyou Liu 混合系统为实现多个拓扑相之间的协同效应提供了一个通用框架。与单独带隙中拓扑相的简单共存不同，本征杂化将不同拓扑相集成到单个带隙中，从而实现受控空间……[Phys.莱特牧师。 137, 086602] 发布于 2026 年 8 月 17 日星期一</w:t>
      </w:r>
    </w:p>
    <w:p>
      <w:pPr>
        <w:spacing w:before="0" w:after="200" w:lineRule="auto" w:line="276"/>
      </w:pPr>
      <w:r>
        <w:rPr>
          <w:b/>
        </w:rPr>
        <w:t xml:space="preserve">Abstract (EN): </w:t>
      </w:r>
      <w:r>
        <w:t>Author(s): Peng Wu, Yu-Gui Peng, Qi-Li Sun, Min-Hang Ling, Weiyin Deng, Xue-Feng Zhu, and Zhengyou LiuHybrid systems provide a general framework for realizing cooperative effects among multiple topological phases. Unlike the simple coexistence of topological phases in separate band gaps, intrinsic hybridization integrates different topological phases into a single band gap, enabling controlled spati…[Phys. Rev. Lett. 137, 086602] Published Mon Aug 17, 2026</w:t>
      </w:r>
    </w:p>
    <w:p>
      <w:pPr>
        <w:spacing w:before="120" w:after="120"/>
      </w:pPr>
      <w:r>
        <w:rPr>
          <w:sz w:val="18"/>
        </w:rPr>
        <w:t>——————————————————————————————————————————————————————————————————————</w:t>
      </w:r>
    </w:p>
    <w:p>
      <w:pPr>
        <w:spacing w:before="160" w:after="40" w:line="240" w:lineRule="auto"/>
      </w:pPr>
      <w:r>
        <w:rPr>
          <w:b/>
        </w:rPr>
        <w:t xml:space="preserve">[327] </w:t>
      </w:r>
      <w:hyperlink r:id="rId1195">
        <w:r>
          <w:rPr>
            <w:color w:val="1155CC"/>
            <w:u w:val="single"/>
          </w:rPr>
          <w:t>Shastry-Sutherland 晶格上 XY 型自旋二聚体的量子纠缠</w:t>
        </w:r>
      </w:hyperlink>
    </w:p>
    <w:p>
      <w:pPr>
        <w:spacing w:before="0" w:after="80"/>
      </w:pPr>
      <w:r>
        <w:rPr>
          <w:i/>
          <w:sz w:val="20"/>
        </w:rPr>
        <w:t>EN: Quantum Entanglement of XY-Type Spin Dimers on the Shastry-Sutherland Lattice</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96">
        <w:r>
          <w:rPr>
            <w:color w:val="1155CC"/>
            <w:u w:val="single"/>
          </w:rPr>
          <w:t>10.1103/gl65-17z7</w:t>
        </w:r>
      </w:hyperlink>
    </w:p>
    <w:p>
      <w:pPr>
        <w:spacing w:before="0" w:after="120"/>
      </w:pPr>
      <w:r>
        <w:rPr>
          <w:b/>
        </w:rPr>
        <w:t xml:space="preserve">Notes: </w:t>
      </w:r>
      <w:r>
        <w:t>abstract_source=rss_description</w:t>
      </w:r>
    </w:p>
    <w:p>
      <w:pPr>
        <w:spacing w:before="0" w:after="80" w:lineRule="auto" w:line="276"/>
      </w:pPr>
      <w:r>
        <w:rPr>
          <w:b/>
        </w:rPr>
        <w:t xml:space="preserve">摘要（ZH）: </w:t>
      </w:r>
      <w:r>
        <w:t>作者：马千里、Brianna R. Billingsley、Alin Niraula、Madalynn Marshall、David A. Dahlbom、郝一清、Daniel M. Pajerowski、Alexander I. Kolesnikov、Xiaojian Bai、Cristian D. Batista、Tai Kong 和 Huibo Cao 我们报告了一项关于 Shastry-Sutherland 晶格内神秘无序基态起源的综合研究， ${\mathrm{BaCe}}_{2}{\mathrm{ZnS}}_{5}$，在低温下。磁化强度和热容量数据显示，低至 73 mK 时缺乏磁序。我们部署了本地化的系统……[物理。莱特牧师。 137, 086701] 发布于 2026 年 8 月 17 日星期一</w:t>
      </w:r>
    </w:p>
    <w:p>
      <w:pPr>
        <w:spacing w:before="0" w:after="200" w:lineRule="auto" w:line="276"/>
      </w:pPr>
      <w:r>
        <w:rPr>
          <w:b/>
        </w:rPr>
        <w:t xml:space="preserve">Abstract (EN): </w:t>
      </w:r>
      <w:r>
        <w:t>Author(s): Qianli Ma, Brianna R. Billingsley, Alin Niraula, Madalynn Marshall, David A. Dahlbom, Yiqing Hao, Daniel M. Pajerowski, Alexander I. Kolesnikov, Xiaojian Bai, Cristian D. Batista, Tai Kong, and Huibo CaoWe report a comprehensive study on the origin of the enigmatic disordered ground state within the Shastry-Sutherland lattice, ${\mathrm{BaCe}}_{2}{\mathrm{ZnS}}_{5}$, at low temperatures. The magnetization and heat capacity data show a lack of magnetic ordering down to 73 mK. We deploy a localized s…[Phys. Rev. Lett. 137, 086701] Published Mon Aug 17, 2026</w:t>
      </w:r>
    </w:p>
    <w:p>
      <w:pPr>
        <w:spacing w:before="120" w:after="120"/>
      </w:pPr>
      <w:r>
        <w:rPr>
          <w:sz w:val="18"/>
        </w:rPr>
        <w:t>——————————————————————————————————————————————————————————————————————</w:t>
      </w:r>
    </w:p>
    <w:p>
      <w:pPr>
        <w:spacing w:before="160" w:after="40" w:line="240" w:lineRule="auto"/>
      </w:pPr>
      <w:r>
        <w:rPr>
          <w:b/>
        </w:rPr>
        <w:t xml:space="preserve">[328] </w:t>
      </w:r>
      <w:hyperlink r:id="rId1197">
        <w:r>
          <w:rPr>
            <w:color w:val="1155CC"/>
            <w:u w:val="single"/>
          </w:rPr>
          <w:t>弯曲奇弹性</w:t>
        </w:r>
      </w:hyperlink>
    </w:p>
    <w:p>
      <w:pPr>
        <w:spacing w:before="0" w:after="80"/>
      </w:pPr>
      <w:r>
        <w:rPr>
          <w:i/>
          <w:sz w:val="20"/>
        </w:rPr>
        <w:t>EN: Curved Odd Elasticity</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198">
        <w:r>
          <w:rPr>
            <w:color w:val="1155CC"/>
            <w:u w:val="single"/>
          </w:rPr>
          <w:t>10.1103/fhwd-lmgk</w:t>
        </w:r>
      </w:hyperlink>
    </w:p>
    <w:p>
      <w:pPr>
        <w:spacing w:before="0" w:after="120"/>
      </w:pPr>
      <w:r>
        <w:rPr>
          <w:b/>
        </w:rPr>
        <w:t xml:space="preserve">Notes: </w:t>
      </w:r>
      <w:r>
        <w:t>abstract_source=rss_description</w:t>
      </w:r>
    </w:p>
    <w:p>
      <w:pPr>
        <w:spacing w:before="0" w:after="80" w:lineRule="auto" w:line="276"/>
      </w:pPr>
      <w:r>
        <w:rPr>
          <w:b/>
        </w:rPr>
        <w:t xml:space="preserve">摘要（ZH）: </w:t>
      </w:r>
      <w:r>
        <w:t>作者：Yuan Zhou、Lazaros Tsaloukidis、Jack Binysh、Yuchao Chen、Nikta Fakhri、Corentin Coulais 和 Piotr Surówka 膜、细胞骨架组件、细胞集合体和组织等生命材料通常可以被描述为活性固体——从内部激发能量的材料，对明确的参考配置具有弹性响应。这些材料通常存在于复杂且弯曲的流形中，……[物理。莱特牧师。 137, 088301] 发布于 2026 年 8 月 17 日星期一</w:t>
      </w:r>
    </w:p>
    <w:p>
      <w:pPr>
        <w:spacing w:before="0" w:after="200" w:lineRule="auto" w:line="276"/>
      </w:pPr>
      <w:r>
        <w:rPr>
          <w:b/>
        </w:rPr>
        <w:t xml:space="preserve">Abstract (EN): </w:t>
      </w:r>
      <w:r>
        <w:t>Author(s): Yuan Zhou, Lazaros Tsaloukidis, Jack Binysh, Yuchao Chen, Nikta Fakhri, Corentin Coulais, and Piotr SurówkaLiving materials such as membranes, cytoskeletal assemblies, cell collectives, and tissues can often be described as active solids—materials that are energized from within, with elastic response about a well-defined reference configuration. These materials often live in complex and curved manifolds,…[Phys. Rev. Lett. 137, 088301] Published Mon Aug 17, 2026</w:t>
      </w:r>
    </w:p>
    <w:p>
      <w:pPr>
        <w:spacing w:before="120" w:after="120"/>
      </w:pPr>
      <w:r>
        <w:rPr>
          <w:sz w:val="18"/>
        </w:rPr>
        <w:t>——————————————————————————————————————————————————————————————————————</w:t>
      </w:r>
    </w:p>
    <w:p>
      <w:pPr>
        <w:spacing w:before="160" w:after="40" w:line="240" w:lineRule="auto"/>
      </w:pPr>
      <w:r>
        <w:rPr>
          <w:b/>
        </w:rPr>
        <w:t xml:space="preserve">[329] </w:t>
      </w:r>
      <w:hyperlink r:id="rId1199">
        <w:r>
          <w:rPr>
            <w:color w:val="1155CC"/>
            <w:u w:val="single"/>
          </w:rPr>
          <w:t>量子 XXZ 自旋链中的异常流体动力学波动</w:t>
        </w:r>
      </w:hyperlink>
    </w:p>
    <w:p>
      <w:pPr>
        <w:spacing w:before="0" w:after="80"/>
      </w:pPr>
      <w:r>
        <w:rPr>
          <w:i/>
          <w:sz w:val="20"/>
        </w:rPr>
        <w:t>EN: Anomalous Hydrodynamic Fluctuations in the Quantum XXZ Spin Chain</w:t>
      </w:r>
    </w:p>
    <w:p>
      <w:pPr>
        <w:spacing w:before="0" w:after="120"/>
      </w:pPr>
      <w:r>
        <w:rPr>
          <w:b/>
        </w:rPr>
        <w:t xml:space="preserve">Source: </w:t>
      </w:r>
      <w:r>
        <w:t>Recent Articles in Phys. Rev. Lett.</w:t>
      </w:r>
      <w:r>
        <w:t xml:space="preserve">    </w:t>
      </w:r>
      <w:r>
        <w:rPr>
          <w:b/>
        </w:rPr>
        <w:t xml:space="preserve">Pub date: </w:t>
      </w:r>
      <w:r>
        <w:t>2026-08-17 10:00:00+00:00</w:t>
      </w:r>
      <w:r>
        <w:t xml:space="preserve">    </w:t>
      </w:r>
      <w:r>
        <w:rPr>
          <w:b/>
        </w:rPr>
        <w:t xml:space="preserve">DOI: </w:t>
      </w:r>
      <w:hyperlink r:id="rId1200">
        <w:r>
          <w:rPr>
            <w:color w:val="1155CC"/>
            <w:u w:val="single"/>
          </w:rPr>
          <w:t>10.1103/jrtg-yf1q</w:t>
        </w:r>
      </w:hyperlink>
    </w:p>
    <w:p>
      <w:pPr>
        <w:spacing w:before="0" w:after="120"/>
      </w:pPr>
      <w:r>
        <w:rPr>
          <w:b/>
        </w:rPr>
        <w:t xml:space="preserve">Notes: </w:t>
      </w:r>
      <w:r>
        <w:t>abstract_source=rss_description</w:t>
      </w:r>
    </w:p>
    <w:p>
      <w:pPr>
        <w:spacing w:before="0" w:after="80" w:lineRule="auto" w:line="276"/>
      </w:pPr>
      <w:r>
        <w:rPr>
          <w:b/>
        </w:rPr>
        <w:t xml:space="preserve">摘要（ZH）: </w:t>
      </w:r>
      <w:r>
        <w:t>作者：Takato Yoshimura、Žiga Krajnik、Alvise Bastianello 和 Enej Ilievski 量子 XXZ 自旋-$1/2$ 链具有易轴各向异性区域中的非高斯自旋流波动。利用弹道宏观涨落理论，我们推导出零平均热平衡中典型自旋流涨落的精确渐近概率分布……[物理。莱特牧师。 137, 086302] 于 2026 年 8 月 17 日星期一发布</w:t>
      </w:r>
    </w:p>
    <w:p>
      <w:pPr>
        <w:spacing w:before="0" w:after="200" w:lineRule="auto" w:line="276"/>
      </w:pPr>
      <w:r>
        <w:rPr>
          <w:b/>
        </w:rPr>
        <w:t xml:space="preserve">Abstract (EN): </w:t>
      </w:r>
      <w:r>
        <w:t>Author(s): Takato Yoshimura, Žiga Krajnik, Alvise Bastianello, and Enej IlievskiThe quantum XXZ spin-$1/2$ chain features non-Gaussian spin current fluctuations in the regime of easy-axis anisotropy. Using ballistic macroscopic fluctuation theory, we derive the exact asymptotic probability distribution of typical spin-current fluctuations in thermal equilibrium at zero average …[Phys. Rev. Lett. 137, 086302] Published Mon Aug 17, 2026</w:t>
      </w:r>
    </w:p>
    <w:p>
      <w:pPr>
        <w:spacing w:before="120" w:after="120"/>
      </w:pPr>
      <w:r>
        <w:rPr>
          <w:sz w:val="18"/>
        </w:rPr>
        <w:t>——————————————————————————————————————————————————————————————————————</w:t>
      </w:r>
    </w:p>
    <w:p>
      <w:pPr>
        <w:spacing w:before="160" w:after="40" w:line="240" w:lineRule="auto"/>
      </w:pPr>
      <w:r>
        <w:rPr>
          <w:b/>
        </w:rPr>
        <w:t xml:space="preserve">[330] </w:t>
      </w:r>
      <w:hyperlink r:id="rId1201">
        <w:r>
          <w:rPr>
            <w:color w:val="1155CC"/>
            <w:u w:val="single"/>
          </w:rPr>
          <w:t>用于可重构突触-神经元集成和协同机器人运动的结构工程纳米多孔氧化钒忆阻器</w:t>
        </w:r>
      </w:hyperlink>
    </w:p>
    <w:p>
      <w:pPr>
        <w:spacing w:before="0" w:after="80"/>
      </w:pPr>
      <w:r>
        <w:rPr>
          <w:i/>
          <w:sz w:val="20"/>
        </w:rPr>
        <w:t>EN: Structure‐Engineered Nanoporous Vanadium Oxide Memristors for Reconfigurable Synapse–Neuron Integration and Synergistic Robotic Motion</w:t>
      </w:r>
    </w:p>
    <w:p>
      <w:pPr>
        <w:spacing w:before="0" w:after="120"/>
      </w:pPr>
      <w:r>
        <w:rPr>
          <w:b/>
        </w:rPr>
        <w:t xml:space="preserve">Source: </w:t>
      </w:r>
      <w:r>
        <w:t>Wiley: Advanced Materials: Table of Contents</w:t>
      </w:r>
      <w:r>
        <w:t xml:space="preserve">    </w:t>
      </w:r>
      <w:r>
        <w:rPr>
          <w:b/>
        </w:rPr>
        <w:t xml:space="preserve">Pub date: </w:t>
      </w:r>
      <w:r>
        <w:t>2026-08-17 10:15:23+00:00</w:t>
      </w:r>
      <w:r>
        <w:t xml:space="preserve">    </w:t>
      </w:r>
      <w:r>
        <w:rPr>
          <w:b/>
        </w:rPr>
        <w:t xml:space="preserve">DOI: </w:t>
      </w:r>
      <w:hyperlink r:id="rId1202">
        <w:r>
          <w:rPr>
            <w:color w:val="1155CC"/>
            <w:u w:val="single"/>
          </w:rPr>
          <w:t>10.1002/adma.74670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神经形态感觉-运动接口需要紧凑的设备，可以将非易失性突触重量存储与易失性神经元放电结合起来，但这些功能通常依赖于不同的材料和电路机制。在这里，我们报告了一个结构工程的 VO</w:t>
      </w:r>
      <w:r>
        <w:t xml:space="preserve"> </w:t>
      </w:r>
      <w:r>
        <w:t>y</w:t>
      </w:r>
      <w:r>
        <w:t xml:space="preserve"> </w:t>
      </w:r>
      <w:r>
        <w:t>/纳米孔VO</w:t>
      </w:r>
      <w:r>
        <w:t xml:space="preserve"> </w:t>
      </w:r>
      <w:r>
        <w:t>x</w:t>
      </w:r>
      <w:r>
        <w:t xml:space="preserve"> </w:t>
      </w:r>
      <w:r>
        <w:t>异质结构，可在氧化钒忆阻器平台内实现电可选择的非易失性和易失性切换。退火诱导的界面扩散和氧化产生包含晶体 VO 的不对称堆叠</w:t>
      </w:r>
      <w:r>
        <w:t xml:space="preserve"> </w:t>
      </w:r>
      <w:r>
        <w:t>y</w:t>
      </w:r>
      <w:r>
        <w:t xml:space="preserve"> </w:t>
      </w:r>
      <w:r>
        <w:t>支持阈值绝缘体到金属转变动力学和富含氧空位的纳米多孔VO的层</w:t>
      </w:r>
      <w:r>
        <w:t xml:space="preserve"> </w:t>
      </w:r>
      <w:r>
        <w:t>x</w:t>
      </w:r>
      <w:r>
        <w:t xml:space="preserve"> </w:t>
      </w:r>
      <w:r>
        <w:t>促进丝状电导调节的区域。在 16 × 16 交叉阵列中，相同制造的细胞被重新配置为表现出多级保留和模拟长期增强/抑制的人工突触，或产生松弛振荡器尖峰和不同神经元反应特征的人工神经元。通过将两个细胞配对为一个突触一个神经元单元，编程的突触电导调节神经元放电频率和测量的电流尖峰幅度，从而将模拟权重存储与基于尖峰的信号生成联系起来。利用测量的设备特性，硬件通知的尖峰神经网络可以高精度识别石头剪刀布图像，其输出通信</w:t>
      </w:r>
    </w:p>
    <w:p>
      <w:pPr>
        <w:spacing w:before="0" w:after="200" w:lineRule="auto" w:line="276"/>
      </w:pPr>
      <w:r>
        <w:rPr>
          <w:b/>
        </w:rPr>
        <w:t xml:space="preserve">Abstract (EN): </w:t>
      </w:r>
      <w:r>
        <w:t>Neuromorphic sensory‐to‐motor interfaces require compact devices that can combine nonvolatile synaptic weight storage with volatile neuronal firing, yet these functions typically rely on distinct material and circuit mechanisms. Here, we report a structure‐engineered VO</w:t>
      </w:r>
      <w:r>
        <w:t xml:space="preserve"> </w:t>
      </w:r>
      <w:r>
        <w:t>y</w:t>
      </w:r>
      <w:r>
        <w:t xml:space="preserve"> </w:t>
      </w:r>
      <w:r>
        <w:t>/nanoporous VO</w:t>
      </w:r>
      <w:r>
        <w:t xml:space="preserve"> </w:t>
      </w:r>
      <w:r>
        <w:t>x</w:t>
      </w:r>
      <w:r>
        <w:t xml:space="preserve"> </w:t>
      </w:r>
      <w:r>
        <w:t>heterostructure that enables electrically selectable nonvolatile and volatile switching within a vanadium oxide memristor platform. Annealing‐induced interfacial diffusion and oxidation produce an asymmetric stack comprising a crystalline VO</w:t>
      </w:r>
      <w:r>
        <w:t xml:space="preserve"> </w:t>
      </w:r>
      <w:r>
        <w:t>y</w:t>
      </w:r>
      <w:r>
        <w:t xml:space="preserve"> </w:t>
      </w:r>
      <w:r>
        <w:t>layer that supports threshold insulator‐to‐metal transition dynamics and an oxygen‐vacancy‐rich nanoporous VO</w:t>
      </w:r>
      <w:r>
        <w:t xml:space="preserve"> </w:t>
      </w:r>
      <w:r>
        <w:t>x</w:t>
      </w:r>
      <w:r>
        <w:t xml:space="preserve"> </w:t>
      </w:r>
      <w:r>
        <w:t>region that promotes filamentary conductance modulation. In a 16 × 16 crossbar array, identically fabricated cells are reconfigured either as artificial synapses exhibiting multilevel retention and analog long‐term potentiation/depression or as artificial neurons producing relaxation‐oscillator spiking and diverse neuronal response features. By pairing two cells as a one‐synapse–one‐neuron unit, the programmed synaptic conductance modulates the neuronal firing frequency and measured current‐spike amplitude, thereby linking analog weight storage with spike‐based signal generation. Using measured device characteristics, a hardware‐informed spiking neural network recognizes rock–paper–scissors images with high accuracy, and its output commands are coupled to a memristive synergistic motor system that drives a robotic hand to generate counter‐gestures. These results suggest that structure‐engineered nanoporous vanadium oxide memristors can serve as reconfigurable building blocks for neuromorphic sensory‐to‐motor interfaces.</w:t>
      </w:r>
    </w:p>
    <w:p>
      <w:pPr>
        <w:spacing w:before="120" w:after="120"/>
      </w:pPr>
      <w:r>
        <w:rPr>
          <w:sz w:val="18"/>
        </w:rPr>
        <w:t>——————————————————————————————————————————————————————————————————————</w:t>
      </w:r>
    </w:p>
    <w:p>
      <w:pPr>
        <w:spacing w:before="160" w:after="40" w:line="240" w:lineRule="auto"/>
      </w:pPr>
      <w:r>
        <w:rPr>
          <w:b/>
        </w:rPr>
        <w:t xml:space="preserve">[331] </w:t>
      </w:r>
      <w:hyperlink r:id="rId1203">
        <w:r>
          <w:rPr>
            <w:color w:val="1155CC"/>
            <w:u w:val="single"/>
          </w:rPr>
          <w:t>微相分离结构内的应力传递：赋予嵌段共聚物材料机械响应性的后合成策略</w:t>
        </w:r>
      </w:hyperlink>
    </w:p>
    <w:p>
      <w:pPr>
        <w:spacing w:before="0" w:after="80"/>
      </w:pPr>
      <w:r>
        <w:rPr>
          <w:i/>
          <w:sz w:val="20"/>
        </w:rPr>
        <w:t>EN: Stress Transfer Within Microphase‐Separated Structures: A Post‐Synthetic Strategy to Impart Mechanoresponsiveness to Block Copolymer Materials</w:t>
      </w:r>
    </w:p>
    <w:p>
      <w:pPr>
        <w:spacing w:before="0" w:after="120"/>
      </w:pPr>
      <w:r>
        <w:rPr>
          <w:b/>
        </w:rPr>
        <w:t xml:space="preserve">Source: </w:t>
      </w:r>
      <w:r>
        <w:t>Wiley: Advanced Materials: Table of Contents</w:t>
      </w:r>
      <w:r>
        <w:t xml:space="preserve">    </w:t>
      </w:r>
      <w:r>
        <w:rPr>
          <w:b/>
        </w:rPr>
        <w:t xml:space="preserve">Pub date: </w:t>
      </w:r>
      <w:r>
        <w:t>2026-08-17 10:24:09+00:00</w:t>
      </w:r>
      <w:r>
        <w:t xml:space="preserve">    </w:t>
      </w:r>
      <w:r>
        <w:rPr>
          <w:b/>
        </w:rPr>
        <w:t xml:space="preserve">DOI: </w:t>
      </w:r>
      <w:hyperlink r:id="rId1204">
        <w:r>
          <w:rPr>
            <w:color w:val="1155CC"/>
            <w:u w:val="single"/>
          </w:rPr>
          <w:t>10.1002/adma.74610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响应聚合物在机械刺激下表现出颜色等性能变化，引起了智能材料越来越多的关注。在各种设计策略中，机械载体结合系统是广泛使用的方法，可以实现精确的分子水平设计和控制；然而，这种方法通常合成复杂，并且对现有材料（例如嵌段共聚物）的适用性有限，而嵌段共聚物作为高性能材料已在工业上得到广泛应用。在这里，我们提出了一种后合成策略，通过利用微相分离结构来赋予现有聚合物体系机械变色性，同时保留基于机械力团的方法的优点。通过利用苯乙烯-丁二烯-苯乙烯（SBS）嵌段共聚物的微相分离结构，与带有四芳基丁二腈（TASN）力基团的聚苯乙烯共混，可以在刚性域内对力基团进行域选择性定位，而无需对主体聚合物进行化学改性。由此产生的材料在源自力诱导的 TASN 裂解的拉伸变形时表现出荧光，即使在硬域的最小变形下也表现出机械激活。力响应由含力团聚苯乙烯的分子量和含量决定。重要的是，整体机械性能得到保留，甚至可以得到增强。该策略建立了一个可扩展的平台，用于将机械化学功能集成到现有的聚合物系统中</w:t>
      </w:r>
    </w:p>
    <w:p>
      <w:pPr>
        <w:spacing w:before="0" w:after="200" w:lineRule="auto" w:line="276"/>
      </w:pPr>
      <w:r>
        <w:rPr>
          <w:b/>
        </w:rPr>
        <w:t xml:space="preserve">Abstract (EN): </w:t>
      </w:r>
      <w:r>
        <w:t>Mechanoresponsive polymers, which exhibit changes in properties such as color in response to mechanical stimuli, have attracted increasing attention for smart materials. Among various design strategies, mechanophore‐incorporated systems are widely used approaches that enable precise molecular‐level design and control; however, this approach often suffers from complicated synthesis and limited applicability to existing materials such as block copolymers, which have found widespread industrial use as high‐performance materials. Here, we present a post‐synthetic strategy enabled by exploiting microphase‐separated structures to impart mechanochromism to existing polymer systems while retaining the advantages of mechanophore‐based approaches. By exploiting the microphase‐separated structure of styrene–butadiene–styrene (SBS) block copolymers, blending with polystyrene bearing a tetraarylsuccinonitrile (TASN) mechanophore enables domain‐selective localization of the mechanophore within the rigid domains without chemical modification of the host polymer. The resulting materials exhibit fluorescence upon tensile deformation originating from force‐induced TASN cleavage, demonstrating mechanoactivation even under minimal deformation of the hard domains. The mechanoresponse is governed by the molecular weight and content of the mechanophore‐containing polystyrene. Importantly, bulk mechanical properties are preserved and can even be enhanced. This strategy establishes a scalable platform for integrating mechanochemical functionality into existing polymer systems.</w:t>
      </w:r>
    </w:p>
    <w:p>
      <w:pPr>
        <w:spacing w:before="120" w:after="120"/>
      </w:pPr>
      <w:r>
        <w:rPr>
          <w:sz w:val="18"/>
        </w:rPr>
        <w:t>——————————————————————————————————————————————————————————————————————</w:t>
      </w:r>
    </w:p>
    <w:p>
      <w:pPr>
        <w:spacing w:before="160" w:after="40" w:line="240" w:lineRule="auto"/>
      </w:pPr>
      <w:r>
        <w:rPr>
          <w:b/>
        </w:rPr>
        <w:t xml:space="preserve">[332] </w:t>
      </w:r>
      <w:hyperlink r:id="rId1205">
        <w:r>
          <w:rPr>
            <w:color w:val="1155CC"/>
            <w:u w:val="single"/>
          </w:rPr>
          <w:t>半胱氨酸硫醛：光解生成、反应性和生物学意义</w:t>
        </w:r>
      </w:hyperlink>
    </w:p>
    <w:p>
      <w:pPr>
        <w:spacing w:before="0" w:after="80"/>
      </w:pPr>
      <w:r>
        <w:rPr>
          <w:i/>
          <w:sz w:val="20"/>
        </w:rPr>
        <w:t>EN: Cysteine Thioaldehydes: Photolytic Generation, Reactivity, and Biological Implications</w:t>
      </w:r>
    </w:p>
    <w:p>
      <w:pPr>
        <w:spacing w:before="0" w:after="120"/>
      </w:pPr>
      <w:r>
        <w:rPr>
          <w:b/>
        </w:rPr>
        <w:t xml:space="preserve">Source: </w:t>
      </w:r>
      <w:r>
        <w:t>Wiley: Angewandte Chemie International Edition: Table of Contents</w:t>
      </w:r>
      <w:r>
        <w:t xml:space="preserve">    </w:t>
      </w:r>
      <w:r>
        <w:rPr>
          <w:b/>
        </w:rPr>
        <w:t xml:space="preserve">Pub date: </w:t>
      </w:r>
      <w:r>
        <w:t>2026-08-17 10:48:18+00:00</w:t>
      </w:r>
      <w:r>
        <w:t xml:space="preserve">    </w:t>
      </w:r>
      <w:r>
        <w:rPr>
          <w:b/>
        </w:rPr>
        <w:t xml:space="preserve">DOI: </w:t>
      </w:r>
      <w:hyperlink r:id="rId1206">
        <w:r>
          <w:rPr>
            <w:color w:val="1155CC"/>
            <w:u w:val="single"/>
          </w:rPr>
          <w:t>10.1002/anie.202526017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半胱氨酸硫醛是硫酸酯酶成熟酶催化以及青霉素、辅酶 A 和核糖体合成和翻译后修饰肽 (RiPP) 家族生物合成中的推定中间体。苯甲酰硫醚的 Norrish II 型光解产生半胱氨酸硫醛，但由于竞争性 β-断裂，在水溶液中效率较低。我们表明，带有非共轭吸电子取代基的苯甲酰硫醚的辐射会导致有效的 Norrish II 型碎裂。在水性缓冲液中，半胱氨酸苯甲酰硫醚的光解导致高转化为半胱氨酸硫醇盐和异噻唑酮，它们可以与氧化剂（埃尔曼试剂）或还原剂（膦）相互转化。半胱氨酸烯硫醇盐在中性至高 pH 值的水性缓冲液中相对稳定，但在低 pH 值下发生环缩合生成半胱氨酸噻唑。半胱氨酸硫醛在没有缓冲剂的情况下经历相当程度的水解，产生甲酰甘氨酸，并产生具有二级结构的较长肽。半胱氨酸硫醛上近端主链羰基的亲核 (n → π*) 参与可产生肽恶唑。这些结果表明，肽唑类的环缩合前氧化生物合成途径可行，并且半胱氨酸硫醛水解成甲酰甘氨酸（如硫酸酯酶激活所提出的）并非微不足道，并且依赖于促进所需水合的肽环境，而牺牲了其他类似有效的硫代羰基猝灭剂。</w:t>
      </w:r>
    </w:p>
    <w:p>
      <w:pPr>
        <w:spacing w:before="0" w:after="200" w:lineRule="auto" w:line="276"/>
      </w:pPr>
      <w:r>
        <w:rPr>
          <w:b/>
        </w:rPr>
        <w:t xml:space="preserve">Abstract (EN): </w:t>
      </w:r>
      <w:r>
        <w:t>Cysteine thioaldehydes are putative intermediates in sulfatase‐maturing enzyme catalysis and in the biosynthesis of penicillin, coenzyme A and families of ribosomally synthesized and posttranslationally modified peptides (RiPPs). Norrish type‐II photolysis of phenacylsulfides gives cysteine thioaldehydes but can be inefficient in aqueous solution owing to competing β‐scission. We show that irradiation of phenacylsulfides bearing non‐conjugating electron‐withdrawing substituents leads to efficient Norrish type‐II fragmentation. In aqueous buffer, photolysis of cysteine phenacylsulfides leads to high conversion into cysteine enethiolate and isothiazolone, which can be interconverted with an oxidant (Ellman's reagent) or reductant (phosphine). Cysteine enethiolates are relatively stable in aqueous buffer at neutral‐to‐high pH but undergo cyclocondensation to cysteine thiazole at low pH. Cysteine thioaldehydes undergo appreciable levels of hydrolysis to give formylglycine in the absence of buffer and for longer peptides that adopt enabling secondary structure. Nucleophilic (n → π*) participation of the proximal backbone carbonyl group on cysteine thioaldehydes can lead to peptide oxazoles. These results suggest viable oxidation‐before‐cyclocondensation biosynthetic pathways for peptide azoles and that the hydrolysis of cysteine thioaldehydes into formylglycine, as proposed for sulfatase activation, is not trivial and relies on a peptide environment that promotes the desired hydration at the expense of other similarly efficient thiocarbonyl‐quenching processes.</w:t>
      </w:r>
    </w:p>
    <w:p>
      <w:pPr>
        <w:spacing w:before="120" w:after="120"/>
      </w:pPr>
      <w:r>
        <w:rPr>
          <w:sz w:val="18"/>
        </w:rPr>
        <w:t>——————————————————————————————————————————————————————————————————————</w:t>
      </w:r>
    </w:p>
    <w:p>
      <w:pPr>
        <w:spacing w:before="160" w:after="40" w:line="240" w:lineRule="auto"/>
      </w:pPr>
      <w:r>
        <w:rPr>
          <w:b/>
        </w:rPr>
        <w:t xml:space="preserve">[333] </w:t>
      </w:r>
      <w:hyperlink r:id="rId1207">
        <w:r>
          <w:rPr>
            <w:color w:val="1155CC"/>
            <w:u w:val="single"/>
          </w:rPr>
          <w:t>用于一锅法合成极性-非极性嵌段共聚物的异双金属 Janus 催化剂</w:t>
        </w:r>
      </w:hyperlink>
    </w:p>
    <w:p>
      <w:pPr>
        <w:spacing w:before="0" w:after="80"/>
      </w:pPr>
      <w:r>
        <w:rPr>
          <w:i/>
          <w:sz w:val="20"/>
        </w:rPr>
        <w:t>EN: Heterobimetallic Janus Catalysts for the One‐Pot Synthesis of Polar‐Apolar Block Copolymers</w:t>
      </w:r>
    </w:p>
    <w:p>
      <w:pPr>
        <w:spacing w:before="0" w:after="120"/>
      </w:pPr>
      <w:r>
        <w:rPr>
          <w:b/>
        </w:rPr>
        <w:t xml:space="preserve">Source: </w:t>
      </w:r>
      <w:r>
        <w:t>Wiley: Angewandte Chemie International Edition: Table of Contents</w:t>
      </w:r>
      <w:r>
        <w:t xml:space="preserve">    </w:t>
      </w:r>
      <w:r>
        <w:rPr>
          <w:b/>
        </w:rPr>
        <w:t xml:space="preserve">Pub date: </w:t>
      </w:r>
      <w:r>
        <w:t>2026-08-17 10:49:42+00:00</w:t>
      </w:r>
      <w:r>
        <w:t xml:space="preserve">    </w:t>
      </w:r>
      <w:r>
        <w:rPr>
          <w:b/>
        </w:rPr>
        <w:t xml:space="preserve">DOI: </w:t>
      </w:r>
      <w:hyperlink r:id="rId1208">
        <w:r>
          <w:rPr>
            <w:color w:val="1155CC"/>
            <w:u w:val="single"/>
          </w:rPr>
          <w:t>10.1002/anie.2602995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聚烯烃与聚酯结合的非极性-极性嵌段共聚物的一锅法合成一直是高分子化学领域长期面临的挑战。尽管非极性-极性嵌段共聚物在药物输送、聚合物共混物和生物医学材料的增容中具有广泛的应用，但它们的合成通常需要使用多种催化剂以及多个分离和纯化步骤的多步骤方案。当将非活化 α-烯烃与内酯的聚合结合时，这是一个特殊的挑战，因为这两种不同的聚合机制通常是不相容的。这项工作报道了用于正交 1-己烯和 ε-己内酯聚合的异双金属 Janus 催化剂。原位生成的活性催化剂结合了通过 Ti-C(H)=C(R)CH 连接的不同 Ti 和 Al 金属中心</w:t>
      </w:r>
      <w:r>
        <w:rPr>
          <w:vertAlign w:val="subscript"/>
        </w:rPr>
        <w:t>2</w:t>
      </w:r>
      <w:r>
        <w:t>O-Al 连接体（R = Me 或 Bn）。这种方法成功地交付了聚（1-己烯）-</w:t>
      </w:r>
      <w:r>
        <w:t>块</w:t>
      </w:r>
      <w:r>
        <w:t xml:space="preserve"> </w:t>
      </w:r>
      <w:r>
        <w:t>‐聚（ε-己内酯）共聚物，具有良好控制的线性嵌段共聚物结构、目标摩尔组成和可调摩尔质量（</w:t>
      </w:r>
      <w:r>
        <w:t xml:space="preserve"> </w:t>
      </w:r>
      <w:r>
        <w:t>中号</w:t>
      </w:r>
      <w:r>
        <w:t xml:space="preserve"> </w:t>
      </w:r>
      <w:r>
        <w:t>n</w:t>
      </w:r>
      <w:r>
        <w:t xml:space="preserve"> </w:t>
      </w:r>
      <w:r>
        <w:t>值 &lt; 67.3 kDa，</w:t>
      </w:r>
      <w:r>
        <w:t xml:space="preserve"> </w:t>
      </w:r>
      <w:r>
        <w:t>Ð</w:t>
      </w:r>
      <w:r>
        <w:t xml:space="preserve"> </w:t>
      </w:r>
      <w:r>
        <w:t>= 1.47），在一锅反应中，这种方法已成功扩展到聚（1-辛烯）-</w:t>
      </w:r>
      <w:r>
        <w:t>块</w:t>
      </w:r>
      <w:r>
        <w:t xml:space="preserve"> </w:t>
      </w:r>
      <w:r>
        <w:t>‐聚(ε-己内酯)和聚(1-癸烯)‐</w:t>
      </w:r>
      <w:r>
        <w:t xml:space="preserve"> </w:t>
      </w:r>
      <w:r>
        <w:t>块</w:t>
      </w:r>
      <w:r>
        <w:t xml:space="preserve"> </w:t>
      </w:r>
      <w:r>
        <w:t>-聚(ε-己内酯)共聚物。总的来说，这部作品是一部不</w:t>
      </w:r>
    </w:p>
    <w:p>
      <w:pPr>
        <w:spacing w:before="0" w:after="200" w:lineRule="auto" w:line="276"/>
      </w:pPr>
      <w:r>
        <w:rPr>
          <w:b/>
        </w:rPr>
        <w:t xml:space="preserve">Abstract (EN): </w:t>
      </w:r>
      <w:r>
        <w:t>The one‐pot synthesis of apolar‐polar block copolymers combining polyolefins with polyesters has been a long‐standing challenge in polymer chemistry. Despite broad‐reaching applications of apolar‐polar block copolymers in drug delivery, compatibilisation of polymer blends and biomedical materials, their synthesis often requires multi‐step protocols with multiple catalysts and several isolation and purification steps. This is a particular challenge when combining the polymerisation of non‐activated α‐olefins with lactones, as these two distinct polymerisation mechanisms are often incompatible. This work reports heterobimetallic Janus catalysts for orthogonal 1‐hexene and ε‐caprolactone polymerisation. Generated in situ, the active catalysts combine distinct Ti and Al metal centres connected by a Ti‐C(H)═C(R)CH</w:t>
      </w:r>
      <w:r>
        <w:rPr>
          <w:vertAlign w:val="subscript"/>
        </w:rPr>
        <w:t>2</w:t>
      </w:r>
      <w:r>
        <w:t>O‐Al linker (R = Me or Bn). This approach successfully delivered poly(1‐hexene)‐</w:t>
      </w:r>
      <w:r>
        <w:t xml:space="preserve"> </w:t>
      </w:r>
      <w:r>
        <w:t>block</w:t>
      </w:r>
      <w:r>
        <w:t xml:space="preserve"> </w:t>
      </w:r>
      <w:r>
        <w:t>‐poly(ε‐caprolactone) copolymers with well‐controlled linear block copolymer architectures, targeted molar compositions and tuneable molar mass (</w:t>
      </w:r>
      <w:r>
        <w:t xml:space="preserve"> </w:t>
      </w:r>
      <w:r>
        <w:t>M</w:t>
      </w:r>
      <w:r>
        <w:t xml:space="preserve"> </w:t>
      </w:r>
      <w:r>
        <w:t>n</w:t>
      </w:r>
      <w:r>
        <w:t xml:space="preserve"> </w:t>
      </w:r>
      <w:r>
        <w:t>values &amp;lt; 67.3 kDa,</w:t>
      </w:r>
      <w:r>
        <w:t xml:space="preserve"> </w:t>
      </w:r>
      <w:r>
        <w:t>Ð</w:t>
      </w:r>
      <w:r>
        <w:t xml:space="preserve"> </w:t>
      </w:r>
      <w:r>
        <w:t>= 1.47), in a one‐pot reaction, an approach that was successfully extended to poly(1‐octene)‐</w:t>
      </w:r>
      <w:r>
        <w:t xml:space="preserve"> </w:t>
      </w:r>
      <w:r>
        <w:t>block</w:t>
      </w:r>
      <w:r>
        <w:t xml:space="preserve"> </w:t>
      </w:r>
      <w:r>
        <w:t>‐poly(ε‐caprolactone) and poly(1‐decene)‐</w:t>
      </w:r>
      <w:r>
        <w:t xml:space="preserve"> </w:t>
      </w:r>
      <w:r>
        <w:t>block</w:t>
      </w:r>
      <w:r>
        <w:t xml:space="preserve"> </w:t>
      </w:r>
      <w:r>
        <w:t>‐poly(ε‐caprolactone) copolymers. Overall, this work is a notable addition to the toolbox for synthesising apolar‐polar block copolymers. This work demonstrates for the first time that titanium‐alkenyl complexes can efficiently initiate olefin polymerisations and that heterobimetallic complexes can act as efficient bifunctional initiators for distinct polymerisation mechanisms.</w:t>
      </w:r>
    </w:p>
    <w:p>
      <w:pPr>
        <w:spacing w:before="120" w:after="120"/>
      </w:pPr>
      <w:r>
        <w:rPr>
          <w:sz w:val="18"/>
        </w:rPr>
        <w:t>——————————————————————————————————————————————————————————————————————</w:t>
      </w:r>
    </w:p>
    <w:p>
      <w:pPr>
        <w:spacing w:before="160" w:after="40" w:line="240" w:lineRule="auto"/>
      </w:pPr>
      <w:r>
        <w:rPr>
          <w:b/>
        </w:rPr>
        <w:t xml:space="preserve">[334] </w:t>
      </w:r>
      <w:hyperlink r:id="rId1209">
        <w:r>
          <w:rPr>
            <w:color w:val="1155CC"/>
            <w:u w:val="single"/>
          </w:rPr>
          <w:t>镍催化的 H2 不对称烯烃异构化：直接获得具有相邻立构中心的 P-立构磷烯</w:t>
        </w:r>
      </w:hyperlink>
    </w:p>
    <w:p>
      <w:pPr>
        <w:spacing w:before="0" w:after="80"/>
      </w:pPr>
      <w:r>
        <w:rPr>
          <w:i/>
          <w:sz w:val="20"/>
        </w:rPr>
        <w:t>EN: Nickel‐Catalyzed H2‐Enabled Asymmetric Olefin Isomerization: Direct Access to P‐Stereogenic Phospholenes With Adjacent Stereocenters</w:t>
      </w:r>
    </w:p>
    <w:p>
      <w:pPr>
        <w:spacing w:before="0" w:after="120"/>
      </w:pPr>
      <w:r>
        <w:rPr>
          <w:b/>
        </w:rPr>
        <w:t xml:space="preserve">Source: </w:t>
      </w:r>
      <w:r>
        <w:t>Wiley: Angewandte Chemie International Edition: Table of Contents</w:t>
      </w:r>
      <w:r>
        <w:t xml:space="preserve">    </w:t>
      </w:r>
      <w:r>
        <w:rPr>
          <w:b/>
        </w:rPr>
        <w:t xml:space="preserve">Pub date: </w:t>
      </w:r>
      <w:r>
        <w:t>2026-08-17 10:55:35+00:00</w:t>
      </w:r>
      <w:r>
        <w:t xml:space="preserve">    </w:t>
      </w:r>
      <w:r>
        <w:rPr>
          <w:b/>
        </w:rPr>
        <w:t xml:space="preserve">DOI: </w:t>
      </w:r>
      <w:hyperlink r:id="rId1210">
        <w:r>
          <w:rPr>
            <w:color w:val="1155CC"/>
            <w:u w:val="single"/>
          </w:rPr>
          <w:t>10.1002/anie.6479535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能够构建连续或杂原子立构中心的不对称烯烃异构化仍然是不对称合成中长期存在的挑战。在这里，我们报道了镍催化的对映选择性异构化</w:t>
      </w:r>
      <w:r>
        <w:t xml:space="preserve"> </w:t>
      </w:r>
      <w:r>
        <w:t>顺</w:t>
      </w:r>
      <w:r>
        <w:t xml:space="preserve"> </w:t>
      </w:r>
      <w:r>
        <w:t>-取代的2,5-二氢磷1-氧化物。在氢气气氛下，该反应以高化学选择性和立体选择性进行，以高达 99% 的产率、&gt;20:1 dr 和 98% ee 生成 2,3-二氢磷杂环磷酯 1-氧化物，且没有可检测到的氢化副产物。该反应能够同时构建两个连续的立体中心，包括</w:t>
      </w:r>
      <w:r>
        <w:t xml:space="preserve"> </w:t>
      </w:r>
      <w:r>
        <w:t>磷</w:t>
      </w:r>
      <w:r>
        <w:t xml:space="preserve"> </w:t>
      </w:r>
      <w:r>
        <w:t>‐立体中心。机理研究和 DFT 计算表明，动力学上有利的</w:t>
      </w:r>
      <w:r>
        <w:t xml:space="preserve"> </w:t>
      </w:r>
      <w:r>
        <w:t>β</w:t>
      </w:r>
      <w:r>
        <w:t xml:space="preserve"> </w:t>
      </w:r>
      <w:r>
        <w:t>‐氢化物消除途径通过电子和非共价相互作用稳定，具有优异的化学选择性。所得手性磷杂环戊烷氧化物可作为合成有价值的磷杂环戊烷和膦配体的通用中间体，证明了它们的合成用途。</w:t>
      </w:r>
    </w:p>
    <w:p>
      <w:pPr>
        <w:spacing w:before="0" w:after="200" w:lineRule="auto" w:line="276"/>
      </w:pPr>
      <w:r>
        <w:rPr>
          <w:b/>
        </w:rPr>
        <w:t xml:space="preserve">Abstract (EN): </w:t>
      </w:r>
      <w:r>
        <w:t>Asymmetric olefin isomerization capable of constructing consecutive or heteroatom stereocenters remains a long‐standing challenge in asymmetric synthesis. Here, we report a nickel‐catalyzed enantioselective isomerization of</w:t>
      </w:r>
      <w:r>
        <w:t xml:space="preserve"> </w:t>
      </w:r>
      <w:r>
        <w:t>syn</w:t>
      </w:r>
      <w:r>
        <w:t xml:space="preserve"> </w:t>
      </w:r>
      <w:r>
        <w:t>‐substituted 2,5‐dihydrophosphole 1‐oxides. Under a hydrogen atmosphere, this reaction proceeds with high chemo‐ and stereoselectivity, affording 2,3‐dihydrophosphole 1‐oxides in up to 99% yield, &amp;gt;20:1 dr, and 98% ee, without detectable hydrogenation byproducts. This reaction enables the simultaneous construction of two contiguous stereocenters, including a</w:t>
      </w:r>
      <w:r>
        <w:t xml:space="preserve"> </w:t>
      </w:r>
      <w:r>
        <w:t>P</w:t>
      </w:r>
      <w:r>
        <w:t xml:space="preserve"> </w:t>
      </w:r>
      <w:r>
        <w:t>‐stereogenic center. Mechanistic studies and DFT calculations indicate that a kinetically favored</w:t>
      </w:r>
      <w:r>
        <w:t xml:space="preserve"> </w:t>
      </w:r>
      <w:r>
        <w:t>β</w:t>
      </w:r>
      <w:r>
        <w:t xml:space="preserve"> </w:t>
      </w:r>
      <w:r>
        <w:t>‐hydride elimination pathway, stabilized by electronic and noncovalent interactions, accounts for the excellent chemoselectivity. The resulting chiral phospholene oxides serve as versatile intermediates for the synthesis of valuable phospholanes and phosphine ligands, demonstrating their synthetic utility.</w:t>
      </w:r>
    </w:p>
    <w:p>
      <w:pPr>
        <w:spacing w:before="120" w:after="120"/>
      </w:pPr>
      <w:r>
        <w:rPr>
          <w:sz w:val="18"/>
        </w:rPr>
        <w:t>——————————————————————————————————————————————————————————————————————</w:t>
      </w:r>
    </w:p>
    <w:p>
      <w:pPr>
        <w:spacing w:before="160" w:after="40" w:line="240" w:lineRule="auto"/>
      </w:pPr>
      <w:r>
        <w:rPr>
          <w:b/>
        </w:rPr>
        <w:t xml:space="preserve">[335] </w:t>
      </w:r>
      <w:hyperlink r:id="rId1211">
        <w:r>
          <w:rPr>
            <w:color w:val="1155CC"/>
            <w:u w:val="single"/>
          </w:rPr>
          <w:t>金属间合金纳米酶中电子杆辅助的 d 带中心工程可有效抑制海洋微生物影响的腐蚀</w:t>
        </w:r>
      </w:hyperlink>
    </w:p>
    <w:p>
      <w:pPr>
        <w:spacing w:before="0" w:after="80"/>
      </w:pPr>
      <w:r>
        <w:rPr>
          <w:i/>
          <w:sz w:val="20"/>
        </w:rPr>
        <w:t>EN: Electron Lever‐Assisted d‐Band Center Engineering in Intermetallic Alloy Nanozymes for Efficient Marine Microbiologically Influenced Corrosion Inhibition</w:t>
      </w:r>
    </w:p>
    <w:p>
      <w:pPr>
        <w:spacing w:before="0" w:after="120"/>
      </w:pPr>
      <w:r>
        <w:rPr>
          <w:b/>
        </w:rPr>
        <w:t xml:space="preserve">Source: </w:t>
      </w:r>
      <w:r>
        <w:t>Wiley: Advanced Materials: Table of Contents</w:t>
      </w:r>
      <w:r>
        <w:t xml:space="preserve">    </w:t>
      </w:r>
      <w:r>
        <w:rPr>
          <w:b/>
        </w:rPr>
        <w:t xml:space="preserve">Pub date: </w:t>
      </w:r>
      <w:r>
        <w:t>2026-08-17 12:04:35+00:00</w:t>
      </w:r>
      <w:r>
        <w:t xml:space="preserve">    </w:t>
      </w:r>
      <w:r>
        <w:rPr>
          <w:b/>
        </w:rPr>
        <w:t xml:space="preserve">DOI: </w:t>
      </w:r>
      <w:hyperlink r:id="rId1212">
        <w:r>
          <w:rPr>
            <w:color w:val="1155CC"/>
            <w:u w:val="single"/>
          </w:rPr>
          <w:t>10.1002/adma.74692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微生物影响腐蚀 (MIC) 仍然是一个持续存在的全球挑战，传统的抑制策略常常受到效率有限、耐久性差和生态毒性的限制。在这里，我们提出了一种合理的设计，利用杂原子作为电子杠杆来规避这些限制。通过将杂原子 Ag 集成到 FePt 基质中，Pt 活性位点的 d 带中心上移，优化底物的吸附能，确保即使在 H 中也具有优异的催化性能</w:t>
      </w:r>
      <w:r>
        <w:rPr>
          <w:vertAlign w:val="subscript"/>
        </w:rPr>
        <w:t>2</w:t>
      </w:r>
      <w:r>
        <w:t>氧</w:t>
      </w:r>
      <w:r>
        <w:rPr>
          <w:vertAlign w:val="subscript"/>
        </w:rPr>
        <w:t>2</w:t>
      </w:r>
      <w:r>
        <w:t>‐有限的海洋环境。由此产生的 FePtAg (</w:t>
      </w:r>
      <w:r>
        <w:t xml:space="preserve"> </w:t>
      </w:r>
      <w:r>
        <w:t>L</w:t>
      </w:r>
      <w:r>
        <w:t xml:space="preserve"> </w:t>
      </w:r>
      <w:r>
        <w:t>‐FPA）纳米酶表现出增强的三酶活性（卤代过氧化物酶、烟酰胺腺嘌呤二核苷酸氧化酶和过氧化物酶），引发活性氯和氧的局部爆发。这种协同作用有效地瓦解细胞外聚合物屏障并诱导代谢破坏，实现了 99.9% 的生物膜抑制率和 99.3% 的 MIC 抑制效率。</w:t>
      </w:r>
      <w:r>
        <w:t xml:space="preserve"> </w:t>
      </w:r>
      <w:r>
        <w:t>铜绿假单胞菌</w:t>
      </w:r>
      <w:r>
        <w:t xml:space="preserve"> </w:t>
      </w:r>
      <w:r>
        <w:t>。此外，杂原子Ag促进的金属间结构为纳米酶提供了出色的耐久性，其抗菌膜效率在120多天内仅下降3%。这项工作不仅阐明了 MIC 抑制剂中电子调节和抑制效率之间的内在相关性，而且还提供了一种新的方法。</w:t>
      </w:r>
    </w:p>
    <w:p>
      <w:pPr>
        <w:spacing w:before="0" w:after="200" w:lineRule="auto" w:line="276"/>
      </w:pPr>
      <w:r>
        <w:rPr>
          <w:b/>
        </w:rPr>
        <w:t xml:space="preserve">Abstract (EN): </w:t>
      </w:r>
      <w:r>
        <w:t>Microbiologically influenced corrosion (MIC) remains a persistent global challenge, with traditional inhibition strategies often constrained by limited efficiency, poor durability, and ecological toxicity. Herein, we propose a rational design that utilizes a heteroatom as an electronic lever to circumvent these constraints. By integrating heteroatom Ag into an FePt matrix, the d‐band center of the Pt active sites is upshifted, optimizing the adsorption energy of substrates and ensuring superior catalytic performance even in H</w:t>
      </w:r>
      <w:r>
        <w:rPr>
          <w:vertAlign w:val="subscript"/>
        </w:rPr>
        <w:t>2</w:t>
      </w:r>
      <w:r>
        <w:t>O</w:t>
      </w:r>
      <w:r>
        <w:rPr>
          <w:vertAlign w:val="subscript"/>
        </w:rPr>
        <w:t>2</w:t>
      </w:r>
      <w:r>
        <w:t>‐limited marine environments. The resulting FePtAg (</w:t>
      </w:r>
      <w:r>
        <w:t xml:space="preserve"> </w:t>
      </w:r>
      <w:r>
        <w:t>L</w:t>
      </w:r>
      <w:r>
        <w:t xml:space="preserve"> </w:t>
      </w:r>
      <w:r>
        <w:t>‐FPA) nanozymes exhibited enhanced triple‐enzyme activities (haloperoxidase, nicotinamide adenine dinucleotide oxidase, and peroxidase), triggering a localized burst of reactive chlorine and oxygen species. This synergistic action effectively disintegrated the extracellular polymeric substance barrier and induced metabolic disruption, achieving an exceptional 99.9% biofilm inhibition rate and 99.3% MIC inhibition efficiency against</w:t>
      </w:r>
      <w:r>
        <w:t xml:space="preserve"> </w:t>
      </w:r>
      <w:r>
        <w:t>Pseudomonas aeruginosa</w:t>
      </w:r>
      <w:r>
        <w:t xml:space="preserve"> </w:t>
      </w:r>
      <w:r>
        <w:t>. Furthermore, the intermetallic structure promoted by heteroatom Ag provided outstanding durability of nanozymes, with their antibiofilm efficiency decreasing by only 3% for over 120 days. This work not only elucidates the intrinsic correlation between electronic modulation and inhibition efficiency in MIC inhibitors but also offers a rational framework for designing nanozymes tailored to challenging and hostile environments.</w:t>
      </w:r>
    </w:p>
    <w:p>
      <w:pPr>
        <w:spacing w:before="120" w:after="120"/>
      </w:pPr>
      <w:r>
        <w:rPr>
          <w:sz w:val="18"/>
        </w:rPr>
        <w:t>——————————————————————————————————————————————————————————————————————</w:t>
      </w:r>
    </w:p>
    <w:p>
      <w:pPr>
        <w:spacing w:before="160" w:after="40" w:line="240" w:lineRule="auto"/>
      </w:pPr>
      <w:r>
        <w:rPr>
          <w:b/>
        </w:rPr>
        <w:t xml:space="preserve">[336] </w:t>
      </w:r>
      <w:hyperlink r:id="rId1213">
        <w:r>
          <w:rPr>
            <w:color w:val="1155CC"/>
            <w:u w:val="single"/>
          </w:rPr>
          <w:t>熵调制增强Si(Zr,Hf,Ta,Ti,Nb)BCN陶瓷的超宽带电磁波吸收</w:t>
        </w:r>
      </w:hyperlink>
    </w:p>
    <w:p>
      <w:pPr>
        <w:spacing w:before="0" w:after="80"/>
      </w:pPr>
      <w:r>
        <w:rPr>
          <w:i/>
          <w:sz w:val="20"/>
        </w:rPr>
        <w:t>EN: Entropy Modulation Boosted Ultra–Broadband Electromagnetic Wave Absorption of Si(Zr,Hf,Ta,Ti,Nb)BCN Ceramics</w:t>
      </w:r>
    </w:p>
    <w:p>
      <w:pPr>
        <w:spacing w:before="0" w:after="120"/>
      </w:pPr>
      <w:r>
        <w:rPr>
          <w:b/>
        </w:rPr>
        <w:t xml:space="preserve">Source: </w:t>
      </w:r>
      <w:r>
        <w:t>Wiley: Advanced Materials: Table of Contents</w:t>
      </w:r>
      <w:r>
        <w:t xml:space="preserve">    </w:t>
      </w:r>
      <w:r>
        <w:rPr>
          <w:b/>
        </w:rPr>
        <w:t xml:space="preserve">Pub date: </w:t>
      </w:r>
      <w:r>
        <w:t>2026-08-17 12:05:27+00:00</w:t>
      </w:r>
      <w:r>
        <w:t xml:space="preserve">    </w:t>
      </w:r>
      <w:r>
        <w:rPr>
          <w:b/>
        </w:rPr>
        <w:t xml:space="preserve">DOI: </w:t>
      </w:r>
      <w:hyperlink r:id="rId1214">
        <w:r>
          <w:rPr>
            <w:color w:val="1155CC"/>
            <w:u w:val="single"/>
          </w:rPr>
          <w:t>10.1002/adma.74683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含有一种或多种金属元素的SiMBCN陶瓷是通过使用一到五种等摩尔比的金属烷基氨基化合物（即M = Zr、Hf、Ta、Ti和/或Nb）对聚硼硅氮烷进行化学改性来合成的。通过实验和从头计算，系统地研究了金属元素的数量和类型对局部晶格畸变、微观结构、介电性能和电磁波吸收（EMA）性能的影响。这些结果表明，增加金属元素的数量会显着增加局部晶格畸变并抑制陶瓷的结晶，从而强烈影响介电性能，表现出显着的熵效应。特别是，即使在 1600°C 退火 5 小时后，SiZrHfTaTiNbBCN 陶瓷仍保持接近非晶态。在退火温度和熵工程的协同作用下，SiZrHfNbBCN陶瓷形成了由ZrHfNbCN/Si组成的独特微观结构。</w:t>
      </w:r>
      <w:r>
        <w:rPr>
          <w:vertAlign w:val="subscript"/>
        </w:rPr>
        <w:t>3</w:t>
      </w:r>
      <w:r>
        <w:t>氮</w:t>
      </w:r>
      <w:r>
        <w:rPr>
          <w:vertAlign w:val="subscript"/>
        </w:rPr>
        <w:t>4</w:t>
      </w:r>
      <w:r>
        <w:t>/C</w:t>
      </w:r>
      <w:r>
        <w:t xml:space="preserve"> </w:t>
      </w:r>
      <w:r>
        <w:t>免费</w:t>
      </w:r>
      <w:r>
        <w:t xml:space="preserve"> </w:t>
      </w:r>
      <w:r>
        <w:t>具有丰富界面和低介电β-Si的核</w:t>
      </w:r>
      <w:r>
        <w:rPr>
          <w:vertAlign w:val="subscript"/>
        </w:rPr>
        <w:t>3</w:t>
      </w:r>
      <w:r>
        <w:t>氮</w:t>
      </w:r>
      <w:r>
        <w:rPr>
          <w:vertAlign w:val="subscript"/>
        </w:rPr>
        <w:t>4</w:t>
      </w:r>
      <w:r>
        <w:t>基于外壳。这种微观结构平衡了阻抗匹配和介电损耗，从而在 1.90 mm (7.65 GHz) 处产生超宽的有效吸收带宽，优于之前报道的所有聚合物衍生陶瓷 (PDC)</w:t>
      </w:r>
    </w:p>
    <w:p>
      <w:pPr>
        <w:spacing w:before="0" w:after="200" w:lineRule="auto" w:line="276"/>
      </w:pPr>
      <w:r>
        <w:rPr>
          <w:b/>
        </w:rPr>
        <w:t xml:space="preserve">Abstract (EN): </w:t>
      </w:r>
      <w:r>
        <w:t>SiMBCN ceramics containing one or multiple metallic elements are synthesized via chemical modification of polyborosilazane using one to five metal alkylamino compounds with an equimolar ratio (i.e., M = Zr, Hf, Ta, Ti, and/or Nb). The effects of the number and types of metallic elements on the local lattice distortion, microstructure, dielectric properties, and electromagnetic wave absorption (EMA) performance are systematically investigated via experiments and ab initio calculations. These results show that increasing the number of metallic elements remarkably increases the local lattice distortion and suppresses the crystallization of the ceramics, which strongly affects the dielectric properties, showing a significant entropy effect. Particularly, the SiZrHfTaTiNbBCN ceramics remain in nearly amorphous state even after annealing at 1600°C for 5 h. Under the synergistic effect of annealing temperature and entropy engineering, the SiZrHfNbBCN ceramic develops a unique microstructure consisting of a ZrHfNbCN/Si</w:t>
      </w:r>
      <w:r>
        <w:rPr>
          <w:vertAlign w:val="subscript"/>
        </w:rPr>
        <w:t>3</w:t>
      </w:r>
      <w:r>
        <w:t>N</w:t>
      </w:r>
      <w:r>
        <w:rPr>
          <w:vertAlign w:val="subscript"/>
        </w:rPr>
        <w:t>4</w:t>
      </w:r>
      <w:r>
        <w:t>/C</w:t>
      </w:r>
      <w:r>
        <w:t xml:space="preserve"> </w:t>
      </w:r>
      <w:r>
        <w:t>free</w:t>
      </w:r>
      <w:r>
        <w:t xml:space="preserve"> </w:t>
      </w:r>
      <w:r>
        <w:t>core with abundant interfaces and a low‐dielectric β‐Si</w:t>
      </w:r>
      <w:r>
        <w:rPr>
          <w:vertAlign w:val="subscript"/>
        </w:rPr>
        <w:t>3</w:t>
      </w:r>
      <w:r>
        <w:t>N</w:t>
      </w:r>
      <w:r>
        <w:rPr>
          <w:vertAlign w:val="subscript"/>
        </w:rPr>
        <w:t>4</w:t>
      </w:r>
      <w:r>
        <w:t>‐based shell. This microstructure balances the impedance matching and dielectric loss, resulting in an ultra‐broad effective absorption bandwidth at 1.90 mm (7.65 GHz), which is superior to all previously reported polymer‐derived ceramics (PDCs) at thickness &amp;lt; 2 mm and therefore presents a significant advance in ceramic‐based EMA materials for high‐temperature applications.</w:t>
      </w:r>
    </w:p>
    <w:p>
      <w:pPr>
        <w:spacing w:before="120" w:after="120"/>
      </w:pPr>
      <w:r>
        <w:rPr>
          <w:sz w:val="18"/>
        </w:rPr>
        <w:t>——————————————————————————————————————————————————————————————————————</w:t>
      </w:r>
    </w:p>
    <w:p>
      <w:pPr>
        <w:spacing w:before="160" w:after="40" w:line="240" w:lineRule="auto"/>
      </w:pPr>
      <w:r>
        <w:rPr>
          <w:b/>
        </w:rPr>
        <w:t xml:space="preserve">[337] </w:t>
      </w:r>
      <w:hyperlink r:id="rId1215">
        <w:r>
          <w:rPr>
            <w:color w:val="1155CC"/>
            <w:u w:val="single"/>
          </w:rPr>
          <w:t>用于慢性伤口持续局部氧疗的可穿戴电化学贴片</w:t>
        </w:r>
      </w:hyperlink>
    </w:p>
    <w:p>
      <w:pPr>
        <w:spacing w:before="0" w:after="80"/>
      </w:pPr>
      <w:r>
        <w:rPr>
          <w:i/>
          <w:sz w:val="20"/>
        </w:rPr>
        <w:t>EN: A Wearable Electrochemical Patch for Sustained Local Oxygen Therapy of Chronic Wounds</w:t>
      </w:r>
    </w:p>
    <w:p>
      <w:pPr>
        <w:spacing w:before="0" w:after="120"/>
      </w:pPr>
      <w:r>
        <w:rPr>
          <w:b/>
        </w:rPr>
        <w:t xml:space="preserve">Source: </w:t>
      </w:r>
      <w:r>
        <w:t>Wiley: Advanced Materials: Table of Contents</w:t>
      </w:r>
      <w:r>
        <w:t xml:space="preserve">    </w:t>
      </w:r>
      <w:r>
        <w:rPr>
          <w:b/>
        </w:rPr>
        <w:t xml:space="preserve">Pub date: </w:t>
      </w:r>
      <w:r>
        <w:t>2026-08-17 12:32:08+00:00</w:t>
      </w:r>
      <w:r>
        <w:t xml:space="preserve">    </w:t>
      </w:r>
      <w:r>
        <w:rPr>
          <w:b/>
        </w:rPr>
        <w:t xml:space="preserve">DOI: </w:t>
      </w:r>
      <w:hyperlink r:id="rId1216">
        <w:r>
          <w:rPr>
            <w:color w:val="1155CC"/>
            <w:u w:val="single"/>
          </w:rPr>
          <w:t>10.1002/adma.74636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穿戴生物电子学以低功耗传感为主，而有效的治疗需要持续的分子通量，而传统的软设备很少支持。一个核心挑战是在轻质、无固定装置的架构中同时保持固-固电荷传输、水合依赖性离子传导和生物流体阻力。在这里，我们报告了一种用于皮肤保形氧气输送的蒸汽供给电化学材料架构。该系统集成了机械联锁的 3D 集电器/催化剂界面以稳定电子传输，飞秒激光定义的微通道以重建全固态膜电极组件内的气相质量传输，以及相选择性多孔屏障以阻止渗出液侵入，同时保持气体扩散。这种分层设计使超轻 (&lt;4 g) 贴片能够在高电流密度 (&gt;100 mA cm</w:t>
      </w:r>
      <w:r>
        <w:t xml:space="preserve"> </w:t>
      </w:r>
      <w:r>
        <w:t>−2</w:t>
      </w:r>
      <w:r>
        <w:t xml:space="preserve"> </w:t>
      </w:r>
      <w:r>
        <w:t>），持续连续运行 735 小时，提供 16.8 L 高纯度 (&gt;99%) O</w:t>
      </w:r>
      <w:r>
        <w:rPr>
          <w:vertAlign w:val="subscript"/>
        </w:rPr>
        <w:t>2</w:t>
      </w:r>
      <w:r>
        <w:t>。该结构在模拟渗出物中保持稳定超过 500 小时，并支持跨猪皮肤的有效透皮氧气运输。在大鼠压疮模型中，短程治疗使第 3 天的早期伤口闭合加速了 1.7 倍，增强了 M2 巨噬细胞极化和血管正常化。这些结果建立了一个材料框架，用于将可穿戴生物电子学从被动信息接口转化为行动</w:t>
      </w:r>
    </w:p>
    <w:p>
      <w:pPr>
        <w:spacing w:before="0" w:after="200" w:lineRule="auto" w:line="276"/>
      </w:pPr>
      <w:r>
        <w:rPr>
          <w:b/>
        </w:rPr>
        <w:t xml:space="preserve">Abstract (EN): </w:t>
      </w:r>
      <w:r>
        <w:t>Wearable bioelectronics are dominated by low‐power sensing, whereas effective therapy requires sustained molecular fluxes that conventional soft devices rarely support. A central challenge is simultaneously maintaining solid–solid charge transport, hydration‐dependent ionic conduction, and biofluid resistance within a lightweight, fixture‐free architecture. Here, we report a vapor‐fed electrochemical materials architecture for skin‐conformal oxygen delivery. The system integrates a mechanically interlocking 3D current collector/catalyst interface to stabilize electronic transport, femtosecond‐laser‐defined microchannels to reconstruct vapor‐phase mass transport within an all‐solid‐state membrane electrode assembly, and a phase‐selective porous barrier blocking exudate intrusion while preserving gas diffusion. This hierarchical design enables an ultralight (&amp;lt;4 g) patch to operate at high current densities (&amp;gt;100 mA cm</w:t>
      </w:r>
      <w:r>
        <w:t xml:space="preserve"> </w:t>
      </w:r>
      <w:r>
        <w:t>−2</w:t>
      </w:r>
      <w:r>
        <w:t xml:space="preserve"> </w:t>
      </w:r>
      <w:r>
        <w:t>), sustaining continuous operation for 735 h to deliver 16.8 L of high‐purity (&amp;gt;99%) O</w:t>
      </w:r>
      <w:r>
        <w:rPr>
          <w:vertAlign w:val="subscript"/>
        </w:rPr>
        <w:t>2</w:t>
      </w:r>
      <w:r>
        <w:t>. The architecture remains stable for &amp;gt;500 h in simulated exudates and supports efficient transdermal oxygen transport across porcine skin. In a rat pressure–ulcer model, short‐course treatment accelerates early wound closure 1.7‐fold at day 3, enhancing M2 macrophage polarization and vascular normalization. These results establish a materials framework for translating wearable bioelectronics from passive information interfaces to active molecular‐delivery systems.</w:t>
      </w:r>
    </w:p>
    <w:p>
      <w:pPr>
        <w:spacing w:before="120" w:after="120"/>
      </w:pPr>
      <w:r>
        <w:rPr>
          <w:sz w:val="18"/>
        </w:rPr>
        <w:t>——————————————————————————————————————————————————————————————————————</w:t>
      </w:r>
    </w:p>
    <w:p>
      <w:pPr>
        <w:spacing w:before="160" w:after="40" w:line="240" w:lineRule="auto"/>
      </w:pPr>
      <w:r>
        <w:rPr>
          <w:b/>
        </w:rPr>
        <w:t xml:space="preserve">[338] </w:t>
      </w:r>
      <w:hyperlink r:id="rId1217">
        <w:r>
          <w:rPr>
            <w:color w:val="1155CC"/>
            <w:u w:val="single"/>
          </w:rPr>
          <w:t>肿瘤学中的核孔机械传导：靶向干预的脆弱性结构轴</w:t>
        </w:r>
      </w:hyperlink>
    </w:p>
    <w:p>
      <w:pPr>
        <w:spacing w:before="0" w:after="80"/>
      </w:pPr>
      <w:r>
        <w:rPr>
          <w:i/>
          <w:sz w:val="20"/>
        </w:rPr>
        <w:t>EN: Nuclear Pore Mechanotransduction in Oncology: A Structural Axis of Vulnerability for Targeted Intervention</w:t>
      </w:r>
    </w:p>
    <w:p>
      <w:pPr>
        <w:spacing w:before="0" w:after="120"/>
      </w:pPr>
      <w:r>
        <w:rPr>
          <w:b/>
        </w:rPr>
        <w:t xml:space="preserve">Source: </w:t>
      </w:r>
      <w:r>
        <w:t>Wiley: Advanced Materials: Table of Contents</w:t>
      </w:r>
      <w:r>
        <w:t xml:space="preserve">    </w:t>
      </w:r>
      <w:r>
        <w:rPr>
          <w:b/>
        </w:rPr>
        <w:t xml:space="preserve">Pub date: </w:t>
      </w:r>
      <w:r>
        <w:t>2026-08-17 15:03:23+00:00</w:t>
      </w:r>
      <w:r>
        <w:t xml:space="preserve">    </w:t>
      </w:r>
      <w:r>
        <w:rPr>
          <w:b/>
        </w:rPr>
        <w:t xml:space="preserve">DOI: </w:t>
      </w:r>
      <w:hyperlink r:id="rId1218">
        <w:r>
          <w:rPr>
            <w:color w:val="1155CC"/>
            <w:u w:val="single"/>
          </w:rPr>
          <w:t>10.1002/adma.74655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核孔复合物 (NPC) 是大量蛋白质组装体，可控制核膜以调节核细胞质运输。除了作为管道的典型作用之外，NPC 还充当机械敏感调节器，将细胞骨架、细胞外和层衍生的力转化为与细胞状态耦合的运输决策。在恶性肿瘤中，NPC 会经历广泛的重塑，其特点是蛋白质过度表达、通透性过高和支架完整性受损。虽然这些改变驱动了入侵和转录可塑性，但它们同时暴露了致命的机械脆弱性。转化细胞变得严重依赖于这种改变的 NPC 状态。我们提出“核机械调节器”作为可测试的概念框架，其中 NPC 屏障严格性和核力学相互耦合。通过扩张、弹性变形和结构记忆的视角，我们综合了现有证据并提出了这样的假设：渗透屏障或支架结构的药理破坏会侵蚀核弹性。由于癌细胞在机械故障阈值附近运行，因此针对这些保守的机械传感器揭示了泛癌轴的脆弱性，为精准肿瘤学开辟了新的领域。</w:t>
      </w:r>
    </w:p>
    <w:p>
      <w:pPr>
        <w:spacing w:before="0" w:after="200" w:lineRule="auto" w:line="276"/>
      </w:pPr>
      <w:r>
        <w:rPr>
          <w:b/>
        </w:rPr>
        <w:t xml:space="preserve">Abstract (EN): </w:t>
      </w:r>
      <w:r>
        <w:t>Nuclear pore complexes (NPCs) are massive protein assemblies that gate the nuclear envelope to regulate nucleocytoplasmic transport. Beyond their canonical role as conduits, NPCs act as mechanosensitive regulators that translate cytoskeletal, extracellular, and lamina‐derived forces into transport decisions coupled to cellular state. In malignancy, NPCs undergo extensive remodeling—marked by protein overexpression, hyperpermeability, and compromised scaffold integrity. While these alterations drive invasion and transcriptional plasticity, they simultaneously expose a lethal mechanical vulnerability; transformed cells become critically dependent on this altered NPC state. We propose the “nuclear mechanostat” as a testable conceptual framework in which NPC barrier stringency and nuclear mechanics are reciprocally coupled. Through the lenses of dilation, elastic deformation, and structural memory, we synthesize existing evidence and develop the hypothesis that pharmacological disruption of the permeability barrier or scaffold architecture erodes nuclear resilience. Because cancer cells operate near a mechanical failure threshold, targeting these conserved mechanotransducers reveals a pan‐cancer axis of vulnerability, opening new frontiers for precision oncology.</w:t>
      </w:r>
    </w:p>
    <w:p>
      <w:pPr>
        <w:spacing w:before="120" w:after="120"/>
      </w:pPr>
      <w:r>
        <w:rPr>
          <w:sz w:val="18"/>
        </w:rPr>
        <w:t>——————————————————————————————————————————————————————————————————————</w:t>
      </w:r>
    </w:p>
    <w:p>
      <w:pPr>
        <w:spacing w:before="160" w:after="40" w:line="240" w:lineRule="auto"/>
      </w:pPr>
      <w:r>
        <w:rPr>
          <w:b/>
        </w:rPr>
        <w:t xml:space="preserve">[339] </w:t>
      </w:r>
      <w:hyperlink r:id="rId1219">
        <w:r>
          <w:rPr>
            <w:color w:val="1155CC"/>
            <w:u w:val="single"/>
          </w:rPr>
          <w:t>卷首文章：探讨 2-萘衍生物与烯烃的不对称脱芳构光环加成：[2 + 2] 和 [4 + 2] 途径</w:t>
        </w:r>
      </w:hyperlink>
    </w:p>
    <w:p>
      <w:pPr>
        <w:spacing w:before="0" w:after="80"/>
      </w:pPr>
      <w:r>
        <w:rPr>
          <w:i/>
          <w:sz w:val="20"/>
        </w:rPr>
        <w:t>EN: Frontispiece: Probing Into Asymmetric Dearomatizing Photocycloadditions of 2‐Naphthalene Derivatives With Alkenes: [2 + 2] and [4 + 2] Pathways</w:t>
      </w:r>
    </w:p>
    <w:p>
      <w:pPr>
        <w:spacing w:before="0" w:after="120"/>
      </w:pPr>
      <w:r>
        <w:rPr>
          <w:b/>
        </w:rPr>
        <w:t xml:space="preserve">Source: </w:t>
      </w:r>
      <w:r>
        <w:t>Wiley: Angewandte Chemie International Edition: Table of Contents</w:t>
      </w:r>
      <w:r>
        <w:t xml:space="preserve">    </w:t>
      </w:r>
      <w:r>
        <w:rPr>
          <w:b/>
        </w:rPr>
        <w:t xml:space="preserve">Pub date: </w:t>
      </w:r>
      <w:r>
        <w:t>2026-08-17 16:53:25+00:00</w:t>
      </w:r>
      <w:r>
        <w:t xml:space="preserve">    </w:t>
      </w:r>
      <w:r>
        <w:rPr>
          <w:b/>
        </w:rPr>
        <w:t xml:space="preserve">DOI: </w:t>
      </w:r>
      <w:hyperlink r:id="rId1220">
        <w:r>
          <w:rPr>
            <w:color w:val="1155CC"/>
            <w:u w:val="single"/>
          </w:rPr>
          <w:t>10.1002/anie.2026-m2607093700</w:t>
        </w:r>
      </w:hyperlink>
    </w:p>
    <w:p>
      <w:pPr>
        <w:spacing w:before="0" w:after="120"/>
      </w:pPr>
      <w:r>
        <w:rPr>
          <w:b/>
        </w:rPr>
        <w:t xml:space="preserve">Notes: </w:t>
      </w:r>
      <w:r>
        <w:t>abstract_source=openalex</w:t>
      </w:r>
    </w:p>
    <w:p>
      <w:pPr>
        <w:spacing w:before="0" w:after="80" w:lineRule="auto" w:line="276"/>
      </w:pPr>
      <w:r>
        <w:rPr>
          <w:b/>
        </w:rPr>
        <w:t xml:space="preserve">摘要（ZH）: </w:t>
      </w:r>
      <w:r>
        <w:t>通过协同手性铽(III)/N,N'-二氧化物Lewis酸催化/光催化，完成了2-萘衍生物与末端和内烯烃的不对称脱芳构化[2 + 2]和[4 + 2]光环加成反应。两条途径之间的选择性由反应温度、烯烃化学计量和反应时间控制。通过实验研究和理论计算阐明了反应机理。更多信息请参见研究文章 (e7800916)，作者：Xiaohua Liu、Shunxi Dong、Xiaoming Feng 及其同事。</w:t>
      </w:r>
    </w:p>
    <w:p>
      <w:pPr>
        <w:spacing w:before="0" w:after="200" w:lineRule="auto" w:line="276"/>
      </w:pPr>
      <w:r>
        <w:rPr>
          <w:b/>
        </w:rPr>
        <w:t xml:space="preserve">Abstract (EN): </w:t>
      </w:r>
      <w:r>
        <w:t>Asymmetric dearomatizing [2 + 2] and [4 + 2] photocycloadditions of 2-naphthalene derivatives with terminal and internal olefins were accomplished by a synergistic chiral terbium(III)/N,N'-dioxide Lewis acid catalysis/photocatalysis. The selectivity between the two pathways is governed by reaction temperature, alkene stoichiometry, and reaction time. The reaction mechanism was elucidated by experimental studies and theoretical calculation. More in Research Article (e7800916), Xiaohua Liu, Shunxi Dong, Xiaoming Feng, and co-workers.</w:t>
      </w:r>
    </w:p>
    <w:p>
      <w:pPr>
        <w:spacing w:before="120" w:after="120"/>
      </w:pPr>
      <w:r>
        <w:rPr>
          <w:sz w:val="18"/>
        </w:rPr>
        <w:t>——————————————————————————————————————————————————————————————————————</w:t>
      </w:r>
    </w:p>
    <w:p>
      <w:pPr>
        <w:spacing w:before="160" w:after="40" w:line="240" w:lineRule="auto"/>
      </w:pPr>
      <w:r>
        <w:rPr>
          <w:b/>
        </w:rPr>
        <w:t xml:space="preserve">[340] </w:t>
      </w:r>
      <w:hyperlink r:id="rId1221">
        <w:r>
          <w:rPr>
            <w:color w:val="1155CC"/>
            <w:u w:val="single"/>
          </w:rPr>
          <w:t>卷首文章：胰高血糖素样肽-1 的多组分缝合实现受体引导的 PROTAC 递送</w:t>
        </w:r>
      </w:hyperlink>
    </w:p>
    <w:p>
      <w:pPr>
        <w:spacing w:before="0" w:after="80"/>
      </w:pPr>
      <w:r>
        <w:rPr>
          <w:i/>
          <w:sz w:val="20"/>
        </w:rPr>
        <w:t>EN: Frontispiece: Multicomponent Stapling of Glucagon‐Like Peptide‐1 Enables Receptor‐Guided PROTAC Delivery</w:t>
      </w:r>
    </w:p>
    <w:p>
      <w:pPr>
        <w:spacing w:before="0" w:after="120"/>
      </w:pPr>
      <w:r>
        <w:rPr>
          <w:b/>
        </w:rPr>
        <w:t xml:space="preserve">Source: </w:t>
      </w:r>
      <w:r>
        <w:t>Wiley: Angewandte Chemie International Edition: Table of Contents</w:t>
      </w:r>
      <w:r>
        <w:t xml:space="preserve">    </w:t>
      </w:r>
      <w:r>
        <w:rPr>
          <w:b/>
        </w:rPr>
        <w:t xml:space="preserve">Pub date: </w:t>
      </w:r>
      <w:r>
        <w:t>2026-08-17 16:53:25+00:00</w:t>
      </w:r>
      <w:r>
        <w:t xml:space="preserve">    </w:t>
      </w:r>
      <w:r>
        <w:rPr>
          <w:b/>
        </w:rPr>
        <w:t xml:space="preserve">DOI: </w:t>
      </w:r>
      <w:hyperlink r:id="rId1222">
        <w:r>
          <w:rPr>
            <w:color w:val="1155CC"/>
            <w:u w:val="single"/>
          </w:rPr>
          <w:t>10.1002/anie.2026-m2607093600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[341] </w:t>
      </w:r>
      <w:hyperlink r:id="rId1223">
        <w:r>
          <w:rPr>
            <w:color w:val="1155CC"/>
            <w:u w:val="single"/>
          </w:rPr>
          <w:t>智能电力系统控制优化中并行计算策略的分布式对抗学习</w:t>
        </w:r>
      </w:hyperlink>
    </w:p>
    <w:p>
      <w:pPr>
        <w:spacing w:before="0" w:after="80"/>
      </w:pPr>
      <w:r>
        <w:rPr>
          <w:i/>
          <w:sz w:val="20"/>
        </w:rPr>
        <w:t>EN: Distributed adversarial learning for parallel computational strategies in intelligent power system control optimization</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1224">
        <w:r>
          <w:rPr>
            <w:color w:val="1155CC"/>
            <w:u w:val="single"/>
          </w:rPr>
          <w:t>10.1016/j.apenergy.2026.128670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[342] </w:t>
      </w:r>
      <w:hyperlink r:id="rId1225">
        <w:r>
          <w:rPr>
            <w:color w:val="1155CC"/>
            <w:u w:val="single"/>
          </w:rPr>
          <w:t>地缘政治风险暴露和能源支持链贸易的弹性：多层网络诊断</w:t>
        </w:r>
      </w:hyperlink>
    </w:p>
    <w:p>
      <w:pPr>
        <w:spacing w:before="0" w:after="80"/>
      </w:pPr>
      <w:r>
        <w:rPr>
          <w:i/>
          <w:sz w:val="20"/>
        </w:rPr>
        <w:t>EN: Geopolitical risk exposure and resilience of energy support-chain trade: A multilayer network diagnosis</w:t>
      </w:r>
    </w:p>
    <w:p>
      <w:pPr>
        <w:spacing w:before="0" w:after="120"/>
      </w:pPr>
      <w:r>
        <w:rPr>
          <w:b/>
        </w:rPr>
        <w:t xml:space="preserve">Source: </w:t>
      </w:r>
      <w:r>
        <w:t>ScienceDirect Publication: Energy Policy</w:t>
      </w:r>
      <w:r>
        <w:t xml:space="preserve">    </w:t>
      </w:r>
      <w:r>
        <w:rPr>
          <w:b/>
        </w:rPr>
        <w:t xml:space="preserve">Pub date: </w:t>
      </w:r>
      <w:r>
        <w:t>2026-08-18 00:00:00+00:00</w:t>
      </w:r>
      <w:r>
        <w:t xml:space="preserve">    </w:t>
      </w:r>
      <w:r>
        <w:rPr>
          <w:b/>
        </w:rPr>
        <w:t xml:space="preserve">DOI: </w:t>
      </w:r>
      <w:hyperlink r:id="rId1226">
        <w:r>
          <w:rPr>
            <w:color w:val="1155CC"/>
            <w:u w:val="single"/>
          </w:rPr>
          <w:t>10.1016/j.enpol.2026.115549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[343] </w:t>
      </w:r>
      <w:hyperlink r:id="rId1227">
        <w:r>
          <w:rPr>
            <w:color w:val="1155CC"/>
            <w:u w:val="single"/>
          </w:rPr>
          <w:t>希腊能源贫困的脉搏：金融压力、不确定性和机构弹性的作用</w:t>
        </w:r>
      </w:hyperlink>
    </w:p>
    <w:p>
      <w:pPr>
        <w:spacing w:before="0" w:after="80"/>
      </w:pPr>
      <w:r>
        <w:rPr>
          <w:i/>
          <w:sz w:val="20"/>
        </w:rPr>
        <w:t>EN: The pulse of energy poverty in Greece: The role of financial stress, uncertainty, and institutional resilience</w:t>
      </w:r>
    </w:p>
    <w:p>
      <w:pPr>
        <w:spacing w:before="0" w:after="120"/>
      </w:pPr>
      <w:r>
        <w:rPr>
          <w:b/>
        </w:rPr>
        <w:t xml:space="preserve">Source: </w:t>
      </w:r>
      <w:r>
        <w:t>ScienceDirect Publication: Energy Policy</w:t>
      </w:r>
      <w:r>
        <w:t xml:space="preserve">    </w:t>
      </w:r>
      <w:r>
        <w:rPr>
          <w:b/>
        </w:rPr>
        <w:t xml:space="preserve">Pub date: </w:t>
      </w:r>
      <w:r>
        <w:t>2026-08-18 00:00:00+00:00</w:t>
      </w:r>
      <w:r>
        <w:t xml:space="preserve">    </w:t>
      </w:r>
      <w:r>
        <w:rPr>
          <w:b/>
        </w:rPr>
        <w:t xml:space="preserve">DOI: </w:t>
      </w:r>
      <w:hyperlink r:id="rId1228">
        <w:r>
          <w:rPr>
            <w:color w:val="1155CC"/>
            <w:u w:val="single"/>
          </w:rPr>
          <w:t>10.1016/j.enpol.2026.115547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[344] </w:t>
      </w:r>
      <w:hyperlink r:id="rId1229">
        <w:r>
          <w:rPr>
            <w:color w:val="1155CC"/>
            <w:u w:val="single"/>
          </w:rPr>
          <w:t>能源资源和地缘政治冲突：伊拉克社会经济动态的 ARDL 分析</w:t>
        </w:r>
      </w:hyperlink>
    </w:p>
    <w:p>
      <w:pPr>
        <w:spacing w:before="0" w:after="80"/>
      </w:pPr>
      <w:r>
        <w:rPr>
          <w:i/>
          <w:sz w:val="20"/>
        </w:rPr>
        <w:t>EN: Energy resources and geopolitical conflicts: ARDL analysis of Iraq's socioeconomic dynamics</w:t>
      </w:r>
    </w:p>
    <w:p>
      <w:pPr>
        <w:spacing w:before="0" w:after="120"/>
      </w:pPr>
      <w:r>
        <w:rPr>
          <w:b/>
        </w:rPr>
        <w:t xml:space="preserve">Source: </w:t>
      </w:r>
      <w:r>
        <w:t>ScienceDirect Publication: Energy Policy</w:t>
      </w:r>
      <w:r>
        <w:t xml:space="preserve">    </w:t>
      </w:r>
      <w:r>
        <w:rPr>
          <w:b/>
        </w:rPr>
        <w:t xml:space="preserve">Pub date: </w:t>
      </w:r>
      <w:r>
        <w:t>2026-08-18 00:00:00+00:00</w:t>
      </w:r>
      <w:r>
        <w:t xml:space="preserve">    </w:t>
      </w:r>
      <w:r>
        <w:rPr>
          <w:b/>
        </w:rPr>
        <w:t xml:space="preserve">DOI: </w:t>
      </w:r>
      <w:hyperlink r:id="rId1230">
        <w:r>
          <w:rPr>
            <w:color w:val="1155CC"/>
            <w:u w:val="single"/>
          </w:rPr>
          <w:t>10.1016/j.enpol.2026.115501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[345] </w:t>
      </w:r>
      <w:hyperlink r:id="rId1231">
        <w:r>
          <w:rPr>
            <w:color w:val="1155CC"/>
            <w:u w:val="single"/>
          </w:rPr>
          <w:t>水微滴中活性氧的定量动力学和调节</w:t>
        </w:r>
      </w:hyperlink>
    </w:p>
    <w:p>
      <w:pPr>
        <w:spacing w:before="0" w:after="80"/>
      </w:pPr>
      <w:r>
        <w:rPr>
          <w:i/>
          <w:sz w:val="20"/>
        </w:rPr>
        <w:t>EN: Quantitative Dynamics and Modulation of Reactive Oxygen Species in Aqueous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232">
        <w:r>
          <w:rPr>
            <w:color w:val="1155CC"/>
            <w:u w:val="single"/>
          </w:rPr>
          <w:t>10.1021/jacs.6c00504</w:t>
        </w:r>
      </w:hyperlink>
    </w:p>
    <w:p>
      <w:pPr>
        <w:spacing w:before="0" w:after="120"/>
      </w:pPr>
      <w:r>
        <w:rPr>
          <w:b/>
        </w:rPr>
        <w:t xml:space="preserve">Notes: </w:t>
      </w:r>
      <w:r>
        <w:t>abstract_source=crossref</w:t>
      </w:r>
    </w:p>
    <w:p>
      <w:pPr>
        <w:spacing w:before="0" w:after="80" w:lineRule="auto" w:line="276"/>
      </w:pPr>
      <w:r>
        <w:rPr>
          <w:b/>
        </w:rPr>
        <w:t xml:space="preserve">摘要（ZH）: </w:t>
      </w:r>
      <w:r>
        <w:t>摘要 活性氧（ROS），如羟基自由基（·OH）、超氧自由基（O2·–）和过氧化氢（H2O2）在反应性和功能上存在很大差异。这种多样性使得调节 ROS 驱动的化学反应同时最大限度地减少不需要的副反应变得具有挑战性。在传统的 ROS 生成平台中，这些物种之间的快速相互转化耦合了它们的形成和衰变，限制了对在给定条件下 ROS 占主导地位的控制。水性微滴已成为一种独特的反应环境，其中活性氧在空气-水界面自发产生，但环境参数如何定量地影响活性氧的形态和相互转化仍知之甚少。在这里，我们定量测量·OH、O2·– 和 H2O2，作为水性微滴中液滴尺寸、反应时间和 pH 的函数。这些测量揭示了一个特征时间序列，其中·OH 在早期阶段占主导地位，其次是 O2·–，最后是 H2O2。该序列受到 pH 值的强烈调节，从而使系统在富含·OH 的酸性状态和富含 O2·– /H2O2 的碱性状态之间转换。为了合理化这些观察结果，我们开发了一个最小的非平稳动力学框架，该框架捕获·OH、O2·– 和 H2O2 之间的耦合相互转化动力学，并重现它们在实验条件下的重新分布。总之，这些结果建立了非稳态微滴界面系统中 ROS 动力学的定量描述，并为微滴氧化还原化学中 ROS 形态的合理调节提供了机制基础</w:t>
      </w:r>
    </w:p>
    <w:p>
      <w:pPr>
        <w:spacing w:before="0" w:after="200" w:lineRule="auto" w:line="276"/>
      </w:pPr>
      <w:r>
        <w:rPr>
          <w:b/>
        </w:rPr>
        <w:t xml:space="preserve">Abstract (EN): </w:t>
      </w:r>
      <w:r>
        <w:t>Reactive oxygen species (ROS) such as hydroxyl radical (·OH), superoxide radical (O2·–), and hydrogen peroxide (H2O2) differ strongly in reactivity and function. This diversity makes it challenging to regulate ROS-driven chemistry while minimizing undesired side reactions. In conventional ROS-generation platforms, rapid interconversion among these species couples their formation and decay, limiting control over which ROS dominate under a given set of conditions. Aqueous microdroplets have emerged as a distinct reaction environment in which ROS are spontaneously generated at the air–water interface, yet how environmental parameters quantitatively shape ROS speciation and interconversion remains poorly understood. Here, we quantitatively measure ·OH, O2·–, and H2O2 as functions of droplet size, reaction time, and pH in aqueous microdroplets. These measurements reveal a characteristic temporal sequence in which ·OH dominates at early stages, followed by O2·– and ultimately H2O2. This sequence is strongly modulated by pH, which shifts the system between ·OH-rich acidic regimes and O2·– /H2O2-rich alkaline regimes. To rationalize these observations, we develop a minimal nonstationary kinetic framework that captures the coupled interconversion dynamics among ·OH, O2·–, and H2O2 and reproduces their redistribution across experimental conditions. Together, these results establish a quantitative description of ROS dynamics in a nonstationary microdroplet interfacial system and provide a mechanistic basis for rational modulation of ROS speciation in microdroplet redox chemistry.</w:t>
      </w:r>
    </w:p>
    <w:p>
      <w:pPr>
        <w:spacing w:before="120" w:after="120"/>
      </w:pPr>
      <w:r>
        <w:rPr>
          <w:sz w:val="18"/>
        </w:rPr>
        <w:t>——————————————————————————————————————————————————————————————————————</w:t>
      </w:r>
    </w:p>
    <w:p>
      <w:pPr>
        <w:spacing w:before="160" w:after="40" w:line="240" w:lineRule="auto"/>
      </w:pPr>
      <w:r>
        <w:rPr>
          <w:b/>
        </w:rPr>
        <w:t xml:space="preserve">[346] </w:t>
      </w:r>
      <w:hyperlink r:id="rId1233">
        <w:r>
          <w:rPr>
            <w:color w:val="1155CC"/>
            <w:u w:val="single"/>
          </w:rPr>
          <w:t>前阻转异构酰胺作为起始材料用于动态动力学拆分反应合成 C-N 阻转异构体</w:t>
        </w:r>
      </w:hyperlink>
    </w:p>
    <w:p>
      <w:pPr>
        <w:spacing w:before="0" w:after="80"/>
      </w:pPr>
      <w:r>
        <w:rPr>
          <w:i/>
          <w:sz w:val="20"/>
        </w:rPr>
        <w:t>EN: Pro-Atropisomeric Ynamides as Starting Materials for the Synthesis of C–N Atropisomers by Dynamic Kinetic Resolution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234">
        <w:r>
          <w:rPr>
            <w:color w:val="1155CC"/>
            <w:u w:val="single"/>
          </w:rPr>
          <w:t>10.1021/jacs.6c11216</w:t>
        </w:r>
      </w:hyperlink>
    </w:p>
    <w:p>
      <w:pPr>
        <w:spacing w:before="0" w:after="120"/>
      </w:pPr>
      <w:r>
        <w:rPr>
          <w:b/>
        </w:rPr>
        <w:t xml:space="preserve">Notes: </w:t>
      </w:r>
      <w:r>
        <w:t>abstract_source=crossref</w:t>
      </w:r>
    </w:p>
    <w:p>
      <w:pPr>
        <w:spacing w:before="0" w:after="80" w:lineRule="auto" w:line="276"/>
      </w:pPr>
      <w:r>
        <w:rPr>
          <w:b/>
        </w:rPr>
        <w:t xml:space="preserve">摘要（ZH）: </w:t>
      </w:r>
      <w:r>
        <w:t>摘要：叔 N-磺酰苯胺，其中芳环带有大的邻位取代基，由于 C-N 键旋转缓慢，通常表现出强烈的阻转异构性。人们对此类分子产生了浓厚的兴趣，但其催化对映选择性合成的方法仍然不发达。在这项工作中，我们报道了N-磺酰炔酰胺，其中氮原子带有炔基取代基，在数秒的时间尺度内经历快速外消旋化，使它们成为动态动力学拆分反应获得C-N阻转异构目标的理想起始材料。我们已经证明，这些炔酰胺可以直接制备并经历各种不同的转化，包括水合、重排、氧化、（异）成环和加成过程。所有这些反应都导致构型稳定性显着增强，产物的外消旋速度比相应的炔酰胺前体慢 5-12 个数量级。这是实现动态动力学分辨率的理想方案，这一概念已通过前阻转异构烯酰胺的催化不对称磺胺-迈克尔加成反应的开发得到验证，该反应可提供高度对映体富集的 C-N 阻转异构烯酰胺，收率高达 97%，e.r. 为 97:3。进行了详细的实验和计算研究，以探索该过程中不对称性的根源，并通过一系列衍生反应确立了新产品的实用性。</w:t>
      </w:r>
    </w:p>
    <w:p>
      <w:pPr>
        <w:spacing w:before="0" w:after="200" w:lineRule="auto" w:line="276"/>
      </w:pPr>
      <w:r>
        <w:rPr>
          <w:b/>
        </w:rPr>
        <w:t xml:space="preserve">Abstract (EN): </w:t>
      </w:r>
      <w:r>
        <w:t>Tertiary N-sulfonyl anilides in which the aromatic ring bears a bulky ortho-substituent typically display robust atropisomerism as a result of slow C–N bond rotation. There is intense interest in such molecules, but methods for their catalytic enantioselective synthesis remain underdeveloped. In this work, we report that N-sulfonyl ynamides, in which the nitrogen atom bears an alkynyl substituent, undergo rapid racemization on the time scale of seconds making them an ideal class of starting materials for dynamic kinetic resolution reactions to access C–N atropisomeric targets. We have shown that these ynamides can be straightforwardly prepared and undergo a wide range of different transformations, including hydration, rearrangement, oxidation, (hetero)annulation, and addition processes. All of these reactions lead to a remarkable enhancement in configurational stability, with the products racemizing 5–12 orders of magnitude more slowly than the corresponding ynamide precursors. This is an ideal scenario to achieve dynamic kinetic resolution, a concept which has been validated by the development of a catalytic asymmetric sulfa-Michael addition reaction of pro-atropisomeric ynamides, which delivers highly enantioenriched C–N atropisomeric enamides in up to 97% yield and 97:3 e.r. Detailed experimental and computational studies were performed to explore the origins of asymmetry in this process, and the utility of the novel products was established through a series of derivatization reactions.</w:t>
      </w:r>
    </w:p>
    <w:p>
      <w:pPr>
        <w:spacing w:before="120" w:after="120"/>
      </w:pPr>
      <w:r>
        <w:rPr>
          <w:sz w:val="18"/>
        </w:rPr>
        <w:t>——————————————————————————————————————————————————————————————————————</w:t>
      </w:r>
    </w:p>
    <w:p>
      <w:pPr>
        <w:spacing w:before="160" w:after="40" w:line="240" w:lineRule="auto"/>
      </w:pPr>
      <w:r>
        <w:rPr>
          <w:b/>
        </w:rPr>
        <w:t xml:space="preserve">[347] </w:t>
      </w:r>
      <w:hyperlink r:id="rId1235">
        <w:r>
          <w:rPr>
            <w:color w:val="1155CC"/>
            <w:u w:val="single"/>
          </w:rPr>
          <w:t>互联欧洲电力市场碳边界政策评估的机制引导图学习</w:t>
        </w:r>
      </w:hyperlink>
    </w:p>
    <w:p>
      <w:pPr>
        <w:spacing w:before="0" w:after="80"/>
      </w:pPr>
      <w:r>
        <w:rPr>
          <w:i/>
          <w:sz w:val="20"/>
        </w:rPr>
        <w:t>EN: Mechanism-guided graph learning for carbon border policy evaluation in interconnected european electricity markets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1236">
        <w:r>
          <w:rPr>
            <w:color w:val="1155CC"/>
            <w:u w:val="single"/>
          </w:rPr>
          <w:t>10.1016/j.apenergy.2026.128683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[348] </w:t>
      </w:r>
      <w:hyperlink r:id="rId1237">
        <w:r>
          <w:rPr>
            <w:color w:val="1155CC"/>
            <w:u w:val="single"/>
          </w:rPr>
          <w:t>使用有机铋转运蛋白对多种羰基化合物进行区域特异性 α-芳基化</w:t>
        </w:r>
      </w:hyperlink>
    </w:p>
    <w:p>
      <w:pPr>
        <w:spacing w:before="0" w:after="80"/>
      </w:pPr>
      <w:r>
        <w:rPr>
          <w:i/>
          <w:sz w:val="20"/>
        </w:rPr>
        <w:t>EN: Regiospecific α-arylation of diverse carbonyl compounds using an organobismuth transporter</w:t>
      </w:r>
    </w:p>
    <w:p>
      <w:pPr>
        <w:spacing w:before="0" w:after="120"/>
      </w:pPr>
      <w:r>
        <w:rPr>
          <w:b/>
        </w:rPr>
        <w:t xml:space="preserve">Source: </w:t>
      </w:r>
      <w:r>
        <w:t>Nature Chemistry</w:t>
      </w:r>
      <w:r>
        <w:t xml:space="preserve">    </w:t>
      </w:r>
      <w:r>
        <w:rPr>
          <w:b/>
        </w:rPr>
        <w:t xml:space="preserve">Pub date: </w:t>
      </w:r>
      <w:r>
        <w:t>2026-08-18 00:00:00+00:00</w:t>
      </w:r>
      <w:r>
        <w:t xml:space="preserve">    </w:t>
      </w:r>
      <w:r>
        <w:rPr>
          <w:b/>
        </w:rPr>
        <w:t xml:space="preserve">DOI: </w:t>
      </w:r>
      <w:hyperlink r:id="rId1238">
        <w:r>
          <w:rPr>
            <w:color w:val="1155CC"/>
            <w:u w:val="single"/>
          </w:rPr>
          <w:t>10.1038/s41557-026-02231-5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羰基化合物的α-芳基化是药物和天然产物合成中的基石转化。尽管使用过渡金属、主基团和光氧化还原策略进行了数十年的努力，但具有广泛底物范围的通用且实用的 α-芳基化方法仍然难以实现。在这里，我们展示了 9-bismatriptycene (BisTrip) 是一种刚性的、束缚形式的三苯基铋，可作为通用芳基转运蛋白，实现多种酮的受控和区域特异性 α-芳基化，从而形成空间要求高的四元中心并掺入碘芳基单元。 BisTrip 很容易通过使用芳基硼酸的一锅法负载芳基，得到 Aryl-BisTrip，并将芳基转移到烯醇化物后，定量回收。即使在-78°C 下，锂烯醇化物的芳基化也会在几秒钟内进行，并且在手性记忆实验中表现出高保真度。计算支持 C−C 键形成的低势垒，并解释了观察到的轴向选择性，将 BisTrip 确立为 α-芳基化的实用平台。</w:t>
      </w:r>
    </w:p>
    <w:p>
      <w:pPr>
        <w:spacing w:before="0" w:after="200" w:lineRule="auto" w:line="276"/>
      </w:pPr>
      <w:r>
        <w:rPr>
          <w:b/>
        </w:rPr>
        <w:t xml:space="preserve">Abstract (EN): </w:t>
      </w:r>
      <w:r>
        <w:t>The α-arylation of carbonyl compounds is a cornerstone transformation in the synthesis of pharmaceuticals and natural products. Despite decades of efforts using transition metal, main-group and photoredox strategies, a general and practical α-arylation method with broad substrate scope has remained elusive. Here we show that 9-bismatriptycene (BisTrip), a rigid, shackled form of triphenylbismuth, functions as a universal aryl group transporter, enabling controlled and regiospecific α-arylation of diverse ketones, allowing the formation of sterically demanding quaternary centres and incorporation of iodoaryl units. BisTrip is readily loaded with aryl groups by a one-pot procedure using arylboronic acids to give Aryl-BisTrip and, after transferring the aryl to the enolate, is recovered quantitatively. Arylation of lithium enolates proceeds within seconds even at −78 °C and shows high fidelity in a memory-of-chirality experiment. Computations support a low barrier for C−C bond formation and account for the observed axial selectivity, establishing BisTrip as a practical platform for α-arylation.</w:t>
      </w:r>
    </w:p>
    <w:p>
      <w:pPr>
        <w:spacing w:before="120" w:after="120"/>
      </w:pPr>
      <w:r>
        <w:rPr>
          <w:sz w:val="18"/>
        </w:rPr>
        <w:t>——————————————————————————————————————————————————————————————————————</w:t>
      </w:r>
    </w:p>
    <w:p>
      <w:pPr>
        <w:spacing w:before="160" w:after="40" w:line="240" w:lineRule="auto"/>
      </w:pPr>
      <w:r>
        <w:rPr>
          <w:b/>
        </w:rPr>
        <w:t xml:space="preserve">[349] </w:t>
      </w:r>
      <w:hyperlink r:id="rId1239">
        <w:r>
          <w:rPr>
            <w:color w:val="1155CC"/>
            <w:u w:val="single"/>
          </w:rPr>
          <w:t>活细胞中非自然生物合成的氮烯生成和转移</w:t>
        </w:r>
      </w:hyperlink>
    </w:p>
    <w:p>
      <w:pPr>
        <w:spacing w:before="0" w:after="80"/>
      </w:pPr>
      <w:r>
        <w:rPr>
          <w:i/>
          <w:sz w:val="20"/>
        </w:rPr>
        <w:t>EN: Nitrene generation and transfer for unnatural biosynthesis in living cells</w:t>
      </w:r>
    </w:p>
    <w:p>
      <w:pPr>
        <w:spacing w:before="0" w:after="120"/>
      </w:pPr>
      <w:r>
        <w:rPr>
          <w:b/>
        </w:rPr>
        <w:t xml:space="preserve">Source: </w:t>
      </w:r>
      <w:r>
        <w:t>Nature Chemistry</w:t>
      </w:r>
      <w:r>
        <w:t xml:space="preserve">    </w:t>
      </w:r>
      <w:r>
        <w:rPr>
          <w:b/>
        </w:rPr>
        <w:t xml:space="preserve">Pub date: </w:t>
      </w:r>
      <w:r>
        <w:t>2026-08-18 00:00:00+00:00</w:t>
      </w:r>
      <w:r>
        <w:t xml:space="preserve">    </w:t>
      </w:r>
      <w:r>
        <w:rPr>
          <w:b/>
        </w:rPr>
        <w:t xml:space="preserve">DOI: </w:t>
      </w:r>
      <w:hyperlink r:id="rId1240">
        <w:r>
          <w:rPr>
            <w:color w:val="1155CC"/>
            <w:u w:val="single"/>
          </w:rPr>
          <w:t>10.1038/s41557-026-02224-4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生物学使得利用廉价的可持续原料生产天然和非天然产品成为可能。然而，可用产品的范围主要限于从自然界的化学反应中获得的化合物。进化的酶可以催化非天然底物的反应或自然界中未发现的反应，但通常需要向纯化的酶或含有这些酶的静息细胞中添加合成试剂。在这里，我们证明活细胞内产生的代谢中间体的化学反应可以包括分子间氮烯转移。的生物合成</w:t>
      </w:r>
      <w:r>
        <w:t xml:space="preserve"> </w:t>
      </w:r>
      <w:r>
        <w:t>氮</w:t>
      </w:r>
      <w:r>
        <w:t xml:space="preserve"> </w:t>
      </w:r>
      <w:r>
        <w:t>-乙酰氧基苯胺，与生成和转移相结合</w:t>
      </w:r>
      <w:r>
        <w:t xml:space="preserve"> </w:t>
      </w:r>
      <w:r>
        <w:t>氮</w:t>
      </w:r>
      <w:r>
        <w:t xml:space="preserve"> </w:t>
      </w:r>
      <w:r>
        <w:t>-芳基氮烯中间体在细胞色素 P450 的催化下，从简单的碳原料生成氨基醇、二胺、二芳基胺和氨基烷基芳烃。这些产品是药品和农用化学品的常见子结构，通过标准有机化学合成具有挑战性，并且是由廉价的可再生原料生产的。该途径中酶的进化表明，可以通过工程改造来提高滴度，并且可以以高对映选择性合成产物。</w:t>
      </w:r>
    </w:p>
    <w:p>
      <w:pPr>
        <w:spacing w:before="0" w:after="200" w:lineRule="auto" w:line="276"/>
      </w:pPr>
      <w:r>
        <w:rPr>
          <w:b/>
        </w:rPr>
        <w:t xml:space="preserve">Abstract (EN): </w:t>
      </w:r>
      <w:r>
        <w:t>Synthetic biology has enabled the production of natural and unnatural products from inexpensive sustainable feedstocks. Yet, the scope of available products has been limited largely to compounds accessible from nature’s chemical reactions. Evolved enzymes can catalyse reactions of unnatural substrates or reactions not found in nature but often require the addition of synthetic reagents to purified enzymes or to resting cells containing those enzymes. Here we show that chemical reactions of metabolic intermediates produced intracellularly in living cells can include intermolecular nitrene transfers. The biosynthesis of</w:t>
      </w:r>
      <w:r>
        <w:t xml:space="preserve"> </w:t>
      </w:r>
      <w:r>
        <w:t>N</w:t>
      </w:r>
      <w:r>
        <w:t xml:space="preserve"> </w:t>
      </w:r>
      <w:r>
        <w:t>-acetoxyanilines, in combination with the generation and transfer of</w:t>
      </w:r>
      <w:r>
        <w:t xml:space="preserve"> </w:t>
      </w:r>
      <w:r>
        <w:t>N</w:t>
      </w:r>
      <w:r>
        <w:t xml:space="preserve"> </w:t>
      </w:r>
      <w:r>
        <w:t>-aryl nitrene intermediates from them catalysed by a cytochrome P450, generates amino alcohols, diamines, diarylamines and aminoalkyl arenes from simple carbon feedstocks. These products—common substructures of pharmaceuticals and agrochemicals—are challenging to synthesize by standard organic chemistry and were produced from inexpensive, renewable feedstocks. Evolution of the enzymes in this pathway showed that titres can be increased by engineering and that the products can be synthesized with high enantioselectivity.</w:t>
      </w:r>
    </w:p>
    <w:p>
      <w:pPr>
        <w:spacing w:before="120" w:after="120"/>
      </w:pPr>
      <w:r>
        <w:rPr>
          <w:sz w:val="18"/>
        </w:rPr>
        <w:t>——————————————————————————————————————————————————————————————————————</w:t>
      </w:r>
    </w:p>
    <w:p>
      <w:pPr>
        <w:spacing w:before="160" w:after="40" w:line="240" w:lineRule="auto"/>
      </w:pPr>
      <w:r>
        <w:rPr>
          <w:b/>
        </w:rPr>
        <w:t xml:space="preserve">[350] </w:t>
      </w:r>
      <w:hyperlink r:id="rId1241">
        <w:r>
          <w:rPr>
            <w:color w:val="1155CC"/>
            <w:u w:val="single"/>
          </w:rPr>
          <w:t>调节双环[1.1.0]丁烷和烯烃之间的环加成的吸能三重态光敏化</w:t>
        </w:r>
      </w:hyperlink>
    </w:p>
    <w:p>
      <w:pPr>
        <w:spacing w:before="0" w:after="80"/>
      </w:pPr>
      <w:r>
        <w:rPr>
          <w:i/>
          <w:sz w:val="20"/>
        </w:rPr>
        <w:t>EN: Modulating endergonic triplet photosensitization for cycloadditions between bicyclo[1.1.0]butanes and alkenes</w:t>
      </w:r>
    </w:p>
    <w:p>
      <w:pPr>
        <w:spacing w:before="0" w:after="120"/>
      </w:pPr>
      <w:r>
        <w:rPr>
          <w:b/>
        </w:rPr>
        <w:t xml:space="preserve">Source: </w:t>
      </w:r>
      <w:r>
        <w:t>Nature Chemistry</w:t>
      </w:r>
      <w:r>
        <w:t xml:space="preserve">    </w:t>
      </w:r>
      <w:r>
        <w:rPr>
          <w:b/>
        </w:rPr>
        <w:t xml:space="preserve">Pub date: </w:t>
      </w:r>
      <w:r>
        <w:t>2026-08-18 00:00:00+00:00</w:t>
      </w:r>
      <w:r>
        <w:t xml:space="preserve">    </w:t>
      </w:r>
      <w:r>
        <w:rPr>
          <w:b/>
        </w:rPr>
        <w:t xml:space="preserve">DOI: </w:t>
      </w:r>
      <w:hyperlink r:id="rId1242">
        <w:r>
          <w:rPr>
            <w:color w:val="1155CC"/>
            <w:u w:val="single"/>
          </w:rPr>
          <w:t>10.1038/s41557-026-02233-3</w:t>
        </w:r>
      </w:hyperlink>
    </w:p>
    <w:p>
      <w:pPr>
        <w:spacing w:before="0" w:after="120"/>
      </w:pPr>
      <w:r>
        <w:rPr>
          <w:b/>
        </w:rPr>
        <w:t xml:space="preserve">Notes: </w:t>
      </w:r>
      <w:r>
        <w:t>abstract_source=pubmed</w:t>
      </w:r>
    </w:p>
    <w:p>
      <w:pPr>
        <w:spacing w:before="0" w:after="80" w:lineRule="auto" w:line="276"/>
      </w:pPr>
      <w:r>
        <w:rPr>
          <w:b/>
        </w:rPr>
        <w:t xml:space="preserve">摘要（ZH）: </w:t>
      </w:r>
      <w:r>
        <w:t>虽然能量转移光催化最近已用于合成多取代多环烷烃作为苯生物等排体，但使用高反应性贵金属和有机光催化剂通常会导致双自由基中间体的快速生成，引发聚合副反应并限制官能团耐受性。在这里，我们证明含有二齿（吡唑基）吡啶配体的杂配铜（I）-BINAP配合物可作为双环[1.1.0]丁烷和烯烃之间的环加成的有效三线态光敏剂。这些铜催化剂具有延长的激发态寿命，能够实现底物活化的吸能光敏化，从而减缓自由基的产生，抑制烯烃聚合并扩大底物范围，包括缺电子烯烃、烯炔、二烯甚至脂肪族烯烃。在3-位或2-位具有芳基取代基的双环[2.1.1]己烷可以通过活化苯乙烯或双环[1.1.0]丁烷来合成。这些发现表明，铜光催化有望增强可见光驱动的能量转移过程的合成多功能性。</w:t>
      </w:r>
    </w:p>
    <w:p>
      <w:pPr>
        <w:spacing w:before="0" w:after="200" w:lineRule="auto" w:line="276"/>
      </w:pPr>
      <w:r>
        <w:rPr>
          <w:b/>
        </w:rPr>
        <w:t xml:space="preserve">Abstract (EN): </w:t>
      </w:r>
      <w:r>
        <w:t>While energy transfer photocatalysis has recently been used in the synthesis of multisubstituted polycyclic alkanes as benzene bioisosteres, the use of highly reactive noble-metal and organo-photocatalysts often leads to rapid generation of diradical intermediates, triggering polymerization side reactions and limiting functional-group tolerance. Here we show that heteroleptic copper(I)-BINAP complexes containing bidentate (pyrazolyl)pyridine ligands act as effective triplet photosensitizers for cycloadditions between bicyclo[1.1.0]butanes and alkenes. These copper catalysts, with their extended excited-state lifetimes, enable endergonic photosensitization for substrate activation, thereby moderating radical generation, suppressing alkene polymerization and broadening the substrate scope to include electron-deficient alkenes, enynes, dienes and even aliphatic alkenes. Bicyclo[2.1.1]hexanes with an aryl substituent at either the 3- or 2-position can be synthesized by activating either styrenes or bicyclo[1.1.0]butanes. These findings suggest that copper photocatalysis holds promise for enhancing the synthetic versatility of visible-light-driven energy transfer processes.</w:t>
      </w:r>
    </w:p>
    <w:p>
      <w:pPr>
        <w:spacing w:before="120" w:after="120"/>
      </w:pPr>
      <w:r>
        <w:rPr>
          <w:sz w:val="18"/>
        </w:rPr>
        <w:t>——————————————————————————————————————————————————————————————————————</w:t>
      </w:r>
    </w:p>
    <w:p>
      <w:pPr>
        <w:spacing w:before="160" w:after="40" w:line="240" w:lineRule="auto"/>
      </w:pPr>
      <w:r>
        <w:rPr>
          <w:b/>
        </w:rPr>
        <w:t xml:space="preserve">[351] </w:t>
      </w:r>
      <w:hyperlink r:id="rId1243">
        <w:r>
          <w:rPr>
            <w:color w:val="1155CC"/>
            <w:u w:val="single"/>
          </w:rPr>
          <w:t>用于可扩展高性能量子器件的氪溅射钽薄膜</w:t>
        </w:r>
      </w:hyperlink>
    </w:p>
    <w:p>
      <w:pPr>
        <w:spacing w:before="0" w:after="80"/>
      </w:pPr>
      <w:r>
        <w:rPr>
          <w:i/>
          <w:sz w:val="20"/>
        </w:rPr>
        <w:t>EN: Krypton-sputtered tantalum films for scalable high-performance quantum devices</w:t>
      </w:r>
    </w:p>
    <w:p>
      <w:pPr>
        <w:spacing w:before="0" w:after="120"/>
      </w:pPr>
      <w:r>
        <w:rPr>
          <w:b/>
        </w:rPr>
        <w:t xml:space="preserve">Source: </w:t>
      </w:r>
      <w:r>
        <w:t>Nature Materials</w:t>
      </w:r>
      <w:r>
        <w:t xml:space="preserve">    </w:t>
      </w:r>
      <w:r>
        <w:rPr>
          <w:b/>
        </w:rPr>
        <w:t xml:space="preserve">Pub date: </w:t>
      </w:r>
      <w:r>
        <w:t>2026-08-18 00:00:00+00:00</w:t>
      </w:r>
      <w:r>
        <w:t xml:space="preserve">    </w:t>
      </w:r>
      <w:r>
        <w:rPr>
          <w:b/>
        </w:rPr>
        <w:t xml:space="preserve">DOI: </w:t>
      </w:r>
      <w:hyperlink r:id="rId1244">
        <w:r>
          <w:rPr>
            <w:color w:val="1155CC"/>
            <w:u w:val="single"/>
          </w:rPr>
          <w:t>10.1038/s41563-026-02718-z</w:t>
        </w:r>
      </w:hyperlink>
    </w:p>
    <w:p>
      <w:pPr>
        <w:spacing w:before="0" w:after="120"/>
      </w:pPr>
      <w:r>
        <w:rPr>
          <w:b/>
        </w:rPr>
        <w:t xml:space="preserve">Notes: </w:t>
      </w:r>
      <w:r>
        <w:t>abstract_source=semanticscholar</w:t>
      </w:r>
    </w:p>
    <w:p>
      <w:pPr>
        <w:spacing w:before="0" w:after="80" w:lineRule="auto" w:line="276"/>
      </w:pPr>
      <w:r>
        <w:rPr>
          <w:b/>
        </w:rPr>
        <w:t xml:space="preserve">摘要（ZH）: </w:t>
      </w:r>
      <w:r>
        <w:t>基于钽 (Ta) 薄膜的超导量子位已被证明是性能最高的微波谐振器和量子位。这使得 Ta 成为超导量子计算应用中有吸引力的材料，但到目前为止，直接沉积在很大程度上依赖于超过 \SI{400}{\celsius} 的高衬底温度来实现体心立方相 BCC (\textalpha-Ta)。这会导致利用标准半导体生产线的可扩展制造的兼容性问题。在这里，我们表明，将溅射气体从氩 (Ar) 改为氪 (Kr) 可以促进在低至 \SI{200}{\celsius} 的温度下在硅 (Si) 上进行 BCC Ta 合成，从而提供与后端生产线制造标准兼容的宽工艺窗口。此外，我们发现这些薄膜具有明显更高的电子传导性，与清洁极限超导性一致。我们通过共面波导谐振器测量验证了微波性能，发现在 \SI{250}{\celsius} 和 \SI{350}{\celsius} 处沉积的薄膜在现有技术中表现出紧密的性能分布。较高温度生长的薄膜表现出较高的损耗，这与截面透射电子显微镜揭示的 Ta/Si 混合程度相关。最后，通过这些薄膜，我们展示了具有相对紧凑的 \SI{20}{\micro\meter} 电容器间隙的传输量子位，实现了高达 1400 万的中值品质因数。</w:t>
      </w:r>
    </w:p>
    <w:p>
      <w:pPr>
        <w:spacing w:before="0" w:after="200" w:lineRule="auto" w:line="276"/>
      </w:pPr>
      <w:r>
        <w:rPr>
          <w:b/>
        </w:rPr>
        <w:t xml:space="preserve">Abstract (EN): </w:t>
      </w:r>
      <w:r>
        <w:t>Superconducting qubits based on tantalum (Ta) thin films have demonstrated the highest-performing microwave resonators and qubits. This makes Ta an attractive material for superconducting quantum computing applications, but, so far, direct deposition has largely relied on high substrate temperatures exceeding \SI{400}{\celsius} to achieve the body-centered cubic phase, BCC (\textalpha-Ta). This leads to compatibility issues for scalable fabrication leveraging standard semiconductor fabrication lines. Here, we show that changing the sputter gas from argon (Ar) to krypton (Kr) promotes BCC Ta synthesis on silicon (Si) at temperatures as low as \SI{200}{\celsius}, providing a wide process window compatible with back-end-of-the-line fabrication standards. Furthermore, we find these films to have substantially higher electronic conductivity, consistent with clean-limit superconductivity. We validated the microwave performance through coplanar waveguide resonator measurements, finding that films deposited at \SI{250}{\celsius} and \SI{350}{\celsius} exhibit a tight performance distribution at the state of the art. Higher temperature-grown films exhibit higher losses, in correlation with the degree of Ta/Si intermixing revealed by cross-sectional transmission electron microscopy. Finally, with these films, we demonstrate transmon qubits with a relatively compact, \SI{20}{\micro\meter} capacitor gap, achieving a median quality factor up to 14 million.</w:t>
      </w:r>
    </w:p>
    <w:p>
      <w:pPr>
        <w:spacing w:before="120" w:after="120"/>
      </w:pPr>
      <w:r>
        <w:rPr>
          <w:sz w:val="18"/>
        </w:rPr>
        <w:t>——————————————————————————————————————————————————————————————————————</w:t>
      </w:r>
    </w:p>
    <w:p>
      <w:pPr>
        <w:spacing w:before="160" w:after="40" w:line="240" w:lineRule="auto"/>
      </w:pPr>
      <w:r>
        <w:rPr>
          <w:b/>
        </w:rPr>
        <w:t xml:space="preserve">[352] </w:t>
      </w:r>
      <w:hyperlink r:id="rId1245">
        <w:r>
          <w:rPr>
            <w:color w:val="1155CC"/>
            <w:u w:val="single"/>
          </w:rPr>
          <w:t>通过邻近驱动催化进行小分子定向 RNA 修饰</w:t>
        </w:r>
      </w:hyperlink>
    </w:p>
    <w:p>
      <w:pPr>
        <w:spacing w:before="0" w:after="80"/>
      </w:pPr>
      <w:r>
        <w:rPr>
          <w:i/>
          <w:sz w:val="20"/>
        </w:rPr>
        <w:t>EN: Small-Molecule-Directed RNA Modification via Proximity-Driven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246">
        <w:r>
          <w:rPr>
            <w:color w:val="1155CC"/>
            <w:u w:val="single"/>
          </w:rPr>
          <w:t>10.1021/jacs.6c13298</w:t>
        </w:r>
      </w:hyperlink>
    </w:p>
    <w:p>
      <w:pPr>
        <w:spacing w:before="0" w:after="120"/>
      </w:pPr>
      <w:r>
        <w:rPr>
          <w:b/>
        </w:rPr>
        <w:t xml:space="preserve">Notes: </w:t>
      </w:r>
      <w:r>
        <w:t>abstract_source=crossref</w:t>
      </w:r>
    </w:p>
    <w:p>
      <w:pPr>
        <w:spacing w:before="0" w:after="80" w:lineRule="auto" w:line="276"/>
      </w:pPr>
      <w:r>
        <w:rPr>
          <w:b/>
        </w:rPr>
        <w:t xml:space="preserve">摘要（ZH）: </w:t>
      </w:r>
      <w:r>
        <w:t>摘要 RNA 的选择性化学修饰对于 RNA 功能化、探索 RNA 结构-功能关系和开发 RNA 靶向疗法至关重要。现有的化学策略通常依赖于鸟嘌呤的可及性或多个辅助 DNA 链，限制了它们的通用性和生物学适用性。受 DNA 引导的 DMAP 催化和小分子结合诱导的交联的启发，我们报告了一种小分子引导、DMAP 催化、邻近驱动的位点选择性 RNA 功能化策略。通过将催化 DMAP 部分附加到 RNA 结合配体上，2'-OH 基团在含叠氮化物的酰基供体存在下被选择性酰化，从而能够随后安装生物正交手柄。该方法在多种 RNA 中得到了验证，包括胡椒和君子兰 RNA 适体、G-四联体西兰花 RNA 和内源 FMN 核糖开关 RNA。对于 400 nt Pepper-7SK 融合，Pepper 基序的选择性修饰是在对 7SK RNA 核定位功能的干扰最小的情况下实现的。优化的 PEG-五氟苯基 (PFP​​) 酰基供体提供了增强的反应性和低背景。该方法以催化方式运行，将配体识别与标记部分解耦，并能够选择性富集目标 RNA，为 RNA 功能化、配体分析和潜在的活细胞应用提供通用平台。</w:t>
      </w:r>
    </w:p>
    <w:p>
      <w:pPr>
        <w:spacing w:before="0" w:after="200" w:lineRule="auto" w:line="276"/>
      </w:pPr>
      <w:r>
        <w:rPr>
          <w:b/>
        </w:rPr>
        <w:t xml:space="preserve">Abstract (EN): </w:t>
      </w:r>
      <w:r>
        <w:t>Selective chemical modification of RNA is essential for RNA functionalization, probing RNA structure–function relationships and developing RNA-targeted therapeutics. Existing chemical strategies often rely on guanine accessibility or multiple helper DNA strands, restricting their generality and biological applicability. Inspired by DNA-guided DMAP catalysis and small-molecule binding-induced cross-linking, we report a small-molecule-directed, DMAP-catalyzed, proximity-driven strategy for site-selective RNA functionalization. By appending a catalytic DMAP moiety to RNA-binding ligands, 2′-OH groups are selectively acylated in the presence of azide-bearing acyl donors, enabling subsequent installation of bioorthogonal handles. This approach was validated across diverse RNAs, including Pepper and Clivia RNA aptamers, G-quadruplex Broccoli RNA, and endogenous FMN riboswitch RNA. For a 400 nt Pepper-7SK fusion, selective modification of the Pepper motif was achieved with minimal perturbation to the nucleus localization function of 7SK RNA. Optimized PEG-pentafluorophenyl (PFP) acyl donors provided enhanced reactivity and low background. The method operates catalytically, decouples ligand recognition from the labeling moiety, and enables selective enrichment of target RNAs, offering a versatile platform for RNA functionalization, ligand profiling, and potentially live-cell applications.</w:t>
      </w:r>
    </w:p>
    <w:p>
      <w:pPr>
        <w:spacing w:before="120" w:after="120"/>
      </w:pPr>
      <w:r>
        <w:rPr>
          <w:sz w:val="18"/>
        </w:rPr>
        <w:t>——————————————————————————————————————————————————————————————————————</w:t>
      </w:r>
    </w:p>
    <w:p>
      <w:pPr>
        <w:spacing w:before="160" w:after="40" w:line="240" w:lineRule="auto"/>
      </w:pPr>
      <w:r>
        <w:rPr>
          <w:b/>
        </w:rPr>
        <w:t xml:space="preserve">[353] </w:t>
      </w:r>
      <w:hyperlink r:id="rId1247">
        <w:r>
          <w:rPr>
            <w:color w:val="1155CC"/>
            <w:u w:val="single"/>
          </w:rPr>
          <w:t>可重构相分离原始细胞网络中信号诱导的招募和调度</w:t>
        </w:r>
      </w:hyperlink>
    </w:p>
    <w:p>
      <w:pPr>
        <w:spacing w:before="0" w:after="80"/>
      </w:pPr>
      <w:r>
        <w:rPr>
          <w:i/>
          <w:sz w:val="20"/>
        </w:rPr>
        <w:t>EN: Signal-induced recruitment and dispatchment in reconfigurable phase-separated protocell networks</w:t>
      </w:r>
    </w:p>
    <w:p>
      <w:pPr>
        <w:spacing w:before="0" w:after="120"/>
      </w:pPr>
      <w:r>
        <w:rPr>
          <w:b/>
        </w:rPr>
        <w:t xml:space="preserve">Source: </w:t>
      </w:r>
      <w:r>
        <w:t>Nature Chemistry</w:t>
      </w:r>
      <w:r>
        <w:t xml:space="preserve">    </w:t>
      </w:r>
      <w:r>
        <w:rPr>
          <w:b/>
        </w:rPr>
        <w:t xml:space="preserve">Pub date: </w:t>
      </w:r>
      <w:r>
        <w:t>2026-08-18 00:00:00+00:00</w:t>
      </w:r>
      <w:r>
        <w:t xml:space="preserve">    </w:t>
      </w:r>
      <w:r>
        <w:rPr>
          <w:b/>
        </w:rPr>
        <w:t xml:space="preserve">DOI: </w:t>
      </w:r>
      <w:hyperlink r:id="rId1248">
        <w:r>
          <w:rPr>
            <w:color w:val="1155CC"/>
            <w:u w:val="single"/>
          </w:rPr>
          <w:t>10.1038/s41557-026-02225-3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构建具有自我调节空间动力学和功能的原始细胞网络是胶体系统化学新兴领域的一个重要挑战。现有的策略主要产生具有固定或随机分布的空间组织的原始细胞网络，依赖于直接的表面相互作用或外部施加的条件，同时很大程度上忽略了与周围环境的动态相互作用，从而限制了可重构网络行为的出现。在这里，我们展示了在葡聚糖液滴/聚乙二醇水相分离介质中实现含酶蛋白体二元/三元群体的自发分离和选择性易位的化学策略。分离的蛋白体表现出可调节的膜润湿性，参与跨群落化学信号传导，并在相容性中经历信号诱导的逆转，以产生能够进行原始细胞介导的招募和调度的可重构网络。我们利用原始细胞相动力学来时空调节易位蛋白体亚群中的 DNase I 活性。我们的方法为开发具有自我调节时空顺序的原始细胞群落提供了一个平台，并提供了细胞模拟建模和胶体系统化学的机会。</w:t>
      </w:r>
    </w:p>
    <w:p>
      <w:pPr>
        <w:spacing w:before="0" w:after="200" w:lineRule="auto" w:line="276"/>
      </w:pPr>
      <w:r>
        <w:rPr>
          <w:b/>
        </w:rPr>
        <w:t xml:space="preserve">Abstract (EN): </w:t>
      </w:r>
      <w:r>
        <w:t>The construction of protocell networks with self-regulated spatial dynamics and functions is an important challenge in the emerging field of colloidal systems chemistry. Existing strategies predominantly produce protocell networks with fixed or randomly distributed spatial organization, relying on direct surface interactions or externally imposed conditions, while largely overlooking dynamic interactions with the surrounding environment, thereby limiting the emergence of reconfigurable network behaviours. Here we demonstrate chemical strategies for implementing the spontaneous segregation and selective translocation of binary/ternary populations of enzyme-containing proteinosomes in dextran droplet/polyethylene glycol aqueous phase-separated media. The segregated proteinosomes exhibit tunable membrane wettability, engage in cross-community chemical signalling and undergo signal-induced reversals in phase compatibility to produce reconfigurable networks capable of protocell-mediated recruitment and dispatchment. We exploit the protocell phase dynamics to spatiotemporally modulate DNase I activity in a subpopulation of translocating proteinosomes. Our methodology provides a platform for developing protocell communities with self-regulated spatiotemporal order and offers opportunities in cytomimetic modelling and colloidal systems chemistry.</w:t>
      </w:r>
    </w:p>
    <w:p>
      <w:pPr>
        <w:spacing w:before="120" w:after="120"/>
      </w:pPr>
      <w:r>
        <w:rPr>
          <w:sz w:val="18"/>
        </w:rPr>
        <w:t>——————————————————————————————————————————————————————————————————————</w:t>
      </w:r>
    </w:p>
    <w:p>
      <w:pPr>
        <w:spacing w:before="160" w:after="40" w:line="240" w:lineRule="auto"/>
      </w:pPr>
      <w:r>
        <w:rPr>
          <w:b/>
        </w:rPr>
        <w:t xml:space="preserve">[354] </w:t>
      </w:r>
      <w:hyperlink r:id="rId1249">
        <w:r>
          <w:rPr>
            <w:color w:val="1155CC"/>
            <w:u w:val="single"/>
          </w:rPr>
          <w:t>利用神经网络的凸性进行分布式能源动态运行包络线优化</w:t>
        </w:r>
      </w:hyperlink>
    </w:p>
    <w:p>
      <w:pPr>
        <w:spacing w:before="0" w:after="80"/>
      </w:pPr>
      <w:r>
        <w:rPr>
          <w:i/>
          <w:sz w:val="20"/>
        </w:rPr>
        <w:t>EN: Exploiting convexity of neural networks in dynamic operating envelope optimization for distributed energy resources</w:t>
      </w:r>
    </w:p>
    <w:p>
      <w:pPr>
        <w:spacing w:before="0" w:after="120"/>
      </w:pPr>
      <w:r>
        <w:rPr>
          <w:b/>
        </w:rPr>
        <w:t xml:space="preserve">Source: </w:t>
      </w:r>
      <w:r>
        <w:t>ScienceDirect Publication: Applied Energy</w:t>
      </w:r>
      <w:r>
        <w:t xml:space="preserve">    </w:t>
      </w:r>
      <w:r>
        <w:rPr>
          <w:b/>
        </w:rPr>
        <w:t xml:space="preserve">Pub date: </w:t>
      </w:r>
      <w:r>
        <w:t>2026-08-18 00:00:00+00:00</w:t>
      </w:r>
      <w:r>
        <w:t xml:space="preserve">    </w:t>
      </w:r>
      <w:r>
        <w:rPr>
          <w:b/>
        </w:rPr>
        <w:t xml:space="preserve">DOI: </w:t>
      </w:r>
      <w:hyperlink r:id="rId1250">
        <w:r>
          <w:rPr>
            <w:color w:val="1155CC"/>
            <w:u w:val="single"/>
          </w:rPr>
          <w:t>10.1016/j.apenergy.2026.128579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[355] </w:t>
      </w:r>
      <w:hyperlink r:id="rId1251">
        <w:r>
          <w:rPr>
            <w:color w:val="1155CC"/>
            <w:u w:val="single"/>
          </w:rPr>
          <w:t>热浪暴露了粮食系统的薄弱环节</w:t>
        </w:r>
      </w:hyperlink>
    </w:p>
    <w:p>
      <w:pPr>
        <w:spacing w:before="0" w:after="80"/>
      </w:pPr>
      <w:r>
        <w:rPr>
          <w:i/>
          <w:sz w:val="20"/>
        </w:rPr>
        <w:t>EN: Heatwaves expose weak links in food systems</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52">
        <w:r>
          <w:rPr>
            <w:color w:val="1155CC"/>
            <w:u w:val="single"/>
          </w:rPr>
          <w:t>10.1038/d41586-026-02577-3</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[356] </w:t>
      </w:r>
      <w:hyperlink r:id="rId1253">
        <w:r>
          <w:rPr>
            <w:color w:val="1155CC"/>
            <w:u w:val="single"/>
          </w:rPr>
          <w:t>革命性的干细胞疗法必须负责任地进行才能充分发挥其潜力</w:t>
        </w:r>
      </w:hyperlink>
    </w:p>
    <w:p>
      <w:pPr>
        <w:spacing w:before="0" w:after="80"/>
      </w:pPr>
      <w:r>
        <w:rPr>
          <w:i/>
          <w:sz w:val="20"/>
        </w:rPr>
        <w:t>EN: A revolutionary stem-cell therapy must proceed responsibly to achieve its full potential</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54">
        <w:r>
          <w:rPr>
            <w:color w:val="1155CC"/>
            <w:u w:val="single"/>
          </w:rPr>
          <w:t>10.1038/d41586-026-02524-2</w:t>
        </w:r>
      </w:hyperlink>
    </w:p>
    <w:p>
      <w:pPr>
        <w:spacing w:before="0" w:after="120"/>
      </w:pPr>
      <w:r>
        <w:rPr>
          <w:b/>
        </w:rPr>
        <w:t xml:space="preserve">Notes: </w:t>
      </w:r>
      <w:r>
        <w:t>abstract_source=rss_nature</w:t>
      </w:r>
    </w:p>
    <w:p>
      <w:pPr>
        <w:spacing w:before="0" w:after="80" w:lineRule="auto" w:line="276"/>
      </w:pPr>
      <w:r>
        <w:rPr>
          <w:b/>
        </w:rPr>
        <w:t xml:space="preserve">摘要（ZH）: </w:t>
      </w:r>
      <w:r>
        <w:t>诱导多能干细胞震撼生物医学已有20年了。既然临床试验正在顺利进行，就必须保持公众的信任。</w:t>
      </w:r>
    </w:p>
    <w:p>
      <w:pPr>
        <w:spacing w:before="0" w:after="200" w:lineRule="auto" w:line="276"/>
      </w:pPr>
      <w:r>
        <w:rPr>
          <w:b/>
        </w:rPr>
        <w:t xml:space="preserve">Abstract (EN): </w:t>
      </w:r>
      <w:r>
        <w:t>It is 20 years since induced pluripotent stem cells shook biomedicine. Public trust must be retained now that clinical trials are well under way.</w:t>
      </w:r>
    </w:p>
    <w:p>
      <w:pPr>
        <w:spacing w:before="120" w:after="120"/>
      </w:pPr>
      <w:r>
        <w:rPr>
          <w:sz w:val="18"/>
        </w:rPr>
        <w:t>——————————————————————————————————————————————————————————————————————</w:t>
      </w:r>
    </w:p>
    <w:p>
      <w:pPr>
        <w:spacing w:before="160" w:after="40" w:line="240" w:lineRule="auto"/>
      </w:pPr>
      <w:r>
        <w:rPr>
          <w:b/>
        </w:rPr>
        <w:t xml:space="preserve">[357] </w:t>
      </w:r>
      <w:hyperlink r:id="rId1255">
        <w:r>
          <w:rPr>
            <w:color w:val="1155CC"/>
            <w:u w:val="single"/>
          </w:rPr>
          <w:t>2200年前丧葬仪式中包裹谷物的传统</w:t>
        </w:r>
      </w:hyperlink>
    </w:p>
    <w:p>
      <w:pPr>
        <w:spacing w:before="0" w:after="80"/>
      </w:pPr>
      <w:r>
        <w:rPr>
          <w:i/>
          <w:sz w:val="20"/>
        </w:rPr>
        <w:t>EN: Tradition of wrapping grains in funerary rituals 2200 years ago</w:t>
      </w:r>
    </w:p>
    <w:p>
      <w:pPr>
        <w:spacing w:before="0" w:after="120"/>
      </w:pPr>
      <w:r>
        <w:rPr>
          <w:b/>
        </w:rPr>
        <w:t xml:space="preserve">Source: </w:t>
      </w:r>
      <w:r>
        <w:t>National Science Review Advance Access</w:t>
      </w:r>
      <w:r>
        <w:t xml:space="preserve">    </w:t>
      </w:r>
      <w:r>
        <w:rPr>
          <w:b/>
        </w:rPr>
        <w:t xml:space="preserve">Pub date: </w:t>
      </w:r>
      <w:r>
        <w:t>2026-08-18 00:00:00+00:00</w:t>
      </w:r>
      <w:r>
        <w:t xml:space="preserve">    </w:t>
      </w:r>
      <w:r>
        <w:rPr>
          <w:b/>
        </w:rPr>
        <w:t xml:space="preserve">DOI: </w:t>
      </w:r>
      <w:hyperlink r:id="rId1256">
        <w:r>
          <w:rPr>
            <w:color w:val="1155CC"/>
            <w:u w:val="single"/>
          </w:rPr>
          <w:t>10.1093/nsr/nwag504</w:t>
        </w:r>
      </w:hyperlink>
    </w:p>
    <w:p>
      <w:pPr>
        <w:spacing w:before="0" w:after="120"/>
      </w:pPr>
      <w:r>
        <w:rPr>
          <w:b/>
        </w:rPr>
        <w:t xml:space="preserve">Notes: </w:t>
      </w:r>
      <w:r>
        <w:t>abstract_source=openalex</w:t>
      </w:r>
    </w:p>
    <w:p>
      <w:pPr>
        <w:spacing w:before="0" w:after="80" w:lineRule="auto" w:line="276"/>
      </w:pPr>
      <w:r>
        <w:rPr>
          <w:b/>
        </w:rPr>
        <w:t xml:space="preserve">摘要（ZH）: </w:t>
      </w:r>
      <w:r>
        <w:t>Fan Yang, Yong Ge, Ling Fang, Haiyan Wang, Shuzhi Wang, Jiajun Wang, Zhiguo Zhang; Tradition of wrapping grains in funerary rituals 2200 years ago, Nationa</w:t>
      </w:r>
    </w:p>
    <w:p>
      <w:pPr>
        <w:spacing w:before="0" w:after="200" w:lineRule="auto" w:line="276"/>
      </w:pPr>
      <w:r>
        <w:rPr>
          <w:b/>
        </w:rPr>
        <w:t xml:space="preserve">Abstract (EN): </w:t>
      </w:r>
      <w:r>
        <w:t>Fan Yang, Yong Ge, Ling Fang, Haiyan Wang, Shuzhi Wang, Jiajun Wang, Zhiguo Zhang; Tradition of wrapping grains in funerary rituals 2200 years ago, Nationa</w:t>
      </w:r>
    </w:p>
    <w:p>
      <w:pPr>
        <w:spacing w:before="120" w:after="120"/>
      </w:pPr>
      <w:r>
        <w:rPr>
          <w:sz w:val="18"/>
        </w:rPr>
        <w:t>——————————————————————————————————————————————————————————————————————</w:t>
      </w:r>
    </w:p>
    <w:p>
      <w:pPr>
        <w:spacing w:before="160" w:after="40" w:line="240" w:lineRule="auto"/>
      </w:pPr>
      <w:r>
        <w:rPr>
          <w:b/>
        </w:rPr>
        <w:t xml:space="preserve">[358] </w:t>
      </w:r>
      <w:hyperlink r:id="rId1257">
        <w:r>
          <w:rPr>
            <w:color w:val="1155CC"/>
            <w:u w:val="single"/>
          </w:rPr>
          <w:t>3D 打印改善实验室工作的五种方式</w:t>
        </w:r>
      </w:hyperlink>
    </w:p>
    <w:p>
      <w:pPr>
        <w:spacing w:before="0" w:after="80"/>
      </w:pPr>
      <w:r>
        <w:rPr>
          <w:i/>
          <w:sz w:val="20"/>
        </w:rPr>
        <w:t>EN: Five ways 3D printing is improving lab work</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58">
        <w:r>
          <w:rPr>
            <w:color w:val="1155CC"/>
            <w:u w:val="single"/>
          </w:rPr>
          <w:t>10.1038/d41586-026-02535-z</w:t>
        </w:r>
      </w:hyperlink>
    </w:p>
    <w:p>
      <w:pPr>
        <w:spacing w:before="0" w:after="120"/>
      </w:pPr>
      <w:r>
        <w:rPr>
          <w:b/>
        </w:rPr>
        <w:t xml:space="preserve">Notes: </w:t>
      </w:r>
      <w:r>
        <w:t>abstract_source=rss_nature</w:t>
      </w:r>
    </w:p>
    <w:p>
      <w:pPr>
        <w:spacing w:before="0" w:after="80" w:lineRule="auto" w:line="276"/>
      </w:pPr>
      <w:r>
        <w:rPr>
          <w:b/>
        </w:rPr>
        <w:t xml:space="preserve">摘要（ZH）: </w:t>
      </w:r>
      <w:r>
        <w:t>随着 3D 打印机变得更便宜、更容易使用，研究人员正在寻找新的方法将该技术融入到他们的研究中。</w:t>
      </w:r>
    </w:p>
    <w:p>
      <w:pPr>
        <w:spacing w:before="0" w:after="200" w:lineRule="auto" w:line="276"/>
      </w:pPr>
      <w:r>
        <w:rPr>
          <w:b/>
        </w:rPr>
        <w:t xml:space="preserve">Abstract (EN): </w:t>
      </w:r>
      <w:r>
        <w:t>As 3D printers become cheaper and easier to work with, researchers are finding new ways to incorporate the technology in their studies.</w:t>
      </w:r>
    </w:p>
    <w:p>
      <w:pPr>
        <w:spacing w:before="120" w:after="120"/>
      </w:pPr>
      <w:r>
        <w:rPr>
          <w:sz w:val="18"/>
        </w:rPr>
        <w:t>——————————————————————————————————————————————————————————————————————</w:t>
      </w:r>
    </w:p>
    <w:p>
      <w:pPr>
        <w:spacing w:before="160" w:after="40" w:line="240" w:lineRule="auto"/>
      </w:pPr>
      <w:r>
        <w:rPr>
          <w:b/>
        </w:rPr>
        <w:t xml:space="preserve">[359] </w:t>
      </w:r>
      <w:hyperlink r:id="rId1259">
        <w:r>
          <w:rPr>
            <w:color w:val="1155CC"/>
            <w:u w:val="single"/>
          </w:rPr>
          <w:t>美国国立卫生研究院 (NIH) 提议对研究资助提案的评分方式进行重大改革</w:t>
        </w:r>
      </w:hyperlink>
    </w:p>
    <w:p>
      <w:pPr>
        <w:spacing w:before="0" w:after="80"/>
      </w:pPr>
      <w:r>
        <w:rPr>
          <w:i/>
          <w:sz w:val="20"/>
        </w:rPr>
        <w:t>EN: NIH proposes major revamp of how it scores research grant proposals</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60">
        <w:r>
          <w:rPr>
            <w:color w:val="1155CC"/>
            <w:u w:val="single"/>
          </w:rPr>
          <w:t>10.1038/d41586-026-02584-4</w:t>
        </w:r>
      </w:hyperlink>
    </w:p>
    <w:p>
      <w:pPr>
        <w:spacing w:before="0" w:after="120"/>
      </w:pPr>
      <w:r>
        <w:rPr>
          <w:b/>
        </w:rPr>
        <w:t xml:space="preserve">Notes: </w:t>
      </w:r>
      <w:r>
        <w:t>abstract_source=rss_nature</w:t>
      </w:r>
    </w:p>
    <w:p>
      <w:pPr>
        <w:spacing w:before="0" w:after="80" w:lineRule="auto" w:line="276"/>
      </w:pPr>
      <w:r>
        <w:rPr>
          <w:b/>
        </w:rPr>
        <w:t xml:space="preserve">摘要（ZH）: </w:t>
      </w:r>
      <w:r>
        <w:t>支持者认为，现行制度造成了一种错误的精确感，但批评者担心这一变化可能会增加政治干预。</w:t>
      </w:r>
    </w:p>
    <w:p>
      <w:pPr>
        <w:spacing w:before="0" w:after="200" w:lineRule="auto" w:line="276"/>
      </w:pPr>
      <w:r>
        <w:rPr>
          <w:b/>
        </w:rPr>
        <w:t xml:space="preserve">Abstract (EN): </w:t>
      </w:r>
      <w:r>
        <w:t>Proponents argue that the current system creates a false sense of precision, but critics fear that the change could increase political interference.</w:t>
      </w:r>
    </w:p>
    <w:p>
      <w:pPr>
        <w:spacing w:before="120" w:after="120"/>
      </w:pPr>
      <w:r>
        <w:rPr>
          <w:sz w:val="18"/>
        </w:rPr>
        <w:t>——————————————————————————————————————————————————————————————————————</w:t>
      </w:r>
    </w:p>
    <w:p>
      <w:pPr>
        <w:spacing w:before="160" w:after="40" w:line="240" w:lineRule="auto"/>
      </w:pPr>
      <w:r>
        <w:rPr>
          <w:b/>
        </w:rPr>
        <w:t xml:space="preserve">[360] </w:t>
      </w:r>
      <w:hyperlink r:id="rId1261">
        <w:r>
          <w:rPr>
            <w:color w:val="1155CC"/>
            <w:u w:val="single"/>
          </w:rPr>
          <w:t>数学掌握了“防梯子”编织的秘密</w:t>
        </w:r>
      </w:hyperlink>
    </w:p>
    <w:p>
      <w:pPr>
        <w:spacing w:before="0" w:after="80"/>
      </w:pPr>
      <w:r>
        <w:rPr>
          <w:i/>
          <w:sz w:val="20"/>
        </w:rPr>
        <w:t>EN: Mathematics holds the secret to ‘ladder-proof’ knitting</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62">
        <w:r>
          <w:rPr>
            <w:color w:val="1155CC"/>
            <w:u w:val="single"/>
          </w:rPr>
          <w:t>10.1038/d41586-026-02466-9</w:t>
        </w:r>
      </w:hyperlink>
    </w:p>
    <w:p>
      <w:pPr>
        <w:spacing w:before="0" w:after="120"/>
      </w:pPr>
      <w:r>
        <w:rPr>
          <w:b/>
        </w:rPr>
        <w:t xml:space="preserve">Notes: </w:t>
      </w:r>
      <w:r>
        <w:t>abstract_source=rss_nature</w:t>
      </w:r>
    </w:p>
    <w:p>
      <w:pPr>
        <w:spacing w:before="0" w:after="80" w:lineRule="auto" w:line="276"/>
      </w:pPr>
      <w:r>
        <w:rPr>
          <w:b/>
        </w:rPr>
        <w:t xml:space="preserve">摘要（ZH）: </w:t>
      </w:r>
      <w:r>
        <w:t>“可编织性”的拓扑描述可用于设计抗散开的纱线图案。</w:t>
      </w:r>
    </w:p>
    <w:p>
      <w:pPr>
        <w:spacing w:before="0" w:after="200" w:lineRule="auto" w:line="276"/>
      </w:pPr>
      <w:r>
        <w:rPr>
          <w:b/>
        </w:rPr>
        <w:t xml:space="preserve">Abstract (EN): </w:t>
      </w:r>
      <w:r>
        <w:t>A topological description of ‘knittability’ can be used to design yarn patterns that are resistant to unravelling.</w:t>
      </w:r>
    </w:p>
    <w:p>
      <w:pPr>
        <w:spacing w:before="120" w:after="120"/>
      </w:pPr>
      <w:r>
        <w:rPr>
          <w:sz w:val="18"/>
        </w:rPr>
        <w:t>——————————————————————————————————————————————————————————————————————</w:t>
      </w:r>
    </w:p>
    <w:p>
      <w:pPr>
        <w:spacing w:before="160" w:after="40" w:line="240" w:lineRule="auto"/>
      </w:pPr>
      <w:r>
        <w:rPr>
          <w:b/>
        </w:rPr>
        <w:t xml:space="preserve">[361] </w:t>
      </w:r>
      <w:hyperlink r:id="rId1263">
        <w:r>
          <w:rPr>
            <w:color w:val="1155CC"/>
            <w:u w:val="single"/>
          </w:rPr>
          <w:t>十年后你会佩戴外骨骼吗？可以改变我们移动方式的技术</w:t>
        </w:r>
      </w:hyperlink>
    </w:p>
    <w:p>
      <w:pPr>
        <w:spacing w:before="0" w:after="80"/>
      </w:pPr>
      <w:r>
        <w:rPr>
          <w:i/>
          <w:sz w:val="20"/>
        </w:rPr>
        <w:t>EN: Will you be wearing an exoskeleton in ten years? The tech that could change how we move</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64">
        <w:r>
          <w:rPr>
            <w:color w:val="1155CC"/>
            <w:u w:val="single"/>
          </w:rPr>
          <w:t>10.1038/d41586-026-02527-z</w:t>
        </w:r>
      </w:hyperlink>
    </w:p>
    <w:p>
      <w:pPr>
        <w:spacing w:before="0" w:after="120"/>
      </w:pPr>
      <w:r>
        <w:rPr>
          <w:b/>
        </w:rPr>
        <w:t xml:space="preserve">Notes: </w:t>
      </w:r>
      <w:r>
        <w:t>abstract_source=rss_nature</w:t>
      </w:r>
    </w:p>
    <w:p>
      <w:pPr>
        <w:spacing w:before="0" w:after="80" w:lineRule="auto" w:line="276"/>
      </w:pPr>
      <w:r>
        <w:rPr>
          <w:b/>
        </w:rPr>
        <w:t xml:space="preserve">摘要（ZH）: </w:t>
      </w:r>
      <w:r>
        <w:t>机器人支撑装置曾经是为临床使用而设计的，但研究人员现在正在开发更便宜、更小的设备，面向所有人——从膝盖老化的人到想要爬山的 20 多岁的人。</w:t>
      </w:r>
    </w:p>
    <w:p>
      <w:pPr>
        <w:spacing w:before="0" w:after="200" w:lineRule="auto" w:line="276"/>
      </w:pPr>
      <w:r>
        <w:rPr>
          <w:b/>
        </w:rPr>
        <w:t xml:space="preserve">Abstract (EN): </w:t>
      </w:r>
      <w:r>
        <w:t>Robotic supports were once designed for clinical use, but researchers are now developing cheaper, smaller devices aimed at everyone — from people with ageing knees to 20-somethings seeking to climb mountains.</w:t>
      </w:r>
    </w:p>
    <w:p>
      <w:pPr>
        <w:spacing w:before="120" w:after="120"/>
      </w:pPr>
      <w:r>
        <w:rPr>
          <w:sz w:val="18"/>
        </w:rPr>
        <w:t>——————————————————————————————————————————————————————————————————————</w:t>
      </w:r>
    </w:p>
    <w:p>
      <w:pPr>
        <w:spacing w:before="160" w:after="40" w:line="240" w:lineRule="auto"/>
      </w:pPr>
      <w:r>
        <w:rPr>
          <w:b/>
        </w:rPr>
        <w:t xml:space="preserve">[362] </w:t>
      </w:r>
      <w:hyperlink r:id="rId1265">
        <w:r>
          <w:rPr>
            <w:color w:val="1155CC"/>
            <w:u w:val="single"/>
          </w:rPr>
          <w:t>科学考察充分利用恶劣天气</w:t>
        </w:r>
      </w:hyperlink>
    </w:p>
    <w:p>
      <w:pPr>
        <w:spacing w:before="0" w:after="80"/>
      </w:pPr>
      <w:r>
        <w:rPr>
          <w:i/>
          <w:sz w:val="20"/>
        </w:rPr>
        <w:t>EN: Scientific expedition makes the best of bad weather</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66">
        <w:r>
          <w:rPr>
            <w:color w:val="1155CC"/>
            <w:u w:val="single"/>
          </w:rPr>
          <w:t>10.1038/d41586-026-02381-z</w:t>
        </w:r>
      </w:hyperlink>
    </w:p>
    <w:p>
      <w:pPr>
        <w:spacing w:before="0" w:after="120"/>
      </w:pPr>
      <w:r>
        <w:rPr>
          <w:b/>
        </w:rPr>
        <w:t xml:space="preserve">Notes: </w:t>
      </w:r>
      <w:r>
        <w:t>abstract_source=rss_nature</w:t>
      </w:r>
    </w:p>
    <w:p>
      <w:pPr>
        <w:spacing w:before="0" w:after="80" w:lineRule="auto" w:line="276"/>
      </w:pPr>
      <w:r>
        <w:rPr>
          <w:b/>
        </w:rPr>
        <w:t xml:space="preserve">摘要（ZH）: </w:t>
      </w:r>
      <w:r>
        <w:t>在我们每周深入研究《自然》档案的过程中，研究人员努力探究进化的原因，以及一场被风暴破坏的海上航行。</w:t>
      </w:r>
    </w:p>
    <w:p>
      <w:pPr>
        <w:spacing w:before="0" w:after="200" w:lineRule="auto" w:line="276"/>
      </w:pPr>
      <w:r>
        <w:rPr>
          <w:b/>
        </w:rPr>
        <w:t xml:space="preserve">Abstract (EN): </w:t>
      </w:r>
      <w:r>
        <w:t>Researchers grapple with the causes of evolution, and a sea voyage is blighted by storms, in our weekly dip into Nature’s archive.</w:t>
      </w:r>
    </w:p>
    <w:p>
      <w:pPr>
        <w:spacing w:before="120" w:after="120"/>
      </w:pPr>
      <w:r>
        <w:rPr>
          <w:sz w:val="18"/>
        </w:rPr>
        <w:t>——————————————————————————————————————————————————————————————————————</w:t>
      </w:r>
    </w:p>
    <w:p>
      <w:pPr>
        <w:spacing w:before="160" w:after="40" w:line="240" w:lineRule="auto"/>
      </w:pPr>
      <w:r>
        <w:rPr>
          <w:b/>
        </w:rPr>
        <w:t xml:space="preserve">[363] </w:t>
      </w:r>
      <w:hyperlink r:id="rId1267">
        <w:r>
          <w:rPr>
            <w:color w:val="1155CC"/>
            <w:u w:val="single"/>
          </w:rPr>
          <w:t>将生物数据库视为基础设施，而不是项目</w:t>
        </w:r>
      </w:hyperlink>
    </w:p>
    <w:p>
      <w:pPr>
        <w:spacing w:before="0" w:after="80"/>
      </w:pPr>
      <w:r>
        <w:rPr>
          <w:i/>
          <w:sz w:val="20"/>
        </w:rPr>
        <w:t>EN: Treat biological databases as infrastructure, not projects</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68">
        <w:r>
          <w:rPr>
            <w:color w:val="1155CC"/>
            <w:u w:val="single"/>
          </w:rPr>
          <w:t>10.1038/d41586-026-02575-5</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[364] </w:t>
      </w:r>
      <w:hyperlink r:id="rId1269">
        <w:r>
          <w:rPr>
            <w:color w:val="1155CC"/>
            <w:u w:val="single"/>
          </w:rPr>
          <w:t>欧洲必须适应特大火灾</w:t>
        </w:r>
      </w:hyperlink>
    </w:p>
    <w:p>
      <w:pPr>
        <w:spacing w:before="0" w:after="80"/>
      </w:pPr>
      <w:r>
        <w:rPr>
          <w:i/>
          <w:sz w:val="20"/>
        </w:rPr>
        <w:t>EN: Europe must adapt to live with megafires</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70">
        <w:r>
          <w:rPr>
            <w:color w:val="1155CC"/>
            <w:u w:val="single"/>
          </w:rPr>
          <w:t>10.1038/d41586-026-02578-2</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[365] </w:t>
      </w:r>
      <w:hyperlink r:id="rId1271">
        <w:r>
          <w:rPr>
            <w:color w:val="1155CC"/>
            <w:u w:val="single"/>
          </w:rPr>
          <w:t>亚洲的寿命增长必须转化为更好的健康状况</w:t>
        </w:r>
      </w:hyperlink>
    </w:p>
    <w:p>
      <w:pPr>
        <w:spacing w:before="0" w:after="80"/>
      </w:pPr>
      <w:r>
        <w:rPr>
          <w:i/>
          <w:sz w:val="20"/>
        </w:rPr>
        <w:t>EN: Asia’s longevity gains must be translated into better health</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72">
        <w:r>
          <w:rPr>
            <w:color w:val="1155CC"/>
            <w:u w:val="single"/>
          </w:rPr>
          <w:t>10.1038/d41586-026-02576-4</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[366] </w:t>
      </w:r>
      <w:hyperlink r:id="rId1273">
        <w:r>
          <w:rPr>
            <w:color w:val="1155CC"/>
            <w:u w:val="single"/>
          </w:rPr>
          <w:t>如何从信息面试中获得最大收益</w:t>
        </w:r>
      </w:hyperlink>
    </w:p>
    <w:p>
      <w:pPr>
        <w:spacing w:before="0" w:after="80"/>
      </w:pPr>
      <w:r>
        <w:rPr>
          <w:i/>
          <w:sz w:val="20"/>
        </w:rPr>
        <w:t>EN: How to get the most out of an informational interview</w:t>
      </w:r>
    </w:p>
    <w:p>
      <w:pPr>
        <w:spacing w:before="0" w:after="120"/>
      </w:pPr>
      <w:r>
        <w:rPr>
          <w:b/>
        </w:rPr>
        <w:t xml:space="preserve">Source: </w:t>
      </w:r>
      <w:r>
        <w:t>Nature</w:t>
      </w:r>
      <w:r>
        <w:t xml:space="preserve">    </w:t>
      </w:r>
      <w:r>
        <w:rPr>
          <w:b/>
        </w:rPr>
        <w:t xml:space="preserve">Pub date: </w:t>
      </w:r>
      <w:r>
        <w:t>2026-08-18 00:00:00+00:00</w:t>
      </w:r>
      <w:r>
        <w:t xml:space="preserve">    </w:t>
      </w:r>
      <w:r>
        <w:rPr>
          <w:b/>
        </w:rPr>
        <w:t xml:space="preserve">DOI: </w:t>
      </w:r>
      <w:hyperlink r:id="rId1274">
        <w:r>
          <w:rPr>
            <w:color w:val="1155CC"/>
            <w:u w:val="single"/>
          </w:rPr>
          <w:t>10.1038/d41586-026-01932-8</w:t>
        </w:r>
      </w:hyperlink>
    </w:p>
    <w:p>
      <w:pPr>
        <w:spacing w:before="0" w:after="120"/>
      </w:pPr>
      <w:r>
        <w:rPr>
          <w:b/>
        </w:rPr>
        <w:t xml:space="preserve">Notes: </w:t>
      </w:r>
      <w:r>
        <w:t>abstract_source=rss_nature</w:t>
      </w:r>
    </w:p>
    <w:p>
      <w:pPr>
        <w:spacing w:before="0" w:after="80" w:lineRule="auto" w:line="276"/>
      </w:pPr>
      <w:r>
        <w:rPr>
          <w:b/>
        </w:rPr>
        <w:t xml:space="preserve">摘要（ZH）: </w:t>
      </w:r>
      <w:r>
        <w:t>这些非正式会议可以帮助您探索新的职业机会，但要找到正确的机会是有技巧的。</w:t>
      </w:r>
    </w:p>
    <w:p>
      <w:pPr>
        <w:spacing w:before="0" w:after="200" w:lineRule="auto" w:line="276"/>
      </w:pPr>
      <w:r>
        <w:rPr>
          <w:b/>
        </w:rPr>
        <w:t xml:space="preserve">Abstract (EN): </w:t>
      </w:r>
      <w:r>
        <w:t>These informal meetings can help you to explore new career opportunities, but there is a knack to getting them right.</w:t>
      </w:r>
    </w:p>
    <w:p>
      <w:pPr>
        <w:spacing w:before="120" w:after="120"/>
      </w:pPr>
      <w:r>
        <w:rPr>
          <w:sz w:val="18"/>
        </w:rPr>
        <w:t>——————————————————————————————————————————————————————————————————————</w:t>
      </w:r>
    </w:p>
    <w:p>
      <w:pPr>
        <w:spacing w:before="160" w:after="40" w:line="240" w:lineRule="auto"/>
      </w:pPr>
      <w:r>
        <w:rPr>
          <w:b/>
        </w:rPr>
        <w:t xml:space="preserve">[367] </w:t>
      </w:r>
      <w:hyperlink r:id="rId1275">
        <w:r>
          <w:rPr>
            <w:color w:val="1155CC"/>
            <w:u w:val="single"/>
          </w:rPr>
          <w:t>La2LnNi2O7 薄膜中桥接常压和高压超导性</w:t>
        </w:r>
      </w:hyperlink>
    </w:p>
    <w:p>
      <w:pPr>
        <w:spacing w:before="0" w:after="80"/>
      </w:pPr>
      <w:r>
        <w:rPr>
          <w:i/>
          <w:sz w:val="20"/>
        </w:rPr>
        <w:t>EN: Bridging ambient- and high-pressure superconductivity in La2LnNi2O7 films</w:t>
      </w:r>
    </w:p>
    <w:p>
      <w:pPr>
        <w:spacing w:before="0" w:after="120"/>
      </w:pPr>
      <w:r>
        <w:rPr>
          <w:b/>
        </w:rPr>
        <w:t xml:space="preserve">Source: </w:t>
      </w:r>
      <w:r>
        <w:t>Nature Materials</w:t>
      </w:r>
      <w:r>
        <w:t xml:space="preserve">    </w:t>
      </w:r>
      <w:r>
        <w:rPr>
          <w:b/>
        </w:rPr>
        <w:t xml:space="preserve">Pub date: </w:t>
      </w:r>
      <w:r>
        <w:t>2026-08-18 00:00:00+00:00</w:t>
      </w:r>
      <w:r>
        <w:t xml:space="preserve">    </w:t>
      </w:r>
      <w:r>
        <w:rPr>
          <w:b/>
        </w:rPr>
        <w:t xml:space="preserve">DOI: </w:t>
      </w:r>
      <w:hyperlink r:id="rId1276">
        <w:r>
          <w:rPr>
            <w:color w:val="1155CC"/>
            <w:u w:val="single"/>
          </w:rPr>
          <w:t>10.1038/s41563-026-02695-3</w:t>
        </w:r>
      </w:hyperlink>
    </w:p>
    <w:p>
      <w:pPr>
        <w:spacing w:before="0" w:after="120"/>
      </w:pPr>
      <w:r>
        <w:rPr>
          <w:b/>
        </w:rPr>
        <w:t xml:space="preserve">Notes: </w:t>
      </w:r>
      <w:r>
        <w:t>abstract_source=semanticscholar</w:t>
      </w:r>
    </w:p>
    <w:p>
      <w:pPr>
        <w:spacing w:before="0" w:after="80" w:lineRule="auto" w:line="276"/>
      </w:pPr>
      <w:r>
        <w:rPr>
          <w:b/>
        </w:rPr>
        <w:t xml:space="preserve">摘要（ZH）: </w:t>
      </w:r>
      <w:r>
        <w:t>高压下双层镍酸盐中近 80 K 的高临界温度 $T_{\mathrm{c}}$ 超导性的发现引发了广泛的研究。虽然随后在环境压力下发现压缩应变薄膜具有超过 40 K 的超导性，但环境压力和高压状态之间的关系仍然是一个悬而未决的问题。在这里，我们对常压和高压下压缩应变 La$_2$LnNi$_2$O$_7$ 薄膜（Ln = 镧系元素）的超导性进行了系统研究。通过用 59 T 的磁场抑制超导性揭示了环境压力下的常态电阻率，倾向于 $T^2$ 行为。在立方砧室的高压下，$T_{\mathrm{c}}$ 从环境压力下的 41-42 K 提高到 16 GPa 下的 67-73 K。另一方面，由 Ln 取代引起的晶格压缩（可能模拟压力的影响）降低了 $T_{\mathrm{c}}$。在这两种情况下，$T_{\mathrm{c}}$ 都与 $T^2$ 和 $T$ 线性行为之间的正常状态输运演化相关，从而深入了解双层镍酸盐中晶格结构和超导性之间的相互作用。</w:t>
      </w:r>
    </w:p>
    <w:p>
      <w:pPr>
        <w:spacing w:before="0" w:after="200" w:lineRule="auto" w:line="276"/>
      </w:pPr>
      <w:r>
        <w:rPr>
          <w:b/>
        </w:rPr>
        <w:t xml:space="preserve">Abstract (EN): </w:t>
      </w:r>
      <w:r>
        <w:t>The discovery of high critical-temperature $T_{\mathrm{c}}$ superconductivity near 80 K in bilayer nickelates under high pressure has sparked extensive studies. While superconductivity exceeding 40 K was subsequently discovered at ambient pressure in compressively strained films, the relationship between ambient- and high-pressure regimes remains an open question. Here we present a systematic investigation of superconductivity in compressively strained La$_2$LnNi$_2$O$_7$ films (Ln = lanthanides) at ambient and high pressures. The normal-state resistivity at ambient pressure, revealed by suppressing superconductivity with magnetic fields of 59 T, tends toward $T^2$ behaviour. Under high pressure in a cubic-anvil cell, $T_{\mathrm{c}}$ was enhanced from 41-42 K at ambient pressure to 67-73 K at 16 GPa. On the other hand, lattice compression induced by Ln substitution, which may mimic effects of pressure, lowers $T_{\mathrm{c}}$. In both cases, $T_{\mathrm{c}}$ correlates with the evolution of normal-state transport between $T^2$ and $T$-linear behaviour, offering insight into the interplay between lattice structure and superconductivity in bilayer nickelates.</w:t>
      </w:r>
    </w:p>
    <w:p>
      <w:pPr>
        <w:spacing w:before="120" w:after="120"/>
      </w:pPr>
      <w:r>
        <w:rPr>
          <w:sz w:val="18"/>
        </w:rPr>
        <w:t>——————————————————————————————————————————————————————————————————————</w:t>
      </w:r>
    </w:p>
    <w:p>
      <w:pPr>
        <w:spacing w:before="160" w:after="40" w:line="240" w:lineRule="auto"/>
      </w:pPr>
      <w:r>
        <w:rPr>
          <w:b/>
        </w:rPr>
        <w:t xml:space="preserve">[368] </w:t>
      </w:r>
      <w:hyperlink r:id="rId1277">
        <w:r>
          <w:rPr>
            <w:color w:val="1155CC"/>
            <w:u w:val="single"/>
          </w:rPr>
          <w:t>精密印刷鼻内疫苗</w:t>
        </w:r>
      </w:hyperlink>
    </w:p>
    <w:p>
      <w:pPr>
        <w:spacing w:before="0" w:after="80"/>
      </w:pPr>
      <w:r>
        <w:rPr>
          <w:i/>
          <w:sz w:val="20"/>
        </w:rPr>
        <w:t>EN: Intranasal vaccines by precision printing</w:t>
      </w:r>
    </w:p>
    <w:p>
      <w:pPr>
        <w:spacing w:before="0" w:after="120"/>
      </w:pPr>
      <w:r>
        <w:rPr>
          <w:b/>
        </w:rPr>
        <w:t xml:space="preserve">Source: </w:t>
      </w:r>
      <w:r>
        <w:t>Nature Materials</w:t>
      </w:r>
      <w:r>
        <w:t xml:space="preserve">    </w:t>
      </w:r>
      <w:r>
        <w:rPr>
          <w:b/>
        </w:rPr>
        <w:t xml:space="preserve">Pub date: </w:t>
      </w:r>
      <w:r>
        <w:t>2026-08-18 00:00:00+00:00</w:t>
      </w:r>
      <w:r>
        <w:t xml:space="preserve">    </w:t>
      </w:r>
      <w:r>
        <w:rPr>
          <w:b/>
        </w:rPr>
        <w:t xml:space="preserve">DOI: </w:t>
      </w:r>
      <w:hyperlink r:id="rId1278">
        <w:r>
          <w:rPr>
            <w:color w:val="1155CC"/>
            <w:u w:val="single"/>
          </w:rPr>
          <w:t>10.1038/s41563-026-02696-2</w:t>
        </w:r>
      </w:hyperlink>
    </w:p>
    <w:p>
      <w:pPr>
        <w:spacing w:before="0" w:after="120"/>
      </w:pPr>
      <w:r>
        <w:rPr>
          <w:b/>
        </w:rPr>
        <w:t xml:space="preserve">Notes: </w:t>
      </w:r>
      <w:r>
        <w:t>abstract_source=rss_nature</w:t>
      </w:r>
    </w:p>
    <w:p>
      <w:pPr>
        <w:spacing w:before="0" w:after="80" w:lineRule="auto" w:line="276"/>
      </w:pPr>
      <w:r>
        <w:rPr>
          <w:b/>
        </w:rPr>
        <w:t xml:space="preserve">摘要（ZH）: </w:t>
      </w:r>
      <w:r>
        <w:t>具有表面图案化抗原的三维 DNA 折纸纳米载体表现出增强的粘膜保留能力，并引发针对呼吸道合胞病毒的有效、局部呼吸道免疫。</w:t>
      </w:r>
    </w:p>
    <w:p>
      <w:pPr>
        <w:spacing w:before="0" w:after="200" w:lineRule="auto" w:line="276"/>
      </w:pPr>
      <w:r>
        <w:rPr>
          <w:b/>
        </w:rPr>
        <w:t xml:space="preserve">Abstract (EN): </w:t>
      </w:r>
      <w:r>
        <w:t>Three-dimensional DNA origami nanocarriers with surface-patterned antigens exhibit enhanced mucosal retention and trigger potent, localized respiratory immunity against respiratory syncytial virus.</w:t>
      </w:r>
    </w:p>
    <w:p>
      <w:pPr>
        <w:spacing w:before="120" w:after="120"/>
      </w:pPr>
      <w:r>
        <w:rPr>
          <w:sz w:val="18"/>
        </w:rPr>
        <w:t>——————————————————————————————————————————————————————————————————————</w:t>
      </w:r>
    </w:p>
    <w:p>
      <w:pPr>
        <w:spacing w:before="160" w:after="40" w:line="240" w:lineRule="auto"/>
      </w:pPr>
      <w:r>
        <w:rPr>
          <w:b/>
        </w:rPr>
        <w:t xml:space="preserve">[369] </w:t>
      </w:r>
      <w:hyperlink r:id="rId1279">
        <w:r>
          <w:rPr>
            <w:color w:val="1155CC"/>
            <w:u w:val="single"/>
          </w:rPr>
          <w:t>中央糖酵解酶的双向变构配体调节</w:t>
        </w:r>
      </w:hyperlink>
    </w:p>
    <w:p>
      <w:pPr>
        <w:spacing w:before="0" w:after="80"/>
      </w:pPr>
      <w:r>
        <w:rPr>
          <w:i/>
          <w:sz w:val="20"/>
        </w:rPr>
        <w:t>EN: Bidirectional Allosteric Ligand Regulation in a Central Glycolytic Enzyme</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280">
        <w:r>
          <w:rPr>
            <w:color w:val="1155CC"/>
            <w:u w:val="single"/>
          </w:rPr>
          <w:t>10.1021/jacs.6c08065</w:t>
        </w:r>
      </w:hyperlink>
    </w:p>
    <w:p>
      <w:pPr>
        <w:spacing w:before="0" w:after="120"/>
      </w:pPr>
      <w:r>
        <w:rPr>
          <w:b/>
        </w:rPr>
        <w:t xml:space="preserve">Notes: </w:t>
      </w:r>
      <w:r>
        <w:t>abstract_source=crossref</w:t>
      </w:r>
    </w:p>
    <w:p>
      <w:pPr>
        <w:spacing w:before="0" w:after="80" w:lineRule="auto" w:line="276"/>
      </w:pPr>
      <w:r>
        <w:rPr>
          <w:b/>
        </w:rPr>
        <w:t xml:space="preserve">摘要（ZH）: </w:t>
      </w:r>
      <w:r>
        <w:t>摘要变构调节能够根据细胞信号对酶活性进行微调控制，但其分子基础通常仍不清楚。磷酸果糖激酶-1 (PFK) 是一种高度保守的限速糖酵解酶，是 Monod-Wyman-Changeux 变构动力学的范例。然而，处于不同配体结合状态的细菌 PFK 直系同源物的 X 射线晶体结构并未显示出经典“松弛”和“紧张”状态所预期的一致、协调的结构重排，揭示了结构和功能之间长达数十年的脱节。我们通过整合生物物理和计算方法来解决这个悖论，表明激活剂和抑制剂结合到相同的变构袋上，可以不同地重新调整大肠杆菌 PFK 的构象整体。激活剂结合丰富了预组织催化位点的构象亚态，而抑制剂结合则增加了apo样、无催化能力的亚态。这些发现建立了基于集合的 PFK 调节机制，并为理解真核 PFK 直向同源物的扩展变构结构提供了一个充满活力的框架。</w:t>
      </w:r>
    </w:p>
    <w:p>
      <w:pPr>
        <w:spacing w:before="0" w:after="200" w:lineRule="auto" w:line="276"/>
      </w:pPr>
      <w:r>
        <w:rPr>
          <w:b/>
        </w:rPr>
        <w:t xml:space="preserve">Abstract (EN): </w:t>
      </w:r>
      <w:r>
        <w:t>Allosteric regulation enables fine-tuned control of enzyme activity in response to cellular signals, yet its molecular basis often remains unclear. Phosphofructokinase-1 (PFK), the highly conserved, rate-limiting glycolytic enzyme, is a paradigm for Monod–Wyman–Changeux allosteric kinetics. However, X-ray crystal structures of bacterial PFK orthologs in distinct ligand-bound states do not show the consistent, concerted structural rearrangements expected for classical “relaxed” and “tense” states, revealing a decades-long disconnect between structure and function. We resolve this paradox by integrating biophysical and computational approaches to show that activator and inhibitor binding to the same allosteric pocket differentially reweight the conformational ensemble ofEscherichia coli PFK. Activator binding enriches conformational substates that preorganize the catalytic site, whereas inhibitor binding upweights apo-like, catalytically incompetent substates. These findings establish an ensemble-based mechanism for PFK regulation and provide an energetic framework for understanding the expanded allosteric architecture of eukaryotic PFK orthologs.</w:t>
      </w:r>
    </w:p>
    <w:p>
      <w:pPr>
        <w:spacing w:before="120" w:after="120"/>
      </w:pPr>
      <w:r>
        <w:rPr>
          <w:sz w:val="18"/>
        </w:rPr>
        <w:t>——————————————————————————————————————————————————————————————————————</w:t>
      </w:r>
    </w:p>
    <w:p>
      <w:pPr>
        <w:spacing w:before="160" w:after="40" w:line="240" w:lineRule="auto"/>
      </w:pPr>
      <w:r>
        <w:rPr>
          <w:b/>
        </w:rPr>
        <w:t xml:space="preserve">[370] </w:t>
      </w:r>
      <w:hyperlink r:id="rId1281">
        <w:r>
          <w:rPr>
            <w:color w:val="1155CC"/>
            <w:u w:val="single"/>
          </w:rPr>
          <w:t>整合航运增长和压载水管理来评估入侵物种风险</w:t>
        </w:r>
      </w:hyperlink>
    </w:p>
    <w:p>
      <w:pPr>
        <w:spacing w:before="0" w:after="80"/>
      </w:pPr>
      <w:r>
        <w:rPr>
          <w:i/>
          <w:sz w:val="20"/>
        </w:rPr>
        <w:t>EN: Integrating shipping growth and ballast water management to assess invasive species risks</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1282">
        <w:r>
          <w:rPr>
            <w:color w:val="1155CC"/>
            <w:u w:val="single"/>
          </w:rPr>
          <w:t>10.1038/s41893-026-01891-y</w:t>
        </w:r>
      </w:hyperlink>
    </w:p>
    <w:p>
      <w:pPr>
        <w:spacing w:before="0" w:after="120"/>
      </w:pPr>
      <w:r>
        <w:rPr>
          <w:b/>
        </w:rPr>
        <w:t xml:space="preserve">Notes: </w:t>
      </w:r>
      <w:r>
        <w:t>abstract_source=rss_nature</w:t>
      </w:r>
    </w:p>
    <w:p>
      <w:pPr>
        <w:spacing w:before="0" w:after="80" w:lineRule="auto" w:line="276"/>
      </w:pPr>
      <w:r>
        <w:rPr>
          <w:b/>
        </w:rPr>
        <w:t xml:space="preserve">摘要（ZH）: </w:t>
      </w:r>
      <w:r>
        <w:t>海运是海洋生物入侵的主要媒介，压载水法规现在适用于所有国际船舶。现在的一项研究表明，即使在广泛的治疗依从性下，到 2100 年，航运量的增长可能会将全球入侵风险放大至 2018 年基线的 94-900%。</w:t>
      </w:r>
    </w:p>
    <w:p>
      <w:pPr>
        <w:spacing w:before="0" w:after="200" w:lineRule="auto" w:line="276"/>
      </w:pPr>
      <w:r>
        <w:rPr>
          <w:b/>
        </w:rPr>
        <w:t xml:space="preserve">Abstract (EN): </w:t>
      </w:r>
      <w:r>
        <w:t>Maritime shipping is a leading vector for marine bioinvasions, and ballast water regulations now apply to all international ships. A study now shows that growth in shipping traffic could amplify the global invasion risk to 94–900% of the 2018 baseline by 2100, even under widespread treatment compliance.</w:t>
      </w:r>
    </w:p>
    <w:p>
      <w:pPr>
        <w:spacing w:before="120" w:after="120"/>
      </w:pPr>
      <w:r>
        <w:rPr>
          <w:sz w:val="18"/>
        </w:rPr>
        <w:t>——————————————————————————————————————————————————————————————————————</w:t>
      </w:r>
    </w:p>
    <w:p>
      <w:pPr>
        <w:spacing w:before="160" w:after="40" w:line="240" w:lineRule="auto"/>
      </w:pPr>
      <w:r>
        <w:rPr>
          <w:b/>
        </w:rPr>
        <w:t xml:space="preserve">[371] </w:t>
      </w:r>
      <w:hyperlink r:id="rId1283">
        <w:r>
          <w:rPr>
            <w:color w:val="1155CC"/>
            <w:u w:val="single"/>
          </w:rPr>
          <w:t>肝脏快速累积的 BiOCl@ITA 纳米酶在 APAP 引起的肝损伤中协同 ROS 清除和巨噬细胞重编程</w:t>
        </w:r>
      </w:hyperlink>
    </w:p>
    <w:p>
      <w:pPr>
        <w:spacing w:before="0" w:after="80"/>
      </w:pPr>
      <w:r>
        <w:rPr>
          <w:i/>
          <w:sz w:val="20"/>
        </w:rPr>
        <w:t>EN: Rapidly Liver-Accumulating BiOCl@ITA Nanozyme for Synergistic ROS Scavenging and Macrophage Reprogramming in APAP-Induced Liver Injury</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284">
        <w:r>
          <w:rPr>
            <w:color w:val="1155CC"/>
            <w:u w:val="single"/>
          </w:rPr>
          <w:t>10.1021/acsami.6c08667</w:t>
        </w:r>
      </w:hyperlink>
    </w:p>
    <w:p>
      <w:pPr>
        <w:spacing w:before="0" w:after="120"/>
      </w:pPr>
      <w:r>
        <w:rPr>
          <w:b/>
        </w:rPr>
        <w:t xml:space="preserve">Notes: </w:t>
      </w:r>
      <w:r>
        <w:t>abstract_source=crossref</w:t>
      </w:r>
    </w:p>
    <w:p>
      <w:pPr>
        <w:spacing w:before="0" w:after="80" w:lineRule="auto" w:line="276"/>
      </w:pPr>
      <w:r>
        <w:rPr>
          <w:b/>
        </w:rPr>
        <w:t xml:space="preserve">摘要（ZH）: </w:t>
      </w:r>
      <w:r>
        <w:t>摘要 对乙酰氨基酚 (APAP) 过量是全球急性肝衰竭的主要原因，但现有的治疗仅依赖 N-乙酰半胱氨酸 (NAC)，其疗效在超过 8−10 小时治疗窗口后显着减弱。潜在的病理学涉及活性氧（ROS）过量产生和巨噬细胞介导的炎症的自我放大循环，并且同时清除ROS、重新编程巨噬细胞极化和减弱肝细胞凋亡的策略仍然缺乏。衣康酸 (ITA) 是一种内源性抗炎代谢物，其膜通透性差且缺乏内在的 ROS 清除能力。在此，我们通过将缺陷工程氯氧化铋 (BiOCl) 与表面负载的 ITA 相结合构建了 BiOCl@ITA。氧空位工程在无刺激条件下赋予内在的超氧化物歧化酶（SOD）和过氧化氢酶（CAT）模拟活性。 BiOCl@ITA在腹腔给药后0.5小时内在肝脏中快速积累，并在体外被肝细胞和巨噬细胞有效内化。此外，BiOCl@ITA 实际上消除了细胞内 ROS，减轻了 APAP 诱导的肝细胞损伤，同时还将 LPS 刺激的巨噬细胞从 M1 重新编程为 M2 表型，在所有终点上始终优于游离 ITA。在小鼠 APAP 诱导的 ALI 模型中，BiOCl@ITA 治疗的小鼠在 24 小时内表现出接近完全的热恢复，伴随着血清肝损伤标记物的大幅降低和组织病理学损伤的减弱。肝脏分子和组织水平分析fu</w:t>
      </w:r>
    </w:p>
    <w:p>
      <w:pPr>
        <w:spacing w:before="0" w:after="200" w:lineRule="auto" w:line="276"/>
      </w:pPr>
      <w:r>
        <w:rPr>
          <w:b/>
        </w:rPr>
        <w:t xml:space="preserve">Abstract (EN): </w:t>
      </w:r>
      <w:r>
        <w:t>Acetaminophen (APAP) overdose is the leading cause of acute liver failure worldwide, yet existing therapy relies solely on N-acetylcysteine (NAC), whose efficacy diminishes markedly beyond an 8−10 h therapeutic window. The underlying pathology involves a self-amplifying cycle of reactive oxygen species (ROS) overproduction and macrophage-mediated inflammation, and strategies that concurrently scavenge ROS, reprogram macrophage polarization, and attenuate hepatocyte apoptosis remain lacking. Itaconate (ITA), an endogenous anti-inflammatory metabolite, suffers from poor membrane permeability and lacks intrinsic ROS-scavenging capacity. Herein, we constructed BiOCl@ITA by integrating defect-engineered bismuth oxychloride (BiOCl) with surface-loaded ITA. Oxygen vacancy engineering confers intrinsic superoxide dismutase (SOD)- and catalase (CAT)-mimicking activities under stimulus-free conditions. BiOCl@ITA showed rapid accumulation in the liver within 0.5 h after intraperitoneal administration and was efficiently internalized by both hepatocytes and macrophages in vitro. Moreover, BiOCl@ITA virtually eliminated intracellular ROS and attenuated APAP-induced hepatocyte injury, while also reprogramming LPS-stimulated macrophages from M1 toward an M2 phenotype, consistently outperforming free ITA across all endpoints. In a murine APAP-induced ALI model, BiOCl@ITA-treated mice showed near-complete thermal recovery by 24 h, accompanied by substantially reduced serum hepatic injury markers and attenuated histopathological damage. Hepatic molecular and tissue-level analyses further demonstrated restoration of antioxidant defenses, favorable regulation of BAX/BCL-2 expression, and sustained M1-to-M2 macrophage polarization in vivo. These findings demonstrate that BiOCl@ITA synergistically integrates catalytic ROS detoxification with ITA-mediated macrophage reprogramming, offering a promising therapeutic approach for APAP-induced acute liver injury.</w:t>
      </w:r>
    </w:p>
    <w:p>
      <w:pPr>
        <w:spacing w:before="120" w:after="120"/>
      </w:pPr>
      <w:r>
        <w:rPr>
          <w:sz w:val="18"/>
        </w:rPr>
        <w:t>——————————————————————————————————————————————————————————————————————</w:t>
      </w:r>
    </w:p>
    <w:p>
      <w:pPr>
        <w:spacing w:before="160" w:after="40" w:line="240" w:lineRule="auto"/>
      </w:pPr>
      <w:r>
        <w:rPr>
          <w:b/>
        </w:rPr>
        <w:t xml:space="preserve">[372] </w:t>
      </w:r>
      <w:hyperlink r:id="rId1285">
        <w:r>
          <w:rPr>
            <w:color w:val="1155CC"/>
            <w:u w:val="single"/>
          </w:rPr>
          <w:t>饱和固体拉伸断裂的孔隙机械增韧</w:t>
        </w:r>
      </w:hyperlink>
    </w:p>
    <w:p>
      <w:pPr>
        <w:spacing w:before="0" w:after="80"/>
      </w:pPr>
      <w:r>
        <w:rPr>
          <w:i/>
          <w:sz w:val="20"/>
        </w:rPr>
        <w:t>EN: Poromechanical toughening in tensile fracture of saturated solids</w:t>
      </w:r>
    </w:p>
    <w:p>
      <w:pPr>
        <w:spacing w:before="0" w:after="120"/>
      </w:pPr>
      <w:r>
        <w:rPr>
          <w:b/>
        </w:rPr>
        <w:t xml:space="preserve">Source: </w:t>
      </w:r>
      <w:r>
        <w:t>Earth and environmental sciences : Nature Communications subject feeds</w:t>
      </w:r>
      <w:r>
        <w:t xml:space="preserve">    </w:t>
      </w:r>
      <w:r>
        <w:rPr>
          <w:b/>
        </w:rPr>
        <w:t xml:space="preserve">Pub date: </w:t>
      </w:r>
      <w:r>
        <w:t>2026-08-18 00:00:00+00:00</w:t>
      </w:r>
    </w:p>
    <w:p>
      <w:pPr>
        <w:spacing w:before="0" w:after="120"/>
      </w:pPr>
      <w:r>
        <w:rPr>
          <w:b/>
        </w:rPr>
        <w:t xml:space="preserve">Notes: </w:t>
      </w:r>
      <w:r>
        <w:t>abstract_source=nature_html</w:t>
      </w:r>
    </w:p>
    <w:p>
      <w:pPr>
        <w:spacing w:before="0" w:after="80" w:lineRule="auto" w:line="276"/>
      </w:pPr>
      <w:r>
        <w:rPr>
          <w:b/>
        </w:rPr>
        <w:t xml:space="preserve">摘要（ZH）: </w:t>
      </w:r>
      <w:r>
        <w:t>流体饱和多孔固体中的断裂不仅受固体力学的控制，还受孔隙空间内流体流动的控制。在从地质材料到生物组织的系统中，近端区域的变形会扰乱孔隙压力，从而改变裂纹扩展。然而，这些孔隙流体效应很大程度上是推断出来的，而不是直接观察到的。在这里，我们在水饱和微孔水泥的受控拉伸破裂过程中进行原位孔隙压力测量。我们证明，传播的裂纹在其尖端之前产生局部负压，提供了孔隙机械耦合的直接实验特征。这种瞬态压降的幅度与裂纹速度的平方根成比例，这与多孔弹性理论一致。这种负压降低了裂纹尖端附近的有效应力，导致耦合机械响应：在测试速度范围内表观断裂能加倍，而断裂过程区收缩一半。我们的研究结果表明，孔隙机械耦合是饱和多孔材料中断裂的速率相关控制，受竞争性流体扩散和裂纹扩展引起的有效应力变化的控制。</w:t>
      </w:r>
    </w:p>
    <w:p>
      <w:pPr>
        <w:spacing w:before="0" w:after="200" w:lineRule="auto" w:line="276"/>
      </w:pPr>
      <w:r>
        <w:rPr>
          <w:b/>
        </w:rPr>
        <w:t xml:space="preserve">Abstract (EN): </w:t>
      </w:r>
      <w:r>
        <w:t>Fracture in fluid-saturated porous solids is governed not only by solid mechanics but also by fluid flow within the pore space. In systems ranging from geomaterials to biological tissues, deformation in the near-tip region perturbs pore pressure and thereby alters crack growth. Yet these pore-fluid effects have largely been inferred rather than directly observed. Here, we perform in situ pore-pressure measurements during controlled tensile rupture of a water-saturated microporous cement. We demonstrate that a propagating crack generates a localized underpressure ahead of its tip, providing a direct experimental signature of poromechanical coupling. The amplitude of this transient pressure drop scales with the square root of crack velocity, in agreement with poroelastic theory. This underpressure reduces the effective stress near the crack tip, leading to a coupled mechanical response: the apparent fracture energy doubles across the tested velocity range while the fracture process zone shrinks by half. Our findings reveal poromechanical coupling as a rate-dependent control on fracture in saturated porous materials, governed by effective stress changes induced by competing fluid diffusion and crack advance.</w:t>
      </w:r>
    </w:p>
    <w:p>
      <w:pPr>
        <w:spacing w:before="120" w:after="120"/>
      </w:pPr>
      <w:r>
        <w:rPr>
          <w:sz w:val="18"/>
        </w:rPr>
        <w:t>——————————————————————————————————————————————————————————————————————</w:t>
      </w:r>
    </w:p>
    <w:p>
      <w:pPr>
        <w:spacing w:before="160" w:after="40" w:line="240" w:lineRule="auto"/>
      </w:pPr>
      <w:r>
        <w:rPr>
          <w:b/>
        </w:rPr>
        <w:t xml:space="preserve">[373] </w:t>
      </w:r>
      <w:hyperlink r:id="rId1286">
        <w:r>
          <w:rPr>
            <w:color w:val="1155CC"/>
            <w:u w:val="single"/>
          </w:rPr>
          <w:t>通过机器学习跟踪全球卫生援助的资金差距</w:t>
        </w:r>
      </w:hyperlink>
    </w:p>
    <w:p>
      <w:pPr>
        <w:spacing w:before="0" w:after="80"/>
      </w:pPr>
      <w:r>
        <w:rPr>
          <w:i/>
          <w:sz w:val="20"/>
        </w:rPr>
        <w:t>EN: Tracking funding disparities in global health aid with machine learning</w:t>
      </w:r>
    </w:p>
    <w:p>
      <w:pPr>
        <w:spacing w:before="0" w:after="120"/>
      </w:pPr>
      <w:r>
        <w:rPr>
          <w:b/>
        </w:rPr>
        <w:t xml:space="preserve">Source: </w:t>
      </w:r>
      <w:r>
        <w:t>Scientific community and society : Nature Communications subject feeds</w:t>
      </w:r>
      <w:r>
        <w:t xml:space="preserve">    </w:t>
      </w:r>
      <w:r>
        <w:rPr>
          <w:b/>
        </w:rPr>
        <w:t xml:space="preserve">Pub date: </w:t>
      </w:r>
      <w:r>
        <w:t>2026-08-18 00:00:00+00:00</w:t>
      </w:r>
    </w:p>
    <w:p>
      <w:pPr>
        <w:spacing w:before="0" w:after="120"/>
      </w:pPr>
      <w:r>
        <w:rPr>
          <w:b/>
        </w:rPr>
        <w:t xml:space="preserve">Notes: </w:t>
      </w:r>
      <w:r>
        <w:t>abstract_source=nature_html</w:t>
      </w:r>
    </w:p>
    <w:p>
      <w:pPr>
        <w:spacing w:before="0" w:after="80" w:lineRule="auto" w:line="276"/>
      </w:pPr>
      <w:r>
        <w:rPr>
          <w:b/>
        </w:rPr>
        <w:t xml:space="preserve">摘要（ZH）: </w:t>
      </w:r>
      <w:r>
        <w:t>减轻全球疾病负担对于改善健康结果至关重要。然而，卫生援助与国家一级疾病负担之间的不一致导致弱势群体无法获得应对重大卫生挑战的必要支持，特别是在最不发达国家。在这里，我们使用大型语言模型开发了一个机器学习管道，以跟踪专门用于卫生的官方发展援助 (ODA) 的流量，并识别援助与负担的不一致。我们将2000年至2022年期间的370万个发展援助项目（约3320亿美元）分为传染病、孕产妇、新生儿和营养疾病（CMNND）和非传染性疾病（NCD）等17个主要类别。我们将人均官方发展援助支出的排名与以伤残调整生命年（DALY）衡量的疾病负担排名进行了比较。我们将基于 DALY 的调整解释为与政策相关的启发式方法，而不是规定性的分配标准。尽管资金和疾病负担对于许多疾病显着相关，但存在显着差异。例如，非传染性疾病占全球伤残调整生命年的 59.5%，但在研究期间仅收到健康相关官方发展援助的 2.5%。这令人担忧，因为低收入和中等收入国家面临着 CMNND 和非传染性疾病日益增加的双重负担。我们的研究结果显示，包括中非以及南亚和西非部分地区在内的多个地区多种疾病的援助与负担不一致。总体而言，我们的结果确定了健康差异，有可能为针对所有人的发展援助和支持的政策决策提供信息</w:t>
      </w:r>
    </w:p>
    <w:p>
      <w:pPr>
        <w:spacing w:before="0" w:after="200" w:lineRule="auto" w:line="276"/>
      </w:pPr>
      <w:r>
        <w:rPr>
          <w:b/>
        </w:rPr>
        <w:t xml:space="preserve">Abstract (EN): </w:t>
      </w:r>
      <w:r>
        <w:t>Reducing the global burden of disease is crucial for improving health outcomes. However, misalignment between health aid and country-level disease burden leaves vulnerable populations without the necessary support for major health challenges, particularly in the least developed countries. Here, we develop a machine learning pipeline using large language models to track flows in official development assistance (ODA) earmarked for health and identify aid–burden misalignment. We classified 3.7 million development aid projects from 2000 to 2022 (USD ~ 332 billion) into 17 major categories of communicable, maternal, neonatal, and nutritional diseases (CMNNDs) and non-communicable diseases (NCDs). We compared the rank of per capita ODA disbursement against the rank of disease burden, measured in disability-adjusted life years (DALYs). We interpret DALY-based alignment as a policy-relevant heuristic rather than a prescriptive allocation criterion. Although funding and disease burden are significantly correlated for many diseases, there are notable disparities. For example, NCDs account for 59.5% of global DALYs but received only 2.5% of health-related ODA over the study period. This is concerning because low- and middle-income countries face an increasing double burden from both CMNNDs and NCDs. Our results show aid–burden misalignment across multiple diseases in several regions, including Central Africa and parts of South Asia and West Africa. Overall, our results identify health disparities to potentially inform policy decisions on development assistance and support targeted allocation of health aid.</w:t>
      </w:r>
    </w:p>
    <w:p>
      <w:pPr>
        <w:spacing w:before="120" w:after="120"/>
      </w:pPr>
      <w:r>
        <w:rPr>
          <w:sz w:val="18"/>
        </w:rPr>
        <w:t>——————————————————————————————————————————————————————————————————————</w:t>
      </w:r>
    </w:p>
    <w:p>
      <w:pPr>
        <w:spacing w:before="160" w:after="40" w:line="240" w:lineRule="auto"/>
      </w:pPr>
      <w:r>
        <w:rPr>
          <w:b/>
        </w:rPr>
        <w:t xml:space="preserve">[374] </w:t>
      </w:r>
      <w:hyperlink r:id="rId1287">
        <w:r>
          <w:rPr>
            <w:color w:val="1155CC"/>
            <w:u w:val="single"/>
          </w:rPr>
          <w:t>通过氧抑制喷雾热解沉积增强全无机 AgBiS2 光电探测器的性能</w:t>
        </w:r>
      </w:hyperlink>
    </w:p>
    <w:p>
      <w:pPr>
        <w:spacing w:before="0" w:after="80"/>
      </w:pPr>
      <w:r>
        <w:rPr>
          <w:i/>
          <w:sz w:val="20"/>
        </w:rPr>
        <w:t>EN: Enhanced Performance in All-Inorganic AgBiS2 Photodetectors via Oxygen-Inhibited Spray Pyrolysis Deposition</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288">
        <w:r>
          <w:rPr>
            <w:color w:val="1155CC"/>
            <w:u w:val="single"/>
          </w:rPr>
          <w:t>10.1021/acsami.6c08678</w:t>
        </w:r>
      </w:hyperlink>
    </w:p>
    <w:p>
      <w:pPr>
        <w:spacing w:before="0" w:after="120"/>
      </w:pPr>
      <w:r>
        <w:rPr>
          <w:b/>
        </w:rPr>
        <w:t xml:space="preserve">Notes: </w:t>
      </w:r>
      <w:r>
        <w:t>abstract_source=crossref</w:t>
      </w:r>
    </w:p>
    <w:p>
      <w:pPr>
        <w:spacing w:before="0" w:after="80" w:lineRule="auto" w:line="276"/>
      </w:pPr>
      <w:r>
        <w:rPr>
          <w:b/>
        </w:rPr>
        <w:t xml:space="preserve">摘要（ZH）: </w:t>
      </w:r>
      <w:r>
        <w:t>摘要 AgBiS2 由于其宽光谱响应和强光吸收而成为一种有前途的光电材料。然而，目前高沸点溶剂和有机缓冲剂的使用限制了 AgBiS2 固有特性的基础研究和进一步性能优化。在这项研究中，我们开发了一种使用低温超声喷雾热解技术制备的有机无缓冲AgBiS2光电探测器。我们的理论分析表明，氧掺杂通过提高费米能级附近的态密度来改变光电特性，从而导致严重的非辐射载流子复合。通过掺入过量的硫脲，同时保持最佳基板温度以增强结晶度，我们成功地抑制了氧缺陷，从而提高了光电检测性能。优化后的器件在 1050 nm 处表现出 0.046 A W−1 的高响应度、低噪声水平 (&lt;8.5 × 10−19 A2 Hz−1) 和快速响应时间（0.07 μs 上升，0.60 μs 衰减）。受益于快速响应，光电探测器可提供具有清晰边缘清晰度的高分辨率成像。这项工作消除了有机缓冲层的干扰，直接揭示了氧缺陷调制如何影响 AgBiS2 的固有光电特性，为高性能、溶液处理的光电探测器提供了一条可扩展的途径。</w:t>
      </w:r>
    </w:p>
    <w:p>
      <w:pPr>
        <w:spacing w:before="0" w:after="200" w:lineRule="auto" w:line="276"/>
      </w:pPr>
      <w:r>
        <w:rPr>
          <w:b/>
        </w:rPr>
        <w:t xml:space="preserve">Abstract (EN): </w:t>
      </w:r>
      <w:r>
        <w:t>AgBiS2 has emerged as a promising optoelectronic material due to its broad spectral response and strong light absorption. However, the current use of high-boiling solvents and organic buffers restricts fundamental studies and further performance optimization of AgBiS2's intrinsic properties. In this study, we develop an organic buffer-free AgBiS2 photodetector prepared using a low-temperature ultrasonic spray pyrolysis technique. Our theoretical analysis revealed that oxygen doping alters the optoelectronic characteristics by enhancing the density of states near the Fermi level, leading to consequent severe nonradiative charge carrier recombination. By incorporating excess thiourea while maintaining optimal substrate temperature for enhanced crystallinity, we successfully suppress oxygen defects and consequently improve photodetection performance. The optimized device exhibits a high responsivity of 0.046 A W−1 at 1050 nm, a low noise level (&amp;lt;8.5 × 10−19 A2 Hz−1), and a fast response time (0.07 μs rise, 0.60 μs decay). Benefiting from the rapid response, the photodetector delivers high-resolution imaging with sharp edge definition. This work eliminates the interference of organic buffer layers to directly reveal how oxygen defect modulation affects the intrinsic optoelectronic properties of AgBiS2, offering a scalable pathway for high-performance, solution-processed photodetectors.</w:t>
      </w:r>
    </w:p>
    <w:p>
      <w:pPr>
        <w:spacing w:before="120" w:after="120"/>
      </w:pPr>
      <w:r>
        <w:rPr>
          <w:sz w:val="18"/>
        </w:rPr>
        <w:t>——————————————————————————————————————————————————————————————————————</w:t>
      </w:r>
    </w:p>
    <w:p>
      <w:pPr>
        <w:spacing w:before="160" w:after="40" w:line="240" w:lineRule="auto"/>
      </w:pPr>
      <w:r>
        <w:rPr>
          <w:b/>
        </w:rPr>
        <w:t xml:space="preserve">[375] </w:t>
      </w:r>
      <w:hyperlink r:id="rId1289">
        <w:r>
          <w:rPr>
            <w:color w:val="1155CC"/>
            <w:u w:val="single"/>
          </w:rPr>
          <w:t>六方氮化硼润滑研究进展</w:t>
        </w:r>
      </w:hyperlink>
    </w:p>
    <w:p>
      <w:pPr>
        <w:spacing w:before="0" w:after="80"/>
      </w:pPr>
      <w:r>
        <w:rPr>
          <w:i/>
          <w:sz w:val="20"/>
        </w:rPr>
        <w:t>EN: Research Progress of Hexagonal Boron Nitride in Lubrication</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290">
        <w:r>
          <w:rPr>
            <w:color w:val="1155CC"/>
            <w:u w:val="single"/>
          </w:rPr>
          <w:t>10.1021/acsami.6c09400</w:t>
        </w:r>
      </w:hyperlink>
    </w:p>
    <w:p>
      <w:pPr>
        <w:spacing w:before="0" w:after="120"/>
      </w:pPr>
      <w:r>
        <w:rPr>
          <w:b/>
        </w:rPr>
        <w:t xml:space="preserve">Notes: </w:t>
      </w:r>
      <w:r>
        <w:t>abstract_source=crossref</w:t>
      </w:r>
    </w:p>
    <w:p>
      <w:pPr>
        <w:spacing w:before="0" w:after="80" w:lineRule="auto" w:line="276"/>
      </w:pPr>
      <w:r>
        <w:rPr>
          <w:b/>
        </w:rPr>
        <w:t xml:space="preserve">摘要（ZH）: </w:t>
      </w:r>
      <w:r>
        <w:t>摘要 六方氮化硼（h-BN）是一种具有巨大应用潜力的润滑油添加剂。其层状结构提供了较低的层间剪切强度，而其良好的热稳定性、化学惰性和电绝缘性使其对要求苛刻的润滑环境具有吸引力。然而，h-BN的摩擦学性能不仅取决于层间滑动，还取决于材料结构、润滑介质和工作条件的综合影响。其实际应用进一步受到与某些介质的兼容性不足、进入接触区域的输送效率低以及滑动界面处的保留有限的限制，从而损害了持续的摩擦减少和磨损保护。本综述重点关注六方氮化硼基润滑剂添加剂的结构-界面-性能关系，总结了尺寸和形态控制、表面功能化和复合材料设计方面的进展，特别强调这些策略如何影响六方氮化硼在润滑剂介质中的分散、其向接触区的输送以及其对界面保护层的参与。进一步比较不同润滑介质和使用条件下 h-BN 基添加剂的摩擦学行为，以明确其有效性能窗口和实际应用边界。最后，总结了受控合成和结构调控、动态界面演化和面向服务的性能验证方面仍然存在的关键挑战，为材料结构设计提供了框架。</w:t>
      </w:r>
    </w:p>
    <w:p>
      <w:pPr>
        <w:spacing w:before="0" w:after="200" w:lineRule="auto" w:line="276"/>
      </w:pPr>
      <w:r>
        <w:rPr>
          <w:b/>
        </w:rPr>
        <w:t xml:space="preserve">Abstract (EN): </w:t>
      </w:r>
      <w:r>
        <w:t>Hexagonal boron nitride (h-BN) is a lubricant additive with considerable application potential. Its layered structure provides low interlayer shear strength, while its favorable thermal stability, chemical inertness, and electrical insulation make it attractive for demanding lubrication environments. However, the tribological performance of h-BN depends not only on interlayer sliding but also on the combined effects of material structure, lubricant medium, and operating conditions. Its practical application is further constrained by insufficient compatibility with certain media, inefficient delivery into the contact zone, and limited retention at the sliding interface, thereby compromising sustained friction reduction and wear protection. This review focuses on the structure–interface–performance relationships of h-BN-based lubricant additives and summarizes advances in size and morphology control, surface functionalization, and composite design, with particular emphasis on how these strategies affect the dispersion of h-BN in lubricant media, its delivery to the contact zone, and its participation in interfacial protective layers. The tribological behavior of h-BN-based additives under different lubricant media and service conditions is further compared to clarify their effective performance windows and practical application boundaries. Finally, the key challenges that remain in controlled synthesis and structural regulation, dynamic interfacial evolution, and service-oriented performance validation are summarized, providing a framework for material structural design, mechanistic analysis, and application-specific assessment.</w:t>
      </w:r>
    </w:p>
    <w:p>
      <w:pPr>
        <w:spacing w:before="120" w:after="120"/>
      </w:pPr>
      <w:r>
        <w:rPr>
          <w:sz w:val="18"/>
        </w:rPr>
        <w:t>——————————————————————————————————————————————————————————————————————</w:t>
      </w:r>
    </w:p>
    <w:p>
      <w:pPr>
        <w:spacing w:before="160" w:after="40" w:line="240" w:lineRule="auto"/>
      </w:pPr>
      <w:r>
        <w:rPr>
          <w:b/>
        </w:rPr>
        <w:t xml:space="preserve">[376] </w:t>
      </w:r>
      <w:hyperlink r:id="rId1291">
        <w:r>
          <w:rPr>
            <w:color w:val="1155CC"/>
            <w:u w:val="single"/>
          </w:rPr>
          <w:t>用人工智能弥合天气和气候鸿沟</w:t>
        </w:r>
      </w:hyperlink>
    </w:p>
    <w:p>
      <w:pPr>
        <w:spacing w:before="0" w:after="80"/>
      </w:pPr>
      <w:r>
        <w:rPr>
          <w:i/>
          <w:sz w:val="20"/>
        </w:rPr>
        <w:t>EN: Bridging the weather and climate divide with artificial intelligence</w:t>
      </w:r>
    </w:p>
    <w:p>
      <w:pPr>
        <w:spacing w:before="0" w:after="120"/>
      </w:pPr>
      <w:r>
        <w:rPr>
          <w:b/>
        </w:rPr>
        <w:t xml:space="preserve">Source: </w:t>
      </w:r>
      <w:r>
        <w:t>Earth and environmental sciences : Nature Communications subject feeds</w:t>
      </w:r>
      <w:r>
        <w:t xml:space="preserve">    </w:t>
      </w:r>
      <w:r>
        <w:rPr>
          <w:b/>
        </w:rPr>
        <w:t xml:space="preserve">Pub date: </w:t>
      </w:r>
      <w:r>
        <w:t>2026-08-18 00:00:00+00:00</w:t>
      </w:r>
    </w:p>
    <w:p>
      <w:pPr>
        <w:spacing w:before="0" w:after="120"/>
      </w:pPr>
      <w:r>
        <w:rPr>
          <w:b/>
        </w:rPr>
        <w:t xml:space="preserve">Notes: </w:t>
      </w:r>
      <w:r>
        <w:t>abstract_source=nature_html</w:t>
      </w:r>
    </w:p>
    <w:p>
      <w:pPr>
        <w:spacing w:before="0" w:after="80" w:lineRule="auto" w:line="276"/>
      </w:pPr>
      <w:r>
        <w:rPr>
          <w:b/>
        </w:rPr>
        <w:t xml:space="preserve">摘要（ZH）: </w:t>
      </w:r>
      <w:r>
        <w:t>天气和气候影响着我们生活的方方面面，但几十年来，它们一直被当作两个不同的世界来研究——一个关心明天会发生什么，另一个关心未来几十年等待我们的是什么。这种长期存在的分歧减缓了这两个领域的进展。在这里，我们认为人工智能（AI）正在帮助消除它们之间的界限。通过直接从大量的地球观测中学习，人工智能开始在一个统一的框架内预测明天的风暴和下个世纪的气候。我们展示了这种融合是如何发生的，为什么天气和气候科学可以从彼此身上获益匪浅，以及仍然存在哪些障碍——从信任、透明度和公平到计算的能源成本以及全球不平等扩大的风险。实现这一愿景不仅需要更好的算法，还需要跨科学界、运营中心、领域和学科的新合作文化。如果做得好，统一的、人工智能驱动的地球科学可以提供更快、更可靠、更可行的预测，帮助社会预测和适应迅速变暖的地球。</w:t>
      </w:r>
    </w:p>
    <w:p>
      <w:pPr>
        <w:spacing w:before="0" w:after="200" w:lineRule="auto" w:line="276"/>
      </w:pPr>
      <w:r>
        <w:rPr>
          <w:b/>
        </w:rPr>
        <w:t xml:space="preserve">Abstract (EN): </w:t>
      </w:r>
      <w:r>
        <w:t>Weather and climate shape every aspect of our lives, yet for decades they have been studied as separate worlds—one concerned with what happens tomorrow, the other with what awaits us over the coming decades. This long-standing divide has slowed progress in both fields. Here, we argue that artificial intelligence (AI) is helping to dissolve the boundary between them. By learning directly from vast streams of Earth observations, AI is starting to predict both tomorrow’s storm and next century’s climate within a single, unified framework. We show how this convergence is already underway, why weather and climate science have much to gain from each other, and what still stands in the way—from trust, transparency, and fairness to the energy cost of computation and the risk of widening global inequalities. Realizing this vision will demand not only better algorithms but a new culture of collaboration across scientific communities, operational centers, fields and disciplines. Done well, a unified, AI-driven Earth science could deliver faster, more reliable, and more actionable predictions—helping societies anticipate and adapt to a rapidly warming planet.</w:t>
      </w:r>
    </w:p>
    <w:p>
      <w:pPr>
        <w:spacing w:before="120" w:after="120"/>
      </w:pPr>
      <w:r>
        <w:rPr>
          <w:sz w:val="18"/>
        </w:rPr>
        <w:t>——————————————————————————————————————————————————————————————————————</w:t>
      </w:r>
    </w:p>
    <w:p>
      <w:pPr>
        <w:spacing w:before="160" w:after="40" w:line="240" w:lineRule="auto"/>
      </w:pPr>
      <w:r>
        <w:rPr>
          <w:b/>
        </w:rPr>
        <w:t xml:space="preserve">[377] </w:t>
      </w:r>
      <w:hyperlink r:id="rId1292">
        <w:r>
          <w:rPr>
            <w:color w:val="1155CC"/>
            <w:u w:val="single"/>
          </w:rPr>
          <w:t>超声激活 Janus 异质结介导的增强级联纳米酶用于治疗炎症性肠病</w:t>
        </w:r>
      </w:hyperlink>
    </w:p>
    <w:p>
      <w:pPr>
        <w:spacing w:before="0" w:after="80"/>
      </w:pPr>
      <w:r>
        <w:rPr>
          <w:i/>
          <w:sz w:val="20"/>
        </w:rPr>
        <w:t>EN: Ultrasound-Activated Janus Heterojunction-Mediated Enhanced Cascade Nanozyme for Inflammatory Bowel Disease Therapy</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293">
        <w:r>
          <w:rPr>
            <w:color w:val="1155CC"/>
            <w:u w:val="single"/>
          </w:rPr>
          <w:t>10.1021/acsami.6c07000</w:t>
        </w:r>
      </w:hyperlink>
    </w:p>
    <w:p>
      <w:pPr>
        <w:spacing w:before="0" w:after="120"/>
      </w:pPr>
      <w:r>
        <w:rPr>
          <w:b/>
        </w:rPr>
        <w:t xml:space="preserve">Notes: </w:t>
      </w:r>
      <w:r>
        <w:t>abstract_source=crossref</w:t>
      </w:r>
    </w:p>
    <w:p>
      <w:pPr>
        <w:spacing w:before="0" w:after="80" w:lineRule="auto" w:line="276"/>
      </w:pPr>
      <w:r>
        <w:rPr>
          <w:b/>
        </w:rPr>
        <w:t xml:space="preserve">摘要（ZH）: </w:t>
      </w:r>
      <w:r>
        <w:t>摘要 活性氧（ROS）过度积累会加剧炎症性肠病（IBD）。为了克服传统铈基纳米酶催化活性不足的问题，我们设计了一种超声激活的Bi@BTC异质结纳米酶。铋核产生的超声激活载流子在 Janus Bi@BTC 异质结中进行有效的电子-空穴分离。空穴富集在BTC壳层的价带中，催化Ce3+的氧化反应。受益于单宁酸的质子耦合电子转移（PCET）效应和异质界面的电子耦合，Bi@BTC加速了Ce3+/Ce4+氧化还原循环，实现高效稳定的超氧化物歧化酶（SOD）−过氧化氢酶（CAT）样催化循环，从而有效消除IBD微环境中的多种ROS。密度泛函理论 (DFT) 计算阐明了双酶模拟活性背后的催化途径和循环机制，揭示了关键中间体、过渡态和相应的能量分布。体外和体内试验证实，Bi@BTC 通过消除过量的 ROS、上调紧密连接蛋白、促进粘膜屏障修复和恢复肠道微生物群稳态来减轻肠道炎症。这项工作提出了一种通过超声激活异质结介导的效应和 PCET 驱动的铈氧化还原循环来增强 ROS 消除策略，建立了一个集 ROS 清除、抗炎、粘膜修复和肠道微生物功能于一体的多功能范例。</w:t>
      </w:r>
    </w:p>
    <w:p>
      <w:pPr>
        <w:spacing w:before="0" w:after="200" w:lineRule="auto" w:line="276"/>
      </w:pPr>
      <w:r>
        <w:rPr>
          <w:b/>
        </w:rPr>
        <w:t xml:space="preserve">Abstract (EN): </w:t>
      </w:r>
      <w:r>
        <w:t>Inflammatory bowel disease (IBD) is exacerbated by the excessive accumulation of reactive oxygen species (ROS). To overcome the insufficient catalytic activity of conventional cerium-based nanozymes, we designed an ultrasound-activated Bi@BTC heterojunction nanozyme. The ultrasound-activated carriers generated by bismuth core undergo effective electron-hole separation in the Janus Bi@BTC heterojunction. The holes are enriched in the valence band of the BTC shell, catalyzing the oxidation reaction of Ce3+. Benefiting from the proton-coupled electron transfer (PCET) effect of tannic acid and the electronic coupling at the heterointerface, Bi@BTC accelerates the Ce3+/Ce4+ redox cycling, enabling a highly efficient and stable superoxide dismutase (SOD)−catalase (CAT)-like catalytic cycle and thus robust elimination of multiple ROS in the IBD microenvironment. Density functional theory (DFT) calculations elucidate the catalytic pathways and cyclic mechanisms underlying the dual enzyme-mimetic activities, revealing key intermediates, transition states, and corresponding energy profiles. In vitro and in vivo assays confirmed that Bi@BTC alleviates intestinal inflammation by eliminating excess ROS, upregulating tight-junction proteins, promoting mucosal barrier repair, and restoring gut microbiota homeostasis. This work presents a boosted ROS-elimination strategy via ultrasound-activated heterojunction-mediated effect and PCET-driven cerium redox cycling, establishing a multifunctional paradigm that integrates ROS scavenging, anti-inflammation, mucosal repair, and gut microecological regulation.</w:t>
      </w:r>
    </w:p>
    <w:p>
      <w:pPr>
        <w:spacing w:before="120" w:after="120"/>
      </w:pPr>
      <w:r>
        <w:rPr>
          <w:sz w:val="18"/>
        </w:rPr>
        <w:t>——————————————————————————————————————————————————————————————————————</w:t>
      </w:r>
    </w:p>
    <w:p>
      <w:pPr>
        <w:spacing w:before="160" w:after="40" w:line="240" w:lineRule="auto"/>
      </w:pPr>
      <w:r>
        <w:rPr>
          <w:b/>
        </w:rPr>
        <w:t xml:space="preserve">[378] </w:t>
      </w:r>
      <w:hyperlink r:id="rId1294">
        <w:r>
          <w:rPr>
            <w:color w:val="1155CC"/>
            <w:u w:val="single"/>
          </w:rPr>
          <w:t>静电吸附在负载型金属纳米粒子制备中的多种应用</w:t>
        </w:r>
      </w:hyperlink>
    </w:p>
    <w:p>
      <w:pPr>
        <w:spacing w:before="0" w:after="80"/>
      </w:pPr>
      <w:r>
        <w:rPr>
          <w:i/>
          <w:sz w:val="20"/>
        </w:rPr>
        <w:t>EN: The Many Applications of Electrostatic Adsorption for the Preparation of Supported Metal Nanoparticles</w:t>
      </w:r>
    </w:p>
    <w:p>
      <w:pPr>
        <w:spacing w:before="0" w:after="120"/>
      </w:pPr>
      <w:r>
        <w:rPr>
          <w:b/>
        </w:rPr>
        <w:t xml:space="preserve">Source: </w:t>
      </w:r>
      <w:r>
        <w:t>Chemical Reviews: Latest Articles (ACS Publications)</w:t>
      </w:r>
      <w:r>
        <w:t xml:space="preserve">    </w:t>
      </w:r>
      <w:r>
        <w:rPr>
          <w:b/>
        </w:rPr>
        <w:t xml:space="preserve">Pub date: </w:t>
      </w:r>
      <w:r>
        <w:t>2026-08-18 00:00:00+00:00</w:t>
      </w:r>
      <w:r>
        <w:t xml:space="preserve">    </w:t>
      </w:r>
      <w:r>
        <w:rPr>
          <w:b/>
        </w:rPr>
        <w:t xml:space="preserve">DOI: </w:t>
      </w:r>
      <w:hyperlink r:id="rId1295">
        <w:r>
          <w:rPr>
            <w:color w:val="1155CC"/>
            <w:u w:val="single"/>
          </w:rPr>
          <w:t>10.1021/acs.chemrev.5c01067</w:t>
        </w:r>
      </w:hyperlink>
    </w:p>
    <w:p>
      <w:pPr>
        <w:spacing w:before="0" w:after="120"/>
      </w:pPr>
      <w:r>
        <w:rPr>
          <w:b/>
        </w:rPr>
        <w:t xml:space="preserve">Notes: </w:t>
      </w:r>
      <w:r>
        <w:t>abstract_source=crossref</w:t>
      </w:r>
    </w:p>
    <w:p>
      <w:pPr>
        <w:spacing w:before="0" w:after="80" w:lineRule="auto" w:line="276"/>
      </w:pPr>
      <w:r>
        <w:rPr>
          <w:b/>
        </w:rPr>
        <w:t xml:space="preserve">摘要（ZH）: </w:t>
      </w:r>
      <w:r>
        <w:t>摘要 大约 50 年前提出了一种简单、科学的方法来制备负载型金属纳米粒子，该方法利用典型载体表面上新生羟基的质子化-去质子化化学。在水溶液中，它们可以在低于载体零电荷点（PZC）的pH范围内质子化并因此带正电，并且在载体PZC上方去质子化并带负电。浸渍溶液中带相反电荷的金属络合物将受到表面的强烈静电吸引，并在干燥过程中牢固地固定。干燥前体热化学转化后产生的金属纳米颗粒通常很小（&lt;2 nm）并且尺寸紧密。在这篇综述中，对过去 50 年报道该方法的文献进行了总结和批评。静电吸附已应用于：1）在各种载体（包括单原子催化剂）上制备单金属纳米粒子，2）合金化的双金属和稀极限纳米粒子，以及3）在复合载体上选择性金属沉积。该方法已扩展到 4) 初湿浸渍，最近扩展到 5) 成型催化剂载体。讨论了该方法的局限性、故障排除和未来方向。</w:t>
      </w:r>
    </w:p>
    <w:p>
      <w:pPr>
        <w:spacing w:before="0" w:after="200" w:lineRule="auto" w:line="276"/>
      </w:pPr>
      <w:r>
        <w:rPr>
          <w:b/>
        </w:rPr>
        <w:t xml:space="preserve">Abstract (EN): </w:t>
      </w:r>
      <w:r>
        <w:t>A simple, scientific method to prepare supported metal nanoparticles was proposed almost 50 years ago, which utilizes the protonation–deprotonation chemistry of the nascent hydroxyl groups that populate typical support surfaces. In aqueous solution, these can be protonated and so positively charged in the pH range below the point of zero charge (PZC) of the support, and deprotonated and negatively charged above the support PZC. An oppositely charged metal complex in the impregnating solution will experience a strong electrostatic attraction to the surface and will be firmly anchored during drying. The metal nanoparticles produced after thermochemical conversion of the dried precursor are typically small (&amp;lt;2 nm) and tightly sized. In this review, the past 50 years of literature reporting this method have been summarized and critiqued. Electrostatic adsorption has been applied for 1) the preparation of single metal nanoparticles on a wide variety of supports, including single-atom catalysts, 2) well alloyed bimetallic and dilute limit nanoparticles, and 3) selective metal deposition over composite supports. The method has been extended to 4) incipient wetness impregnation and, most recently, to 5) formed catalyst supports. The limitations, troubleshooting, and future directions of this method are discussed.</w:t>
      </w:r>
    </w:p>
    <w:p>
      <w:pPr>
        <w:spacing w:before="120" w:after="120"/>
      </w:pPr>
      <w:r>
        <w:rPr>
          <w:sz w:val="18"/>
        </w:rPr>
        <w:t>——————————————————————————————————————————————————————————————————————</w:t>
      </w:r>
    </w:p>
    <w:p>
      <w:pPr>
        <w:spacing w:before="160" w:after="40" w:line="240" w:lineRule="auto"/>
      </w:pPr>
      <w:r>
        <w:rPr>
          <w:b/>
        </w:rPr>
        <w:t xml:space="preserve">[379] </w:t>
      </w:r>
      <w:hyperlink r:id="rId1296">
        <w:r>
          <w:rPr>
            <w:color w:val="1155CC"/>
            <w:u w:val="single"/>
          </w:rPr>
          <w:t>聚合物驱动的硼酸盐-COF空心球的自模板合成：致力于尺寸选择性纳米反应器的发展</w:t>
        </w:r>
      </w:hyperlink>
    </w:p>
    <w:p>
      <w:pPr>
        <w:spacing w:before="0" w:after="80"/>
      </w:pPr>
      <w:r>
        <w:rPr>
          <w:i/>
          <w:sz w:val="20"/>
        </w:rPr>
        <w:t>EN: Polymer-Driven Self-Templated Synthesis of Boronate-COF Hollow Spheres: Toward the Development of Size-Selective Nanoreactors</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297">
        <w:r>
          <w:rPr>
            <w:color w:val="1155CC"/>
            <w:u w:val="single"/>
          </w:rPr>
          <w:t>10.1021/acsami.6c06835</w:t>
        </w:r>
      </w:hyperlink>
    </w:p>
    <w:p>
      <w:pPr>
        <w:spacing w:before="0" w:after="120"/>
      </w:pPr>
      <w:r>
        <w:rPr>
          <w:b/>
        </w:rPr>
        <w:t xml:space="preserve">Notes: </w:t>
      </w:r>
      <w:r>
        <w:t>abstract_source=crossref</w:t>
      </w:r>
    </w:p>
    <w:p>
      <w:pPr>
        <w:spacing w:before="0" w:after="80" w:lineRule="auto" w:line="276"/>
      </w:pPr>
      <w:r>
        <w:rPr>
          <w:b/>
        </w:rPr>
        <w:t xml:space="preserve">摘要（ZH）: </w:t>
      </w:r>
      <w:r>
        <w:t>摘要 共价有机骨架是一类多孔晶体结构，因其具有广阔的应用前景而受到关注。然而，尽管付出了巨大的努力，统一和特定形态的合成和理解仍然是一个挑战。在此，我们报告了空心球形硼酸酯连接的COF聚合物的首次自模板合成。一项随时间变化的研究表明，在儿茶酚-聚（N-异丙基丙烯酰胺）（儿茶酚-PNIPAm）聚合物存在下，由内向外的奥斯特瓦尔德熟化机制驱动的空心球的形成专门针对COF-10。合成的空心球显示出 300 nm 的流体动力学半径、定向结晶度和整个膜上连续的六角形孔道，并具有高表面积（~800 m2·g–1）。有趣的是，空心球腔能够封装荧光硫醇响应染料，而多孔膜则调节硫醇的尺寸选择性渗透。只有适当大小的硫醇才能接触封装的染料，从而触发荧光恢复。</w:t>
      </w:r>
    </w:p>
    <w:p>
      <w:pPr>
        <w:spacing w:before="0" w:after="200" w:lineRule="auto" w:line="276"/>
      </w:pPr>
      <w:r>
        <w:rPr>
          <w:b/>
        </w:rPr>
        <w:t xml:space="preserve">Abstract (EN): </w:t>
      </w:r>
      <w:r>
        <w:t>Covalent organic frameworks are a family of porous crystalline structures gaining attention due to their promising applications. However, despite significant efforts, the synthesis and understanding of uniform and specific morphologies remain a challenge. Herein, we report the first self-templated synthesis of hollow spherical boronate ester-linked COFs-polymers. A time-dependent investigation reveals the formation of hollow spheres driven by an inside-out Ostwald ripening mechanism, exclusively for COF-10 in the presence of a catechol-poly(N-isopropylacrylamide) (catechol-PNIPAm) polymer. The synthesized hollow spheres show a hydrodynamic radius of 300 nm, an oriented crystallinity, and continuous hexagonal pore channels throughout the membrane, associated with a high surface area (~800 m2·g–1). Interestingly, the hollow sphere cavity enables the encapsulation of a fluorogenic, thiol-responsive dye while the porous membrane regulates the size-selective penetration of thiols. Only thiols of appropriate size can access the encapsulated dye, thereby triggering fluorescence restoration.</w:t>
      </w:r>
    </w:p>
    <w:p>
      <w:pPr>
        <w:spacing w:before="120" w:after="120"/>
      </w:pPr>
      <w:r>
        <w:rPr>
          <w:sz w:val="18"/>
        </w:rPr>
        <w:t>——————————————————————————————————————————————————————————————————————</w:t>
      </w:r>
    </w:p>
    <w:p>
      <w:pPr>
        <w:spacing w:before="160" w:after="40" w:line="240" w:lineRule="auto"/>
      </w:pPr>
      <w:r>
        <w:rPr>
          <w:b/>
        </w:rPr>
        <w:t xml:space="preserve">[380] </w:t>
      </w:r>
      <w:hyperlink r:id="rId1298">
        <w:r>
          <w:rPr>
            <w:color w:val="1155CC"/>
            <w:u w:val="single"/>
          </w:rPr>
          <w:t>废咖啡渣衍生的碳点作为氧化还原调节生物材料，用于人类神经祖细胞的星形胶质细胞分化</w:t>
        </w:r>
      </w:hyperlink>
    </w:p>
    <w:p>
      <w:pPr>
        <w:spacing w:before="0" w:after="80"/>
      </w:pPr>
      <w:r>
        <w:rPr>
          <w:i/>
          <w:sz w:val="20"/>
        </w:rPr>
        <w:t>EN: Spent Coffee Ground-Derived Carbon Dots as Redox-Modulating Biomaterials for Astrocytic Differentiation of Human Neural Progenitor Cells</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299">
        <w:r>
          <w:rPr>
            <w:color w:val="1155CC"/>
            <w:u w:val="single"/>
          </w:rPr>
          <w:t>10.1021/acsami.6c05623</w:t>
        </w:r>
      </w:hyperlink>
    </w:p>
    <w:p>
      <w:pPr>
        <w:spacing w:before="0" w:after="120"/>
      </w:pPr>
      <w:r>
        <w:rPr>
          <w:b/>
        </w:rPr>
        <w:t xml:space="preserve">Notes: </w:t>
      </w:r>
      <w:r>
        <w:t>abstract_source=crossref</w:t>
      </w:r>
    </w:p>
    <w:p>
      <w:pPr>
        <w:spacing w:before="0" w:after="80" w:lineRule="auto" w:line="276"/>
      </w:pPr>
      <w:r>
        <w:rPr>
          <w:b/>
        </w:rPr>
        <w:t xml:space="preserve">摘要（ZH）: </w:t>
      </w:r>
      <w:r>
        <w:t>摘要 通过水热和溶剂热方法合成了来自废咖啡渣或菠菜的食物垃圾碳点（CD），并系统地表征了其光致发光和表面化学性质。使用人类神经祖细胞 (hNPC) 进行的生物学评估表明，所有合成的 CD 均具有高效的细胞摄取和高生物相容性。值得注意的是，咖啡衍生的蓝光 CD (B-CD) 表现出强大的浓度依赖性抗氧化活性，并降低了细胞内活性氧 (ROS) 水平。此外，B-CD 与 hNPC 星形胶质细胞分化增强有关。为了进一步评估 B-CD 在氧化应激条件下的抗氧化作用，细胞在分化过程中暴露于 H2O2 诱导的氧化应激。 B-CD 可减轻氧化应激相关的细胞损伤并减少炎症相关标志物的表达。这种抗氧化作用伴随着 C3 的下调，C3 是神经毒性反应性星形胶质细胞的标志物。此外，B-CD 促进星形胶质细胞分化的关键驱动因素 STAT3 (Tyr705) 的早期磷酸化，并诱导细胞保护酶 HO-1 的持续表达，将细胞内 ROS 的减少与星形胶质细胞偏向的分化联系起来。这项工作表明，食物垃圾衍生的 CD 可以作为生物活性纳米材料，能够调节神经祖细胞分化并减轻细胞应激。这些发现凸显了它们在神经接口材料、再生医学中的应用潜力</w:t>
      </w:r>
    </w:p>
    <w:p>
      <w:pPr>
        <w:spacing w:before="0" w:after="200" w:lineRule="auto" w:line="276"/>
      </w:pPr>
      <w:r>
        <w:rPr>
          <w:b/>
        </w:rPr>
        <w:t xml:space="preserve">Abstract (EN): </w:t>
      </w:r>
      <w:r>
        <w:t>Food waste-derived carbon dots (CDs) from spent coffee grounds or spinach were synthesized via hydrothermal and solvothermal methods and systematically characterized for their photoluminescence and surface chemical properties. Biological evaluations using human neural progenitor cells (hNPCs) demonstrated efficient cellular uptake and high biocompatibility across all synthesized CDs. Notably, coffee-derived blue-emitting CDs (B-CDs) exhibited robust concentration-dependent antioxidant activity and reduced intracellular reactive oxygen species (ROS) levels. In addition, B-CDs were associated with enhanced astrocytic differentiation of hNPCs. To further evaluate the antioxidative effects of B-CDs under oxidative stress conditions, cells were exposed to H2O2-induced oxidative stress during differentiation. B-CDs alleviated oxidative stress-associated cellular damage and reduced the expression of inflammation-related markers. This antioxidative effect was accompanied by the downregulation of C3, a marker of neurotoxic reactive astrocytes. Further, B-CDs promoted early phosphorylation of STAT3 (Tyr705), a key driver of astrocytic differentiation, and induced sustained expression of a cytoprotective enzyme HO-1, linking intracellular ROS reduction to astrocyte-biased differentiation. This work demonstrates that food waste-derived CDs can function as bioactive nanomaterials capable of modulating neural progenitor cell differentiation and mitigating cellular stress. These findings highlight their potential for applications in neural interface materials, regenerative medicine, and redox-responsive biomaterial systems.</w:t>
      </w:r>
    </w:p>
    <w:p>
      <w:pPr>
        <w:spacing w:before="120" w:after="120"/>
      </w:pPr>
      <w:r>
        <w:rPr>
          <w:sz w:val="18"/>
        </w:rPr>
        <w:t>——————————————————————————————————————————————————————————————————————</w:t>
      </w:r>
    </w:p>
    <w:p>
      <w:pPr>
        <w:spacing w:before="160" w:after="40" w:line="240" w:lineRule="auto"/>
      </w:pPr>
      <w:r>
        <w:rPr>
          <w:b/>
        </w:rPr>
        <w:t xml:space="preserve">[381] </w:t>
      </w:r>
      <w:hyperlink r:id="rId1300">
        <w:r>
          <w:rPr>
            <w:color w:val="1155CC"/>
            <w:u w:val="single"/>
          </w:rPr>
          <w:t>增强 DNA-表面活性剂缀合物的膜去稳定能力，以改善核酸的胞质递送</w:t>
        </w:r>
      </w:hyperlink>
    </w:p>
    <w:p>
      <w:pPr>
        <w:spacing w:before="0" w:after="80"/>
      </w:pPr>
      <w:r>
        <w:rPr>
          <w:i/>
          <w:sz w:val="20"/>
        </w:rPr>
        <w:t>EN: Enhancing the Membrane Destabilization Capacity of DNA–Surfactant Conjugates for Improved Cytosolic Delivery of Nucleic Acids</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301">
        <w:r>
          <w:rPr>
            <w:color w:val="1155CC"/>
            <w:u w:val="single"/>
          </w:rPr>
          <w:t>10.1021/acsami.6c01718</w:t>
        </w:r>
      </w:hyperlink>
    </w:p>
    <w:p>
      <w:pPr>
        <w:spacing w:before="0" w:after="120"/>
      </w:pPr>
      <w:r>
        <w:rPr>
          <w:b/>
        </w:rPr>
        <w:t xml:space="preserve">Notes: </w:t>
      </w:r>
      <w:r>
        <w:t>abstract_source=crossref</w:t>
      </w:r>
    </w:p>
    <w:p>
      <w:pPr>
        <w:spacing w:before="0" w:after="80" w:lineRule="auto" w:line="276"/>
      </w:pPr>
      <w:r>
        <w:rPr>
          <w:b/>
        </w:rPr>
        <w:t xml:space="preserve">摘要（ZH）: </w:t>
      </w:r>
      <w:r>
        <w:t>摘要 增强核酸的内体逃逸仍然是提高其治疗效果的关键瓶颈。受脂质纳米粒子进步的启发，我们描述了一种使用核酸纳米胶囊 (NAN) 将多尾 DNA-表面活性剂缀合物 (DSC) 递送到细胞中的化学方法。 NAN 是可酶降解的交联 DNA 胶束，具有增强的膜不稳定特性。此前，我们报道了使用酯酶可切割的 NAN 递送的单尾 DSC 成功地将治疗性寡核苷酸递送至细胞。这项工作的特点是合理设计一组不对称合成的疏水性胶束交联剂，使用一种合成方法，将一个或两个烷基链和一个酯酶不稳定基团合并到两侧是可点击叠氮化物的非离子表面活性剂中。这些交联剂共价结合到 NAN 构建体中，在细胞内酶促降解时，释放多尾 DSC。我们证明这些 DSC 比单尾 DSC 具有更优越的转染能力。此外，我们还表明，这些多尾 DSC 改善了 DNAzyme 介导的基因沉默，并增强了 mRNA 的体外递送，因为它们在细胞研究和分子动力学模拟中反映了增强的膜破坏能力。重要的是，我们的化学方法能够在胶束组装后原位形成多尾表面活性剂。这使得寡核苷酸纳米材料递送平台能够充当“前药”，其中活性治疗和潜力</w:t>
      </w:r>
    </w:p>
    <w:p>
      <w:pPr>
        <w:spacing w:before="0" w:after="200" w:lineRule="auto" w:line="276"/>
      </w:pPr>
      <w:r>
        <w:rPr>
          <w:b/>
        </w:rPr>
        <w:t xml:space="preserve">Abstract (EN): </w:t>
      </w:r>
      <w:r>
        <w:t>Enhancing the endosomal escape of nucleic acids remains a critical bottleneck in improving their therapeutic efficacy. Inspired by advancements in lipid nanoparticles, we describe a chemical approach to deliver multi-tailed DNA–surfactant conjugates (DSCs) into cells using nucleic acid nanocapsules (NANs). NANs are enzyme degradable, crosslinked DNA micelles that exhibit enhanced membrane destabilizing properties. Previously, we reported the successful delivery of therapeutic oligonucleotides to cells using single-tailed DSCs delivered by esterase-cleavable NANs. This work features the rational design of a set of asymmetrically synthesized hydrophobic micelle crosslinkers using a synthetic approach that incorporates either one or two alkyl chains and an esterase-labile group into a nonionic surfactant flanked by clickable azides. These crosslinkers are covalently incorporated into the NAN construct, and upon their enzymatic degradation within the cell, multi-tailed DSCs are released. We show that these DSCs have superior transfection capabilities over single-tailed DSCs. Additionally, we show that these multi-tailed DSCs improve DNAzyme-mediated gene silencing and enhance mRNA delivery in vitro, owing to their enhanced membrane disruption capabilities reflected in both cell studies and molecular dynamics simulations. Importantly, our chemical approach enables the formation of multi-tailed surfactants in situ, post micelle assembly. This allows an oligonucleotide nanomaterial delivery platform to act as a “pro-drug” where the active therapeutic and the potential for its cytosolic delivery are the product of the nanoformulation’s degradation.</w:t>
      </w:r>
    </w:p>
    <w:p>
      <w:pPr>
        <w:spacing w:before="120" w:after="120"/>
      </w:pPr>
      <w:r>
        <w:rPr>
          <w:sz w:val="18"/>
        </w:rPr>
        <w:t>——————————————————————————————————————————————————————————————————————</w:t>
      </w:r>
    </w:p>
    <w:p>
      <w:pPr>
        <w:spacing w:before="160" w:after="40" w:line="240" w:lineRule="auto"/>
      </w:pPr>
      <w:r>
        <w:rPr>
          <w:b/>
        </w:rPr>
        <w:t xml:space="preserve">[382] </w:t>
      </w:r>
      <w:hyperlink r:id="rId1302">
        <w:r>
          <w:rPr>
            <w:color w:val="1155CC"/>
            <w:u w:val="single"/>
          </w:rPr>
          <w:t>对满岸河流流量的全球估计揭示了不同气候带的不同洪水复发情况</w:t>
        </w:r>
      </w:hyperlink>
    </w:p>
    <w:p>
      <w:pPr>
        <w:spacing w:before="0" w:after="80"/>
      </w:pPr>
      <w:r>
        <w:rPr>
          <w:i/>
          <w:sz w:val="20"/>
        </w:rPr>
        <w:t>EN: Global estimation of bankfull river discharge reveals distinct flood recurrences across climate zones</w:t>
      </w:r>
    </w:p>
    <w:p>
      <w:pPr>
        <w:spacing w:before="0" w:after="120"/>
      </w:pPr>
      <w:r>
        <w:rPr>
          <w:b/>
        </w:rPr>
        <w:t xml:space="preserve">Source: </w:t>
      </w:r>
      <w:r>
        <w:t>Earth and environmental sciences : Nature Communications subject feeds</w:t>
      </w:r>
      <w:r>
        <w:t xml:space="preserve">    </w:t>
      </w:r>
      <w:r>
        <w:rPr>
          <w:b/>
        </w:rPr>
        <w:t xml:space="preserve">Pub date: </w:t>
      </w:r>
      <w:r>
        <w:t>2026-08-18 00:00:00+00:00</w:t>
      </w:r>
    </w:p>
    <w:p>
      <w:pPr>
        <w:spacing w:before="0" w:after="120"/>
      </w:pPr>
      <w:r>
        <w:rPr>
          <w:b/>
        </w:rPr>
        <w:t xml:space="preserve">Notes: </w:t>
      </w:r>
      <w:r>
        <w:t>abstract_source=nature_html</w:t>
      </w:r>
    </w:p>
    <w:p>
      <w:pPr>
        <w:spacing w:before="0" w:after="80" w:lineRule="auto" w:line="276"/>
      </w:pPr>
      <w:r>
        <w:rPr>
          <w:b/>
        </w:rPr>
        <w:t xml:space="preserve">摘要（ZH）: </w:t>
      </w:r>
      <w:r>
        <w:t>满岸流量是河流在溢出河岸之前可以输送的最大流量，对于洪水风险建模和了解河道演变至关重要。全球洪水淹没模型假设满岸情况的重现期为 2 年，但这一假设在全球范围内尚未得到检验。在这里，我们使用观测和机器学习来估计最近开发的全球河网沿线约 1 公里分辨率的满岸流量。我们表明，广泛使用的 2 年流量合理地近似了满岸流量大小，但满岸重现期在气候带内和不同气候带之间差异很大。满溢情况在热带和温带地区发生的频率较高（中位重现期为 1.5 年和 1.8 年；四分位距分别为 2.5 年和 3.2 年），而在寒冷和干旱地区则较少出现（2.8 年和 4.3 年；四分位距为 4.8 年和 6.0 年）。这种跨气候区的变化为改善全球洪水模型中河道容量的表示提供了基础。</w:t>
      </w:r>
    </w:p>
    <w:p>
      <w:pPr>
        <w:spacing w:before="0" w:after="200" w:lineRule="auto" w:line="276"/>
      </w:pPr>
      <w:r>
        <w:rPr>
          <w:b/>
        </w:rPr>
        <w:t xml:space="preserve">Abstract (EN): </w:t>
      </w:r>
      <w:r>
        <w:t>Bankfull discharge, the maximum flow a river can convey before spilling over its banks, is central to modelling flood risk and understanding river-channel evolution. Global flood inundation models assume a 2-year return period for bankfull conditions, but this assumption remains untested globally. Here we use observations and machine learning to estimate bankfull discharge at ~1-km resolution along a recently developed global river network. We show that the widely used 2-year discharge reasonably approximates bankfull-flow magnitude, but bankfull return periods vary substantially within and across climate zones. Bankfull conditions occur more frequently in tropical and temperate regions (median return periods of 1.5 and 1.8 years; interquartile ranges of 2.5 and 3.2 years, respectively) and less frequently in cold and arid regions (2.8 and 4.3 years; interquartile ranges of 4.8 and 6.0 years). This variation across climate zones provides a basis for improving the representation of channel capacity in global flood models.</w:t>
      </w:r>
    </w:p>
    <w:p>
      <w:pPr>
        <w:spacing w:before="120" w:after="120"/>
      </w:pPr>
      <w:r>
        <w:rPr>
          <w:sz w:val="18"/>
        </w:rPr>
        <w:t>——————————————————————————————————————————————————————————————————————</w:t>
      </w:r>
    </w:p>
    <w:p>
      <w:pPr>
        <w:spacing w:before="160" w:after="40" w:line="240" w:lineRule="auto"/>
      </w:pPr>
      <w:r>
        <w:rPr>
          <w:b/>
        </w:rPr>
        <w:t xml:space="preserve">[383] </w:t>
      </w:r>
      <w:hyperlink r:id="rId1303">
        <w:r>
          <w:rPr>
            <w:color w:val="1155CC"/>
            <w:u w:val="single"/>
          </w:rPr>
          <w:t>来自单组件分层组装的均匀螺旋 3D 微花</w:t>
        </w:r>
      </w:hyperlink>
    </w:p>
    <w:p>
      <w:pPr>
        <w:spacing w:before="0" w:after="80"/>
      </w:pPr>
      <w:r>
        <w:rPr>
          <w:i/>
          <w:sz w:val="20"/>
        </w:rPr>
        <w:t>EN: Uniform Helical 3D Microflowers from Single-Component Hierarchical Assembly</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304">
        <w:r>
          <w:rPr>
            <w:color w:val="1155CC"/>
            <w:u w:val="single"/>
          </w:rPr>
          <w:t>10.1021/acsami.6c12055</w:t>
        </w:r>
      </w:hyperlink>
    </w:p>
    <w:p>
      <w:pPr>
        <w:spacing w:before="0" w:after="120"/>
      </w:pPr>
      <w:r>
        <w:rPr>
          <w:b/>
        </w:rPr>
        <w:t xml:space="preserve">Notes: </w:t>
      </w:r>
      <w:r>
        <w:t>abstract_source=crossref</w:t>
      </w:r>
    </w:p>
    <w:p>
      <w:pPr>
        <w:spacing w:before="0" w:after="80" w:lineRule="auto" w:line="276"/>
      </w:pPr>
      <w:r>
        <w:rPr>
          <w:b/>
        </w:rPr>
        <w:t xml:space="preserve">摘要（ZH）: </w:t>
      </w:r>
      <w:r>
        <w:t>摘要：本研究演示了通过简单退火，从单一轴向手性化合物的溶液中无模板制备均匀的宏观螺旋花状结构。为了在引入氢键位点的同时实现结构柔性和刚性之间的平衡，分子设计通过柔性烷基链将联萘-偶氮苯核心与末端苯甲酸基团连接起来。合成的微花呈现出高度有序的“风车状”螺旋结构，表现出明确的手性。这种结构实现了手性的清晰宏观表现。形态分析将宏观手性追溯到螺旋位错的形成和片层内渐进扭曲的积累。晶体学和光谱证据表明，这些缺陷源于溶剂氢键引导的层间滑移和通过螺旋分子链形成的精确轴向手性传递。这项工作为具有优雅而复杂形态的宏观手性结构提供了一条直接的途径，为宏观尺度上分子轴向手性的表达和放大提供了新的范例。</w:t>
      </w:r>
    </w:p>
    <w:p>
      <w:pPr>
        <w:spacing w:before="0" w:after="200" w:lineRule="auto" w:line="276"/>
      </w:pPr>
      <w:r>
        <w:rPr>
          <w:b/>
        </w:rPr>
        <w:t xml:space="preserve">Abstract (EN): </w:t>
      </w:r>
      <w:r>
        <w:t>This study demonstrates the template-free preparation of uniform macroscopic helical flower-like structures from a solution of a single axially chiral compound via simple annealing. To achieve a balance between structural flexibility and rigidity while introducing hydrogen-bonding sites, the molecular design connects the binaphthalene-azobenzene core to the terminal benzoic acid groups via flexible alkyl chains. The synthesized microflower displays a highly ordered, “windmill-like” spiral architecture, exhibiting unambiguous handedness. This structure achieves a clear macroscopic manifestation of chirality. Morphological analysis traces the macroscopic chirality to screw dislocation formation and progressive twist accumulation within the lamellae. Crystallographic and spectroscopic evidence reveals that these defects originate from solvent-hydrogen-bond-directed interlayer slip and precise axial chirality transfer through helical molecular chain formation. This work provides a straightforward route to macroscopically chiral structures with elegant and intricate morphologies, providing a new paradigm for the expression and amplification of molecular axial chirality at the macroscopic scale.</w:t>
      </w:r>
    </w:p>
    <w:p>
      <w:pPr>
        <w:spacing w:before="120" w:after="120"/>
      </w:pPr>
      <w:r>
        <w:rPr>
          <w:sz w:val="18"/>
        </w:rPr>
        <w:t>——————————————————————————————————————————————————————————————————————</w:t>
      </w:r>
    </w:p>
    <w:p>
      <w:pPr>
        <w:spacing w:before="160" w:after="40" w:line="240" w:lineRule="auto"/>
      </w:pPr>
      <w:r>
        <w:rPr>
          <w:b/>
        </w:rPr>
        <w:t xml:space="preserve">[384] </w:t>
      </w:r>
      <w:hyperlink r:id="rId1305">
        <w:r>
          <w:rPr>
            <w:color w:val="1155CC"/>
            <w:u w:val="single"/>
          </w:rPr>
          <w:t>工程设计的长效温和热疗微针贴片，用于糖尿病感染伤口的个性化治疗</w:t>
        </w:r>
      </w:hyperlink>
    </w:p>
    <w:p>
      <w:pPr>
        <w:spacing w:before="0" w:after="80"/>
      </w:pPr>
      <w:r>
        <w:rPr>
          <w:i/>
          <w:sz w:val="20"/>
        </w:rPr>
        <w:t>EN: Engineered Long-Acting Mild Hyperthermia Microneedle Patches for Personalized Therapy of Infected Diabetic Wounds</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306">
        <w:r>
          <w:rPr>
            <w:color w:val="1155CC"/>
            <w:u w:val="single"/>
          </w:rPr>
          <w:t>10.1021/acsami.6c10288</w:t>
        </w:r>
      </w:hyperlink>
    </w:p>
    <w:p>
      <w:pPr>
        <w:spacing w:before="0" w:after="120"/>
      </w:pPr>
      <w:r>
        <w:rPr>
          <w:b/>
        </w:rPr>
        <w:t xml:space="preserve">Notes: </w:t>
      </w:r>
      <w:r>
        <w:t>abstract_source=crossref</w:t>
      </w:r>
    </w:p>
    <w:p>
      <w:pPr>
        <w:spacing w:before="0" w:after="80" w:lineRule="auto" w:line="276"/>
      </w:pPr>
      <w:r>
        <w:rPr>
          <w:b/>
        </w:rPr>
        <w:t xml:space="preserve">摘要（ZH）: </w:t>
      </w:r>
      <w:r>
        <w:t>摘要 慢性感染伤口的临床治疗面临多重挑战，包括抗生素耐药性、热控制不精确以及频繁更换敷料阻碍愈合等。在此，我们基于较低临界溶液温度（LCST）热敏聚合物的可逆相变特性，开发了一种多功能温和热敏微针贴片（GPD-NAS@PDA MN），可实现单次给药和精确的长期温度调节。在近红外照射（NIR）下，背衬层可以主动保护周围正常组织，同时有效杀死细菌并根除生物膜，从而减少对抗菌药物的依赖。针尖通过稳定的网络结构持续释放血管生成药物甲磺酸去铁胺（DFO），通过光热效应协同促进血管生成和组织修复。转录组分析表明，该系统可以调节与氧化应激和代谢网络相关的途径。体内研究证实，GPD-NAS@PDA MN单次应用后第14天伤口愈合率高达93.55%，从而避免了继发性组织损伤。综上所述，多功能微针系统集精确热疗、强效抗菌和抗生物膜活性、抗炎和促血管生成功能于一体，避免了传统疗法中多种药物组合的复杂性和频繁更换敷料的复杂性，为慢性伤口管理提供了一种有前途的个性化策略。</w:t>
      </w:r>
    </w:p>
    <w:p>
      <w:pPr>
        <w:spacing w:before="0" w:after="200" w:lineRule="auto" w:line="276"/>
      </w:pPr>
      <w:r>
        <w:rPr>
          <w:b/>
        </w:rPr>
        <w:t xml:space="preserve">Abstract (EN): </w:t>
      </w:r>
      <w:r>
        <w:t>The clinical treatment of chronically infected wounds faces multiple challenges, including antibiotic resistance, imprecise thermal control, and frequent dressing changes that hinder healing. Herein, we developed a multifunctional mild hyperthermic microneedle patch (GPD-NAS@PDA MN) based on the reversible phase-transition characteristics of lower critical solution temperature (LCST) thermoresponsive polymers, enabling single-application administration and precise long-term temperature regulation. Under near-infrared irradiation (NIR), the backing layer can actively protect surrounding normal tissues while efficiently killing bacteria and eradicating biofilms, thereby reducing reliance on antimicrobial agents. The needle tip continuously releases the angiogenic drug deferoxamine mesylate (DFO) via a stable network structure, synergistically promoting angiogenesis and tissue repair through photothermal effects. Transcriptomic analysis reveals that this system can regulate pathways related to oxidative stress and metabolic networks. In vivo studies confirm that the wound healing rate of the GPD-NAS@PDA MN is as high as 93.55% on the 14th day after a single application, thereby avoiding secondary tissue damage. In summary, the multifunctional microneedle system integrates precise hyperthermia, potent antibacterial and anti-biofilm activity, and anti-inflammatory and pro-angiogenic functions, avoiding the complexity of multiple drug combinations and frequent dressing changes in traditional therapies and providing a promising personalized strategy for chronic wound management.</w:t>
      </w:r>
    </w:p>
    <w:p>
      <w:pPr>
        <w:spacing w:before="120" w:after="120"/>
      </w:pPr>
      <w:r>
        <w:rPr>
          <w:sz w:val="18"/>
        </w:rPr>
        <w:t>——————————————————————————————————————————————————————————————————————</w:t>
      </w:r>
    </w:p>
    <w:p>
      <w:pPr>
        <w:spacing w:before="160" w:after="40" w:line="240" w:lineRule="auto"/>
      </w:pPr>
      <w:r>
        <w:rPr>
          <w:b/>
        </w:rPr>
        <w:t xml:space="preserve">[385] </w:t>
      </w:r>
      <w:hyperlink r:id="rId1307">
        <w:r>
          <w:rPr>
            <w:color w:val="1155CC"/>
            <w:u w:val="single"/>
          </w:rPr>
          <w:t>结合阿霉素介孔二氧化硅纳米颗粒的壳聚糖微球作为术后骨肉瘤管理的潜在多功能平台</w:t>
        </w:r>
      </w:hyperlink>
    </w:p>
    <w:p>
      <w:pPr>
        <w:spacing w:before="0" w:after="80"/>
      </w:pPr>
      <w:r>
        <w:rPr>
          <w:i/>
          <w:sz w:val="20"/>
        </w:rPr>
        <w:t>EN: Chitosan Microspheres Incorporating Doxorubicin-Loaded Mesoporous Silica Nanoparticles as a Potential Multifunctional Platform for Postoperative Osteosarcoma Management</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308">
        <w:r>
          <w:rPr>
            <w:color w:val="1155CC"/>
            <w:u w:val="single"/>
          </w:rPr>
          <w:t>10.1021/acsami.6c10239</w:t>
        </w:r>
      </w:hyperlink>
    </w:p>
    <w:p>
      <w:pPr>
        <w:spacing w:before="0" w:after="120"/>
      </w:pPr>
      <w:r>
        <w:rPr>
          <w:b/>
        </w:rPr>
        <w:t xml:space="preserve">Notes: </w:t>
      </w:r>
      <w:r>
        <w:t>abstract_source=crossref</w:t>
      </w:r>
    </w:p>
    <w:p>
      <w:pPr>
        <w:spacing w:before="0" w:after="80" w:lineRule="auto" w:line="276"/>
      </w:pPr>
      <w:r>
        <w:rPr>
          <w:b/>
        </w:rPr>
        <w:t xml:space="preserve">摘要（ZH）: </w:t>
      </w:r>
      <w:r>
        <w:t>摘要 骨肉瘤由于其高复发率、转移潜力以及术后经常需要骨重建，仍然是一个重大的临床挑战。在这里，我们报告了一个多功能平台，由嵌入壳聚糖微球（DMCS）中的负载阿霉素的介孔二氧化硅纳米颗粒（DOX@MSN）组成。采用乳液交联法制备直径为100~200 µm的DMCS微球，DOX包封率为71.82%，载药量为17.95%。该平台表现出 pH 响应性药物释放，在与肿瘤微环境相关的弱酸性条件下，DOX 释放显着增强。在体外，DMCS表现出良好的止血和抗肿瘤作用，而与MC3T3-E1前成骨细胞相比，DOX@MSN显示出​​K7M2-WT骨肉瘤细胞的优先摄取。此外，MCS 微球作为不含 DOX 的 DMCS 类似物，可促进 MC3T3-E1 细胞的成骨分化，碱性磷酸酶活性增加、基质矿化和成骨相关基因（包括 Runx2、Col1A1、OPN 和 OCN）上调证明了这一点。在体内，该平台能够实现快速止血，有效抑制切除后残留的骨肉瘤，并增强骨再生。据我们所知，这是将这三个关键功能整合到单个术后骨肉瘤导向系统中的首次尝试，这项概念验证研究的主要目标是为每个功能单独建立明确的证据。这项工作定义了 k</w:t>
      </w:r>
    </w:p>
    <w:p>
      <w:pPr>
        <w:spacing w:before="0" w:after="200" w:lineRule="auto" w:line="276"/>
      </w:pPr>
      <w:r>
        <w:rPr>
          <w:b/>
        </w:rPr>
        <w:t xml:space="preserve">Abstract (EN): </w:t>
      </w:r>
      <w:r>
        <w:t>Osteosarcoma remains a major clinical challenge owing to its high recurrence rate, metastatic potential, and the frequent need for postoperative bone reconstruction. Here, we report a multifunctional platform consisting of doxorubicin-loaded mesoporous silica nanoparticles (DOX@MSN) embedded within chitosan microspheres (DMCS). The DMCS microspheres, with diameters of 100–200 µm, were fabricated by emulsion crosslinking and achieved a DOX encapsulation efficiency of 71.82% and a drug loading content of 17.95%. The platform exhibited pH-responsive drug release, with markedly enhanced DOX release under mildly acidic conditions relevant to the tumor microenvironment. In vitro, DMCS demonstrated favorable hemostatic and antitumor effects, while DOX@MSN showed preferential uptake by K7M2-WT osteosarcoma cells compared with MC3T3-E1 preosteoblasts. In addition, MCS microspheres, used as the DOX-free analog of DMCS, promoted osteogenic differentiation of MC3T3-E1 cells, as evidenced by increased alkaline phosphatase activity, matrix mineralization, and upregulation of osteogenesis-related genes, including Runx2, Col1A1, OPN, and OCN. In vivo, the platform enabled rapid hemostasis, effective inhibition of residual osteosarcoma after resection, and enhanced bone regeneration. Given that this is, to the best of our knowledge, the first attempt to integrate these three key functions within a single postoperative osteosarcoma-oriented system, the primary objective of this proof-of-concept study was to establish clear evidence for each function individually. This work defines key design principles and a functional validation framework for the development of next-generation integrated platforms for postoperative osteosarcoma management.</w:t>
      </w:r>
    </w:p>
    <w:p>
      <w:pPr>
        <w:spacing w:before="120" w:after="120"/>
      </w:pPr>
      <w:r>
        <w:rPr>
          <w:sz w:val="18"/>
        </w:rPr>
        <w:t>——————————————————————————————————————————————————————————————————————</w:t>
      </w:r>
    </w:p>
    <w:p>
      <w:pPr>
        <w:spacing w:before="160" w:after="40" w:line="240" w:lineRule="auto"/>
      </w:pPr>
      <w:r>
        <w:rPr>
          <w:b/>
        </w:rPr>
        <w:t xml:space="preserve">[386] </w:t>
      </w:r>
      <w:hyperlink r:id="rId1309">
        <w:r>
          <w:rPr>
            <w:color w:val="1155CC"/>
            <w:u w:val="single"/>
          </w:rPr>
          <w:t>用于骨骼肌发育和组织的灵活 3D 打印压电和生物指导平台</w:t>
        </w:r>
      </w:hyperlink>
    </w:p>
    <w:p>
      <w:pPr>
        <w:spacing w:before="0" w:after="80"/>
      </w:pPr>
      <w:r>
        <w:rPr>
          <w:i/>
          <w:sz w:val="20"/>
        </w:rPr>
        <w:t>EN: Flexible 3D-Printed Piezoelectric and Bioinstructive Platforms for Skeletal Muscle Development and Organization</w:t>
      </w:r>
    </w:p>
    <w:p>
      <w:pPr>
        <w:spacing w:before="0" w:after="120"/>
      </w:pPr>
      <w:r>
        <w:rPr>
          <w:b/>
        </w:rPr>
        <w:t xml:space="preserve">Source: </w:t>
      </w:r>
      <w:r>
        <w:t>ACS Applied Materials &amp; Interfaces: Latest Articles (ACS Publications)</w:t>
      </w:r>
      <w:r>
        <w:t xml:space="preserve">    </w:t>
      </w:r>
      <w:r>
        <w:rPr>
          <w:b/>
        </w:rPr>
        <w:t xml:space="preserve">Pub date: </w:t>
      </w:r>
      <w:r>
        <w:t>2026-08-18 00:00:00+00:00</w:t>
      </w:r>
      <w:r>
        <w:t xml:space="preserve">    </w:t>
      </w:r>
      <w:r>
        <w:rPr>
          <w:b/>
        </w:rPr>
        <w:t xml:space="preserve">DOI: </w:t>
      </w:r>
      <w:hyperlink r:id="rId1310">
        <w:r>
          <w:rPr>
            <w:color w:val="1155CC"/>
            <w:u w:val="single"/>
          </w:rPr>
          <w:t>10.1021/acsami.6c11224</w:t>
        </w:r>
      </w:hyperlink>
    </w:p>
    <w:p>
      <w:pPr>
        <w:spacing w:before="0" w:after="120"/>
      </w:pPr>
      <w:r>
        <w:rPr>
          <w:b/>
        </w:rPr>
        <w:t xml:space="preserve">Notes: </w:t>
      </w:r>
      <w:r>
        <w:t>abstract_source=crossref</w:t>
      </w:r>
    </w:p>
    <w:p>
      <w:pPr>
        <w:spacing w:before="0" w:after="80" w:lineRule="auto" w:line="276"/>
      </w:pPr>
      <w:r>
        <w:rPr>
          <w:b/>
        </w:rPr>
        <w:t xml:space="preserve">摘要（ZH）: </w:t>
      </w:r>
      <w:r>
        <w:t>摘要 体积肌肉损失（VML）是一种毁灭性损伤，其中广泛的骨骼肌损失压倒了内源性愈合。尽管具有治疗功效，但无细胞结构无法提供肌肉发育所需的一套全面的生物活性线索。值得注意的是，很少有结构提供肌肉发育所需的生物电信号。为了满足这一需求，本研究旨在开发一个生肌平台，提供一套全面的生物活性线索，包括可以无线传递的生物电线索，以促进骨骼肌发育。为了实现这一目标，我们设计了一个微通道压电 3D 打印平台，该平台基于甲基丙烯酸明胶和聚丙烯酸的独特互穿水凝胶网络，并结合了钛酸钡纳米颗粒。流变学研究表明，水凝胶具有稳定的凝胶状粘弹性和剪切稀化行为，表明它们适合挤出 3D 打印。物理化学表征证明了该平台的结构保真度、精确的微通道定义、显着的灵活性和自粘性。虽然该平台的刚度与骨骼肌的刚度相当，但在超声波（美国）变形时，它还会产生 ~90 mV 的表面电势，突出了其压电性质和利用机电触发生物电线索的能力。 FE-SEM 和免疫荧光分析表明，微通道和来自平台的超声诱导压电可以协同帮助形成致密、紧凑和对齐的肌管。</w:t>
      </w:r>
    </w:p>
    <w:p>
      <w:pPr>
        <w:spacing w:before="0" w:after="200" w:lineRule="auto" w:line="276"/>
      </w:pPr>
      <w:r>
        <w:rPr>
          <w:b/>
        </w:rPr>
        <w:t xml:space="preserve">Abstract (EN): </w:t>
      </w:r>
      <w:r>
        <w:t>Volumetric muscle loss (VML) is a devastating injury in which extensive skeletal muscle loss overwhelms endogenous healing. Despite their therapeutic efficacy, acellular constructs fail to provide a comprehensive set of bioactive cues required for muscle development. Notably, very few constructs provide bioelectrical cues necessary for muscle development. To address that need, this study aimed to develop a myogenic platform that provides a comprehensive set of bioactive cues, including bioelectrical cues that can be delivered wirelessly, to promote skeletal muscle development. To achieve this, we engineered a microchanneled, piezoelectric, 3D-printed platform based on a unique interpenetrating hydrogel network of gelatin methacrylate and poly(acrylic acid) that incorporates barium titanate nanoparticles. Rheological studies showed stable gel-like viscoelasticity and shear-thinning behavior of the hydrogels, indicating their suitability for extrusion-3D printing. Physicochemical characterization demonstrated the platform’s structural fidelity, precise microchannel definition, pronounced flexibility, and self-adhesiveness. While the platform’s stiffness was comparable to that of skeletal muscle, it also generated a surface potential of ∼90 mV when deformed by ultrasound (US), highlighting its piezoelectric nature and ability to harness electromechanically triggered bioelectrical cues. FE-SEM and immunofluorescence analyses revealed that microchannels and US-induced piezoelectricity from the platform can synergistically help form dense, compact, and aligned myotubes. Notably, we demonstrate that the US-induced piezoelectric platforms can promote early-stage myotube development, enhance myogenic progression, and help form mature, elongated, thick myotubes over time. Finally, we observe that the piezoelectric platforms exhibit increased FAK and MAPK activation in adherent cells over time, suggesting that these pathways can contribute to transducing electromechanical cues that promote myotube maturation. Overall, this is the first-of-its-kind comprehensive study to engineer a platform that delivers a comprehensive set of bioactive cues, specifically wirelessly delivered bioelectrical cues, resulting in a spatiotemporally bioinstructive microenvironment for skeletal muscle development. We believe this unique platform could be a promising regenerative therapy for VML.</w:t>
      </w:r>
    </w:p>
    <w:p>
      <w:pPr>
        <w:spacing w:before="120" w:after="120"/>
      </w:pPr>
      <w:r>
        <w:rPr>
          <w:sz w:val="18"/>
        </w:rPr>
        <w:t>——————————————————————————————————————————————————————————————————————</w:t>
      </w:r>
    </w:p>
    <w:p>
      <w:pPr>
        <w:spacing w:before="160" w:after="40" w:line="240" w:lineRule="auto"/>
      </w:pPr>
      <w:r>
        <w:rPr>
          <w:b/>
        </w:rPr>
        <w:t xml:space="preserve">[387] </w:t>
      </w:r>
      <w:hyperlink r:id="rId1311">
        <w:r>
          <w:rPr>
            <w:color w:val="1155CC"/>
            <w:u w:val="single"/>
          </w:rPr>
          <w:t>一种用于安装酪氨酸磷酸化模拟物的位点特异性有机金属方法，以破译磷酸化在 α-突触核蛋白聚集和播种中的作用</w:t>
        </w:r>
      </w:hyperlink>
    </w:p>
    <w:p>
      <w:pPr>
        <w:spacing w:before="0" w:after="80"/>
      </w:pPr>
      <w:r>
        <w:rPr>
          <w:i/>
          <w:sz w:val="20"/>
        </w:rPr>
        <w:t>EN: A Site-Specific Organometallic Approach for Installing Tyrosine Phosphorylation Mimics to Decipher the Role of Phosphorylation in α-Synuclein Aggregation and Seeding</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12">
        <w:r>
          <w:rPr>
            <w:color w:val="1155CC"/>
            <w:u w:val="single"/>
          </w:rPr>
          <w:t>10.1021/jacs.6c12345</w:t>
        </w:r>
      </w:hyperlink>
    </w:p>
    <w:p>
      <w:pPr>
        <w:spacing w:before="0" w:after="120"/>
      </w:pPr>
      <w:r>
        <w:rPr>
          <w:b/>
        </w:rPr>
        <w:t xml:space="preserve">Notes: </w:t>
      </w:r>
      <w:r>
        <w:t>abstract_source=crossref</w:t>
      </w:r>
    </w:p>
    <w:p>
      <w:pPr>
        <w:spacing w:before="0" w:after="80" w:lineRule="auto" w:line="276"/>
      </w:pPr>
      <w:r>
        <w:rPr>
          <w:b/>
        </w:rPr>
        <w:t xml:space="preserve">摘要（ZH）: </w:t>
      </w:r>
      <w:r>
        <w:t>摘要 多项研究已经确定路易体 (LB) 内多个酪氨酸残基（Y39、Y125、Y133 和 Y136）上的 α-突触核蛋白 (aSyn) 磷酸化，这是帕金森病 (PD) 的病理标志。然而，了解每个位点磷酸化的具体作用，或者多个磷酸化位点如何相互作用，一直具有挑战性。在此，我们提出了一种有效的方法，利用有机金属钯复合物通过半胱氨酸芳基化位点特异性地附着拟磷基团，非常模仿天然磷酸化。使用这种方法，我们成功地将类似天然的酪氨酸磷酸化模拟物整合到含有半胱氨酸的蛋白质中，例如合成转录因子 Max 和重组 aSyn，且产量良好。为了证明该方法的多功能性，我们创建了一个单磷酸化、二磷酸化和三磷酸化 aSyn 类似物的重点库。这一进展首次使得研究多个 C 末端酪氨酸残基的位点特异性磷酸化对 aSyn 原纤维化和聚集的影响成为可能。我们的结果表明，任何 C 端位点的单磷酸化对聚集的影响很小，而二磷酸化和三磷酸化则减慢了这一过程，与野生型 aSyn 相比延长了滞后期。此外，在突触核蛋白病理学的哺乳动物和神经元模型中，Y39 的磷酸化使 aSyn 原纤维的播种活性降低了近 2-4 倍。总体而言，我们的策略提供了一种快速、选择性和可扩展的方法来引入芳香族 PTM，产生均质蛋白质文库</w:t>
      </w:r>
    </w:p>
    <w:p>
      <w:pPr>
        <w:spacing w:before="0" w:after="200" w:lineRule="auto" w:line="276"/>
      </w:pPr>
      <w:r>
        <w:rPr>
          <w:b/>
        </w:rPr>
        <w:t xml:space="preserve">Abstract (EN): </w:t>
      </w:r>
      <w:r>
        <w:t>Several studies have identified phosphorylation of α-synuclein (aSyn) at multiple tyrosine residues (Y39, Y125, Y133, and Y136) within Lewy bodies (LB), which are the pathological hallmarks of Parkinson’s disease (PD). However, understanding the specific role of phosphorylation at each site, or how multiple phosphorylation sites interact, has been challenging. Herein, we present an efficient method that leverages an organometallic Pd-complex to site-specifically attach phosphomimetic groups via Cys-arylation, closely mimicking natural phosphorylation. Using this approach, we successfully incorporated native-like tyrosine phosphorylation mimics into cysteine-containing proteins like synthetic transcription factor Max and recombinant aSyn, in good yields. To demonstrate the method’s versatility, we created a focused library of mono-, di-, and triphosphorylated aSyn analogues. This development enabled, for the first time, the investigation of the effect of site-specific phosphorylation at multiple C-terminal tyrosine residues on aSyn fibrillization and aggregation. Our results show that monophosphorylation at any of the C-terminal sites has little effect on aggregation, while di- and triphosphorylation slows down the process, extending the lag phase compared to wild-type aSyn. Additionally, phosphorylation at Y39 reduces the seeding activity of aSyn fibrils by almost 2–4-fold in both mammalian and neuronal models of synuclein pathology. Overall, our strategy provides a rapid, selective, and scalable way to introduce aromatic PTMs, producing homogeneous protein libraries essential for mechanistic studies, biomarker development, and exploring the therapeutic potential of targeting aSyn-phosphorylation for PD and related disorders.</w:t>
      </w:r>
    </w:p>
    <w:p>
      <w:pPr>
        <w:spacing w:before="120" w:after="120"/>
      </w:pPr>
      <w:r>
        <w:rPr>
          <w:sz w:val="18"/>
        </w:rPr>
        <w:t>——————————————————————————————————————————————————————————————————————</w:t>
      </w:r>
    </w:p>
    <w:p>
      <w:pPr>
        <w:spacing w:before="160" w:after="40" w:line="240" w:lineRule="auto"/>
      </w:pPr>
      <w:r>
        <w:rPr>
          <w:b/>
        </w:rPr>
        <w:t xml:space="preserve">[388] </w:t>
      </w:r>
      <w:hyperlink r:id="rId1313">
        <w:r>
          <w:rPr>
            <w:color w:val="1155CC"/>
            <w:u w:val="single"/>
          </w:rPr>
          <w:t>使用二聚 Lanmodulins 进行近邻重稀土分离和传感</w:t>
        </w:r>
      </w:hyperlink>
    </w:p>
    <w:p>
      <w:pPr>
        <w:spacing w:before="0" w:after="80"/>
      </w:pPr>
      <w:r>
        <w:rPr>
          <w:i/>
          <w:sz w:val="20"/>
        </w:rPr>
        <w:t>EN: Near-Adjacent Heavy Lanthanide Separation and Sensing Using Dimerizing Lanmodulins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14">
        <w:r>
          <w:rPr>
            <w:color w:val="1155CC"/>
            <w:u w:val="single"/>
          </w:rPr>
          <w:t>10.1021/jacs.6c08525</w:t>
        </w:r>
      </w:hyperlink>
    </w:p>
    <w:p>
      <w:pPr>
        <w:spacing w:before="0" w:after="120"/>
      </w:pPr>
      <w:r>
        <w:rPr>
          <w:b/>
        </w:rPr>
        <w:t xml:space="preserve">Notes: </w:t>
      </w:r>
      <w:r>
        <w:t>abstract_source=crossref</w:t>
      </w:r>
    </w:p>
    <w:p>
      <w:pPr>
        <w:spacing w:before="0" w:after="80" w:lineRule="auto" w:line="276"/>
      </w:pPr>
      <w:r>
        <w:rPr>
          <w:b/>
        </w:rPr>
        <w:t xml:space="preserve">摘要（ZH）: </w:t>
      </w:r>
      <w:r>
        <w:t>摘要 自从发现兰莫杜林 (LanM) 蛋白以来，基于蛋白质的稀土元素 (RE) 回收、检测和分离已经加速。虽然在总 RE 回收率方面表现出色，但之前的蛋白质与大多数配体一样，无论是在检测还是分离中，区分 RE 的能力都有限。在这里，我们报告了两种二聚化 LanM（Al-LanM 和 Xan-LanM）来应对这些挑战。这些蛋白质在生物分子中独一无二，可促进多达六种特定 RE 的发光，使其能够用作生物传感器来寻找积累有价值的重 RE（铽）的细菌。 Al-LanM 和结构引导变体在 11 个 RE、Nd-Lu 范围内的平均相邻元素分离因子 (SF) 为 2.1，对于任何配体、蛋白质或其他物质来说都是最好的。通过构建和固定能够自二聚化的 Al-LanM 串联二聚体，我们相对于固定单体几乎加倍了 SF(Nd/Dy)，确定了蛋白质二聚化放大了 RE 辨别力。利用这种柱上二聚行为，我们从钠铜矿矿石中提取的混合稀土浸出液中实现了 Y、Dy、Gd、Sm 和 Nd 的相互分离，纯度达到 &gt;95%，每种元素只需一个 pH 阶跃。在通过迄今为止最简单的解吸方案实现稳健的基于蛋白质的分离过程中，我们的工作强调了生物学用于调节金属离子选择性的许多旋钮，并引入高性能生物配体来识别重稀土积累生物体并分离最有价值的稀土，NdIII-LuIII。</w:t>
      </w:r>
    </w:p>
    <w:p>
      <w:pPr>
        <w:spacing w:before="0" w:after="200" w:lineRule="auto" w:line="276"/>
      </w:pPr>
      <w:r>
        <w:rPr>
          <w:b/>
        </w:rPr>
        <w:t xml:space="preserve">Abstract (EN): </w:t>
      </w:r>
      <w:r>
        <w:t>Protein-based recovery, detection, and separation of rare earth elements (REs) have accelerated since the discovery of the lanmodulin (LanM) proteins. While exceptional at total RE recovery, prior proteins, like most ligands, exhibited limited ability to differentiate REs, whether in detection or separations. Here we report two dimerizing LanMs (Al-LanM and Xan-LanM) that address these challenges. Uniquely among biomolecules, these proteins promote luminescence of up to six specific REs, enabling their use as biosensors to prospect for bacteria that accumulate the valuable heavy RE, terbium. The average adjacent-element separation factor (SF) for Al-LanM and structure-guided variants over the range of 11 REs, Nd–Lu, is 2.1, among the best for any ligand, protein or otherwise. By construction and immobilization of tandem dimers of Al-LanM competent to self-dimerize, we nearly double SF(Nd/Dy) relative to the immobilized monomer, establishing that protein dimerization amplifies RE discrimination. Leveraging this on-column dimerization behavior, we achieve separation of Y, Dy, Gd, Sm, and Nd from one another to &amp;gt;95% purities from a mixed-RE leachate derived from allanite ore, with just one pH step per element. In achieving robust protein-based separations with the simplest desorption scheme to date, our work highlights the many knobs biology uses to tune metal ion selectivity and introduces high-performance bioligands to identify heavy RE-accumulating organisms and to separate the most valuable REs, NdIII–LuIII.</w:t>
      </w:r>
    </w:p>
    <w:p>
      <w:pPr>
        <w:spacing w:before="120" w:after="120"/>
      </w:pPr>
      <w:r>
        <w:rPr>
          <w:sz w:val="18"/>
        </w:rPr>
        <w:t>——————————————————————————————————————————————————————————————————————</w:t>
      </w:r>
    </w:p>
    <w:p>
      <w:pPr>
        <w:spacing w:before="160" w:after="40" w:line="240" w:lineRule="auto"/>
      </w:pPr>
      <w:r>
        <w:rPr>
          <w:b/>
        </w:rPr>
        <w:t xml:space="preserve">[389] </w:t>
      </w:r>
      <w:hyperlink r:id="rId1315">
        <w:r>
          <w:rPr>
            <w:color w:val="1155CC"/>
            <w:u w:val="single"/>
          </w:rPr>
          <w:t>环氧化物与苯胺开环反应的手性锑催化剂设计</w:t>
        </w:r>
      </w:hyperlink>
    </w:p>
    <w:p>
      <w:pPr>
        <w:spacing w:before="0" w:after="80"/>
      </w:pPr>
      <w:r>
        <w:rPr>
          <w:i/>
          <w:sz w:val="20"/>
        </w:rPr>
        <w:t>EN: Design of Chiral Antimony Catalyst for Ring-Opening Reaction of Epoxides with Anilines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16">
        <w:r>
          <w:rPr>
            <w:color w:val="1155CC"/>
            <w:u w:val="single"/>
          </w:rPr>
          <w:t>10.1021/jacs.6c13007</w:t>
        </w:r>
      </w:hyperlink>
    </w:p>
    <w:p>
      <w:pPr>
        <w:spacing w:before="0" w:after="120"/>
      </w:pPr>
      <w:r>
        <w:rPr>
          <w:b/>
        </w:rPr>
        <w:t xml:space="preserve">Notes: </w:t>
      </w:r>
      <w:r>
        <w:t>abstract_source=crossref</w:t>
      </w:r>
    </w:p>
    <w:p>
      <w:pPr>
        <w:spacing w:before="0" w:after="80" w:lineRule="auto" w:line="276"/>
      </w:pPr>
      <w:r>
        <w:rPr>
          <w:b/>
        </w:rPr>
        <w:t xml:space="preserve">摘要（ZH）: </w:t>
      </w:r>
      <w:r>
        <w:t>摘要 氮键催化已成为一种有前景的非共价转化工具。然而，其在不对称催化中的应用仍处于起步阶段，这很大程度上是由于缺乏有效的手性催化剂和活化模式。在此，我们报道了一种新型手性锑催化剂，具有强σ-空穴强度和可调节的手性环境，该催化剂很容易由带有吸电子取代基的四芳基溴化锑和手性磷酸银组装而成。这些催化剂能够使环氧化物与苯胺发生不对称开环，以高产率和优异的对映选择性提供一系列手性 β-氨基醇。包括控制实验、核磁共振波谱和 DFT 计算在内的机理研究表明，这种增强的 σ 孔特征对于环氧化物的亲电活化至关重要。总的来说，这项工作将手性锑催化剂建立为不对称磷元素键合催化的强大且通用的平台。</w:t>
      </w:r>
    </w:p>
    <w:p>
      <w:pPr>
        <w:spacing w:before="0" w:after="200" w:lineRule="auto" w:line="276"/>
      </w:pPr>
      <w:r>
        <w:rPr>
          <w:b/>
        </w:rPr>
        <w:t xml:space="preserve">Abstract (EN): </w:t>
      </w:r>
      <w:r>
        <w:t>Pnictogen-bonding catalysis has emerged as a promising tool for noncovalent transformations; however, its application in asymmetric catalysis remains in its infancy, largely due to the scarcity of efficient chiral catalysts and activating modes. Herein, we report a new class of chiral antimony catalysts featuring strong σ-hole strength and a tunable chiral environment, which are readily assembled from tetraarylantimony bromides bearing electron-withdrawing substituents and chiral silver phosphates. These catalysts enable the asymmetric ring-opening of epoxides with anilines, affording a range of chiral β-amino alcohols in high yields and with excellent enantioselectivities. Mechanistic studies, including control experiments, NMR spectroscopy, and DFT calculations, reveal that this enhanced σ-hole character is crucial for the electrophilic activation of epoxides. Collectively, this work establishes chiral antimony catalysts as a powerful and general platform for asymmetric pnictogen-bonding catalysis.</w:t>
      </w:r>
    </w:p>
    <w:p>
      <w:pPr>
        <w:spacing w:before="120" w:after="120"/>
      </w:pPr>
      <w:r>
        <w:rPr>
          <w:sz w:val="18"/>
        </w:rPr>
        <w:t>——————————————————————————————————————————————————————————————————————</w:t>
      </w:r>
    </w:p>
    <w:p>
      <w:pPr>
        <w:spacing w:before="160" w:after="40" w:line="240" w:lineRule="auto"/>
      </w:pPr>
      <w:r>
        <w:rPr>
          <w:b/>
        </w:rPr>
        <w:t xml:space="preserve">[390] </w:t>
      </w:r>
      <w:hyperlink r:id="rId1317">
        <w:r>
          <w:rPr>
            <w:color w:val="1155CC"/>
            <w:u w:val="single"/>
          </w:rPr>
          <w:t>从配体中心单线态和三线态到三价镧系离子的双通道能量转移</w:t>
        </w:r>
      </w:hyperlink>
    </w:p>
    <w:p>
      <w:pPr>
        <w:spacing w:before="0" w:after="80"/>
      </w:pPr>
      <w:r>
        <w:rPr>
          <w:i/>
          <w:sz w:val="20"/>
        </w:rPr>
        <w:t>EN: Dual-Channel Energy Transfer from Ligand-Centered Singlet and Triplet States to Trivalent Lanthanide Ions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18">
        <w:r>
          <w:rPr>
            <w:color w:val="1155CC"/>
            <w:u w:val="single"/>
          </w:rPr>
          <w:t>10.1021/jacs.6c09124</w:t>
        </w:r>
      </w:hyperlink>
    </w:p>
    <w:p>
      <w:pPr>
        <w:spacing w:before="0" w:after="120"/>
      </w:pPr>
      <w:r>
        <w:rPr>
          <w:b/>
        </w:rPr>
        <w:t xml:space="preserve">Notes: </w:t>
      </w:r>
      <w:r>
        <w:t>abstract_source=crossref</w:t>
      </w:r>
    </w:p>
    <w:p>
      <w:pPr>
        <w:spacing w:before="0" w:after="80" w:lineRule="auto" w:line="276"/>
      </w:pPr>
      <w:r>
        <w:rPr>
          <w:b/>
        </w:rPr>
        <w:t xml:space="preserve">摘要（ZH）: </w:t>
      </w:r>
      <w:r>
        <w:t>摘要 高效的光捕获和随后的能量转移 (EnT) 到三价镧系元素离子 (LnIII) 对于实现高性能发光 LnIII 配合物至关重要。然而，由于潜在动态过程的复杂性，对其敏化机制的深入研究仍然有限。在这项工作中，我们使用稳态和瞬态吸收和发射光谱系统地研究了三种中性 LnIII 配合物（GdIIIL、TbIIIL 和 EuIIIL），它们都具有相同的喹诺酮配体。我们的研究揭示了 GdIIIL 中从配体中心最低单重激发态 (S1) 到配体中心最低三重激发态 (T1) 的有效系间穿越 (ISC)，以及从配体中心 S1 和 T1 到 TbIIIL 和 EuIIIL 中金属中心激发态 (LnIII*) 的双通道 EnT。更重要的是，ISC和EnT之间来自以配体为中心的S1的竞争决定了主要的敏化途径，导致TbIIIL中的主要EnT来自T1，而EuIIIL中的EnT来自S1。这些发现为LnIII配合物的敏化机制提供了更深入的见解，并为新型LnIII基发光材料的设计提供了有价值的指导。</w:t>
      </w:r>
    </w:p>
    <w:p>
      <w:pPr>
        <w:spacing w:before="0" w:after="200" w:lineRule="auto" w:line="276"/>
      </w:pPr>
      <w:r>
        <w:rPr>
          <w:b/>
        </w:rPr>
        <w:t xml:space="preserve">Abstract (EN): </w:t>
      </w:r>
      <w:r>
        <w:t>Efficient light harvesting and subsequent energy transfer (EnT) to trivalent lanthanide ions (LnIII) are critical for achieving high-performance luminescent LnIII complexes. However, because of the complexity of the underlying dynamic processes, in-depth investigations of their sensitization mechanisms are still limited. In this work, we systematically studied three neutral LnIII complexes (GdIIIL, TbIIIL, and EuIIIL), all featuring the same carbostyril ligand, using steady-state and transient absorption and emission spectroscopy. Our study revealed efficient intersystem crossing (ISC) from the ligand-centered lowest singlet excited state (S1) to the ligand-centered lowest triplet excited state (T1) in GdIIIL, as well as dual-channel EnT from both ligand-centered S1 and T1 to the metal-centered excited state (LnIII*) in TbIIIL and EuIIIL. More importantly, the competition between ISC and EnT from the ligand-centered S1 determines the predominant sensitization pathway, resulting in the main EnT from T1 in TbIIIL, while EnT is from S1 in EuIIIL. These findings provide deeper insights into the sensitization mechanisms of LnIII complexes and offer valuable guidance for the design of new LnIII-based luminescent materials.</w:t>
      </w:r>
    </w:p>
    <w:p>
      <w:pPr>
        <w:spacing w:before="120" w:after="120"/>
      </w:pPr>
      <w:r>
        <w:rPr>
          <w:sz w:val="18"/>
        </w:rPr>
        <w:t>——————————————————————————————————————————————————————————————————————</w:t>
      </w:r>
    </w:p>
    <w:p>
      <w:pPr>
        <w:spacing w:before="160" w:after="40" w:line="240" w:lineRule="auto"/>
      </w:pPr>
      <w:r>
        <w:rPr>
          <w:b/>
        </w:rPr>
        <w:t xml:space="preserve">[391] </w:t>
      </w:r>
      <w:hyperlink r:id="rId1319">
        <w:r>
          <w:rPr>
            <w:color w:val="1155CC"/>
            <w:u w:val="single"/>
          </w:rPr>
          <w:t>使用可解释的深度学习和分子模拟解码 CRISPR 相关转座子中的 TnsC 丝组装</w:t>
        </w:r>
      </w:hyperlink>
    </w:p>
    <w:p>
      <w:pPr>
        <w:spacing w:before="0" w:after="80"/>
      </w:pPr>
      <w:r>
        <w:rPr>
          <w:i/>
          <w:sz w:val="20"/>
        </w:rPr>
        <w:t>EN: Decoding TnsC Filament Assembly in CRISPR-Associated Transposons Using Interpretable Deep Learning and Molecular Simulations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20">
        <w:r>
          <w:rPr>
            <w:color w:val="1155CC"/>
            <w:u w:val="single"/>
          </w:rPr>
          <w:t>10.1021/jacs.6c05500</w:t>
        </w:r>
      </w:hyperlink>
    </w:p>
    <w:p>
      <w:pPr>
        <w:spacing w:before="0" w:after="120"/>
      </w:pPr>
      <w:r>
        <w:rPr>
          <w:b/>
        </w:rPr>
        <w:t xml:space="preserve">Notes: </w:t>
      </w:r>
      <w:r>
        <w:t>abstract_source=crossref</w:t>
      </w:r>
    </w:p>
    <w:p>
      <w:pPr>
        <w:spacing w:before="0" w:after="80" w:lineRule="auto" w:line="276"/>
      </w:pPr>
      <w:r>
        <w:rPr>
          <w:b/>
        </w:rPr>
        <w:t xml:space="preserve">摘要（ZH）: </w:t>
      </w:r>
      <w:r>
        <w:t>摘要 CRISPR 相关转座子 (CAST) 能够实现可编程 DNA 整合，但 TnsC 调节因子如何在 DNA 上形成持续丝以协调 V-K 型 CAST 系统中 RNA 引导的转座仍然未知。在这里，我们整合了大规模分子模拟、使用图注意网络 (GAT) 的可解释深度学习以及因果推理分析来定义 TnsC 丝成核和伸长的分子决定因素。我们表明，TnsC 通过诱导沿着延伸丝传播的局部 DNA 变形来成核，格兰杰因果关系揭示了 TnsC 运动先于并预测 DNA 变形。可解释的 GAT 模型表明，伸长是在传入亚基和 DNA 结合亚基之间的早期识别过程中确定的，随后进行结构重组，重新生成招募界面并实现加工组装。这些结果阐明了进行性 TnsC 丝组装的分子机制，并解释了为什么孤立的 TnsC 丝优先沿 5′ → 3′ 方向伸长，而辅助转座因子可以重塑相互作用景观并改变丝生长极性。总之，这些发现增进了我们对 CAST 功能的理解，并为可编程 DNA 集成平台的工程设计提供了信息。除了 CAST 系统之外，这项工作还引入了一种可解释的 GAT 方法，作为一种通用且可转移的深度学习策略，用于揭示生物系统中的分子机制，同时展示因果推理在剖析方向关系方面的力量</w:t>
      </w:r>
    </w:p>
    <w:p>
      <w:pPr>
        <w:spacing w:before="0" w:after="200" w:lineRule="auto" w:line="276"/>
      </w:pPr>
      <w:r>
        <w:rPr>
          <w:b/>
        </w:rPr>
        <w:t xml:space="preserve">Abstract (EN): </w:t>
      </w:r>
      <w:r>
        <w:t>CRISPR-associated transposons (CASTs) enable programmable DNA integration, yet how the TnsC regulator forms processive filaments on DNA to coordinate RNA-guided transposition in type V-K CAST systems remains unknown. Here, we integrate large-scale molecular simulations, interpretable deep learning using graph attention networks (GATs), and causal inference analyses to define the molecular determinants of TnsC filament nucleation and elongation. We show that TnsC nucleates by inducing localized DNA deformation that propagates along extended filaments, with Granger causality revealing that TnsC motions precede and predict DNA deformation. Interpretable GAT models demonstrate that elongation is determined during early recognition between incoming and DNA-bound subunits, followed by structural reorganization that regenerates the recruitment interface and enables processive assembly. These results elucidate the molecular mechanism of processive TnsC filament assembly and explain why isolated TnsC filaments preferentially elongate in the 5′ → 3′ direction, while accessory transposition factors can reshape the interaction landscape and alter filament growth polarity. Together, these findings advance our understanding of CAST function and inform the engineering of programmable DNA integration platforms. Beyond CAST systems, this work introduces an interpretable GAT approach as a general and transferable deep learning strategy for uncovering molecular mechanisms in biological systems, while demonstrating the power of causal inference for dissecting directional relationships in molecular dynamics.</w:t>
      </w:r>
    </w:p>
    <w:p>
      <w:pPr>
        <w:spacing w:before="120" w:after="120"/>
      </w:pPr>
      <w:r>
        <w:rPr>
          <w:sz w:val="18"/>
        </w:rPr>
        <w:t>——————————————————————————————————————————————————————————————————————</w:t>
      </w:r>
    </w:p>
    <w:p>
      <w:pPr>
        <w:spacing w:before="160" w:after="40" w:line="240" w:lineRule="auto"/>
      </w:pPr>
      <w:r>
        <w:rPr>
          <w:b/>
        </w:rPr>
        <w:t xml:space="preserve">[392] </w:t>
      </w:r>
      <w:hyperlink r:id="rId1321">
        <w:r>
          <w:rPr>
            <w:color w:val="1155CC"/>
            <w:u w:val="single"/>
          </w:rPr>
          <w:t>环烯的双自由基特征使其能够进行热 (2 + 2) 环加成</w:t>
        </w:r>
      </w:hyperlink>
    </w:p>
    <w:p>
      <w:pPr>
        <w:spacing w:before="0" w:after="80"/>
      </w:pPr>
      <w:r>
        <w:rPr>
          <w:i/>
          <w:sz w:val="20"/>
        </w:rPr>
        <w:t>EN: Diradical Character of Cyclic Allenes Enables Their Thermal (2 + 2) Cycloadditions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22">
        <w:r>
          <w:rPr>
            <w:color w:val="1155CC"/>
            <w:u w:val="single"/>
          </w:rPr>
          <w:t>10.1021/jacs.6c09105</w:t>
        </w:r>
      </w:hyperlink>
    </w:p>
    <w:p>
      <w:pPr>
        <w:spacing w:before="0" w:after="120"/>
      </w:pPr>
      <w:r>
        <w:rPr>
          <w:b/>
        </w:rPr>
        <w:t xml:space="preserve">Notes: </w:t>
      </w:r>
      <w:r>
        <w:t>abstract_source=crossref</w:t>
      </w:r>
    </w:p>
    <w:p>
      <w:pPr>
        <w:spacing w:before="0" w:after="80" w:lineRule="auto" w:line="276"/>
      </w:pPr>
      <w:r>
        <w:rPr>
          <w:b/>
        </w:rPr>
        <w:t xml:space="preserve">摘要（ZH）: </w:t>
      </w:r>
      <w:r>
        <w:t>摘要 (2 + 2) 环加成是一种通用的转化，常用于环丁烷的合成。考虑到热 (2 + 2) 环加成对于无应变的全表面过渡态来说是轨道对称性禁止的，此类环加成通常需要使用光或其他合成解决方法。一种独特类型的 (2 + 2) 环加成涉及瞬态应变环状丙二烯，其在环境温度下无需外部刺激即可轻松进行。在本研究中，计算和实验表明这些环加成的可行性与环状丙二烯固有的双自由基特征有关。此外，Diels-Alder 和 (2 + 2) 环加成的比较立体化学转移实验与具有闭壳和开壳特征的应变环状丙二烯一致，从而使它们成为双自由基。这项研究预计将促进双自由基进一步战略性地用于复杂支架的组装。</w:t>
      </w:r>
    </w:p>
    <w:p>
      <w:pPr>
        <w:spacing w:before="0" w:after="200" w:lineRule="auto" w:line="276"/>
      </w:pPr>
      <w:r>
        <w:rPr>
          <w:b/>
        </w:rPr>
        <w:t xml:space="preserve">Abstract (EN): </w:t>
      </w:r>
      <w:r>
        <w:t>(2 + 2) Cycloadditions are a versatile transformation often employed in the synthesis of cyclobutanes. Such cycloadditions usually require the use of light or another synthetic workaround, given that thermal (2 + 2) cycloadditions are orbital symmetry-forbidden for unstrained all-suprafacial transition states. A unique type of (2 + 2) cycloaddition involves transient strained cyclic allenes, which proceed readily at ambient temperature without external stimuli. In the present study, computations and experiments show that the feasibility of these cycloadditions is tied to the inherent diradical character of the cyclic allenes. Moreover, comparative stereochemical transfer experiments for Diels–Alder and (2 + 2) cycloadditions are consistent with strained cyclic allenes having both closed- and open-shell character, thus rendering them diradicaloids. This study is expected to prompt the further strategic use of diradicaloids for the assembly of complex scaffolds.</w:t>
      </w:r>
    </w:p>
    <w:p>
      <w:pPr>
        <w:spacing w:before="120" w:after="120"/>
      </w:pPr>
      <w:r>
        <w:rPr>
          <w:sz w:val="18"/>
        </w:rPr>
        <w:t>——————————————————————————————————————————————————————————————————————</w:t>
      </w:r>
    </w:p>
    <w:p>
      <w:pPr>
        <w:spacing w:before="160" w:after="40" w:line="240" w:lineRule="auto"/>
      </w:pPr>
      <w:r>
        <w:rPr>
          <w:b/>
        </w:rPr>
        <w:t xml:space="preserve">[393] </w:t>
      </w:r>
      <w:hyperlink r:id="rId1323">
        <w:r>
          <w:rPr>
            <w:color w:val="1155CC"/>
            <w:u w:val="single"/>
          </w:rPr>
          <w:t>迭代设计的磷脂靶向超分子声敏剂用于肺部感染的精准治疗</w:t>
        </w:r>
      </w:hyperlink>
    </w:p>
    <w:p>
      <w:pPr>
        <w:spacing w:before="0" w:after="80"/>
      </w:pPr>
      <w:r>
        <w:rPr>
          <w:i/>
          <w:sz w:val="20"/>
        </w:rPr>
        <w:t>EN: Iteratively Designed Phospholipid-Targeted Supramolecular Sonosensitizers for Precision Treatment of Pulmonary Infections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24">
        <w:r>
          <w:rPr>
            <w:color w:val="1155CC"/>
            <w:u w:val="single"/>
          </w:rPr>
          <w:t>10.1021/jacs.6c10086</w:t>
        </w:r>
      </w:hyperlink>
    </w:p>
    <w:p>
      <w:pPr>
        <w:spacing w:before="0" w:after="120"/>
      </w:pPr>
      <w:r>
        <w:rPr>
          <w:b/>
        </w:rPr>
        <w:t xml:space="preserve">Notes: </w:t>
      </w:r>
      <w:r>
        <w:t>abstract_source=crossref</w:t>
      </w:r>
    </w:p>
    <w:p>
      <w:pPr>
        <w:spacing w:before="0" w:after="80" w:lineRule="auto" w:line="276"/>
      </w:pPr>
      <w:r>
        <w:rPr>
          <w:b/>
        </w:rPr>
        <w:t xml:space="preserve">摘要（ZH）: </w:t>
      </w:r>
      <w:r>
        <w:t>摘要 真菌感染对全球健康构成重大威胁，新的治疗选择的缺乏、耐药性的增加和宿主毒性加剧了这一威胁。声动力疗法（SDT）通过在深部病变内局部产生细胞毒性活性氧（ROS），为克服抗菌药物耐药性提供了一种有前途的方法。然而，用于体内抗真菌治疗的 SDT 的报道仍然很少，这主要是由于 ROS 生成效率欠佳、生物膜渗透性差以及缺乏真菌特异性。在此，我们报告了 RuB-C12 的迭代设计，RuB-C12 是一种磷脂靶向超分子声敏剂，通过配体和受体构建块的分子工程组装成 Ru(II) 金属环。超声激活后，RuB-C12 显着增强 ROS 产生，同时提高真菌膜亲和力和生物膜渗透性。机理研究表明，RuB-C12 通过破坏磷脂相变和扰乱细胞内氧化还原稳态来有效消除致病酵母。值得注意的是，与临床批准的两性霉素 B (SI &lt; 5) 相比，RuB-C12 对哺乳动物细胞表现出优异的选择性指数 (SI = 10–20)。在伤口和肺部白色念珠菌感染的小鼠模型以及临床标本中，RuB-C12 介导的 SDT 显着降低了真菌负荷，且不会引起可观察到的全身毒性。总的来说，这项工作强调了宿主与病原体的脂质差异是开发精确抗真菌策略的一个有前途的范例</w:t>
      </w:r>
    </w:p>
    <w:p>
      <w:pPr>
        <w:spacing w:before="0" w:after="200" w:lineRule="auto" w:line="276"/>
      </w:pPr>
      <w:r>
        <w:rPr>
          <w:b/>
        </w:rPr>
        <w:t xml:space="preserve">Abstract (EN): </w:t>
      </w:r>
      <w:r>
        <w:t>Fungal infections represent a significant global health threat, exacerbated by the scarcity of new therapeutic options, increasing drug resistance, and host toxicity. Sonodynamic therapy (SDT) offers a promising approach to overcoming antimicrobial resistance by enabling the localized generation of cytotoxic reactive oxygen species (ROS) within deep-seated lesions. Nevertheless, reports of SDT for in vivo antifungal treatment remain scarce, largely due to suboptimal ROS generation efficiency, poor biofilm penetration, and a lack of fungal specificity. Herein, we report the iterative design of RuB-C12, a phospholipid-targeted supramolecular sonosensitizer assembled via molecular engineering of ligand and acceptor building blocks into a Ru(II) metallocycle. Upon ultrasound activation, RuB-C12 markedly enhances ROS production while simultaneously improving the fungal membrane affinity and biofilm penetration. Mechanistic studies reveal that RuB-C12 effectively eradicates pathogenic yeasts by disrupting phospholipid phase transitions and perturbing intracellular redox homeostasis. Notably, RuB-C12 demonstrates a superior selectivity index (SI = 10–20) toward mammalian cells compared with the clinically approved amphotericin B (SI &amp;lt; 5). In murine models of wound and pulmonary Candida albicans infections as well as in clinical specimens, RuB-C12-mediated SDT significantly reduces fungal burden without inducing observable systemic toxicity. Collectively, this work highlights host–pathogen lipid disparity as a promising paradigm for developing precision antifungal strategies.</w:t>
      </w:r>
    </w:p>
    <w:p>
      <w:pPr>
        <w:spacing w:before="120" w:after="120"/>
      </w:pPr>
      <w:r>
        <w:rPr>
          <w:sz w:val="18"/>
        </w:rPr>
        <w:t>——————————————————————————————————————————————————————————————————————</w:t>
      </w:r>
    </w:p>
    <w:p>
      <w:pPr>
        <w:spacing w:before="160" w:after="40" w:line="240" w:lineRule="auto"/>
      </w:pPr>
      <w:r>
        <w:rPr>
          <w:b/>
        </w:rPr>
        <w:t xml:space="preserve">[394] </w:t>
      </w:r>
      <w:hyperlink r:id="rId1325">
        <w:r>
          <w:rPr>
            <w:color w:val="1155CC"/>
            <w:u w:val="single"/>
          </w:rPr>
          <w:t>二维分子晶体中铁电性和铁磁性共存的低对称冠醚设计</w:t>
        </w:r>
      </w:hyperlink>
    </w:p>
    <w:p>
      <w:pPr>
        <w:spacing w:before="0" w:after="80"/>
      </w:pPr>
      <w:r>
        <w:rPr>
          <w:i/>
          <w:sz w:val="20"/>
        </w:rPr>
        <w:t>EN: Low-Symmetry Crown Ether Design for Coexisting Ferroelectricity and Ferromagnetism in a Two-Dimensional Molecular Crystal</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26">
        <w:r>
          <w:rPr>
            <w:color w:val="1155CC"/>
            <w:u w:val="single"/>
          </w:rPr>
          <w:t>10.1021/jacs.6c10197</w:t>
        </w:r>
      </w:hyperlink>
    </w:p>
    <w:p>
      <w:pPr>
        <w:spacing w:before="0" w:after="120"/>
      </w:pPr>
      <w:r>
        <w:rPr>
          <w:b/>
        </w:rPr>
        <w:t xml:space="preserve">Notes: </w:t>
      </w:r>
      <w:r>
        <w:t>abstract_source=crossref</w:t>
      </w:r>
    </w:p>
    <w:p>
      <w:pPr>
        <w:spacing w:before="0" w:after="80" w:lineRule="auto" w:line="276"/>
      </w:pPr>
      <w:r>
        <w:rPr>
          <w:b/>
        </w:rPr>
        <w:t xml:space="preserve">摘要（ZH）: </w:t>
      </w:r>
      <w:r>
        <w:t>摘要 在单相中结合铁电性和铁磁性的多铁性材料是具有磁电（ME）功能的有前景的材料。与基于氧化物的系统相比，分子材料为实现耦合铁电行为提供了更大的结构可调性。在这里，我们报告了一种低对称性冠醚设计，用于构建[(o-氟苯胺+)(苯并[18]冠-6)][MnIICrIII(草酸盐)3]−层状分子晶体，其中超分子铁电性与二维铁磁层共存。该化合物在极性苯并[18]冠6分子的重新取向和构象变化的驱动下经历可逆的单晶到单晶相变，涉及180°面内旋转以及极性V形构象向平面构型的转变。单晶 X 射线衍射、介电测量、热释电流、P-E 磁滞回线和磁化率测量支持铁电性和铁磁性的共存。密度泛函理论（DFT）计算和结构分析确定了苯并[18]冠6单元的非共线超分子几何形状、它们的倾斜组装体以及作为自发极化起源的双稳态运动。这项工作证明了低对称性冠醚在设计分子多铁性材料中的有效性。</w:t>
      </w:r>
    </w:p>
    <w:p>
      <w:pPr>
        <w:spacing w:before="0" w:after="200" w:lineRule="auto" w:line="276"/>
      </w:pPr>
      <w:r>
        <w:rPr>
          <w:b/>
        </w:rPr>
        <w:t xml:space="preserve">Abstract (EN): </w:t>
      </w:r>
      <w:r>
        <w:t>Multiferroics combining ferroelectricity and ferromagnetism within a single phase are promising materials for magnetoelectric (ME) functionalities. Compared with oxide-based systems, molecular materials offer greater structural tunability for realizing coupled ferroic behavior. Here we report a low-symmetry crown ether design for constructing a layered molecular crystal of [(o-fluoroanilinium+)(benzo[18]crown-6)][MnIICrIII(oxalate)3]−, in which supramolecular ferroelectricity coexists with two-dimensional ferromagnetic layers. This compound undergoes a reversible, single-crystal-to-single-crystal phase transition driven by the reorientation and conformational change of the polar benzo[18]crown-6 molecule, involving a 180° in-plane rotation and transformation of a polar V-shaped conformation into a planar configuration. Single-crystal X-ray diffraction, dielectric measurements, pyroelectric current, P–E hysteresis loops, and magnetic susceptibility measurements support the coexistence of ferroelectricity and ferromagnetism. Density functional theory (DFT) calculations and structural analysis identify the noncollinear supramolecular geometry of benzo[18]crown-6 units, their tilted assemblies, and the bistable motion as the origin of spontaneous polarization. This work demonstrates the effectiveness of the low-symmetry crown ether in designing molecular multiferroics.</w:t>
      </w:r>
    </w:p>
    <w:p>
      <w:pPr>
        <w:spacing w:before="120" w:after="120"/>
      </w:pPr>
      <w:r>
        <w:rPr>
          <w:sz w:val="18"/>
        </w:rPr>
        <w:t>——————————————————————————————————————————————————————————————————————</w:t>
      </w:r>
    </w:p>
    <w:p>
      <w:pPr>
        <w:spacing w:before="160" w:after="40" w:line="240" w:lineRule="auto"/>
      </w:pPr>
      <w:r>
        <w:rPr>
          <w:b/>
        </w:rPr>
        <w:t xml:space="preserve">[395] </w:t>
      </w:r>
      <w:hyperlink r:id="rId1327">
        <w:r>
          <w:rPr>
            <w:color w:val="1155CC"/>
            <w:u w:val="single"/>
          </w:rPr>
          <w:t>扩大碳氢化合物景观：功能化ttt-[13]石墨烷的立体选择性合成</w:t>
        </w:r>
      </w:hyperlink>
    </w:p>
    <w:p>
      <w:pPr>
        <w:spacing w:before="0" w:after="80"/>
      </w:pPr>
      <w:r>
        <w:rPr>
          <w:i/>
          <w:sz w:val="20"/>
        </w:rPr>
        <w:t>EN: Expanding the Hydrocarbon Landscape: Stereoselective Synthesis of Functionalized ttt -[13]Graphanes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28">
        <w:r>
          <w:rPr>
            <w:color w:val="1155CC"/>
            <w:u w:val="single"/>
          </w:rPr>
          <w:t>10.1021/jacs.6c12162</w:t>
        </w:r>
      </w:hyperlink>
    </w:p>
    <w:p>
      <w:pPr>
        <w:spacing w:before="0" w:after="120"/>
      </w:pPr>
      <w:r>
        <w:rPr>
          <w:b/>
        </w:rPr>
        <w:t xml:space="preserve">Notes: </w:t>
      </w:r>
      <w:r>
        <w:t>abstract_source=crossref</w:t>
      </w:r>
    </w:p>
    <w:p>
      <w:pPr>
        <w:spacing w:before="0" w:after="80" w:lineRule="auto" w:line="276"/>
      </w:pPr>
      <w:r>
        <w:rPr>
          <w:b/>
        </w:rPr>
        <w:t xml:space="preserve">摘要（ZH）: </w:t>
      </w:r>
      <w:r>
        <w:t>摘要 尽管医药和材料化学领域对刚性、富含 sp3 的 3D 碳氢框架非常感兴趣，但 [13] 石墨烷基支架的合成仍然受到限制，因此尚未得到充分开发。在此，我们报告了一种利用关键二烯复分解级联的 ttt-[13]graphanyl 结构的可扩展、从头立体选择性合成。为了克服中心碳顶点的深刻空间屏蔽，我们利用自由基介导的光催化脱羧来安装不同的官能团，生成中心衍生化的 ttt-[13]G 类似物库。互补的外设功能化也通过位点选择性 MHAT 化学实现。密度泛函理论 (DFT) 计算合理化了经验反应性趋势，绘制了吉斯添加和氢原子转移猝灭之间的竞争格局。最后，X射线晶体学分析证实了刚性三环骨架的依赖于取代基的“拱形”变形。总之，这些结果为将[13]石墨烷结构融入先进的功能分子提供了综合基础，为合理的分子设计提供了新的3D节点。</w:t>
      </w:r>
    </w:p>
    <w:p>
      <w:pPr>
        <w:spacing w:before="0" w:after="200" w:lineRule="auto" w:line="276"/>
      </w:pPr>
      <w:r>
        <w:rPr>
          <w:b/>
        </w:rPr>
        <w:t xml:space="preserve">Abstract (EN): </w:t>
      </w:r>
      <w:r>
        <w:t>Despite the significant interest in rigid, sp3-rich 3D hydrocarbon frameworks in medicinal and materials chemistry, the [13]graphanyl scaffold has remained synthetically prohibitive and, consequently, underexplored. Herein, we report a scalable, de novo stereoselective synthesis of the ttt-[13]graphanyl architecture utilizing a key dienyne metathesis cascade. To overcome the profound steric shielding at the central carbon vertex, we harnessed radical-mediated photocatalytic decarboxylation to install diverse functional groups, generating a library of centrally derivatized ttt-[13]G analogues. Complementary peripheral functionalization was also achieved via site-selective MHAT chemistry. Density functional theory (DFT) calculations rationalized the empirical reactivity trends, mapping the competitive landscape between Giese additions and hydrogen-atom transfer quenching. Finally, X-ray crystallographic analyses confirmed a substituent-dependent “doming” distortion of the rigid tricyclic framework. Together, these results provide a synthetic foundation to incorporate the [13]graphane architecture into advanced functional molecules, offering a new 3D node for rational molecular design.</w:t>
      </w:r>
    </w:p>
    <w:p>
      <w:pPr>
        <w:spacing w:before="120" w:after="120"/>
      </w:pPr>
      <w:r>
        <w:rPr>
          <w:sz w:val="18"/>
        </w:rPr>
        <w:t>——————————————————————————————————————————————————————————————————————</w:t>
      </w:r>
    </w:p>
    <w:p>
      <w:pPr>
        <w:spacing w:before="160" w:after="40" w:line="240" w:lineRule="auto"/>
      </w:pPr>
      <w:r>
        <w:rPr>
          <w:b/>
        </w:rPr>
        <w:t xml:space="preserve">[396] </w:t>
      </w:r>
      <w:hyperlink r:id="rId1329">
        <w:r>
          <w:rPr>
            <w:color w:val="1155CC"/>
            <w:u w:val="single"/>
          </w:rPr>
          <w:t>我们对简并自由基自旋系统理解的概念转变：自旋-旋转耦合的彻底转变</w:t>
        </w:r>
      </w:hyperlink>
    </w:p>
    <w:p>
      <w:pPr>
        <w:spacing w:before="0" w:after="80"/>
      </w:pPr>
      <w:r>
        <w:rPr>
          <w:i/>
          <w:sz w:val="20"/>
        </w:rPr>
        <w:t>EN: Conceptual Shift in Our Understanding of Degenerate Radical Spin Systems: Spin-Rotation Coupling Turned on Its Head</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30">
        <w:r>
          <w:rPr>
            <w:color w:val="1155CC"/>
            <w:u w:val="single"/>
          </w:rPr>
          <w:t>10.1021/jacs.6c05615</w:t>
        </w:r>
      </w:hyperlink>
    </w:p>
    <w:p>
      <w:pPr>
        <w:spacing w:before="0" w:after="120"/>
      </w:pPr>
      <w:r>
        <w:rPr>
          <w:b/>
        </w:rPr>
        <w:t xml:space="preserve">Notes: </w:t>
      </w:r>
      <w:r>
        <w:t>abstract_source=crossref</w:t>
      </w:r>
    </w:p>
    <w:p>
      <w:pPr>
        <w:spacing w:before="0" w:after="80" w:lineRule="auto" w:line="276"/>
      </w:pPr>
      <w:r>
        <w:rPr>
          <w:b/>
        </w:rPr>
        <w:t xml:space="preserve">摘要（ZH）: </w:t>
      </w:r>
      <w:r>
        <w:t>摘要 对于大多数化学家来说，克莱默简并性是指对于任何自由基系统，对于所有核位置 X，每个势能面至少是双重简并的（具有自旋向上和自旋向下，时间反转解）。然而，正如自旋化学家群体所熟知的那样，人们可以通过实验检测到双重态系统的大多数旋转能级的分裂，这强调了核运动打破了这种玻恩-奥本海默（BO）电子态的自旋简并性。因此，BO简并性对于光谱学的影响非常有限，除非进一步以一种稳健的方式包括核电子纠缠。事实上，在 BO 势能面的范式中，理解自由基分子（及其稳态的简并性）可能非常不直观。作为 BO 理论的替代方案，最近的发展建议将自由基势能表面表征为核位置 X 和核动量 P 的函数，这种方法已被证明可以恢复 BO 理论之外的许多可观察量，例如振动圆二色性、拉曼旋光性和 lambda 倍增。在这里，我们证明这种技术预测不同的自旋态将遵循不同的（非简并）势能表面，并且这些自旋相关表面的差异在数量上与实验自旋旋转耦合一致——所有这些都不与总体克莱默简并性相矛盾。因此，目前的发现表明，关于自旋分辨分子反应还有很多东西需要了解。</w:t>
      </w:r>
    </w:p>
    <w:p>
      <w:pPr>
        <w:spacing w:before="0" w:after="200" w:lineRule="auto" w:line="276"/>
      </w:pPr>
      <w:r>
        <w:rPr>
          <w:b/>
        </w:rPr>
        <w:t xml:space="preserve">Abstract (EN): </w:t>
      </w:r>
      <w:r>
        <w:t>For most chemists, Kramers’ degeneracy refers to the fact that for any radical system, every potential energy surface is at least doubly degenerate (with spin up and spin down, time-reversed solutions) for all nuclear positions X. Yet, as is well-known to the community of spin chemists, one can experimentally detect a splitting of most rotational levels for a doublet system, highlighting that nuclear motion breaks the spin degeneracy of such Born–Oppenheimer (BO) electronic states. Thus, the implications of BO degeneracy are very limited for spectroscopy unless one further includes nuclear-electronic entanglement in a robust fashion; indeed, understanding radical molecules (and the degeneracy of their stationary states) can be quite nonintuitive within the paradigm of BO potential energy surfaces. As an alternative to BO theory, recent developments have suggested characterizing radical potential energy surfaces as functions of both nuclear position X and nuclear momentum P, an approach which has been shown to recover a host of observables outside of BO theory, e.g., vibrational circular dichroism, Raman optical activity, and lambda-doubling. Here, we show that such a technique predicts that different spin states will follow different (nondegenerate) potential energy surfaces and that the differences in these spin-dependent surfaces are quantitatively consistent with experimental spin-rotation couplings─all without contradiction to overall Kramers’ degeneracy. Thus, the present finding suggests that there is still much to learn about spin-resolved molecular reactivity, demanding a conceptual shift in our understanding of coupled spin-nuclear motion, especially in chiral molecules and materials where spin-separation is known to arise.</w:t>
      </w:r>
    </w:p>
    <w:p>
      <w:pPr>
        <w:spacing w:before="120" w:after="120"/>
      </w:pPr>
      <w:r>
        <w:rPr>
          <w:sz w:val="18"/>
        </w:rPr>
        <w:t>——————————————————————————————————————————————————————————————————————</w:t>
      </w:r>
    </w:p>
    <w:p>
      <w:pPr>
        <w:spacing w:before="160" w:after="40" w:line="240" w:lineRule="auto"/>
      </w:pPr>
      <w:r>
        <w:rPr>
          <w:b/>
        </w:rPr>
        <w:t xml:space="preserve">[397] </w:t>
      </w:r>
      <w:hyperlink r:id="rId1331">
        <w:r>
          <w:rPr>
            <w:color w:val="1155CC"/>
            <w:u w:val="single"/>
          </w:rPr>
          <w:t>线性双配位铁（II）和钴（II）双核配合物：各向异性金属中心之间磁交换的几何控制</w:t>
        </w:r>
      </w:hyperlink>
    </w:p>
    <w:p>
      <w:pPr>
        <w:spacing w:before="0" w:after="80"/>
      </w:pPr>
      <w:r>
        <w:rPr>
          <w:i/>
          <w:sz w:val="20"/>
        </w:rPr>
        <w:t>EN: Dinuclear Complexes of Linear, Two-Coordinate Iron(II) and Cobalt(II): Geometric Control over Magnetic Exchange between Anisotropic Metal Centers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32">
        <w:r>
          <w:rPr>
            <w:color w:val="1155CC"/>
            <w:u w:val="single"/>
          </w:rPr>
          <w:t>10.1021/jacs.6c07793</w:t>
        </w:r>
      </w:hyperlink>
    </w:p>
    <w:p>
      <w:pPr>
        <w:spacing w:before="0" w:after="120"/>
      </w:pPr>
      <w:r>
        <w:rPr>
          <w:b/>
        </w:rPr>
        <w:t xml:space="preserve">Notes: </w:t>
      </w:r>
      <w:r>
        <w:t>abstract_source=crossref</w:t>
      </w:r>
    </w:p>
    <w:p>
      <w:pPr>
        <w:spacing w:before="0" w:after="80" w:lineRule="auto" w:line="276"/>
      </w:pPr>
      <w:r>
        <w:rPr>
          <w:b/>
        </w:rPr>
        <w:t xml:space="preserve">摘要（ZH）: </w:t>
      </w:r>
      <w:r>
        <w:t>摘要 高各向异性自旋中心之间的磁交换耦合是高工作温度单分子磁体的关键要求。在这里，我们报告了双核铁（II）和钴（II）络合物[(iPr3Si)(Dipp)NFe]2(m-(NSiMe3)2C6Me3H) (m-Fe2)、[(iPr3Si)(Dipp)NFe]2(p-(NSiMe3)2C6Me4) (p-Fe2)和[(iPr3Si)(Dipp)NCo]2(p-(NSiMe3)2C6Me4) (p-Co2)，每个金属中心都位于线性、双坐标几何形状中。在这些配合物中，两个高磁各向异性金属中心通过间位或对位双（酰胺基）芳烃连接，分别介导铁磁或反铁磁超交换。变温磁化率数据揭示了对位取代配合物中的反铁磁耦合，给出 S = 0 基态，p-Fe2 的交换常数为 -3.56(5) cm–1，p-Co2 的交换常数为 -9.82(15) cm–1。形成鲜明对比的是，m-Fe2 中的元连接体介导弱铁磁交换 (+0.44(1) cm–1)，导致 S = 4 基态。在这里，铁磁耦合和强单离子各向异性的共存产生了单分子磁体行为，其弛豫势垒为139 cm-1，这是迄今为止报道的多核过渡金属配合物的最高势垒，并且耦合显着抑制了困扰相关单核物种的快速穿过势垒量子弛豫。为了从微观上了解这一系列复合物中的磁交换，我们结合了远红外磁谱和计算。虽然仅自旋模型再现了光谱</w:t>
      </w:r>
    </w:p>
    <w:p>
      <w:pPr>
        <w:spacing w:before="0" w:after="200" w:lineRule="auto" w:line="276"/>
      </w:pPr>
      <w:r>
        <w:rPr>
          <w:b/>
        </w:rPr>
        <w:t xml:space="preserve">Abstract (EN): </w:t>
      </w:r>
      <w:r>
        <w:t>Magnetic exchange coupling between high-anisotropy spin centers is a key requirement for single-molecule magnets with high operating temperatures. Here, we report the synthesis and characterization of the dinuclear iron(II) and cobalt(II) complexes [(iPr3Si)(Dipp)NFe]2(m-(NSiMe3)2C6Me3H) (m-Fe2), [(iPr3Si)(Dipp)NFe]2(p-(NSiMe3)2C6Me4) (p-Fe2), and [(iPr3Si)(Dipp)NCo]2(p-(NSiMe3)2C6Me4) (p-Co2), with each metal center residing in a linear, two-coordinate geometry. In these complexes, the two high-magnetic-anisotropy metal centers are linked through a meta- or para-bis(amido)arene, which mediates ferro- or antiferromagnetic superexchange, respectively. Variable-temperature magnetic susceptibility data reveal antiferromagnetic coupling in the para-substituted complexes, giving S = 0 ground states with exchange constants of −3.56(5) cm–1 for p-Fe2 and −9.82(15) cm–1 for p-Co2. In stark contrast, the meta-linker in m-Fe2 mediates weak ferromagnetic exchange (+0.44(1) cm–1), leading to an S = 4 ground state. Here, the coexistence of ferromagnetic coupling and strong single-ion anisotropy gives rise to single-molecule-magnet behavior with a relaxation barrier of 139 cm–1, the highest yet reported for a multinuclear transition metal complex, and the coupling markedly suppresses the fast through-barrier quantum relaxation that plagues related mononuclear species. To gain a microscopic understanding of the magnetic exchange in this family of complexes, we employed a combination of far-infrared magnetospectroscopy and computation. While a spin-only model reproduces the spectroscopic energy levels well, the substantial unquenched orbital angular momentum at the FeII and CoIIcenters inspired a fully ab initio treatment of the electronic structure, crystal-field splitting, and exchange constants. These calculations indicate that both the sign and the magnitude of the exchange constant depend strongly on the linker geometry.</w:t>
      </w:r>
    </w:p>
    <w:p>
      <w:pPr>
        <w:spacing w:before="120" w:after="120"/>
      </w:pPr>
      <w:r>
        <w:rPr>
          <w:sz w:val="18"/>
        </w:rPr>
        <w:t>——————————————————————————————————————————————————————————————————————</w:t>
      </w:r>
    </w:p>
    <w:p>
      <w:pPr>
        <w:spacing w:before="160" w:after="40" w:line="240" w:lineRule="auto"/>
      </w:pPr>
      <w:r>
        <w:rPr>
          <w:b/>
        </w:rPr>
        <w:t xml:space="preserve">[398] </w:t>
      </w:r>
      <w:hyperlink r:id="rId1333">
        <w:r>
          <w:rPr>
            <w:color w:val="1155CC"/>
            <w:u w:val="single"/>
          </w:rPr>
          <w:t>芳基卤化物的无有机金属催化交叉电试剂甲基化</w:t>
        </w:r>
      </w:hyperlink>
    </w:p>
    <w:p>
      <w:pPr>
        <w:spacing w:before="0" w:after="80"/>
      </w:pPr>
      <w:r>
        <w:rPr>
          <w:i/>
          <w:sz w:val="20"/>
        </w:rPr>
        <w:t>EN: Organometallic-Free Catalytic Cross-Electrophile Methylation of Aryl Halides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34">
        <w:r>
          <w:rPr>
            <w:color w:val="1155CC"/>
            <w:u w:val="single"/>
          </w:rPr>
          <w:t>10.1021/jacs.6c05128</w:t>
        </w:r>
      </w:hyperlink>
    </w:p>
    <w:p>
      <w:pPr>
        <w:spacing w:before="0" w:after="120"/>
      </w:pPr>
      <w:r>
        <w:rPr>
          <w:b/>
        </w:rPr>
        <w:t xml:space="preserve">Notes: </w:t>
      </w:r>
      <w:r>
        <w:t>abstract_source=crossref</w:t>
      </w:r>
    </w:p>
    <w:p>
      <w:pPr>
        <w:spacing w:before="0" w:after="80" w:lineRule="auto" w:line="276"/>
      </w:pPr>
      <w:r>
        <w:rPr>
          <w:b/>
        </w:rPr>
        <w:t xml:space="preserve">摘要（ZH）: </w:t>
      </w:r>
      <w:r>
        <w:t>摘要 “神奇甲基效应”是指甲基对增强药物前体效力的欢迎效应。迄今为止，还没有已知排除有机金属物质的芳基卤化物甲基化的催化化学路线。在本报告中，我们介绍了基于在化学条件下产生甲基阴离子的芳基卤化物的无有机金属交叉亲电子试剂甲基化。它成功地甲基化了几个强键，例如 CAr-Br、CAr-Cl 和 CAr-F。通过制备各种临床使用的抗抑郁药和抗精神病药物的甲基衍生物，该催化方案进一步多样化。此外，我们已经证明，与临床活性非甲基化母体药物相比，一种此类药物分子的甲基化产物对神经活动具有显着优越的抑制作用。</w:t>
      </w:r>
    </w:p>
    <w:p>
      <w:pPr>
        <w:spacing w:before="0" w:after="200" w:lineRule="auto" w:line="276"/>
      </w:pPr>
      <w:r>
        <w:rPr>
          <w:b/>
        </w:rPr>
        <w:t xml:space="preserve">Abstract (EN): </w:t>
      </w:r>
      <w:r>
        <w:t>The “Magic Methyl Effect” stands for the welcoming effect of the methyl group in enhancing the potency of drug precursors. To date, no catalytic chemical route for methylation of aryl halides that excludes organometallic species is known. In this report, we introduce an organometallic-free cross electrophile methylation of aryl halides based on the generation of a methyl anion achieved under chemical conditions. It successfully methylated several strong bonds, such as CAr–Br, CAr–Cl, and CAr–F. This catalytic protocol was further diversified by preparing methyl derivatives of various clinically used antidepressants and antipsychotic drugs. Furthermore, we have demonstrated that the methylated product of one such drug molecule has significantly superior suppressive effects on neural activity as compared to the clinically active nonmethylated parent drug.</w:t>
      </w:r>
    </w:p>
    <w:p>
      <w:pPr>
        <w:spacing w:before="120" w:after="120"/>
      </w:pPr>
      <w:r>
        <w:rPr>
          <w:sz w:val="18"/>
        </w:rPr>
        <w:t>——————————————————————————————————————————————————————————————————————</w:t>
      </w:r>
    </w:p>
    <w:p>
      <w:pPr>
        <w:spacing w:before="160" w:after="40" w:line="240" w:lineRule="auto"/>
      </w:pPr>
      <w:r>
        <w:rPr>
          <w:b/>
        </w:rPr>
        <w:t xml:space="preserve">[399] </w:t>
      </w:r>
      <w:hyperlink r:id="rId1335">
        <w:r>
          <w:rPr>
            <w:color w:val="1155CC"/>
            <w:u w:val="single"/>
          </w:rPr>
          <w:t>不对称苯并[b]磷稠化二芳基乙烯：从增强的光致变色行为到可溶液加工的光开关有机电阻存储器件</w:t>
        </w:r>
      </w:hyperlink>
    </w:p>
    <w:p>
      <w:pPr>
        <w:spacing w:before="0" w:after="80"/>
      </w:pPr>
      <w:r>
        <w:rPr>
          <w:i/>
          <w:sz w:val="20"/>
        </w:rPr>
        <w:t>EN: Unsymmetric Benzo[ b ]phosphole-Fused Diarylethenes: From Enhanced Photochromic Behavior to Solution-Processable Photoswitchable Organic Resistive Memory Devices</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36">
        <w:r>
          <w:rPr>
            <w:color w:val="1155CC"/>
            <w:u w:val="single"/>
          </w:rPr>
          <w:t>10.1021/jacs.6c10849</w:t>
        </w:r>
      </w:hyperlink>
    </w:p>
    <w:p>
      <w:pPr>
        <w:spacing w:before="0" w:after="120"/>
      </w:pPr>
      <w:r>
        <w:rPr>
          <w:b/>
        </w:rPr>
        <w:t xml:space="preserve">Notes: </w:t>
      </w:r>
      <w:r>
        <w:t>abstract_source=crossref</w:t>
      </w:r>
    </w:p>
    <w:p>
      <w:pPr>
        <w:spacing w:before="0" w:after="80" w:lineRule="auto" w:line="276"/>
      </w:pPr>
      <w:r>
        <w:rPr>
          <w:b/>
        </w:rPr>
        <w:t xml:space="preserve">摘要（ZH）: </w:t>
      </w:r>
      <w:r>
        <w:t>摘要 已经合成了几种不对称光开关苯并[b]磷杂环稠合二芳基乙烯。与对称对应物相比，不对称苯并[b]磷杂环稠合二芳基乙烯的光致变色性能，包括光环回复效率、抗疲劳性和热不可逆性，得到了显着增强。通过合理的分子设计，可以有效地调节最低能量吸收带。一种衍生物已作为制造光存储存储的有源元件，其中两种已用于制造光可切换有机电阻存储器件，其具有低开启电压、窄工作偏压、大开/关比和延长的保留时间。这些器件在开放和封闭形式下表现出独特的电阻存储行为。</w:t>
      </w:r>
    </w:p>
    <w:p>
      <w:pPr>
        <w:spacing w:before="0" w:after="200" w:lineRule="auto" w:line="276"/>
      </w:pPr>
      <w:r>
        <w:rPr>
          <w:b/>
        </w:rPr>
        <w:t xml:space="preserve">Abstract (EN): </w:t>
      </w:r>
      <w:r>
        <w:t>Several unsymmetric photoswitchable benzo[b]phosphole-fused diarylethenes have been synthesized. Compared with their symmetric counterparts, the photochromic properties of the unsymmetric benzo[b]phosphole-fused diarylethenes, including photocycloreversion efficiency, fatigue resistance, and thermal irreversibility, have been significantly enhanced. Through rational molecular design, the lowest-energy absorption band can be efficiently tuned. One derivative has served as the active component for the fabrication of optical memory storage, and two of them have been employed in the fabrication of photoswitchable organic resistive memory devices, which demonstrate low turn-on voltage, narrow operating bias, large ON/OFF ratio, and prolonged retention time. The devices exhibit distinctive resistive memory behavior in their open and closed forms.</w:t>
      </w:r>
    </w:p>
    <w:p>
      <w:pPr>
        <w:spacing w:before="120" w:after="120"/>
      </w:pPr>
      <w:r>
        <w:rPr>
          <w:sz w:val="18"/>
        </w:rPr>
        <w:t>——————————————————————————————————————————————————————————————————————</w:t>
      </w:r>
    </w:p>
    <w:p>
      <w:pPr>
        <w:spacing w:before="160" w:after="40" w:line="240" w:lineRule="auto"/>
      </w:pPr>
      <w:r>
        <w:rPr>
          <w:b/>
        </w:rPr>
        <w:t xml:space="preserve">[400] </w:t>
      </w:r>
      <w:hyperlink r:id="rId1337">
        <w:r>
          <w:rPr>
            <w:color w:val="1155CC"/>
            <w:u w:val="single"/>
          </w:rPr>
          <w:t>层状钙钛矿沿钙钛矿[111]方向堆叠设计的阳离子配位偏好</w:t>
        </w:r>
      </w:hyperlink>
    </w:p>
    <w:p>
      <w:pPr>
        <w:spacing w:before="0" w:after="80"/>
      </w:pPr>
      <w:r>
        <w:rPr>
          <w:i/>
          <w:sz w:val="20"/>
        </w:rPr>
        <w:t>EN: Cation Coordination Preferences toward Stacking Design in Layered Perovskites along the Perovskite [111] Direction</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38">
        <w:r>
          <w:rPr>
            <w:color w:val="1155CC"/>
            <w:u w:val="single"/>
          </w:rPr>
          <w:t>10.1021/jacs.6c06507</w:t>
        </w:r>
      </w:hyperlink>
    </w:p>
    <w:p>
      <w:pPr>
        <w:spacing w:before="0" w:after="120"/>
      </w:pPr>
      <w:r>
        <w:rPr>
          <w:b/>
        </w:rPr>
        <w:t xml:space="preserve">Notes: </w:t>
      </w:r>
      <w:r>
        <w:t>abstract_source=crossref</w:t>
      </w:r>
    </w:p>
    <w:p>
      <w:pPr>
        <w:spacing w:before="0" w:after="80" w:lineRule="auto" w:line="276"/>
      </w:pPr>
      <w:r>
        <w:rPr>
          <w:b/>
        </w:rPr>
        <w:t xml:space="preserve">摘要（ZH）: </w:t>
      </w:r>
      <w:r>
        <w:t>摘要 晶体结构，特别是氧化物的晶体结构，被视为由配位多面体（例如四面体、八面体和立方八面体）组成的结构。虽然这种观点长期以来一直通过已知框架内的元素替代实现电子调谐，但其在新晶体结构设计中的应用仍然有限。在本研究中，我们探索阳离子配位偏好作为设计指南，用于理解和偏置缺氧[111]p层状钙钛矿（p表示原始立方钙钛矿电池）的堆积周期，该钙钛矿由连续的四面体和八面体层组成。我们对晶体数据库中的配位环境进行了统计分析，确定了每个阳离子的配位偏好。通过选择具有强四面体或八面体配位偏好的适当阳离子，我们使用不同的方法成功获得了两个独立系列的[111]p层状钙钛矿化合物：（i）Ba-Sc-Ti-Ge-O系统中的元素比例调整和（ii）Sr-V-O-N系统中通过氮化控制价态。偏好四面体和八面体的阳离子的适当比例能够调节堆积趋势。正如理论计算所揭示的，其他参数，例如阳离子尺寸和外部压力，进一步影响详细的局部结构。这些结果凸显了局部协调偏好在合理设计无限晶体结构中的作用。</w:t>
      </w:r>
    </w:p>
    <w:p>
      <w:pPr>
        <w:spacing w:before="0" w:after="200" w:lineRule="auto" w:line="276"/>
      </w:pPr>
      <w:r>
        <w:rPr>
          <w:b/>
        </w:rPr>
        <w:t xml:space="preserve">Abstract (EN): </w:t>
      </w:r>
      <w:r>
        <w:t>Crystal structures, particularly those of oxides, are viewed as architectures composed of coordination polyhedra, such as tetrahedra, octahedra, and cuboctahedra. While this perspective has long enabled electronic tuning via elemental substitution within known frameworks, its application to the design of new crystal structures remains limited. In this study, we explore cation coordination preferences as a design guideline for understanding and biasing the stacking periodicity of oxygen-deficient [111]p-layered perovskites (p denotes a primitive cubic perovskite cell), which consist of sequential tetrahedral and octahedral layers. We statistically analyzed coordination environments across a crystallographic database, identifying each cation’s coordination preference. By selecting appropriate cations with strong tetrahedral or octahedral coordination preferences, we successfully obtained two independent series of [111]p-layered perovskite compounds using different approaches: (i) elemental ratio tuning in the Ba–Sc–Ti–Ge–O system and (ii) valence-state control via nitridation in the Sr–V–O–N system. The appropriate ratio of tetrahedral- and octahedral-preferring cations enables tuning of stacking tendencies. Additional parameters, such as cation size and external pressure, further influence the detailed local structures, as revealed by theoretical calculations. These results highlight the role of local coordination preference to rationally design infinite crystal architectures.</w:t>
      </w:r>
    </w:p>
    <w:p>
      <w:pPr>
        <w:spacing w:before="120" w:after="120"/>
      </w:pPr>
      <w:r>
        <w:rPr>
          <w:sz w:val="18"/>
        </w:rPr>
        <w:t>——————————————————————————————————————————————————————————————————————</w:t>
      </w:r>
    </w:p>
    <w:p>
      <w:pPr>
        <w:spacing w:before="160" w:after="40" w:line="240" w:lineRule="auto"/>
      </w:pPr>
      <w:r>
        <w:rPr>
          <w:b/>
        </w:rPr>
        <w:t xml:space="preserve">[401] </w:t>
      </w:r>
      <w:hyperlink r:id="rId1339">
        <w:r>
          <w:rPr>
            <w:color w:val="1155CC"/>
            <w:u w:val="single"/>
          </w:rPr>
          <w:t>质谱足迹和 DFT 计算解释了姜黄素对淀粉样蛋白 β 42 (Aβ42) 聚集的影响</w:t>
        </w:r>
      </w:hyperlink>
    </w:p>
    <w:p>
      <w:pPr>
        <w:spacing w:before="0" w:after="80"/>
      </w:pPr>
      <w:r>
        <w:rPr>
          <w:i/>
          <w:sz w:val="20"/>
        </w:rPr>
        <w:t>EN: Mass Spectrometric Footprinting and DFT Calculations Explain the Effect of Curcumin on the Aggregation of Amyloid β 42 (Aβ42)</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40">
        <w:r>
          <w:rPr>
            <w:color w:val="1155CC"/>
            <w:u w:val="single"/>
          </w:rPr>
          <w:t>10.1021/jacs.5c22337</w:t>
        </w:r>
      </w:hyperlink>
    </w:p>
    <w:p>
      <w:pPr>
        <w:spacing w:before="0" w:after="120"/>
      </w:pPr>
      <w:r>
        <w:rPr>
          <w:b/>
        </w:rPr>
        <w:t xml:space="preserve">Notes: </w:t>
      </w:r>
      <w:r>
        <w:t>abstract_source=crossref</w:t>
      </w:r>
    </w:p>
    <w:p>
      <w:pPr>
        <w:spacing w:before="0" w:after="80" w:lineRule="auto" w:line="276"/>
      </w:pPr>
      <w:r>
        <w:rPr>
          <w:b/>
        </w:rPr>
        <w:t xml:space="preserve">摘要（ZH）: </w:t>
      </w:r>
      <w:r>
        <w:t>摘要 姜黄素是一种多酚天然产物，在体外与 Aβ42（一种与阿尔茨海默氏病有关的蛋白质）结合，抑制自身聚集。对结合的分子理解对于设计抑制 Aβ42 聚集的新分子非常重要。我们通过使用蛋白质快速光化学氧化 (FPOP) 对存在和不存在姜黄素的 Aβ42 进行 OH 自由基足迹分析，然后进行质谱分析，以监测姜黄素存在下 Aβ42 蛋白质动力学的变化。结果表明，姜黄素的结合减少了 N 末端和中间区域的氧化足迹，表明这些位点的结合。百分比修饰的动力学模型显示，在姜黄素存在的情况下，Aβ42 的聚集发生了显着变化，从而导致一个聚集体几乎消失。还使用密度泛函理论 (DFT) 探索了 [Aβ42:姜黄素] 结合复合物，优化了 N 端/中间和 C 端/中间区域的 B3LYP/6–31G(d) 水平的起始结构。最低能量复合物的结构在 N 末端和中间区域结合了姜黄素，这通过使用 6-311G(d,p) 重新优化和应用 Grimme 色散函数 (GD3) 进行了验证。通过使用类导体极化连续体模型 (CPCM) 在水介质中重新优化，进一步证实了这种结构。新结构不仅解释了观察到的 N 端、中间和 C 端区域的·OH 足迹变化，而且还预测了这种方法如何提供对蛋白质的深入了解。</w:t>
      </w:r>
    </w:p>
    <w:p>
      <w:pPr>
        <w:spacing w:before="0" w:after="200" w:lineRule="auto" w:line="276"/>
      </w:pPr>
      <w:r>
        <w:rPr>
          <w:b/>
        </w:rPr>
        <w:t xml:space="preserve">Abstract (EN): </w:t>
      </w:r>
      <w:r>
        <w:t>Curcumin, a polyphenolic natural product, binds to Aβ42, a protein involved in Alzheimer’s Disease, to inhibit self-aggregation in vitro. Molecular understanding of the binding is important in designing new molecules to inhibit Aβ42 aggregation. We performed OH radical footprinting of Aβ42 in the presence and absence of curcumin by using fast photochemical oxidation of proteins (FPOP), followed by mass spectral analysis, to monitor changes in Aβ42 protein dynamics in the presence of curcumin. The results reveal that curcumin binding reduces oxidative footprinting at the N-terminus and middle region, indicating binding at these sites. Kinetic modeling of the percentage modification shows a significant change in the aggregation of Aβ42 in the presence of curcumin, whereby one aggregate population nearly disappears. The [Aβ42:curcumin] binding complexes were also explored using density functional theory (DFT), optimizating the starting structures at the B3LYP/6–31G(d) level for both the N-terminal/middle and C-terminal/middle regions. The structure of the lowest-energy complex has curcumin binding at the N-terminal plus middle regions, and this was validated by reoptimization using 6–311G(d,p) and applying Grimme’s dispersion function (GD3). This structure was further confirmed by reoptimization in aqueous media using the Conductor-like Polarizable Continuum Model (CPCM). The new structure not only accounts for the observed changes in •OH footprinting of the N-terminal, middle, and C-terminal regions but also forecasts how this approach can provide insight into protein aggregation. A molecular-level understanding of the binding site of curcumin with Aβ42 should be helpful in the design of new aggregation modulators.</w:t>
      </w:r>
    </w:p>
    <w:p>
      <w:pPr>
        <w:spacing w:before="120" w:after="120"/>
      </w:pPr>
      <w:r>
        <w:rPr>
          <w:sz w:val="18"/>
        </w:rPr>
        <w:t>——————————————————————————————————————————————————————————————————————</w:t>
      </w:r>
    </w:p>
    <w:p>
      <w:pPr>
        <w:spacing w:before="160" w:after="40" w:line="240" w:lineRule="auto"/>
      </w:pPr>
      <w:r>
        <w:rPr>
          <w:b/>
        </w:rPr>
        <w:t xml:space="preserve">[402] </w:t>
      </w:r>
      <w:hyperlink r:id="rId1341">
        <w:r>
          <w:rPr>
            <w:color w:val="1155CC"/>
            <w:u w:val="single"/>
          </w:rPr>
          <w:t>通过原位二氮烯形成的一般 C(sp3)–C(sp3) 伯胺交叉偶联</w:t>
        </w:r>
      </w:hyperlink>
    </w:p>
    <w:p>
      <w:pPr>
        <w:spacing w:before="0" w:after="80"/>
      </w:pPr>
      <w:r>
        <w:rPr>
          <w:i/>
          <w:sz w:val="20"/>
        </w:rPr>
        <w:t>EN: General C(sp3)–C(sp3) Cross-Coupling of Primary Amines via in Situ Diazene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2026-08-18 00:00:00+00:00</w:t>
      </w:r>
      <w:r>
        <w:t xml:space="preserve">    </w:t>
      </w:r>
      <w:r>
        <w:rPr>
          <w:b/>
        </w:rPr>
        <w:t xml:space="preserve">DOI: </w:t>
      </w:r>
      <w:hyperlink r:id="rId1342">
        <w:r>
          <w:rPr>
            <w:color w:val="1155CC"/>
            <w:u w:val="single"/>
          </w:rPr>
          <w:t>10.1021/jacs.6c13866</w:t>
        </w:r>
      </w:hyperlink>
    </w:p>
    <w:p>
      <w:pPr>
        <w:spacing w:before="0" w:after="120"/>
      </w:pPr>
      <w:r>
        <w:rPr>
          <w:b/>
        </w:rPr>
        <w:t xml:space="preserve">Notes: </w:t>
      </w:r>
      <w:r>
        <w:t>abstract_source=crossref</w:t>
      </w:r>
    </w:p>
    <w:p>
      <w:pPr>
        <w:spacing w:before="0" w:after="80" w:lineRule="auto" w:line="276"/>
      </w:pPr>
      <w:r>
        <w:rPr>
          <w:b/>
        </w:rPr>
        <w:t xml:space="preserve">摘要（ZH）: </w:t>
      </w:r>
      <w:r>
        <w:t>摘要 伯胺是最丰富且最容易获得的官能团之一，但它们作为烷基交叉偶联伙伴的直接用途仍然不发达。我们报告了一个通过不对称二氮烯的原位形成和可见光诱导脱氮实现的 C(sp3)–C(sp3) 交叉偶联的通用平台。该方法的核心是 N-苯甲酰氧基磺酰胺的开发，它很容易从伯胺和实验室稳定的 O-苯甲酰羟胺一步制备，并经过弱碱促进转化为二氮烯。随后使用廉价的有机三重态光敏剂进行光敏脱氮，使得两个胺衍生片段在操作简单的条件下直接结合。这种伸缩式一锅法避免了预官能化的有机金属试剂，能够耐受多种官能团，并且能够对复杂分子进行后期修饰。</w:t>
      </w:r>
    </w:p>
    <w:p>
      <w:pPr>
        <w:spacing w:before="0" w:after="200" w:lineRule="auto" w:line="276"/>
      </w:pPr>
      <w:r>
        <w:rPr>
          <w:b/>
        </w:rPr>
        <w:t xml:space="preserve">Abstract (EN): </w:t>
      </w:r>
      <w:r>
        <w:t>Primary amines are among the most abundant and readily available functional groups, yet their direct use as alkyl cross-coupling partners remains underdeveloped. We report a general platform for C(sp3)–C(sp3) cross-coupling enabled by the in situ formation and visible-light-induced denitrogenation of unsymmetric diazenes. Central to this approach is the development of N-benzoyloxysulfamides, which are readily prepared in a single step from primary amines and bench-stable O-benzoylhydroxylamines and undergo mild base-promoted conversion to diazenes. Subsequent photosensitized denitrogenation using an inexpensive organic triplet photosensitizer enables the direct union of two amine-derived fragments under operationally simple conditions. This telescoped, one-pot process avoids prefunctionalized organometallic reagents, tolerates a broad range of functional groups, and enables late-stage modification of complex molecules.</w:t>
      </w:r>
    </w:p>
    <w:p>
      <w:pPr>
        <w:spacing w:before="120" w:after="120"/>
      </w:pPr>
      <w:r>
        <w:rPr>
          <w:sz w:val="18"/>
        </w:rPr>
        <w:t>——————————————————————————————————————————————————————————————————————</w:t>
      </w:r>
    </w:p>
    <w:p>
      <w:pPr>
        <w:spacing w:before="160" w:after="40" w:line="240" w:lineRule="auto"/>
      </w:pPr>
      <w:r>
        <w:rPr>
          <w:b/>
        </w:rPr>
        <w:t xml:space="preserve">[403] </w:t>
      </w:r>
      <w:hyperlink r:id="rId1343">
        <w:r>
          <w:rPr>
            <w:color w:val="1155CC"/>
            <w:u w:val="single"/>
          </w:rPr>
          <w:t>绘制热带地区狩猎概率的空间和时间图</w:t>
        </w:r>
      </w:hyperlink>
    </w:p>
    <w:p>
      <w:pPr>
        <w:spacing w:before="0" w:after="80"/>
      </w:pPr>
      <w:r>
        <w:rPr>
          <w:i/>
          <w:sz w:val="20"/>
        </w:rPr>
        <w:t>EN: Mapping hunting probability across the tropics in space and time</w:t>
      </w:r>
    </w:p>
    <w:p>
      <w:pPr>
        <w:spacing w:before="0" w:after="120"/>
      </w:pPr>
      <w:r>
        <w:rPr>
          <w:b/>
        </w:rPr>
        <w:t xml:space="preserve">Source: </w:t>
      </w:r>
      <w:r>
        <w:t>Nature Sustainability</w:t>
      </w:r>
      <w:r>
        <w:t xml:space="preserve">    </w:t>
      </w:r>
      <w:r>
        <w:rPr>
          <w:b/>
        </w:rPr>
        <w:t xml:space="preserve">Pub date: </w:t>
      </w:r>
      <w:r>
        <w:t>2026-08-18 00:00:00+00:00</w:t>
      </w:r>
      <w:r>
        <w:t xml:space="preserve">    </w:t>
      </w:r>
      <w:r>
        <w:rPr>
          <w:b/>
        </w:rPr>
        <w:t xml:space="preserve">DOI: </w:t>
      </w:r>
      <w:hyperlink r:id="rId1344">
        <w:r>
          <w:rPr>
            <w:color w:val="1155CC"/>
            <w:u w:val="single"/>
          </w:rPr>
          <w:t>10.1038/s41893-026-01924-6</w:t>
        </w:r>
      </w:hyperlink>
    </w:p>
    <w:p>
      <w:pPr>
        <w:spacing w:before="0" w:after="120"/>
      </w:pPr>
      <w:r>
        <w:rPr>
          <w:b/>
        </w:rPr>
        <w:t xml:space="preserve">Notes: </w:t>
      </w:r>
      <w:r>
        <w:t>abstract_source=rss_nature</w:t>
      </w:r>
    </w:p>
    <w:p>
      <w:pPr>
        <w:spacing w:before="0" w:after="80" w:lineRule="auto" w:line="276"/>
      </w:pPr>
      <w:r>
        <w:rPr>
          <w:b/>
        </w:rPr>
        <w:t xml:space="preserve">摘要（ZH）: </w:t>
      </w:r>
      <w:r>
        <w:t>以食品和贸易为目的狩猎野生动物（例如宠物、装饰品）可能会导致物种灭绝，因此需要制定明智的政策和干预措施来遏制过度开发。为了实现这些目标，作者在这里估计了全球热带地区狩猎概率的空间足迹。</w:t>
      </w:r>
    </w:p>
    <w:p>
      <w:pPr>
        <w:spacing w:before="0" w:after="200" w:lineRule="auto" w:line="276"/>
      </w:pPr>
      <w:r>
        <w:rPr>
          <w:b/>
        </w:rPr>
        <w:t xml:space="preserve">Abstract (EN): </w:t>
      </w:r>
      <w:r>
        <w:t>Hunting wildlife for food and trade purposes (for example, pets, ornaments) can contribute to species extinctions, warranting informed policy and interventions to curb overexploitation. Towards such goals, the authors here estimate the spatial footprint of hunting probability across the global tropics.</w:t>
      </w:r>
    </w:p>
    <w:p>
      <w:pPr>
        <w:spacing w:before="120" w:after="120"/>
      </w:pPr>
      <w:r>
        <w:rPr>
          <w:sz w:val="18"/>
        </w:rPr>
        <w:t>——————————————————————————————————————————————————————————————————————</w:t>
      </w:r>
    </w:p>
    <w:p>
      <w:pPr>
        <w:spacing w:before="160" w:after="40" w:line="240" w:lineRule="auto"/>
      </w:pPr>
      <w:r>
        <w:rPr>
          <w:b/>
        </w:rPr>
        <w:t xml:space="preserve">[404] </w:t>
      </w:r>
      <w:hyperlink r:id="rId1345">
        <w:r>
          <w:rPr>
            <w:color w:val="1155CC"/>
            <w:u w:val="single"/>
          </w:rPr>
          <w:t>TaIAA25 通过抑制质膜 H+-ATP 酶活性负调节小麦耐碱性</w:t>
        </w:r>
      </w:hyperlink>
    </w:p>
    <w:p>
      <w:pPr>
        <w:spacing w:before="0" w:after="80"/>
      </w:pPr>
      <w:r>
        <w:rPr>
          <w:i/>
          <w:sz w:val="20"/>
        </w:rPr>
        <w:t>EN: TaIAA25 negatively regulates wheat alkaline tolerance by inhibiting plasma membrane H+-ATPase activity</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46">
        <w:r>
          <w:rPr>
            <w:color w:val="1155CC"/>
            <w:u w:val="single"/>
          </w:rPr>
          <w:t>10.1073/pnas.2607117123</w:t>
        </w:r>
      </w:hyperlink>
    </w:p>
    <w:p>
      <w:pPr>
        <w:spacing w:before="0" w:after="120"/>
      </w:pPr>
      <w:r>
        <w:rPr>
          <w:b/>
        </w:rPr>
        <w:t xml:space="preserve">Notes: </w:t>
      </w:r>
      <w:r>
        <w:t>abstract_source=crossref</w:t>
      </w:r>
    </w:p>
    <w:p>
      <w:pPr>
        <w:spacing w:before="0" w:after="80" w:lineRule="auto" w:line="276"/>
      </w:pPr>
      <w:r>
        <w:rPr>
          <w:b/>
        </w:rPr>
        <w:t xml:space="preserve">摘要（ZH）: </w:t>
      </w:r>
      <w:r>
        <w:t>土壤盐化/碱化是一个严重限制作物生产力的普遍挑战。阐明小麦耐盐/碱的分子机制（</w:t>
      </w:r>
      <w:r>
        <w:t xml:space="preserve"> </w:t>
      </w:r>
      <w:r>
        <w:t>小麦</w:t>
      </w:r>
      <w:r>
        <w:t xml:space="preserve"> </w:t>
      </w:r>
      <w:r>
        <w:t>）对全球粮食安全和可持续农业具有深远意义。在这项研究中，我们对小麦碱敏感位点进行了功能性表征，指定为</w:t>
      </w:r>
      <w:r>
        <w:t xml:space="preserve"> </w:t>
      </w:r>
      <w:r>
        <w:t>小麦碱敏感1</w:t>
      </w:r>
      <w:r>
        <w:t xml:space="preserve"> </w:t>
      </w:r>
      <w:r>
        <w:t>（</w:t>
      </w:r>
      <w:r>
        <w:t xml:space="preserve"> </w:t>
      </w:r>
      <w:r>
        <w:t>WAS1</w:t>
      </w:r>
      <w:r>
        <w:t xml:space="preserve"> </w:t>
      </w:r>
      <w:r>
        <w:t>），通过基于全外显子组捕获测序的批量分离分析和精细定位</w:t>
      </w:r>
      <w:r>
        <w:t xml:space="preserve"> </w:t>
      </w:r>
      <w:r>
        <w:t>是1</w:t>
      </w:r>
      <w:r>
        <w:t xml:space="preserve"> </w:t>
      </w:r>
      <w:r>
        <w:t>突变种群。该基因座编码 TaIAA25，它是生长素/吲哚-3-乙酸 (Aux/IAA) 蛋白家族的典型成员。 A C 到 T 的过渡</w:t>
      </w:r>
      <w:r>
        <w:t xml:space="preserve"> </w:t>
      </w:r>
      <w:r>
        <w:t>TaIAA25</w:t>
      </w:r>
      <w:r>
        <w:t xml:space="preserve"> </w:t>
      </w:r>
      <w:r>
        <w:t>导致其 Aux/IAA 降解决定子基序内的 Pro-to-Ser 取代。这种氨基酸取代增强了 TaIAA25 蛋白的稳定性，从而使小麦对碱性胁迫高度敏感。的过度表达</w:t>
      </w:r>
      <w:r>
        <w:t xml:space="preserve"> </w:t>
      </w:r>
      <w:r>
        <w:t>TaIAA25</w:t>
      </w:r>
      <w:r>
        <w:t xml:space="preserve"> </w:t>
      </w:r>
      <w:r>
        <w:t>显着提高小麦对碱处理的敏感性，而</w:t>
      </w:r>
      <w:r>
        <w:t xml:space="preserve"> </w:t>
      </w:r>
      <w:r>
        <w:t>iaa25</w:t>
      </w:r>
      <w:r>
        <w:t xml:space="preserve"> </w:t>
      </w:r>
      <w:r>
        <w:t>敲除突变体表现出增强的对碱性胁迫的耐受性。与已建立的生长素信号转导一致，TaIAA25 与生长素反应因子 16 (TaARF16) 相互作用，抑制 TaARF16 介导的小生长素上调 RNA 基因的转录激活</w:t>
      </w:r>
      <w:r>
        <w:t xml:space="preserve"> </w:t>
      </w:r>
      <w:r>
        <w:t>塔SAUR215</w:t>
      </w:r>
      <w:r>
        <w:t xml:space="preserve"> </w:t>
      </w:r>
      <w:r>
        <w:t>。这个级联</w:t>
      </w:r>
    </w:p>
    <w:p>
      <w:pPr>
        <w:spacing w:before="0" w:after="200" w:lineRule="auto" w:line="276"/>
      </w:pPr>
      <w:r>
        <w:rPr>
          <w:b/>
        </w:rPr>
        <w:t xml:space="preserve">Abstract (EN): </w:t>
      </w:r>
      <w:r>
        <w:t>Soil salinization/alkalization represents a universal challenge that severely constrains crop productivity. Elucidating the molecular mechanisms underpinning saline/alkaline tolerance of wheat (</w:t>
      </w:r>
      <w:r>
        <w:t xml:space="preserve"> </w:t>
      </w:r>
      <w:r>
        <w:t>Triticum aestivum</w:t>
      </w:r>
      <w:r>
        <w:t xml:space="preserve"> </w:t>
      </w:r>
      <w:r>
        <w:t>) holds profound significance for global food security and sustainable agriculture. In this study, we functionally characterized a wheat alkaline sensitive locus designated</w:t>
      </w:r>
      <w:r>
        <w:t xml:space="preserve"> </w:t>
      </w:r>
      <w:r>
        <w:t>Wheat Alkaline Sensitive 1</w:t>
      </w:r>
      <w:r>
        <w:t xml:space="preserve"> </w:t>
      </w:r>
      <w:r>
        <w:t>(</w:t>
      </w:r>
      <w:r>
        <w:t xml:space="preserve"> </w:t>
      </w:r>
      <w:r>
        <w:t>WAS1</w:t>
      </w:r>
      <w:r>
        <w:t xml:space="preserve"> </w:t>
      </w:r>
      <w:r>
        <w:t>), through whole exome-capture sequencing-based bulked segregant analysis and fine mapping of</w:t>
      </w:r>
      <w:r>
        <w:t xml:space="preserve"> </w:t>
      </w:r>
      <w:r>
        <w:t>was1</w:t>
      </w:r>
      <w:r>
        <w:t xml:space="preserve"> </w:t>
      </w:r>
      <w:r>
        <w:t>mutant populations. This locus encodes TaIAA25, a canonical member of the Auxin/Indole-3-Acetic Acid (Aux/IAA) protein family. A C to T transition in</w:t>
      </w:r>
      <w:r>
        <w:t xml:space="preserve"> </w:t>
      </w:r>
      <w:r>
        <w:t>TaIAA25</w:t>
      </w:r>
      <w:r>
        <w:t xml:space="preserve"> </w:t>
      </w:r>
      <w:r>
        <w:t>leads to a Pro-to-Ser substitution within its Aux/IAA degron motif. This amino acid substitution enhances the stability of TaIAA25 protein, thereby rendering wheat hypersensitive to alkaline stress. The overexpression of</w:t>
      </w:r>
      <w:r>
        <w:t xml:space="preserve"> </w:t>
      </w:r>
      <w:r>
        <w:t>TaIAA25</w:t>
      </w:r>
      <w:r>
        <w:t xml:space="preserve"> </w:t>
      </w:r>
      <w:r>
        <w:t>significantly increased sensitivity of wheat to alkaline treatment, whereas</w:t>
      </w:r>
      <w:r>
        <w:t xml:space="preserve"> </w:t>
      </w:r>
      <w:r>
        <w:t>iaa25</w:t>
      </w:r>
      <w:r>
        <w:t xml:space="preserve"> </w:t>
      </w:r>
      <w:r>
        <w:t>knockout mutants displayed enhanced tolerance to alkaline stress. Consistent with established auxin signaling transduction, TaIAA25 interacts with auxin response factor 16 (TaARF16) to repress the TaARF16-mediated transcriptional activation of small auxin-up RNA gene</w:t>
      </w:r>
      <w:r>
        <w:t xml:space="preserve"> </w:t>
      </w:r>
      <w:r>
        <w:t>TaSAUR215</w:t>
      </w:r>
      <w:r>
        <w:t xml:space="preserve"> </w:t>
      </w:r>
      <w:r>
        <w:t>. This cascade potentiates the inhibitory effect of D-clade type 2C protein phosphatase (TaPP2C.D) on plasma membrane (PM) H</w:t>
      </w:r>
      <w:r>
        <w:t xml:space="preserve"> </w:t>
      </w:r>
      <w:r>
        <w:t>+</w:t>
      </w:r>
      <w:r>
        <w:t xml:space="preserve"> </w:t>
      </w:r>
      <w:r>
        <w:t>-ATPase activity. Notably, TaIAA25 also directly interacts with the phosphorylation (P) domain in central loop of PM H</w:t>
      </w:r>
      <w:r>
        <w:t xml:space="preserve"> </w:t>
      </w:r>
      <w:r>
        <w:t>+</w:t>
      </w:r>
      <w:r>
        <w:t xml:space="preserve"> </w:t>
      </w:r>
      <w:r>
        <w:t>-ATPase 2 (TaHA2) and represses its binding with the actuator (A) domain, thereby blocking TaHA2-driven proton efflux. Collectively, our findings clarified the crucial role of the classical auxin signaling pathway in plant responses to alkaline stress. Furthermore, we revealed a mechanism wherein an Aux/IAA protein directly modulates PM H</w:t>
      </w:r>
      <w:r>
        <w:t xml:space="preserve"> </w:t>
      </w:r>
      <w:r>
        <w:t>+</w:t>
      </w:r>
      <w:r>
        <w:t xml:space="preserve"> </w:t>
      </w:r>
      <w:r>
        <w:t>-ATPase activity to orchestrate auxin-mediated alkaline stress response.</w:t>
      </w:r>
    </w:p>
    <w:p>
      <w:pPr>
        <w:spacing w:before="120" w:after="120"/>
      </w:pPr>
      <w:r>
        <w:rPr>
          <w:sz w:val="18"/>
        </w:rPr>
        <w:t>——————————————————————————————————————————————————————————————————————</w:t>
      </w:r>
    </w:p>
    <w:p>
      <w:pPr>
        <w:spacing w:before="160" w:after="40" w:line="240" w:lineRule="auto"/>
      </w:pPr>
      <w:r>
        <w:rPr>
          <w:b/>
        </w:rPr>
        <w:t xml:space="preserve">[405] </w:t>
      </w:r>
      <w:hyperlink r:id="rId1347">
        <w:r>
          <w:rPr>
            <w:color w:val="1155CC"/>
            <w:u w:val="single"/>
          </w:rPr>
          <w:t>通过作物驯化和改良导致番茄风味变异的遗传结构</w:t>
        </w:r>
      </w:hyperlink>
    </w:p>
    <w:p>
      <w:pPr>
        <w:spacing w:before="0" w:after="80"/>
      </w:pPr>
      <w:r>
        <w:rPr>
          <w:i/>
          <w:sz w:val="20"/>
        </w:rPr>
        <w:t>EN: The genetic architecture of tomato flavor variation through crop domestication and improvement</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48">
        <w:r>
          <w:rPr>
            <w:color w:val="1155CC"/>
            <w:u w:val="single"/>
          </w:rPr>
          <w:t>10.1073/pnas.2610136123</w:t>
        </w:r>
      </w:hyperlink>
    </w:p>
    <w:p>
      <w:pPr>
        <w:spacing w:before="0" w:after="120"/>
      </w:pPr>
      <w:r>
        <w:rPr>
          <w:b/>
        </w:rPr>
        <w:t xml:space="preserve">Notes: </w:t>
      </w:r>
      <w:r>
        <w:t>abstract_source=crossref</w:t>
      </w:r>
    </w:p>
    <w:p>
      <w:pPr>
        <w:spacing w:before="0" w:after="80" w:lineRule="auto" w:line="276"/>
      </w:pPr>
      <w:r>
        <w:rPr>
          <w:b/>
        </w:rPr>
        <w:t xml:space="preserve">摘要（ZH）: </w:t>
      </w:r>
      <w:r>
        <w:t>与传家宝品种相比，在番茄作物改良过程中对产量和抗病性的广泛选择导致现代商业番茄的风味丧失。为了通过驯化和改良研究番茄风味的化学和遗传结构，我们分析了全球收集的 558 个种质中与风味相关的化学物质，其中包括野生近缘种、半驯化和驯化种群，包括未定性的拉丁美洲种质。主要风味挥发物在不同种质中表现出重大差异。全基因组关联研究用于检测基因位点与风味相关化学成分（包括糖、酸和挥发物）之间的关联。鉴定出与编码风味代谢酶的已知基因相关的多个遗传位点以及许多新位点。在新发现的基因座中，有一个编码以前未表征的脂肪酶的基因（</w:t>
      </w:r>
      <w:r>
        <w:t xml:space="preserve"> </w:t>
      </w:r>
      <w:r>
        <w:t>SL-LIP100</w:t>
      </w:r>
      <w:r>
        <w:t xml:space="preserve"> </w:t>
      </w:r>
      <w:r>
        <w:t>）经实验证明在脂类风味挥发物的合成中具有重要作用。这种酶负责合成几种重要的五碳和六碳风味挥发物。总之，这项研究为番茄风味在驯化和随后的改良过程中的进化提供了化学和遗传学的见解，确定了水果风味化学物质遗传控制的复杂性，以及一些可用于提高风味相关化学物质含量的新等位基因。</w:t>
      </w:r>
    </w:p>
    <w:p>
      <w:pPr>
        <w:spacing w:before="0" w:after="200" w:lineRule="auto" w:line="276"/>
      </w:pPr>
      <w:r>
        <w:rPr>
          <w:b/>
        </w:rPr>
        <w:t xml:space="preserve">Abstract (EN): </w:t>
      </w:r>
      <w:r>
        <w:t>Extensive selection for yield and disease resistance during tomato crop improvement has led to flavor loss in modern commercial tomatoes in comparison with heirloom varieties. To investigate the chemical and genetic architecture of tomato flavor through both domestication and improvement, we analyzed flavor-related chemicals across 558 globally collected accessions comprising wild relatives, semidomesticated and domesticated populations, including uncharacterized Latin American accessions. Key flavor volatiles exhibit major differences across accessions. A genome-wide association study was used to detect associations between genetic loci and flavor-related chemical contents, including sugars, acids, and volatiles. Multiple genetic loci linked to known genes encoding flavor metabolism enzymes, as well as many new loci, were identified. Among the newly identified loci, a gene encoding a previously uncharacterized lipase (</w:t>
      </w:r>
      <w:r>
        <w:t xml:space="preserve"> </w:t>
      </w:r>
      <w:r>
        <w:t>Sl-LIP100</w:t>
      </w:r>
      <w:r>
        <w:t xml:space="preserve"> </w:t>
      </w:r>
      <w:r>
        <w:t>) was experimentally proven to have an important role in synthesis of lipid-derived flavor volatiles. This enzyme is responsible for synthesis of several important five- and six-carbon flavor volatiles. In sum, this study provides chemical and genetic insights into the evolution of tomato flavor during domestication and subsequent improvement, identifying the complexity of genetic control of fruit flavor chemicals as well as a number of new alleles that can be used to improve the contents of flavor-linked chemicals.</w:t>
      </w:r>
    </w:p>
    <w:p>
      <w:pPr>
        <w:spacing w:before="120" w:after="120"/>
      </w:pPr>
      <w:r>
        <w:rPr>
          <w:sz w:val="18"/>
        </w:rPr>
        <w:t>——————————————————————————————————————————————————————————————————————</w:t>
      </w:r>
    </w:p>
    <w:p>
      <w:pPr>
        <w:spacing w:before="160" w:after="40" w:line="240" w:lineRule="auto"/>
      </w:pPr>
      <w:r>
        <w:rPr>
          <w:b/>
        </w:rPr>
        <w:t xml:space="preserve">[406] </w:t>
      </w:r>
      <w:hyperlink r:id="rId1349">
        <w:r>
          <w:rPr>
            <w:color w:val="1155CC"/>
            <w:u w:val="single"/>
          </w:rPr>
          <w:t>选择瘤内核黄素营养缺陷型肠球菌增强肺癌细胞表面 MR1 表达和 MAIT TCR 激活</w:t>
        </w:r>
      </w:hyperlink>
    </w:p>
    <w:p>
      <w:pPr>
        <w:spacing w:before="0" w:after="80"/>
      </w:pPr>
      <w:r>
        <w:rPr>
          <w:i/>
          <w:sz w:val="20"/>
        </w:rPr>
        <w:t>EN: Select intratumoral riboflavin-auxotrophic Enterococcus species enhance cell surface MR1 expression and MAIT TCR activation in lung cancer</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50">
        <w:r>
          <w:rPr>
            <w:color w:val="1155CC"/>
            <w:u w:val="single"/>
          </w:rPr>
          <w:t>10.1073/pnas.2617943123</w:t>
        </w:r>
      </w:hyperlink>
    </w:p>
    <w:p>
      <w:pPr>
        <w:spacing w:before="0" w:after="120"/>
      </w:pPr>
      <w:r>
        <w:rPr>
          <w:b/>
        </w:rPr>
        <w:t xml:space="preserve">Notes: </w:t>
      </w:r>
      <w:r>
        <w:t>abstract_source=crossref</w:t>
      </w:r>
    </w:p>
    <w:p>
      <w:pPr>
        <w:spacing w:before="0" w:after="80" w:lineRule="auto" w:line="276"/>
      </w:pPr>
      <w:r>
        <w:rPr>
          <w:b/>
        </w:rPr>
        <w:t xml:space="preserve">摘要（ZH）: </w:t>
      </w:r>
      <w:r>
        <w:t>粘膜相关不变 T (MAIT) 细胞是先天性 T 细胞，能够进行 MR1 依赖性免疫监视，但瘤内细菌如何调节人肺肿瘤中 MR1 的表达仍不清楚。我们研究了来自接受新辅助 PD-1 阻断治疗的患者非小细胞肺癌肿瘤中分离出的肿瘤浸润 CD3 T 细胞的配对单细胞 RNA 和 TCR 测序数据集的瘤内 MAIT 细胞。对 MAIT 细胞进行亚聚类，以识别传统的 MAIT 相关 TCR 克隆型，然后将其用于检查细菌暴露如何影响细胞表面 MR1 表达和下游 MAIT TCR 激活。我们发现选择瘤内</w:t>
      </w:r>
      <w:r>
        <w:t xml:space="preserve"> </w:t>
      </w:r>
      <w:r>
        <w:t>肠球菌属</w:t>
      </w:r>
      <w:r>
        <w:t xml:space="preserve"> </w:t>
      </w:r>
      <w:r>
        <w:t>物种 (spp.) 并不直接激活 MAIT 细胞，而是通过增加抗原呈递细胞（包括树突状细胞、B 细胞和单核吞噬细胞）上的细胞表面 MR1 表达，在外源 5-OP-RU 存在的情况下增强 MR1 依赖性 MAIT 激活。 MR1 细胞表面表达的增加是通过与 MR1 细胞内加工和运输改变一致的转录后机制来调节的。这些发现揭示了肿瘤相关细菌在调节 MR1 依赖性先天样 T 细胞激活中的作用，并为未来研究该过程是否影响对免疫检查点封锁的反应提供了基础。</w:t>
      </w:r>
    </w:p>
    <w:p>
      <w:pPr>
        <w:spacing w:before="0" w:after="200" w:lineRule="auto" w:line="276"/>
      </w:pPr>
      <w:r>
        <w:rPr>
          <w:b/>
        </w:rPr>
        <w:t xml:space="preserve">Abstract (EN): </w:t>
      </w:r>
      <w:r>
        <w:t>Mucosal-associated invariant T (MAIT) cells are innate-like T cells capable of MR1-dependent immune surveillance, but how intratumoral bacteria modulate MR1 expression in human lung tumors remains unclear. We studied intratumoral MAIT cells from paired single-cell RNA and TCR sequencing datasets of tumor-infiltrating CD3 T cells isolated from non-small cell lung cancer tumors in patients receiving neoadjuvant PD-1 blockade therapy. MAIT cells were subclustered to identify conventional MAIT-associated TCR clonotypes, which were then used to examine how bacterial exposure impacts cell-surface MR1 expression and downstream MAIT TCR activation. We found that select intratumoral</w:t>
      </w:r>
      <w:r>
        <w:t xml:space="preserve"> </w:t>
      </w:r>
      <w:r>
        <w:t>Enterococcus</w:t>
      </w:r>
      <w:r>
        <w:t xml:space="preserve"> </w:t>
      </w:r>
      <w:r>
        <w:t>species (spp.) did not directly activate MAIT cells but enhanced MR1-dependent MAIT activation in the presence of exogenous 5-OP-RU by increasing cell-surface MR1 expression on antigen-presenting cells including dendritic cells, B cells, and mononuclear phagocytes. This increase in MR1 cell surface expression is modulated through a posttranscriptional mechanism consistent with altered intracellular processing and trafficking of MR1. These findings reveal a role for tumor-associated bacteria in modulating MR1-dependent innate-like T cell activation and provide a basis for future studies examining whether this process influences response to immune checkpoint blockade.</w:t>
      </w:r>
    </w:p>
    <w:p>
      <w:pPr>
        <w:spacing w:before="120" w:after="120"/>
      </w:pPr>
      <w:r>
        <w:rPr>
          <w:sz w:val="18"/>
        </w:rPr>
        <w:t>——————————————————————————————————————————————————————————————————————</w:t>
      </w:r>
    </w:p>
    <w:p>
      <w:pPr>
        <w:spacing w:before="160" w:after="40" w:line="240" w:lineRule="auto"/>
      </w:pPr>
      <w:r>
        <w:rPr>
          <w:b/>
        </w:rPr>
        <w:t xml:space="preserve">[407] </w:t>
      </w:r>
      <w:hyperlink r:id="rId1351">
        <w:r>
          <w:rPr>
            <w:color w:val="1155CC"/>
            <w:u w:val="single"/>
          </w:rPr>
          <w:t>液晶环境中细菌菌落的形态发生</w:t>
        </w:r>
      </w:hyperlink>
    </w:p>
    <w:p>
      <w:pPr>
        <w:spacing w:before="0" w:after="80"/>
      </w:pPr>
      <w:r>
        <w:rPr>
          <w:i/>
          <w:sz w:val="20"/>
        </w:rPr>
        <w:t>EN: Morphogenesis of bacterial colonies in liquid crystalline environments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52">
        <w:r>
          <w:rPr>
            <w:color w:val="1155CC"/>
            <w:u w:val="single"/>
          </w:rPr>
          <w:t>10.1073/pnas.2536343123</w:t>
        </w:r>
      </w:hyperlink>
    </w:p>
    <w:p>
      <w:pPr>
        <w:spacing w:before="0" w:after="120"/>
      </w:pPr>
      <w:r>
        <w:rPr>
          <w:b/>
        </w:rPr>
        <w:t xml:space="preserve">Notes: </w:t>
      </w:r>
      <w:r>
        <w:t>abstract_source=crossref</w:t>
      </w:r>
    </w:p>
    <w:p>
      <w:pPr>
        <w:spacing w:before="0" w:after="80" w:lineRule="auto" w:line="276"/>
      </w:pPr>
      <w:r>
        <w:rPr>
          <w:b/>
        </w:rPr>
        <w:t xml:space="preserve">摘要（ZH）: </w:t>
      </w:r>
      <w:r>
        <w:t>天然细菌栖息地通常是复杂的流体，对压力具有粘弹性和各向异性反应；例如，它们可以采用液晶（LC）的形式，具有细长的微观成分，这些成分共同排列，同时仍保留流动能力。然而，实验室研究通常集中于简单液体或具有随机定向成分的复杂流体中的细胞。在这里，我们展示了与 LC 的相互作用如何影响多细胞菌落中的细菌增殖。通过实验，我们发现在向列液晶中，我们测试的多个物种的细胞在繁殖时都形成对齐的单细胞范围“链”。随着这些链条变长，它们最终会以高度局部化的方式弯曲。通过将我们的测量与连续介质力学理论相结合，我们证明了这种独特的形态发生程序的出现是因为细胞由于 LC 的弹性而保持对齐；当每条链伸长时，沿着其轮廓生长引起的粘性应力最终克服周围向列相的弹性，导致屈曲。因此，我们的工作揭示了LC在复杂环境中塑造细菌生命过程中所扮演的先前被忽视的角色，并提供了机制上的见解。</w:t>
      </w:r>
    </w:p>
    <w:p>
      <w:pPr>
        <w:spacing w:before="0" w:after="200" w:lineRule="auto" w:line="276"/>
      </w:pPr>
      <w:r>
        <w:rPr>
          <w:b/>
        </w:rPr>
        <w:t xml:space="preserve">Abstract (EN): </w:t>
      </w:r>
      <w:r>
        <w:t>Natural bacterial habitats are often complex fluids with viscoelastic and anisotropic responses to stress; for example, they can take the form of liquid crystals (LCs), with elongated microscopic constituents that collectively align while still retaining the ability to flow. However, laboratory studies typically focus on cells in simple liquids or complex fluids with randomly oriented constituents. Here, we show how interactions with LCs shape bacterial proliferation in multicellular colonies. Using experiments, we find that in a nematic LC, cells of the multiple species we tested all form aligned single-cell-wide “chains” as they reproduce. As these chains lengthen, they eventually buckle in a highly localized manner. By combining our measurements with a continuum mechanical theory, we demonstrate that this distinctive morphogenetic program emerges because cells are kept in alignment due to the LC’s elasticity; as each chain lengthens, growth-induced viscous stresses along its contour eventually overcome the elasticity of the surrounding nematic, leading to buckling. Our work thus reveals and provides mechanistic insight into the previously overlooked role of LCs in sculpting bacterial life in complex environments.</w:t>
      </w:r>
    </w:p>
    <w:p>
      <w:pPr>
        <w:spacing w:before="120" w:after="120"/>
      </w:pPr>
      <w:r>
        <w:rPr>
          <w:sz w:val="18"/>
        </w:rPr>
        <w:t>——————————————————————————————————————————————————————————————————————</w:t>
      </w:r>
    </w:p>
    <w:p>
      <w:pPr>
        <w:spacing w:before="160" w:after="40" w:line="240" w:lineRule="auto"/>
      </w:pPr>
      <w:r>
        <w:rPr>
          <w:b/>
        </w:rPr>
        <w:t xml:space="preserve">[408] </w:t>
      </w:r>
      <w:hyperlink r:id="rId1353">
        <w:r>
          <w:rPr>
            <w:color w:val="1155CC"/>
            <w:u w:val="single"/>
          </w:rPr>
          <w:t>病毒进入后将核DNA排出到细胞质：cGAS途径激活的机制</w:t>
        </w:r>
      </w:hyperlink>
    </w:p>
    <w:p>
      <w:pPr>
        <w:spacing w:before="0" w:after="80"/>
      </w:pPr>
      <w:r>
        <w:rPr>
          <w:i/>
          <w:sz w:val="20"/>
        </w:rPr>
        <w:t>EN: Expulsion of nuclear DNA to the cytoplasm after viral entry: A mechanism for activation of the cGAS pathway</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54">
        <w:r>
          <w:rPr>
            <w:color w:val="1155CC"/>
            <w:u w:val="single"/>
          </w:rPr>
          <w:t>10.1073/pnas.2614472123</w:t>
        </w:r>
      </w:hyperlink>
    </w:p>
    <w:p>
      <w:pPr>
        <w:spacing w:before="0" w:after="120"/>
      </w:pPr>
      <w:r>
        <w:rPr>
          <w:b/>
        </w:rPr>
        <w:t xml:space="preserve">Notes: </w:t>
      </w:r>
      <w:r>
        <w:t>abstract_source=crossref</w:t>
      </w:r>
    </w:p>
    <w:p>
      <w:pPr>
        <w:spacing w:before="0" w:after="80" w:lineRule="auto" w:line="276"/>
      </w:pPr>
      <w:r>
        <w:rPr>
          <w:b/>
        </w:rPr>
        <w:t xml:space="preserve">摘要（ZH）: </w:t>
      </w:r>
      <w:r>
        <w:t>细胞通过诱导许多先天和其他宿主反应来阻止该细胞和周围细胞的感染，从而对病毒感染做出反应。核复制 DNA 病毒和某些 RNA 病毒通过环单磷酸鸟苷-单磷酸腺苷合酶 (cGAS) 细胞质 DNA 传感器引起反应的机制尚不清楚。我们在此报告，单纯疱疹病毒 1 感染期间的早期事件诱导核 DNA 起泡进入细胞质，招募与细胞质 DNA 共定位的 cGAS，激活干扰素调节因子 3，并在正常人成纤维细胞和角质形成细胞中诱导 1 型人干扰素。对于 HSV-1，这取决于病毒与表面膜的结合和融合，但与输入的病毒 DNA 向细胞核的转运无关。单纯疱疹病毒 2、人类巨细胞病毒或人类副流感病毒 3 的感染也会诱导核 DNA 起泡，这与诱导这种效应的表面融合进入一致。当病毒通过融合进入时，核DNA通过核膜破裂而挤出，代表了细胞在感染期间对受感染细胞的物理和/或分子变化做出反应的机制。</w:t>
      </w:r>
    </w:p>
    <w:p>
      <w:pPr>
        <w:spacing w:before="0" w:after="200" w:lineRule="auto" w:line="276"/>
      </w:pPr>
      <w:r>
        <w:rPr>
          <w:b/>
        </w:rPr>
        <w:t xml:space="preserve">Abstract (EN): </w:t>
      </w:r>
      <w:r>
        <w:t>Cells respond to viral infection by induction of numerous innate and other host responses to block infection in that cell and surrounding cells. The mechanism(s) by which nuclear replicating DNA viruses and certain RNA viruses elicit responses through the cyclic guanosine monophosphate-adenosine monophosphate synthase (cGAS) cytoplasmic DNA sensor has been elusive. We report here that early events during herpes simplex virus 1 infection induce blebbing of nuclear DNA into the cytoplasm, recruitment of cGAS colocalization with the cytoplasmic DNA, activation of interferon regulatory factor 3, and induction of type 1 human interferon in normal human fibroblasts and keratinocytes. With HSV-1, this is dependent on viral binding and fusion with the surface membrane but independent of transport of the input viral DNA to the nucleus. Infections by herpes simplex virus 2, human cytomegalovirus, or human parainfluenza virus 3 also induce nuclear DNA blebbing, consistent with entry by surface fusion inducing this effect. Extrusion of nuclear DNA through nuclear envelope breaks upon viral entry by fusion represents a mechanism for cells to respond to the physical and/or molecular changes in the infected cell during infection.</w:t>
      </w:r>
    </w:p>
    <w:p>
      <w:pPr>
        <w:spacing w:before="120" w:after="120"/>
      </w:pPr>
      <w:r>
        <w:rPr>
          <w:sz w:val="18"/>
        </w:rPr>
        <w:t>——————————————————————————————————————————————————————————————————————</w:t>
      </w:r>
    </w:p>
    <w:p>
      <w:pPr>
        <w:spacing w:before="160" w:after="40" w:line="240" w:lineRule="auto"/>
      </w:pPr>
      <w:r>
        <w:rPr>
          <w:b/>
        </w:rPr>
        <w:t xml:space="preserve">[409] </w:t>
      </w:r>
      <w:hyperlink r:id="rId1355">
        <w:r>
          <w:rPr>
            <w:color w:val="1155CC"/>
            <w:u w:val="single"/>
          </w:rPr>
          <w:t>鼻子到大脑的回路是通过鼻传入频率调节小鼠焦虑的基础</w:t>
        </w:r>
      </w:hyperlink>
    </w:p>
    <w:p>
      <w:pPr>
        <w:spacing w:before="0" w:after="80"/>
      </w:pPr>
      <w:r>
        <w:rPr>
          <w:i/>
          <w:sz w:val="20"/>
        </w:rPr>
        <w:t>EN: A nose-to-brain circuit underlies anxiety regulation by nasal afferent frequency in mice</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56">
        <w:r>
          <w:rPr>
            <w:color w:val="1155CC"/>
            <w:u w:val="single"/>
          </w:rPr>
          <w:t>10.1073/pnas.2603853123</w:t>
        </w:r>
      </w:hyperlink>
    </w:p>
    <w:p>
      <w:pPr>
        <w:spacing w:before="0" w:after="120"/>
      </w:pPr>
      <w:r>
        <w:rPr>
          <w:b/>
        </w:rPr>
        <w:t xml:space="preserve">Notes: </w:t>
      </w:r>
      <w:r>
        <w:t>abstract_source=crossref</w:t>
      </w:r>
    </w:p>
    <w:p>
      <w:pPr>
        <w:spacing w:before="0" w:after="80" w:lineRule="auto" w:line="276"/>
      </w:pPr>
      <w:r>
        <w:rPr>
          <w:b/>
        </w:rPr>
        <w:t xml:space="preserve">摘要（ZH）: </w:t>
      </w:r>
      <w:r>
        <w:t>缓慢的鼻呼吸可以缓解负面情绪，但鼻子到边缘的精确途径及其因果关系仍不清楚。在这里，我们确定了小鼠中从鼻腔中的嗅觉感觉神经元（OSN）到嗅球（OB）中的二尖瓣细胞，然后到小清蛋白阳性（PV）的通路</w:t>
      </w:r>
      <w:r>
        <w:t xml:space="preserve"> </w:t>
      </w:r>
      <w:r>
        <w:t>+</w:t>
      </w:r>
      <w:r>
        <w:t xml:space="preserve"> </w:t>
      </w:r>
      <w:r>
        <w:t>）鼻周皮层（PRC）中的长投射中间神经元，然后是基底外侧杏仁核（pBLA）中的谷氨酸能神经元，通过鼻传入活动以频率依赖的方式双向调节焦虑。低频鼻气流或光遗传学 OSN 刺激通过激活 PV 诱导抗焦虑并增加 PRC 高伽马功率</w:t>
      </w:r>
      <w:r>
        <w:t xml:space="preserve"> </w:t>
      </w:r>
      <w:r>
        <w:t>+</w:t>
      </w:r>
      <w:r>
        <w:t xml:space="preserve"> </w:t>
      </w:r>
      <w:r>
        <w:t>神经元，而高频则具有相反的效果。 OB 的化学遗传学沉默</w:t>
      </w:r>
      <w:r>
        <w:t xml:space="preserve"> </w:t>
      </w:r>
      <w:r>
        <w:t>→</w:t>
      </w:r>
      <w:r>
        <w:t xml:space="preserve"> </w:t>
      </w:r>
      <w:r>
        <w:t>中国</w:t>
      </w:r>
      <w:r>
        <w:t xml:space="preserve"> </w:t>
      </w:r>
      <w:r>
        <w:t>光伏发电</w:t>
      </w:r>
      <w:r>
        <w:t xml:space="preserve"> </w:t>
      </w:r>
      <w:r>
        <w:t>通路消除了 OSN 刺激驱动的焦虑样行为的频率依赖性调节。选择性激活或抑制所识别的电路会产生相反的行为效应（分别是抗焦虑与致焦虑），与低频和高频 OSN 刺激的结果相似。引人注目的是，为期 2 周的低频鼻气流/光遗传学 OSN 刺激方案改善了焦虑样行为，并恢复了焦虑模型中的 PRC 高伽马活动。这项研究揭示了鼻脑轴通过鼻传入频率双向调节焦虑，提供了潜在的干预策略和治疗方法。</w:t>
      </w:r>
    </w:p>
    <w:p>
      <w:pPr>
        <w:spacing w:before="0" w:after="200" w:lineRule="auto" w:line="276"/>
      </w:pPr>
      <w:r>
        <w:rPr>
          <w:b/>
        </w:rPr>
        <w:t xml:space="preserve">Abstract (EN): </w:t>
      </w:r>
      <w:r>
        <w:t>Slow nasal breathing alleviates negative moods, but the precise nose-to-limbic pathways and their causal contributions remain unclear. Here, we identify a pathway in mice from olfactory sensory neurons (OSNs) in the nasal cavity to mitral cells in the olfactory bulb (OB), then to parvalbumin-positive (PV</w:t>
      </w:r>
      <w:r>
        <w:t xml:space="preserve"> </w:t>
      </w:r>
      <w:r>
        <w:t>+</w:t>
      </w:r>
      <w:r>
        <w:t xml:space="preserve"> </w:t>
      </w:r>
      <w:r>
        <w:t>) long-projecting interneurons in the perirhinal cortex (PRC), and subsequently to glutamatergic neurons in the posterior basolateral amygdala (pBLA), through which nasal afferent activity bidirectionally regulates anxiety in a frequency-dependent manner. Low-frequency nasal airflow or optogenetic OSN stimulation induced anxiolysis and increased PRC high-gamma power by activating PV</w:t>
      </w:r>
      <w:r>
        <w:t xml:space="preserve"> </w:t>
      </w:r>
      <w:r>
        <w:t>+</w:t>
      </w:r>
      <w:r>
        <w:t xml:space="preserve"> </w:t>
      </w:r>
      <w:r>
        <w:t>neurons, whereas high-frequency had opposite effects. Chemogenetic silencing of the OB</w:t>
      </w:r>
      <w:r>
        <w:t xml:space="preserve"> </w:t>
      </w:r>
      <w:r>
        <w:t>→</w:t>
      </w:r>
      <w:r>
        <w:t xml:space="preserve"> </w:t>
      </w:r>
      <w:r>
        <w:t>PRC</w:t>
      </w:r>
      <w:r>
        <w:t xml:space="preserve"> </w:t>
      </w:r>
      <w:r>
        <w:t>PV</w:t>
      </w:r>
      <w:r>
        <w:t xml:space="preserve"> </w:t>
      </w:r>
      <w:r>
        <w:t>pathway eliminated the frequency-dependent regulation of anxiety-like behaviors driven by OSN stimulation. Selective activation or inhibition of the identified circuit generated opposing behavioral effects (anxiolytic vs. anxiogenic, respectively), paralleling the results of low- and high-frequency OSN stimulations. Strikingly, a 2-wk low-frequency nasal airflow/optogenetic OSN stimulation regimen ameliorated anxiety-like behaviors and restored PRC high-gamma activity in an anxiety model. This study reveals a nose–brain axis bidirectionally modulating anxiety via nasal afferent frequency, providing potential interventional strategies and targets for anxiety disorders.</w:t>
      </w:r>
    </w:p>
    <w:p>
      <w:pPr>
        <w:spacing w:before="120" w:after="120"/>
      </w:pPr>
      <w:r>
        <w:rPr>
          <w:sz w:val="18"/>
        </w:rPr>
        <w:t>——————————————————————————————————————————————————————————————————————</w:t>
      </w:r>
    </w:p>
    <w:p>
      <w:pPr>
        <w:spacing w:before="160" w:after="40" w:line="240" w:lineRule="auto"/>
      </w:pPr>
      <w:r>
        <w:rPr>
          <w:b/>
        </w:rPr>
        <w:t xml:space="preserve">[410] </w:t>
      </w:r>
      <w:hyperlink r:id="rId1357">
        <w:r>
          <w:rPr>
            <w:color w:val="1155CC"/>
            <w:u w:val="single"/>
          </w:rPr>
          <w:t>内质网钙耗竭激活 STIM1 的结构重排</w:t>
        </w:r>
      </w:hyperlink>
    </w:p>
    <w:p>
      <w:pPr>
        <w:spacing w:before="0" w:after="80"/>
      </w:pPr>
      <w:r>
        <w:rPr>
          <w:i/>
          <w:sz w:val="20"/>
        </w:rPr>
        <w:t>EN: Structural rearrangements underlying the activation of STIM1 by ER calcium depletion</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58">
        <w:r>
          <w:rPr>
            <w:color w:val="1155CC"/>
            <w:u w:val="single"/>
          </w:rPr>
          <w:t>10.1073/pnas.2602410123</w:t>
        </w:r>
      </w:hyperlink>
    </w:p>
    <w:p>
      <w:pPr>
        <w:spacing w:before="0" w:after="120"/>
      </w:pPr>
      <w:r>
        <w:rPr>
          <w:b/>
        </w:rPr>
        <w:t xml:space="preserve">Notes: </w:t>
      </w:r>
      <w:r>
        <w:t>abstract_source=crossref</w:t>
      </w:r>
    </w:p>
    <w:p>
      <w:pPr>
        <w:spacing w:before="0" w:after="80" w:lineRule="auto" w:line="276"/>
      </w:pPr>
      <w:r>
        <w:rPr>
          <w:b/>
        </w:rPr>
        <w:t xml:space="preserve">摘要（ZH）: </w:t>
      </w:r>
      <w:r>
        <w:t>在静息细胞中，STIM1，二聚体内质网 (ER) Ca</w:t>
      </w:r>
      <w:r>
        <w:t xml:space="preserve"> </w:t>
      </w:r>
      <w:r>
        <w:t>2+</w:t>
      </w:r>
      <w:r>
        <w:t xml:space="preserve"> </w:t>
      </w:r>
      <w:r>
        <w:t>控制商店经营的 Ca 的传感器</w:t>
      </w:r>
      <w:r>
        <w:t xml:space="preserve"> </w:t>
      </w:r>
      <w:r>
        <w:t>2+</w:t>
      </w:r>
      <w:r>
        <w:t xml:space="preserve"> </w:t>
      </w:r>
      <w:r>
        <w:t>条目（SOCE），在Ca举行</w:t>
      </w:r>
      <w:r>
        <w:t xml:space="preserve"> </w:t>
      </w:r>
      <w:r>
        <w:t>2+</w:t>
      </w:r>
      <w:r>
        <w:t xml:space="preserve"> </w:t>
      </w:r>
      <w:r>
        <w:t>-通过多个分子内限制或制动而结合的非活性状态。受体诱发的 Ca 释放</w:t>
      </w:r>
      <w:r>
        <w:t xml:space="preserve"> </w:t>
      </w:r>
      <w:r>
        <w:t>2+</w:t>
      </w:r>
      <w:r>
        <w:t xml:space="preserve"> </w:t>
      </w:r>
      <w:r>
        <w:t>来自 ER 的 STIM1 会引起巨大的构象变化，从而释放制动并暴露 CRAC 激活域 (CAD)，使其能够结合并打开质膜中存储操纵的 Orai1 通道。我们使用纯化的 STIM1 进行了单分子 Förster 共振能量转移 (smFRET) 测量，以更好地了解 Ca</w:t>
      </w:r>
      <w:r>
        <w:t xml:space="preserve"> </w:t>
      </w:r>
      <w:r>
        <w:t>2+</w:t>
      </w:r>
      <w:r>
        <w:t xml:space="preserve"> </w:t>
      </w:r>
      <w:r>
        <w:t>STIM1 管腔结构域的释放驱动了 CAD 释放背后的胞质结构域的构象变化。我们发现钙</w:t>
      </w:r>
      <w:r>
        <w:t xml:space="preserve"> </w:t>
      </w:r>
      <w:r>
        <w:t>2+</w:t>
      </w:r>
      <w:r>
        <w:t xml:space="preserve"> </w:t>
      </w:r>
      <w:r>
        <w:t>去除将 CAD 从 CC1α1（“CC1 钳”）中释放出来，而无需形成与细胞中 CAD 释放相关的 CC1 卷曲螺旋。令人惊讶的是，CAD 在释放过程中发生了戏剧性的重新排列，因为形成其特征性 V 形结构的两个发夹原体被分开。通过半胱氨酸交联将两个原聚体锁定在一起可以防止 CAD 释放，这表明 CAD 必须重新排列才能逃脱 CC1 钳。我们的数据支持一个模型，其中 ER 耗尽诱导的管腔 SAM 结构域二聚化驱动胞质结构域进入多个中间状态</w:t>
      </w:r>
    </w:p>
    <w:p>
      <w:pPr>
        <w:spacing w:before="0" w:after="200" w:lineRule="auto" w:line="276"/>
      </w:pPr>
      <w:r>
        <w:rPr>
          <w:b/>
        </w:rPr>
        <w:t xml:space="preserve">Abstract (EN): </w:t>
      </w:r>
      <w:r>
        <w:t>In resting cells, STIM1, the dimeric endoplasmic reticulum (ER) Ca</w:t>
      </w:r>
      <w:r>
        <w:t xml:space="preserve"> </w:t>
      </w:r>
      <w:r>
        <w:t>2+</w:t>
      </w:r>
      <w:r>
        <w:t xml:space="preserve"> </w:t>
      </w:r>
      <w:r>
        <w:t>sensor that controls store-operated Ca</w:t>
      </w:r>
      <w:r>
        <w:t xml:space="preserve"> </w:t>
      </w:r>
      <w:r>
        <w:t>2+</w:t>
      </w:r>
      <w:r>
        <w:t xml:space="preserve"> </w:t>
      </w:r>
      <w:r>
        <w:t>entry (SOCE), is held in a Ca</w:t>
      </w:r>
      <w:r>
        <w:t xml:space="preserve"> </w:t>
      </w:r>
      <w:r>
        <w:t>2+</w:t>
      </w:r>
      <w:r>
        <w:t xml:space="preserve"> </w:t>
      </w:r>
      <w:r>
        <w:t>-bound inactive state by multiple intramolecular restraints, or brakes. Receptor-evoked release of Ca</w:t>
      </w:r>
      <w:r>
        <w:t xml:space="preserve"> </w:t>
      </w:r>
      <w:r>
        <w:t>2+</w:t>
      </w:r>
      <w:r>
        <w:t xml:space="preserve"> </w:t>
      </w:r>
      <w:r>
        <w:t>from the ER causes a large conformational change in STIM1 that releases the brakes and exposes the CRAC activation domain (CAD), enabling it to bind and open store-operated Orai1 channels in the plasma membrane. We performed single-molecule Förster resonance energy transfer (smFRET) measurements with purified STIM1 to better understand how Ca</w:t>
      </w:r>
      <w:r>
        <w:t xml:space="preserve"> </w:t>
      </w:r>
      <w:r>
        <w:t>2+</w:t>
      </w:r>
      <w:r>
        <w:t xml:space="preserve"> </w:t>
      </w:r>
      <w:r>
        <w:t>release from the luminal domain of STIM1 drives the conformational changes in the cytosolic domain that underlie CAD release. We find that Ca</w:t>
      </w:r>
      <w:r>
        <w:t xml:space="preserve"> </w:t>
      </w:r>
      <w:r>
        <w:t>2+</w:t>
      </w:r>
      <w:r>
        <w:t xml:space="preserve"> </w:t>
      </w:r>
      <w:r>
        <w:t>removal releases the CAD from CC1α1 (the “CC1 clamp”) without obligatory formation of the CC1 coiled-coil that has been associated with CAD release in cells. Surprisingly, the CAD rearranges dramatically during release, as the two hairpin protomers that create its characteristic V-shaped structure are spread apart. Locking the two protomers together by cysteine crosslinking prevents CAD release, suggesting that the CAD must rearrange to escape the CC1 clamp. Our data support a model in which ER depletion-induced dimerization of the luminal SAM domains drives the cytosolic domain into multiple intermediate states including a 3-helix bundle of CC1α1/2/3, releasing the CC1 clamp and allowing the CAD to escape through a “fold-out” mechanism. Subsequent formation of the CC1 coiled-coil enables the CAD to revert to its original shape and extends it toward the plasma membrane to activate Orai1.</w:t>
      </w:r>
    </w:p>
    <w:p>
      <w:pPr>
        <w:spacing w:before="120" w:after="120"/>
      </w:pPr>
      <w:r>
        <w:rPr>
          <w:sz w:val="18"/>
        </w:rPr>
        <w:t>——————————————————————————————————————————————————————————————————————</w:t>
      </w:r>
    </w:p>
    <w:p>
      <w:pPr>
        <w:spacing w:before="160" w:after="40" w:line="240" w:lineRule="auto"/>
      </w:pPr>
      <w:r>
        <w:rPr>
          <w:b/>
        </w:rPr>
        <w:t xml:space="preserve">[411] </w:t>
      </w:r>
      <w:hyperlink r:id="rId1359">
        <w:r>
          <w:rPr>
            <w:color w:val="1155CC"/>
            <w:u w:val="single"/>
          </w:rPr>
          <w:t>抗逆转录病毒治疗期间 HIV 感染的 CD4 T 细胞的免疫表型和前病毒状况</w:t>
        </w:r>
      </w:hyperlink>
    </w:p>
    <w:p>
      <w:pPr>
        <w:spacing w:before="0" w:after="80"/>
      </w:pPr>
      <w:r>
        <w:rPr>
          <w:i/>
          <w:sz w:val="20"/>
        </w:rPr>
        <w:t>EN: The immunophenotype and proviral landscape of HIV-infected CD4 T cells during antiretroviral therapy</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60">
        <w:r>
          <w:rPr>
            <w:color w:val="1155CC"/>
            <w:u w:val="single"/>
          </w:rPr>
          <w:t>10.1073/pnas.2600891123</w:t>
        </w:r>
      </w:hyperlink>
    </w:p>
    <w:p>
      <w:pPr>
        <w:spacing w:before="0" w:after="120"/>
      </w:pPr>
      <w:r>
        <w:rPr>
          <w:b/>
        </w:rPr>
        <w:t xml:space="preserve">Notes: </w:t>
      </w:r>
      <w:r>
        <w:t>abstract_source=crossref</w:t>
      </w:r>
    </w:p>
    <w:p>
      <w:pPr>
        <w:spacing w:before="0" w:after="80" w:lineRule="auto" w:line="276"/>
      </w:pPr>
      <w:r>
        <w:rPr>
          <w:b/>
        </w:rPr>
        <w:t xml:space="preserve">摘要（ZH）: </w:t>
      </w:r>
      <w:r>
        <w:t>在接受有效抗逆转录病毒治疗 (ART) 的个体中，整合的 HIV 原病毒持续存在于 CD4 T 细胞内，形成病毒库，如果停止治疗，病毒库就会反弹。识别和靶向这些罕见的感染细胞对于推进治疗至关重要，但研究储存细胞的方法有限，而且它们的独特特性在很大程度上仍然未知。我们应用了 DAb-seq（一种结合了单细胞 DNA 和表面蛋白测序的高通量方法），对 ART 中 6 名个体血液中的约 527,000 个 CD4 T 细胞进行了分析。受感染的细胞分布在所有 CD4 T 细胞亚群中，但在中央记忆亚群和具有表达高水平整合素 β7 的类 Th17 特征的 CD4 亚群中富集。试图识别区分感染细胞和未感染细胞的表面标记，揭示了很大程度上反映了感染最富集的亚群的表位。然而，虽然中央记忆T细胞携带了大部分HIV，但相对于CD4 Naïve、过渡记忆（Ttm）和调节（Treg）亚群中缺陷较多的原病毒，具有更多基因组区域的原病毒富集，这表明这些亚群差异性地维持了更完整的原病毒基因组。总之，我们开发了 DAb-seq 作为一个开源平台，将原病毒序列与细胞表型联系起来，揭示了感染亚群中表面蛋白表达和原病毒命运的异质性。</w:t>
      </w:r>
    </w:p>
    <w:p>
      <w:pPr>
        <w:spacing w:before="0" w:after="200" w:lineRule="auto" w:line="276"/>
      </w:pPr>
      <w:r>
        <w:rPr>
          <w:b/>
        </w:rPr>
        <w:t xml:space="preserve">Abstract (EN): </w:t>
      </w:r>
      <w:r>
        <w:t>In individuals on effective antiretroviral therapy (ART), integrated HIV proviruses persist within CD4 T cells, forming a viral reservoir that rebounds if treatment is stopped. Identifying and targeting these rare, infected cells is critical for advancing therapies, but methods to study reservoir cells are limited, and their unique properties remain largely unknown. We applied DAb-seq, a high-throughput method that combines single-cell DNA and surface protein sequencing, to profile ~527,000 CD4 T cells from the blood of six individuals on ART. Infected cells were distributed across all CD4 T cell subsets but were enriched in central memory subsets and in a CD4 subset with Th17-like signatures expressing high levels of integrin β7. Attempts to identify surface markers distinguishing infected from uninfected cells revealed epitopes that largely reflected the subsets most enriched for infection. However, while central memory T cells harbored the majority of HIV, proviruses with a greater number of genomic regions were enriched relative to their more defective counterparts in the CD4 Naïve, transitional memory (Ttm), and regulatory (Treg) subsets, suggesting that these subsets differentially maintain more complete proviral genomes. In summary, we developed DAb-seq as an open-source platform to link proviral sequences to cellular phenotypes, revealing heterogeneity in surface protein expression and proviral fate across infected subsets.</w:t>
      </w:r>
    </w:p>
    <w:p>
      <w:pPr>
        <w:spacing w:before="120" w:after="120"/>
      </w:pPr>
      <w:r>
        <w:rPr>
          <w:sz w:val="18"/>
        </w:rPr>
        <w:t>——————————————————————————————————————————————————————————————————————</w:t>
      </w:r>
    </w:p>
    <w:p>
      <w:pPr>
        <w:spacing w:before="160" w:after="40" w:line="240" w:lineRule="auto"/>
      </w:pPr>
      <w:r>
        <w:rPr>
          <w:b/>
        </w:rPr>
        <w:t xml:space="preserve">[412] </w:t>
      </w:r>
      <w:hyperlink r:id="rId1361">
        <w:r>
          <w:rPr>
            <w:color w:val="1155CC"/>
            <w:u w:val="single"/>
          </w:rPr>
          <w:t>FEMA 逐步取消？灾难性极端事件挑战美国洪水保险的分散化</w:t>
        </w:r>
      </w:hyperlink>
    </w:p>
    <w:p>
      <w:pPr>
        <w:spacing w:before="0" w:after="80"/>
      </w:pPr>
      <w:r>
        <w:rPr>
          <w:i/>
          <w:sz w:val="20"/>
        </w:rPr>
        <w:t>EN: FEMA phase-out? Catastrophic extremes challenge decentralization of US flood insurance</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62">
        <w:r>
          <w:rPr>
            <w:color w:val="1155CC"/>
            <w:u w:val="single"/>
          </w:rPr>
          <w:t>10.1073/pnas.2537388123</w:t>
        </w:r>
      </w:hyperlink>
    </w:p>
    <w:p>
      <w:pPr>
        <w:spacing w:before="0" w:after="120"/>
      </w:pPr>
      <w:r>
        <w:rPr>
          <w:b/>
        </w:rPr>
        <w:t xml:space="preserve">Notes: </w:t>
      </w:r>
      <w:r>
        <w:t>abstract_source=crossref</w:t>
      </w:r>
    </w:p>
    <w:p>
      <w:pPr>
        <w:spacing w:before="0" w:after="80" w:lineRule="auto" w:line="276"/>
      </w:pPr>
      <w:r>
        <w:rPr>
          <w:b/>
        </w:rPr>
        <w:t xml:space="preserve">摘要（ZH）: </w:t>
      </w:r>
      <w:r>
        <w:t>在联邦紧急事务管理局 (FEMA) 权力下放并将灾害管理转移到各州的提案中，美国国家洪水保险计划 (NFIP) 面临着日益严峻的偿付能力和负担能力挑战。灾难性洪水经常跨越州界，同时暴露多个分散的保险池。我们使用路径无关的模拟框架，整合了基于风险的保费、水文气象集群洪水损失和 2025 年再保险合同，并利用历史数据评估了国家和州级资金池的稳定性。国家资金池通过跨区域多元化显着减少了系统性破产，而许多国家资金池表现出结构脆弱性。州级赤字主要由超集群（由常见大气驱动因素引起的相干时空损失）主导，表明集群损失控制着失败。由于各国必须平衡预算并面临借贷限制以弥补巨额损失，因此流动性池限制了去中心化系统。现有的再保险（包括保险相关证券）并不总能承保这些聚集性损失，因为它与水文气候风险的聚集性、时空性质不一致，仅承保传统合同中的单一洪水事件和 FloodSmart 巨灾债券中的个别命名风暴。一个有弹性且负担得起的 NFIP 将需要混合金融设计，调整基于风险的保费和再保险，以平衡长期和灾难性风险。</w:t>
      </w:r>
    </w:p>
    <w:p>
      <w:pPr>
        <w:spacing w:before="0" w:after="200" w:lineRule="auto" w:line="276"/>
      </w:pPr>
      <w:r>
        <w:rPr>
          <w:b/>
        </w:rPr>
        <w:t xml:space="preserve">Abstract (EN): </w:t>
      </w:r>
      <w:r>
        <w:t>The U.S. National Flood Insurance Program (NFIP) faces growing solvency and affordability challenges amid proposals to decentralize the Federal Emergency Management Agency (FEMA) and shift disaster management to states. Catastrophic floods often span state boundaries, exposing multiple decentralized insurance pools simultaneously. Using a path-independent simulation framework that integrates risk-based premiums, hydrometeorologically clustered flood losses, and 2025 reinsurance contracts, we evaluate the stability of national and state-level pooling using historical data. National pooling markedly reduces systemic insolvency through cross-regional diversification, while many state pools exhibit structural fragility. State-level deficits are dominated by hyperclusters—coherent spatiotemporal losses induced by common atmospheric drivers—indicating that clustered loss governs failure. Since states must balance budgets and face borrowing restrictions to cover large losses, pool liquidity constrains decentralized systems. Existing reinsurance (including insurance-linked securities) does not always cover these clustered losses due to its misalignment with the clustered, spatiotemporal nature of hydroclimatic risk, covering only single flood events in traditional contracts and individual named storms in FloodSmart catastrophe bonds. A resilient and affordable NFIP will require hybrid financial design aligning risk-based premiums and reinsurance to balance chronic and catastrophic risk.</w:t>
      </w:r>
    </w:p>
    <w:p>
      <w:pPr>
        <w:spacing w:before="120" w:after="120"/>
      </w:pPr>
      <w:r>
        <w:rPr>
          <w:sz w:val="18"/>
        </w:rPr>
        <w:t>——————————————————————————————————————————————————————————————————————</w:t>
      </w:r>
    </w:p>
    <w:p>
      <w:pPr>
        <w:spacing w:before="160" w:after="40" w:line="240" w:lineRule="auto"/>
      </w:pPr>
      <w:r>
        <w:rPr>
          <w:b/>
        </w:rPr>
        <w:t xml:space="preserve">[413] </w:t>
      </w:r>
      <w:hyperlink r:id="rId1363">
        <w:r>
          <w:rPr>
            <w:color w:val="1155CC"/>
            <w:u w:val="single"/>
          </w:rPr>
          <w:t>NatA 复合物是根内生真菌诱导的系统反应的叶内在制动器</w:t>
        </w:r>
      </w:hyperlink>
    </w:p>
    <w:p>
      <w:pPr>
        <w:spacing w:before="0" w:after="80"/>
      </w:pPr>
      <w:r>
        <w:rPr>
          <w:i/>
          <w:sz w:val="20"/>
        </w:rPr>
        <w:t>EN: NatA complex is a leaf-intrinsic brake on systemic responses induced by root endophytic fungi</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64">
        <w:r>
          <w:rPr>
            <w:color w:val="1155CC"/>
            <w:u w:val="single"/>
          </w:rPr>
          <w:t>10.1073/pnas.2536998123</w:t>
        </w:r>
      </w:hyperlink>
    </w:p>
    <w:p>
      <w:pPr>
        <w:spacing w:before="0" w:after="120"/>
      </w:pPr>
      <w:r>
        <w:rPr>
          <w:b/>
        </w:rPr>
        <w:t xml:space="preserve">Notes: </w:t>
      </w:r>
      <w:r>
        <w:t>abstract_source=crossref</w:t>
      </w:r>
    </w:p>
    <w:p>
      <w:pPr>
        <w:spacing w:before="0" w:after="80" w:lineRule="auto" w:line="276"/>
      </w:pPr>
      <w:r>
        <w:rPr>
          <w:b/>
        </w:rPr>
        <w:t xml:space="preserve">摘要（ZH）: </w:t>
      </w:r>
      <w:r>
        <w:t>与根部相关的有益微生物为宿主植物诱导叶子的系统抗性（ISR）做好准备。虽然根内生真菌触发的持续免疫激活会损害叶片生长，但宿主植物如何在内生真菌介导的 ISR 启动过程中避免自身免疫尚不清楚。在这里，我们表明</w:t>
      </w:r>
      <w:r>
        <w:t xml:space="preserve"> </w:t>
      </w:r>
      <w:r>
        <w:t>拟南芥</w:t>
      </w:r>
      <w:r>
        <w:t xml:space="preserve"> </w:t>
      </w:r>
      <w:r>
        <w:t>NatA N 末端乙酰转移酶复合物充当这些从根到叶的系统反应的叶内在制动器。 NatA 亚基 SUF1（也称为 HYPK）或 NAA15 的损伤会释放慢性 N-羟基哌啶酸（NHP）/水杨酸（SA）信号激活，将有益的 ISR 启动转化为生长抑制的叶片衰老。转录组和定量蛋白质组分析揭示了 NatA 突变体叶片中防御和 SA 信号通路的选择性激活。穿越</w:t>
      </w:r>
      <w:r>
        <w:t xml:space="preserve"> </w:t>
      </w:r>
      <w:r>
        <w:t>苏夫1</w:t>
      </w:r>
      <w:r>
        <w:t xml:space="preserve"> </w:t>
      </w:r>
      <w:r>
        <w:t>或</w:t>
      </w:r>
      <w:r>
        <w:t xml:space="preserve"> </w:t>
      </w:r>
      <w:r>
        <w:t>NAA15</w:t>
      </w:r>
      <w:r>
        <w:t xml:space="preserve"> </w:t>
      </w:r>
      <w:r>
        <w:t>与</w:t>
      </w:r>
      <w:r>
        <w:t xml:space="preserve"> </w:t>
      </w:r>
      <w:r>
        <w:t>fmo1</w:t>
      </w:r>
      <w:r>
        <w:t xml:space="preserve"> </w:t>
      </w:r>
      <w:r>
        <w:t>和</w:t>
      </w:r>
      <w:r>
        <w:t xml:space="preserve"> </w:t>
      </w:r>
      <w:r>
        <w:t>eds5</w:t>
      </w:r>
      <w:r>
        <w:t xml:space="preserve"> </w:t>
      </w:r>
      <w:r>
        <w:t>废除了自身免疫，证实该表型需要 FMO1 依赖性 NHP 和下游 SA 合成和信号激活。因此，通过破坏防御蛋白的稳定性，NatA 使植物能够维持终生 ISR 启动而不会影响生长，从而指导育种者考虑 ISR 控制性状。</w:t>
      </w:r>
    </w:p>
    <w:p>
      <w:pPr>
        <w:spacing w:before="0" w:after="200" w:lineRule="auto" w:line="276"/>
      </w:pPr>
      <w:r>
        <w:rPr>
          <w:b/>
        </w:rPr>
        <w:t xml:space="preserve">Abstract (EN): </w:t>
      </w:r>
      <w:r>
        <w:t>Root-associated beneficial microbes prime host plants for induced systemic resistance (ISR) in leaves. Although continuous immune activation triggered by root endophytic fungi would impair leaf growth, how host plants avoid autoimmunity during endophytic fungi-mediated ISR priming is unknown. Here, we show that the</w:t>
      </w:r>
      <w:r>
        <w:t xml:space="preserve"> </w:t>
      </w:r>
      <w:r>
        <w:t>Arabidopsis</w:t>
      </w:r>
      <w:r>
        <w:t xml:space="preserve"> </w:t>
      </w:r>
      <w:r>
        <w:t>NatA N-terminal–acetyltransferase complex acts as a leaf-intrinsic brake on these root-to-leaf systemic responses. Impairment of the NatA subunit SUF1 (also named HYPK) or NAA15 unleashed chronic N-hydroxy-pipecolic-acid (NHP)/salicylic-acid (SA) signaling activation, converting beneficial ISR priming into growth-inhibitory leaf senescence. Transcriptome and quantitative proteomic analysis revealed the selective activation of defense and SA signaling pathways in the leaves of NatA mutants. Crossing</w:t>
      </w:r>
      <w:r>
        <w:t xml:space="preserve"> </w:t>
      </w:r>
      <w:r>
        <w:t>suf1</w:t>
      </w:r>
      <w:r>
        <w:t xml:space="preserve"> </w:t>
      </w:r>
      <w:r>
        <w:t>or</w:t>
      </w:r>
      <w:r>
        <w:t xml:space="preserve"> </w:t>
      </w:r>
      <w:r>
        <w:t>naa15</w:t>
      </w:r>
      <w:r>
        <w:t xml:space="preserve"> </w:t>
      </w:r>
      <w:r>
        <w:t>with</w:t>
      </w:r>
      <w:r>
        <w:t xml:space="preserve"> </w:t>
      </w:r>
      <w:r>
        <w:t>fmo1</w:t>
      </w:r>
      <w:r>
        <w:t xml:space="preserve"> </w:t>
      </w:r>
      <w:r>
        <w:t>and</w:t>
      </w:r>
      <w:r>
        <w:t xml:space="preserve"> </w:t>
      </w:r>
      <w:r>
        <w:t>eds5</w:t>
      </w:r>
      <w:r>
        <w:t xml:space="preserve"> </w:t>
      </w:r>
      <w:r>
        <w:t>abolished autoimmunity, confirming that the phenotype requires FMO1-dependent NHP and downstream SA synthesis and signaling activation. Thus, by destabilizing defense proteins, NatA enables plants to sustain lifelong ISR priming without growth penalty, guiding breeders to consider ISR control traits.</w:t>
      </w:r>
    </w:p>
    <w:p>
      <w:pPr>
        <w:spacing w:before="120" w:after="120"/>
      </w:pPr>
      <w:r>
        <w:rPr>
          <w:sz w:val="18"/>
        </w:rPr>
        <w:t>——————————————————————————————————————————————————————————————————————</w:t>
      </w:r>
    </w:p>
    <w:p>
      <w:pPr>
        <w:spacing w:before="160" w:after="40" w:line="240" w:lineRule="auto"/>
      </w:pPr>
      <w:r>
        <w:rPr>
          <w:b/>
        </w:rPr>
        <w:t xml:space="preserve">[414] </w:t>
      </w:r>
      <w:hyperlink r:id="rId1365">
        <w:r>
          <w:rPr>
            <w:color w:val="1155CC"/>
            <w:u w:val="single"/>
          </w:rPr>
          <w:t>LLM 多智能体系统中的群体规模效应和集体失调</w:t>
        </w:r>
      </w:hyperlink>
    </w:p>
    <w:p>
      <w:pPr>
        <w:spacing w:before="0" w:after="80"/>
      </w:pPr>
      <w:r>
        <w:rPr>
          <w:i/>
          <w:sz w:val="20"/>
        </w:rPr>
        <w:t>EN: Group size effects and collective misalignment in LLM multi-agent systems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66">
        <w:r>
          <w:rPr>
            <w:color w:val="1155CC"/>
            <w:u w:val="single"/>
          </w:rPr>
          <w:t>10.1073/pnas.2531697123</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 (LLM) 的多智能体系统正在跨领域快速扩展，引入了单智能体评估无法捕获的动态。然而，现有的工作大多将单个主体的行为与固定规模的集体的行为进行对比，留下了一个核心问题：群体规模如何塑造动态？在这里，我们超越了这种二分法，系统地探索了各种团体规模的结果。我们专注于多智能体错位，基于最近的证据，即互动的法学硕士玩简单的协调游戏可能会产生个体模型中不存在的集体偏见。首先，我们表明集体偏见是比之前评估的更深层次的现象：交互可以放大个人偏见，引入新的偏见，或推翻模型级别的偏好。其次，我们证明群体大小以非线性方式影响动态，揭示了依赖于模型的动态机制。最后，我们开发了一种平均场分析方法，并表明，在临界种群规模之上，模拟收敛于确定性预测，从而暴露了竞争平衡的吸引力盆地。这些发现将群体规模确定为多智能体动态的关键驱动因素，并强调在大规模部署基于 LLM 的系统时需要考虑群体水平的影响。</w:t>
      </w:r>
    </w:p>
    <w:p>
      <w:pPr>
        <w:spacing w:before="0" w:after="200" w:lineRule="auto" w:line="276"/>
      </w:pPr>
      <w:r>
        <w:rPr>
          <w:b/>
        </w:rPr>
        <w:t xml:space="preserve">Abstract (EN): </w:t>
      </w:r>
      <w:r>
        <w:t>Multi-agent systems of large language models (LLMs) are rapidly expanding across domains, introducing dynamics not captured by single-agent evaluations. Yet, existing work has mostly contrasted the behavior of a single agent with that of a collective of fixed size, leaving open a central question: How does group size shape dynamics? Here, we move beyond this dichotomy and systematically explore outcomes across the full range of group sizes. We focus on multi-agent misalignment, building on recent evidence that interacting LLMs playing a simple coordination game can generate collective biases absent in individual models. First, we show that collective bias is a deeper phenomenon than previously assessed: Interaction can amplify individual biases, introduce new ones, or override model-level preferences. Second, we demonstrate that group size affects the dynamics in a nonlinear way, revealing model-dependent dynamical regimes. Finally, we develop a mean-field analytical approach and show that, above a critical population size, simulations converge to deterministic predictions that expose the basins of attraction of competing equilibria. These findings establish group size as a key driver of multi-agent dynamics and highlight the need to consider population-level effects when deploying LLM-based systems at scale.</w:t>
      </w:r>
    </w:p>
    <w:p>
      <w:pPr>
        <w:spacing w:before="120" w:after="120"/>
      </w:pPr>
      <w:r>
        <w:rPr>
          <w:sz w:val="18"/>
        </w:rPr>
        <w:t>——————————————————————————————————————————————————————————————————————</w:t>
      </w:r>
    </w:p>
    <w:p>
      <w:pPr>
        <w:spacing w:before="160" w:after="40" w:line="240" w:lineRule="auto"/>
      </w:pPr>
      <w:r>
        <w:rPr>
          <w:b/>
        </w:rPr>
        <w:t xml:space="preserve">[415] </w:t>
      </w:r>
      <w:hyperlink r:id="rId1367">
        <w:r>
          <w:rPr>
            <w:color w:val="1155CC"/>
            <w:u w:val="single"/>
          </w:rPr>
          <w:t>描述将空间聚合的人类流动数据纳入传染病模型的影响</w:t>
        </w:r>
      </w:hyperlink>
    </w:p>
    <w:p>
      <w:pPr>
        <w:spacing w:before="0" w:after="80"/>
      </w:pPr>
      <w:r>
        <w:rPr>
          <w:i/>
          <w:sz w:val="20"/>
        </w:rPr>
        <w:t>EN: Characterizing the impact of incorporating spatially aggregated human mobility data into infectious disease models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68">
        <w:r>
          <w:rPr>
            <w:color w:val="1155CC"/>
            <w:u w:val="single"/>
          </w:rPr>
          <w:t>10.1073/pnas.2533465123</w:t>
        </w:r>
      </w:hyperlink>
    </w:p>
    <w:p>
      <w:pPr>
        <w:spacing w:before="0" w:after="120"/>
      </w:pPr>
      <w:r>
        <w:rPr>
          <w:b/>
        </w:rPr>
        <w:t xml:space="preserve">Notes: </w:t>
      </w:r>
      <w:r>
        <w:t>abstract_source=crossref</w:t>
      </w:r>
    </w:p>
    <w:p>
      <w:pPr>
        <w:spacing w:before="0" w:after="80" w:lineRule="auto" w:line="276"/>
      </w:pPr>
      <w:r>
        <w:rPr>
          <w:b/>
        </w:rPr>
        <w:t xml:space="preserve">摘要（ZH）: </w:t>
      </w:r>
      <w:r>
        <w:t>传染病动力学模型应将流动性数据的空间规模与推断疾病传入事件和随后的本地传播相关的旅行规模相结合。尽管如此，很少有人探讨空间聚合移动数据对模型推论的偏差。在这里，我们通过将斯里兰卡的多尺度流动数据整合到易感、暴露、感染、恢复 (SEIR) 集合种群模型中，检查传染病建模结果对不同空间尺度的人类流动的敏感性。从三个日益粗糙的空间尺度上的手机记录中获得了汇总的移动数据，以模拟新出现的急性呼吸道感染的流行病传播。我们发现，当数据被分解时，出行在嵌套空间尺度上的分布并不均匀，接近边界的子单元相对于该单元表现出更高水平的出行。在疾病传播的模拟中，这些不同规模的流动聚集有可能在估计的空间入侵时间上产生很大的变化，但不会在最终的流行规模上产生很大的变化。空间入侵时间的建模差异取决于疾病传播强度和初始播种位置等外源因素。我们的结果对传染病建模最佳实践和公共卫生应对措施具有影响，特别是根据模型推论做出的政策决策，这些模型推论是否受到相关空间规模的流动数据（例如干预时间、风险沟通和资源分配）的影响。</w:t>
      </w:r>
    </w:p>
    <w:p>
      <w:pPr>
        <w:spacing w:before="0" w:after="200" w:lineRule="auto" w:line="276"/>
      </w:pPr>
      <w:r>
        <w:rPr>
          <w:b/>
        </w:rPr>
        <w:t xml:space="preserve">Abstract (EN): </w:t>
      </w:r>
      <w:r>
        <w:t>Models of infectious disease dynamics should align the spatial scale of mobility data to the scale of travel relevant to inferring disease introduction events and subsequent local transmission. Despite this, the biases of spatially aggregating mobility data on model inferences are rarely explored. Here, we examine the sensitivity of infectious disease modeling results to different spatial scales of human mobility by integrating multiscale mobility data from Sri Lanka into Susceptible, Exposed, Infected, Recovered (SEIR) metapopulation models. Aggregated mobility data were obtained from mobile phone records at three increasingly coarser spatial scales to simulate epidemic spread of an emerging acute respiratory infection. We found that travel was not evenly distributed among nested spatial scales when data were disaggregated, with subunits close to borders exhibiting higher levels of travel relative to the unit. In simulations of disease transmission, these different scales of mobility aggregation had potential to yield wide variations in the estimated spatial invasion timing but not in final epidemic size. Modeled differences in spatial invasion time depended on disease transmission intensity and exogenous factors like the initial seeding location. Our results carry implications for infectious disease modeling best practices and public health response, particularly the policy decisions made from model inferences that were or were not informed by the relevant spatial scale of mobility data such as intervention timing, risk communication, and resource allocation.</w:t>
      </w:r>
    </w:p>
    <w:p>
      <w:pPr>
        <w:spacing w:before="120" w:after="120"/>
      </w:pPr>
      <w:r>
        <w:rPr>
          <w:sz w:val="18"/>
        </w:rPr>
        <w:t>——————————————————————————————————————————————————————————————————————</w:t>
      </w:r>
    </w:p>
    <w:p>
      <w:pPr>
        <w:spacing w:before="160" w:after="40" w:line="240" w:lineRule="auto"/>
      </w:pPr>
      <w:r>
        <w:rPr>
          <w:b/>
        </w:rPr>
        <w:t xml:space="preserve">[416] </w:t>
      </w:r>
      <w:hyperlink r:id="rId1369">
        <w:r>
          <w:rPr>
            <w:color w:val="1155CC"/>
            <w:u w:val="single"/>
          </w:rPr>
          <w:t>KAT2/HDACⅡa-PGK-ALDO轴构成双重降解抑制级联，将能量应激与糖酵解放大联系起来</w:t>
        </w:r>
      </w:hyperlink>
    </w:p>
    <w:p>
      <w:pPr>
        <w:spacing w:before="0" w:after="80"/>
      </w:pPr>
      <w:r>
        <w:rPr>
          <w:i/>
          <w:sz w:val="20"/>
        </w:rPr>
        <w:t>EN: The KAT2/HDACⅡa–PGK–ALDO axis constitutes a dual degradation inhibition cascade links energy stress to glycolytic amplification</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70">
        <w:r>
          <w:rPr>
            <w:color w:val="1155CC"/>
            <w:u w:val="single"/>
          </w:rPr>
          <w:t>10.1073/pnas.2533429123</w:t>
        </w:r>
      </w:hyperlink>
    </w:p>
    <w:p>
      <w:pPr>
        <w:spacing w:before="0" w:after="120"/>
      </w:pPr>
      <w:r>
        <w:rPr>
          <w:b/>
        </w:rPr>
        <w:t xml:space="preserve">Notes: </w:t>
      </w:r>
      <w:r>
        <w:t>abstract_source=crossref</w:t>
      </w:r>
    </w:p>
    <w:p>
      <w:pPr>
        <w:spacing w:before="0" w:after="80" w:lineRule="auto" w:line="276"/>
      </w:pPr>
      <w:r>
        <w:rPr>
          <w:b/>
        </w:rPr>
        <w:t xml:space="preserve">摘要（ZH）: </w:t>
      </w:r>
      <w:r>
        <w:t>细胞重新编程糖酵解途径以应对能量缺乏，其中糖酵解酶的催化活性、稳定性和非常规功能受到翻译后修饰（PTM）的精细调节。在这里，我们报告了后生动物保守的双重降解抑制级联，其中能量应激协调乙酰化-磷酸化串扰，同时增强糖酵解输出并抑制两个蛋白质降解系统。具体来说，KAT2 (KAT2A)/HDACIIa (HDAC5) 介导的 PGK K73 (PGK1; K75) 乙酰化可拮抗其泛素-蛋白酶体降解，同时加强其与 ALDO (ALDOA) 的相互作用。然后，PGK发挥非经典激酶活性在S272位点磷酸化ALDO，从而增强ALDO的底物亲和力，并通过抑制与HSC70的相互作用来抑制其分子伴侣介导的自噬溶酶体降解，同时稳定和激活ALDO以放大糖酵解通量。这个古老的生存轴是牡蛎耐热性差异的基础，并在人类肺腺癌中被劫持以驱动恶性增殖。我们的研究通过统一的代谢信号轴整合了环境适应和肿瘤发生，拓宽了我们对进化和疾病中 PTM 串扰的理解。</w:t>
      </w:r>
    </w:p>
    <w:p>
      <w:pPr>
        <w:spacing w:before="0" w:after="200" w:lineRule="auto" w:line="276"/>
      </w:pPr>
      <w:r>
        <w:rPr>
          <w:b/>
        </w:rPr>
        <w:t xml:space="preserve">Abstract (EN): </w:t>
      </w:r>
      <w:r>
        <w:t>Cells reprogram glycolysis pathway to cope with energy deficiency, in which the catalytic activity, stability, and noncanonical functions of glycolytic enzymes are finely regulated by posttranslational modifications (PTMs). Here, we report a metazoan-conserved dual degradation inhibition cascade whereby energy stress coordinates acetylation-phosphorylation crosstalk that simultaneously enhances glycolytic output and suppresses two protein degradation systems. Specifically, KAT2 (KAT2A)/HDACIIa (HDAC5)-mediated acetylation of PGK at K73 (PGK1; K75) antagonizes its ubiquitin–proteasomal degradation while strengthening its interaction with ALDO (ALDOA). Then, PGK exerts noncanonical kinase activity to phosphorylate ALDO at S272, thereby enhancing ALDO’s substrate affinity and suppressing its chaperone-mediated autophagic–lysosomal degradation by inhibiting the interaction with HSC70 to simultaneously stabilize and activate ALDO to amplify glycolytic flux. This ancient survival axis underlies thermotolerance divergence in oysters and is hijacked in human lung adenocarcinoma to drive malignant proliferation. Our study integrates environmental adaptation and tumorigenesis through a unified metabolic signaling axis, broadening our understanding of PTM crosstalk in evolution and disease.</w:t>
      </w:r>
    </w:p>
    <w:p>
      <w:pPr>
        <w:spacing w:before="120" w:after="120"/>
      </w:pPr>
      <w:r>
        <w:rPr>
          <w:sz w:val="18"/>
        </w:rPr>
        <w:t>——————————————————————————————————————————————————————————————————————</w:t>
      </w:r>
    </w:p>
    <w:p>
      <w:pPr>
        <w:spacing w:before="160" w:after="40" w:line="240" w:lineRule="auto"/>
      </w:pPr>
      <w:r>
        <w:rPr>
          <w:b/>
        </w:rPr>
        <w:t xml:space="preserve">[417] </w:t>
      </w:r>
      <w:hyperlink r:id="rId1371">
        <w:r>
          <w:rPr>
            <w:color w:val="1155CC"/>
            <w:u w:val="single"/>
          </w:rPr>
          <w:t>低收入和中等收入国家的海洋热浪和营养不良</w:t>
        </w:r>
      </w:hyperlink>
    </w:p>
    <w:p>
      <w:pPr>
        <w:spacing w:before="0" w:after="80"/>
      </w:pPr>
      <w:r>
        <w:rPr>
          <w:i/>
          <w:sz w:val="20"/>
        </w:rPr>
        <w:t>EN: Marine heatwaves and undernutrition in low- and middle-income countries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72">
        <w:r>
          <w:rPr>
            <w:color w:val="1155CC"/>
            <w:u w:val="single"/>
          </w:rPr>
          <w:t>10.1073/pnas.2528506123</w:t>
        </w:r>
      </w:hyperlink>
    </w:p>
    <w:p>
      <w:pPr>
        <w:spacing w:before="0" w:after="120"/>
      </w:pPr>
      <w:r>
        <w:rPr>
          <w:b/>
        </w:rPr>
        <w:t xml:space="preserve">Notes: </w:t>
      </w:r>
      <w:r>
        <w:t>abstract_source=crossref</w:t>
      </w:r>
    </w:p>
    <w:p>
      <w:pPr>
        <w:spacing w:before="0" w:after="80" w:lineRule="auto" w:line="276"/>
      </w:pPr>
      <w:r>
        <w:rPr>
          <w:b/>
        </w:rPr>
        <w:t xml:space="preserve">摘要（ZH）: </w:t>
      </w:r>
      <w:r>
        <w:t>气候变化导致海洋热浪加速，并日益威胁沿海人口的生命和生计，特别是在低收入和中等收入国家，这些国家的许多家庭直接依赖当地海洋渔业获取蛋白质、微量营养素和收入。为了量化这一威胁，我们将 36 个低收入或中等收入国家 9,813 个沿海地点的儿童和孕产妇健康个人数据与附近海洋的热浪暴露联系起来，并使用此关联数据集来估计固定效应逻辑回归模型，以测试热浪对儿童死亡率、消瘦和发育迟缓以及成人体重不足的影响。我们发现，24 个月内热浪数量每增加 1 个标准差，儿童死亡率就会增加 5.4%，儿童消瘦会增加 6.5%，儿童发育迟缓会增加 8.8%，而且这些影响还延伸到热浪的其他方面，例如最高海面温度和累积强度。更依赖小规模捕捞的城市地区和国家受到的影响最为严重，当我们考虑到相关的大气热浪时，大多数结果仍然很重要。总而言之，这些结果证明海洋热浪损害了人类健康，并强调需要对海洋条件与人类健康之间的联系机制进行更多研究。</w:t>
      </w:r>
    </w:p>
    <w:p>
      <w:pPr>
        <w:spacing w:before="0" w:after="200" w:lineRule="auto" w:line="276"/>
      </w:pPr>
      <w:r>
        <w:rPr>
          <w:b/>
        </w:rPr>
        <w:t xml:space="preserve">Abstract (EN): </w:t>
      </w:r>
      <w:r>
        <w:t>Marine heatwaves are accelerating under climate change and increasingly threaten the lives and livelihoods of coastal populations, particularly in low- and middle-income countries where many households directly depend on local marine fisheries for protein, micronutrients, and income. To quantify this threat, we link individual-level data on child and maternal health from 9,813 coastal sites in 36 low- or middle-income countries to heatwave exposures in the nearby ocean, and use this linked dataset to estimate fixed-effects logistic regression models that test for heatwave effects on child mortality, wasting, and stunting, as well as adult underweight. We find that a 1 SD increase in the number of heatwaves over a 24-mo period increases the odds of child mortality by 5.4%, child wasting by 6.5% and child stunting by 8.8%, and that these effects also extend to other dimensions of heatwaves such as maximum sea surface temperature and cumulative intensity. Urban locations and countries more dependent on small-scale fishing are most strongly affected, and the majority of these results remain significant when we account for correlated atmospheric heatwaves. Taken together, these results document that marine heatwaves undermine human health and emphasize the need for additional research on the mechanisms connecting oceanic conditions to human health.</w:t>
      </w:r>
    </w:p>
    <w:p>
      <w:pPr>
        <w:spacing w:before="120" w:after="120"/>
      </w:pPr>
      <w:r>
        <w:rPr>
          <w:sz w:val="18"/>
        </w:rPr>
        <w:t>——————————————————————————————————————————————————————————————————————</w:t>
      </w:r>
    </w:p>
    <w:p>
      <w:pPr>
        <w:spacing w:before="160" w:after="40" w:line="240" w:lineRule="auto"/>
      </w:pPr>
      <w:r>
        <w:rPr>
          <w:b/>
        </w:rPr>
        <w:t xml:space="preserve">[418] </w:t>
      </w:r>
      <w:hyperlink r:id="rId1373">
        <w:r>
          <w:rPr>
            <w:color w:val="1155CC"/>
            <w:u w:val="single"/>
          </w:rPr>
          <w:t>通过组织几何形状和机械化学反馈启动果蝇的旋转集体迁移</w:t>
        </w:r>
      </w:hyperlink>
    </w:p>
    <w:p>
      <w:pPr>
        <w:spacing w:before="0" w:after="80"/>
      </w:pPr>
      <w:r>
        <w:rPr>
          <w:i/>
          <w:sz w:val="20"/>
        </w:rPr>
        <w:t>EN: Initiation of rotational collective migration in Drosophila through tissue geometry and mechanochemical feedback</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74">
        <w:r>
          <w:rPr>
            <w:color w:val="1155CC"/>
            <w:u w:val="single"/>
          </w:rPr>
          <w:t>10.1073/pnas.2528342123</w:t>
        </w:r>
      </w:hyperlink>
    </w:p>
    <w:p>
      <w:pPr>
        <w:spacing w:before="0" w:after="120"/>
      </w:pPr>
      <w:r>
        <w:rPr>
          <w:b/>
        </w:rPr>
        <w:t xml:space="preserve">Notes: </w:t>
      </w:r>
      <w:r>
        <w:t>abstract_source=crossref</w:t>
      </w:r>
    </w:p>
    <w:p>
      <w:pPr>
        <w:spacing w:before="0" w:after="80" w:lineRule="auto" w:line="276"/>
      </w:pPr>
      <w:r>
        <w:rPr>
          <w:b/>
        </w:rPr>
        <w:t xml:space="preserve">摘要（ZH）: </w:t>
      </w:r>
      <w:r>
        <w:t>上皮细胞的集体迁移驱动不同的组织重塑过程。在许多情况下，游离组织边缘单独工作或与其他外部提示结合使用，以使细胞对齐以进行集体运动，但在没有这些提示的情况下，无边缘或闭合上皮如何极化以进行定向迁移尚不清楚。在这里，我们利用滤泡上皮细胞的旋转迁移</w:t>
      </w:r>
      <w:r>
        <w:t xml:space="preserve"> </w:t>
      </w:r>
      <w:r>
        <w:t>果蝇</w:t>
      </w:r>
      <w:r>
        <w:t xml:space="preserve"> </w:t>
      </w:r>
      <w:r>
        <w:t>卵室探索无边缘上皮中的细胞如何启动旋转集体迁移，以及如何指定旋转轴。通过采用长期实时成像和延迟旋转开始的方法，我们发现对称性破坏可能发生在多个发育阶段，并且非典型钙粘蛋白 Fat2 在旋转开始之前促进基底上皮表面的局部运动。然后，我们将实验与理论模型相结合，以确定一个正反馈回路，其中 Fat2 的平面极化将单个细胞的前后轴沿共同方向对齐，并且由此产生的组织运动导致 Fat2 的平面极化。这种机械敏感反馈与卵室的刚体动力学相结合，可以打破手性对称性并在计算机中产生持续的旋转。我们进一步提出，组织间相互作用和组织几何形状产生的机械约束确保了围绕前后轴发生旋转。我们的研究结果提出了一种生物物理机制——结合 Fat2 介导的速度-极性排列、刚体动力学和组织</w:t>
      </w:r>
    </w:p>
    <w:p>
      <w:pPr>
        <w:spacing w:before="0" w:after="200" w:lineRule="auto" w:line="276"/>
      </w:pPr>
      <w:r>
        <w:rPr>
          <w:b/>
        </w:rPr>
        <w:t xml:space="preserve">Abstract (EN): </w:t>
      </w:r>
      <w:r>
        <w:t>Collective migration of epithelial cells drives diverse tissue remodeling processes. In many cases, a free tissue edge works alone or in combination with other external cues to align the cells for collective movement, but how edge-free or closed epithelia become polarized for directed migration without these cues is unclear. Here, we use the rotational migration of the follicular epithelial cells in the</w:t>
      </w:r>
      <w:r>
        <w:t xml:space="preserve"> </w:t>
      </w:r>
      <w:r>
        <w:t>Drosophila</w:t>
      </w:r>
      <w:r>
        <w:t xml:space="preserve"> </w:t>
      </w:r>
      <w:r>
        <w:t>egg chamber to explore how cells in an edgeless epithelium initiate rotational collective migration, and how the rotational axis is specified. By employing methods for long-term live imaging and delaying the onset of rotation, we show that symmetry breaking can occur at multiple developmental stages and that the atypical cadherin Fat2 promotes local motility at the basal epithelial surface before rotation begins. We then combine experiments with theoretical modeling to identify a positive feedback loop in which planar polarization of Fat2 aligns the front–rear axes of the individual cells in a common direction and the resulting tissue motion leads to the planar polarization of Fat2. This mechanosensitive feedback, coupled with rigid-body dynamics of the egg chamber, can break chiral symmetry and produce sustained rotation in silico. We further propose that mechanical constraints arising from intertissue interactions and tissue geometry ensure that rotation occurs around the anterior–posterior axis. Our findings suggest a biophysical mechanism—combining Fat2-mediated velocity–polarity alignment, rigid-body dynamics, and tissue geometry—by which a closed epithelial tissue can self-organize into persistent, large-scale rotational migration in vivo, expanding current flocking theories.</w:t>
      </w:r>
    </w:p>
    <w:p>
      <w:pPr>
        <w:spacing w:before="120" w:after="120"/>
      </w:pPr>
      <w:r>
        <w:rPr>
          <w:sz w:val="18"/>
        </w:rPr>
        <w:t>——————————————————————————————————————————————————————————————————————</w:t>
      </w:r>
    </w:p>
    <w:p>
      <w:pPr>
        <w:spacing w:before="160" w:after="40" w:line="240" w:lineRule="auto"/>
      </w:pPr>
      <w:r>
        <w:rPr>
          <w:b/>
        </w:rPr>
        <w:t xml:space="preserve">[419] </w:t>
      </w:r>
      <w:hyperlink r:id="rId1375">
        <w:r>
          <w:rPr>
            <w:color w:val="1155CC"/>
            <w:u w:val="single"/>
          </w:rPr>
          <w:t>上游开放阅读框抑制神经元钾通道 KCNQ2 的翻译</w:t>
        </w:r>
      </w:hyperlink>
    </w:p>
    <w:p>
      <w:pPr>
        <w:spacing w:before="0" w:after="80"/>
      </w:pPr>
      <w:r>
        <w:rPr>
          <w:i/>
          <w:sz w:val="20"/>
        </w:rPr>
        <w:t>EN: An upstream open reading frame represses translation of the neuronal potassium channel KCNQ2</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76">
        <w:r>
          <w:rPr>
            <w:color w:val="1155CC"/>
            <w:u w:val="single"/>
          </w:rPr>
          <w:t>10.1073/pnas.2610782123</w:t>
        </w:r>
      </w:hyperlink>
    </w:p>
    <w:p>
      <w:pPr>
        <w:spacing w:before="0" w:after="120"/>
      </w:pPr>
      <w:r>
        <w:rPr>
          <w:b/>
        </w:rPr>
        <w:t xml:space="preserve">Notes: </w:t>
      </w:r>
      <w:r>
        <w:t>abstract_source=crossref</w:t>
      </w:r>
    </w:p>
    <w:p>
      <w:pPr>
        <w:spacing w:before="0" w:after="80" w:lineRule="auto" w:line="276"/>
      </w:pPr>
      <w:r>
        <w:rPr>
          <w:b/>
        </w:rPr>
        <w:t xml:space="preserve">摘要（ZH）: </w:t>
      </w:r>
      <w:r>
        <w:t>信使 RNA 转录本 5'-非翻译区 (5'-UTR) 内的上游开放阅读框 (uORF) 可以调节蛋白质翻译。尽管在人类基因组中广泛存在，但许多临床相关基因仍未被识别。一个经常与新生儿癫痫发作相关的基因是</w:t>
      </w:r>
      <w:r>
        <w:t xml:space="preserve"> </w:t>
      </w:r>
      <w:r>
        <w:t>KCNQ2</w:t>
      </w:r>
      <w:r>
        <w:t xml:space="preserve"> </w:t>
      </w:r>
      <w:r>
        <w:t>，它编码神经元电压门控钾通道亚基，其功能是抑制神经元兴奋性。杂合性功能丧失致病性</w:t>
      </w:r>
      <w:r>
        <w:t xml:space="preserve"> </w:t>
      </w:r>
      <w:r>
        <w:t>KCNQ2</w:t>
      </w:r>
      <w:r>
        <w:t xml:space="preserve"> </w:t>
      </w:r>
      <w:r>
        <w:t>已知变异会导致一系列神经发育障碍和癫痫性脑病，但携带这些变异的患者的临床需求仍然未得到满足。我们在</w:t>
      </w:r>
      <w:r>
        <w:t xml:space="preserve"> </w:t>
      </w:r>
      <w:r>
        <w:t>KCNQ2</w:t>
      </w:r>
      <w:r>
        <w:t xml:space="preserve"> </w:t>
      </w:r>
      <w:r>
        <w:t>它高度抑制蛋白质翻译，并证明使 uORF 起始密码子失效的突变可增强编码钾通道的合成。此外，我们发现 uORF 起始密码子的腺嘌呤碱基编辑可以削弱 uORF 上的核糖体结合，并增强神经元样细胞系中蛋白质的翻译。这项研究建立了一个先前未充分探索的监管特征</w:t>
      </w:r>
      <w:r>
        <w:t xml:space="preserve"> </w:t>
      </w:r>
      <w:r>
        <w:t>KCNQ2</w:t>
      </w:r>
      <w:r>
        <w:t xml:space="preserve"> </w:t>
      </w:r>
      <w:r>
        <w:t>并强调了解临床相关基因的uORF对于评估疾病风险和治疗潜力的重要性。</w:t>
      </w:r>
    </w:p>
    <w:p>
      <w:pPr>
        <w:spacing w:before="0" w:after="200" w:lineRule="auto" w:line="276"/>
      </w:pPr>
      <w:r>
        <w:rPr>
          <w:b/>
        </w:rPr>
        <w:t xml:space="preserve">Abstract (EN): </w:t>
      </w:r>
      <w:r>
        <w:t>Upstream open reading frames (uORFs) within the 5’-untranslated region (5’-UTR) of messenger RNA transcripts can regulate protein translation. Despite widespread prevalence within the human genome, they remain unidentified for many clinically relevant genes. A gene frequently associated with neonatal-onset epilepsy is</w:t>
      </w:r>
      <w:r>
        <w:t xml:space="preserve"> </w:t>
      </w:r>
      <w:r>
        <w:t>KCNQ2</w:t>
      </w:r>
      <w:r>
        <w:t xml:space="preserve"> </w:t>
      </w:r>
      <w:r>
        <w:t>, which encodes a neuronal voltage-gated potassium channel subunit that functions to dampen neuronal excitability. Heterozygous loss-of-function pathogenic</w:t>
      </w:r>
      <w:r>
        <w:t xml:space="preserve"> </w:t>
      </w:r>
      <w:r>
        <w:t>KCNQ2</w:t>
      </w:r>
      <w:r>
        <w:t xml:space="preserve"> </w:t>
      </w:r>
      <w:r>
        <w:t>variants are known to cause a range of neurodevelopmental disorders and epileptic encephalopathies, but there remains an unmet clinical need for patients harboring these variants. We identified a single uORF in</w:t>
      </w:r>
      <w:r>
        <w:t xml:space="preserve"> </w:t>
      </w:r>
      <w:r>
        <w:t>KCNQ2</w:t>
      </w:r>
      <w:r>
        <w:t xml:space="preserve"> </w:t>
      </w:r>
      <w:r>
        <w:t>that is highly repressive of protein translation and demonstrated that mutations disabling the uORF start codon enhance synthesis of encoded potassium channels. Additionally, we show that adenine base editing of the uORF start codon can weaken ribosome engagement at the uORF and enhance translation of the protein in a neuron-like cell line. This study establishes a previously underexplored regulatory feature for</w:t>
      </w:r>
      <w:r>
        <w:t xml:space="preserve"> </w:t>
      </w:r>
      <w:r>
        <w:t>KCNQ2</w:t>
      </w:r>
      <w:r>
        <w:t xml:space="preserve"> </w:t>
      </w:r>
      <w:r>
        <w:t>and highlights the importance of understanding uORFs for clinically relevant genes, both for assessing disease risk and therapeutic potential.</w:t>
      </w:r>
    </w:p>
    <w:p>
      <w:pPr>
        <w:spacing w:before="120" w:after="120"/>
      </w:pPr>
      <w:r>
        <w:rPr>
          <w:sz w:val="18"/>
        </w:rPr>
        <w:t>——————————————————————————————————————————————————————————————————————</w:t>
      </w:r>
    </w:p>
    <w:p>
      <w:pPr>
        <w:spacing w:before="160" w:after="40" w:line="240" w:lineRule="auto"/>
      </w:pPr>
      <w:r>
        <w:rPr>
          <w:b/>
        </w:rPr>
        <w:t xml:space="preserve">[420] </w:t>
      </w:r>
      <w:hyperlink r:id="rId1377">
        <w:r>
          <w:rPr>
            <w:color w:val="1155CC"/>
            <w:u w:val="single"/>
          </w:rPr>
          <w:t>城市化削弱了鸟类的全球纬度多样性梯度</w:t>
        </w:r>
      </w:hyperlink>
    </w:p>
    <w:p>
      <w:pPr>
        <w:spacing w:before="0" w:after="80"/>
      </w:pPr>
      <w:r>
        <w:rPr>
          <w:i/>
          <w:sz w:val="20"/>
        </w:rPr>
        <w:t>EN: Urbanization weakens the global latitudinal diversity gradient in birds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78">
        <w:r>
          <w:rPr>
            <w:color w:val="1155CC"/>
            <w:u w:val="single"/>
          </w:rPr>
          <w:t>10.1073/pnas.2527860123</w:t>
        </w:r>
      </w:hyperlink>
    </w:p>
    <w:p>
      <w:pPr>
        <w:spacing w:before="0" w:after="120"/>
      </w:pPr>
      <w:r>
        <w:rPr>
          <w:b/>
        </w:rPr>
        <w:t xml:space="preserve">Notes: </w:t>
      </w:r>
      <w:r>
        <w:t>abstract_source=crossref</w:t>
      </w:r>
    </w:p>
    <w:p>
      <w:pPr>
        <w:spacing w:before="0" w:after="80" w:lineRule="auto" w:line="276"/>
      </w:pPr>
      <w:r>
        <w:rPr>
          <w:b/>
        </w:rPr>
        <w:t xml:space="preserve">摘要（ZH）: </w:t>
      </w:r>
      <w:r>
        <w:t>热带地区物种丰富度的显着增加可能是地球上最普遍的宏观生态模式，但即使是这样的基本模式也很容易受到人为变化的影响。城市化是一种特别严重且分布于全球的变化，往往会降低当地的多样性；目前还不清楚这种局部影响是否会扩大并改变全球生物多样性格局。我们提出了关于城市化如何影响多样性纬度梯度的三个假设，并使用对五大洲超过 10,000 种鸟类的社区科学观察来测试它们。我们发现城市地区的鸟类纬度多样性梯度比自然地区弱 3 倍。城市化减少了各个纬度的鸟类多样性（平均减少了 32%），但热带城市失去了更高比例的物种，这种影响在整个半球、季节和方法选择上都是一致的。热带城市这种不成比例的多样性丧失似乎部分是由于专业化的纬度梯度造成的，因为热带鸟类群落包含了更多的专家，而专家则被城市化不成比例地排除在外，部分原因是低纬度地区的城市化更加激烈。我们的研究结果表明，城市化正在破坏几千年来定义全球生物多样性的宏观生态模式，并表明社区特征和城市规划都调节城市化对当地和全球的影响。</w:t>
      </w:r>
    </w:p>
    <w:p>
      <w:pPr>
        <w:spacing w:before="0" w:after="200" w:lineRule="auto" w:line="276"/>
      </w:pPr>
      <w:r>
        <w:rPr>
          <w:b/>
        </w:rPr>
        <w:t xml:space="preserve">Abstract (EN): </w:t>
      </w:r>
      <w:r>
        <w:t>The striking increase in species richness toward the tropics is perhaps Earth’s most ubiquitous macroecological pattern, but even such fundamental patterns can be vulnerable to anthropogenic change. Urbanization is a particularly severe and globally distributed change that often reduces local diversity; whether such local effects scale up to alter global biodiversity patterns is unclear. We present three hypotheses for how urbanization might affect latitudinal gradients in diversity, and test them using community science observations of &amp;gt;10,000 bird species on five continents. We find that the avian latitudinal diversity gradient is 3× weaker in urban areas compared to natural areas. Urbanization reduced bird diversity across latitudes (by 32% on average), but tropical cities lost a higher proportion of species, an effect that was consistent across hemispheres, seasons, and methodological choices. This disproportionate diversity loss from tropical cities seems driven partly by latitudinal gradients in specialization, as tropical bird assemblages contained more specialists and specialists were disproportionately excluded by urbanization, and partly by more intense urbanization toward lower latitudes. Our results show that urbanization is disrupting macroecological patterns that have defined global biodiversity for millennia, and suggest that both community traits and urban planning mediate urbanization’s local and global impacts.</w:t>
      </w:r>
    </w:p>
    <w:p>
      <w:pPr>
        <w:spacing w:before="120" w:after="120"/>
      </w:pPr>
      <w:r>
        <w:rPr>
          <w:sz w:val="18"/>
        </w:rPr>
        <w:t>——————————————————————————————————————————————————————————————————————</w:t>
      </w:r>
    </w:p>
    <w:p>
      <w:pPr>
        <w:spacing w:before="160" w:after="40" w:line="240" w:lineRule="auto"/>
      </w:pPr>
      <w:r>
        <w:rPr>
          <w:b/>
        </w:rPr>
        <w:t xml:space="preserve">[421] </w:t>
      </w:r>
      <w:hyperlink r:id="rId1379">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80">
        <w:r>
          <w:rPr>
            <w:color w:val="1155CC"/>
            <w:u w:val="single"/>
          </w:rPr>
          <w:t>10.1073/iti3326123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[422] </w:t>
      </w:r>
      <w:hyperlink r:id="rId1381">
        <w:r>
          <w:rPr>
            <w:color w:val="1155CC"/>
            <w:u w:val="single"/>
          </w:rPr>
          <w:t>肌胶蛋白协调激素和营养信号传导以控制秋粘虫的变态和组织生长</w:t>
        </w:r>
      </w:hyperlink>
    </w:p>
    <w:p>
      <w:pPr>
        <w:spacing w:before="0" w:after="80"/>
      </w:pPr>
      <w:r>
        <w:rPr>
          <w:i/>
          <w:sz w:val="20"/>
        </w:rPr>
        <w:t>EN: Myoglianin coordinates hormonal and nutrient signaling to control metamorphosis and tissue growth in the fall armyworm</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82">
        <w:r>
          <w:rPr>
            <w:color w:val="1155CC"/>
            <w:u w:val="single"/>
          </w:rPr>
          <w:t>10.1073/pnas.2612072123</w:t>
        </w:r>
      </w:hyperlink>
    </w:p>
    <w:p>
      <w:pPr>
        <w:spacing w:before="0" w:after="120"/>
      </w:pPr>
      <w:r>
        <w:rPr>
          <w:b/>
        </w:rPr>
        <w:t xml:space="preserve">Notes: </w:t>
      </w:r>
      <w:r>
        <w:t>abstract_source=crossref</w:t>
      </w:r>
    </w:p>
    <w:p>
      <w:pPr>
        <w:spacing w:before="0" w:after="80" w:lineRule="auto" w:line="276"/>
      </w:pPr>
      <w:r>
        <w:rPr>
          <w:b/>
        </w:rPr>
        <w:t xml:space="preserve">摘要（ZH）: </w:t>
      </w:r>
      <w:r>
        <w:t>全变态昆虫从幼虫阶段到蛹阶段的转变是受激素和营养线索调节的关键发育决定。这里报道的研究揭示了 TGF-β 配体肌粘蛋白 (Myo) 在将这些信号整合到主要鳞翅目害虫秋粘虫中的核心作用，</w:t>
      </w:r>
      <w:r>
        <w:t xml:space="preserve"> </w:t>
      </w:r>
      <w:r>
        <w:t>草地贪夜蛾</w:t>
      </w:r>
      <w:r>
        <w:t xml:space="preserve"> </w:t>
      </w:r>
      <w:r>
        <w:t>。我们发现 CRISPR/Cas9 介导的</w:t>
      </w:r>
      <w:r>
        <w:t xml:space="preserve"> </w:t>
      </w:r>
      <w:r>
        <w:t>妙</w:t>
      </w:r>
      <w:r>
        <w:t xml:space="preserve"> </w:t>
      </w:r>
      <w:r>
        <w:t>基因敲除（KO）导致多余的幼虫蜕皮和幼虫-蛹过渡的损害。 Myo-KO 幼虫表现出激素环境被破坏，其特征是保幼激素 (JH) 水平升高和蜕皮激素水平降低。 JH 滴度升高与 JH 酯酶降解减少相关，而蜕皮类固醇水平的降低可归因于头部 PTTH 信号轴和前胸腺中蜕皮类固醇生物合成基因下调驱动的合成抑制。此外，</w:t>
      </w:r>
      <w:r>
        <w:t xml:space="preserve"> </w:t>
      </w:r>
      <w:r>
        <w:t>妙</w:t>
      </w:r>
      <w:r>
        <w:t xml:space="preserve"> </w:t>
      </w:r>
      <w:r>
        <w:t>KO 导致不成比例的生长，过大的幼虫含有过小的组织（例如翼盘和睾丸）。这与胰岛素/TOR信号通路和营养转运蛋白的基因表达减少有关，表明营养分配受损。我们的研究结果表明，Myo 是一个主调节因子，可将全身内分泌信号与组织特异性营养反应同步，以协调变态和平衡生长。</w:t>
      </w:r>
    </w:p>
    <w:p>
      <w:pPr>
        <w:spacing w:before="0" w:after="200" w:lineRule="auto" w:line="276"/>
      </w:pPr>
      <w:r>
        <w:rPr>
          <w:b/>
        </w:rPr>
        <w:t xml:space="preserve">Abstract (EN): </w:t>
      </w:r>
      <w:r>
        <w:t>The transition from larval to pupal stage in holometabolous insects is a critical developmental decision regulated by hormonal and nutritional cues. The studies reported here revealed a central role for the TGF-β ligand Myoglianin (Myo) in integrating these signals in a major lepidopteran pest, the fall armyworm,</w:t>
      </w:r>
      <w:r>
        <w:t xml:space="preserve"> </w:t>
      </w:r>
      <w:r>
        <w:t>Spodoptera frugiperda</w:t>
      </w:r>
      <w:r>
        <w:t xml:space="preserve"> </w:t>
      </w:r>
      <w:r>
        <w:t>. We found that CRISPR/Cas9-mediated</w:t>
      </w:r>
      <w:r>
        <w:t xml:space="preserve"> </w:t>
      </w:r>
      <w:r>
        <w:t>Myo</w:t>
      </w:r>
      <w:r>
        <w:t xml:space="preserve"> </w:t>
      </w:r>
      <w:r>
        <w:t>knockout (KO) resulted in supernumerary larval molts and an impairment of the larval–pupal transition. Myo-KO larvae exhibited a disrupted hormone milieu, characterized by elevated juvenile hormone (JH) levels and reduced ecdysone levels. The elevated JH titer was associated with reduced degradation by JH esterase, whereas the decrease in ecdysteroid levels was attributable to suppressed synthesis, driven by downregulation of the PTTH signaling axis in the head and of ecdysteroid biosynthesis genes in the prothoracic glands. Furthermore,</w:t>
      </w:r>
      <w:r>
        <w:t xml:space="preserve"> </w:t>
      </w:r>
      <w:r>
        <w:t>Myo</w:t>
      </w:r>
      <w:r>
        <w:t xml:space="preserve"> </w:t>
      </w:r>
      <w:r>
        <w:t>KO led to disproportionate growth, with oversized larvae harboring undersized tissues (e.g., wing disc and testes). This was associated with reduced expression of genes in the insulin/TOR signaling pathway and nutrient transporters, indicating impaired nutrient allocation. Our results establish Myo as a master regulator that synchronizes systemic endocrine signals with tissue-specific nutrient responses to coordinate metamorphosis and balance growth.</w:t>
      </w:r>
    </w:p>
    <w:p>
      <w:pPr>
        <w:spacing w:before="120" w:after="120"/>
      </w:pPr>
      <w:r>
        <w:rPr>
          <w:sz w:val="18"/>
        </w:rPr>
        <w:t>——————————————————————————————————————————————————————————————————————</w:t>
      </w:r>
    </w:p>
    <w:p>
      <w:pPr>
        <w:spacing w:before="160" w:after="40" w:line="240" w:lineRule="auto"/>
      </w:pPr>
      <w:r>
        <w:rPr>
          <w:b/>
        </w:rPr>
        <w:t xml:space="preserve">[423] </w:t>
      </w:r>
      <w:hyperlink r:id="rId1383">
        <w:r>
          <w:rPr>
            <w:color w:val="1155CC"/>
            <w:u w:val="single"/>
          </w:rPr>
          <w:t>增殖作为抑制肿瘤形成的自然策略</w:t>
        </w:r>
      </w:hyperlink>
    </w:p>
    <w:p>
      <w:pPr>
        <w:spacing w:before="0" w:after="80"/>
      </w:pPr>
      <w:r>
        <w:rPr>
          <w:i/>
          <w:sz w:val="20"/>
        </w:rPr>
        <w:t>EN: Proliferation as a natural strategy to suppress neoplasia</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84">
        <w:r>
          <w:rPr>
            <w:color w:val="1155CC"/>
            <w:u w:val="single"/>
          </w:rPr>
          <w:t>10.1073/pnas.2605763123</w:t>
        </w:r>
      </w:hyperlink>
    </w:p>
    <w:p>
      <w:pPr>
        <w:spacing w:before="0" w:after="120"/>
      </w:pPr>
      <w:r>
        <w:rPr>
          <w:b/>
        </w:rPr>
        <w:t xml:space="preserve">Notes: </w:t>
      </w:r>
      <w:r>
        <w:t>abstract_source=crossref</w:t>
      </w:r>
    </w:p>
    <w:p>
      <w:pPr>
        <w:spacing w:before="0" w:after="80" w:lineRule="auto" w:line="276"/>
      </w:pPr>
      <w:r>
        <w:rPr>
          <w:b/>
        </w:rPr>
        <w:t xml:space="preserve">摘要（ZH）: </w:t>
      </w:r>
      <w:r>
        <w:t>细胞增殖对于维持组织稳态是必要的，但增殖也会带来患癌症的风险。为了了解某些生物体如何在维持体内平衡的同时抑制癌症，我们开发了细胞群的动态模型。该模型确定了两种制度。在一种方案中，正如预期的那样，增殖驱动肿瘤细胞的积累。在另一种情况下，出乎意料的是，增殖的增加抑制了肿瘤细胞的积累。在这种情况下，随着更多的细胞增殖，更多的细胞也会由于稳态反馈而死亡。只要优先靶向肿瘤细胞，高通量就可以有效地充当校对员。即使系统缺乏高度特异性的肿瘤细胞检测器，高通量校对也能发挥作用。作为第一个实验测试，我们检查了水母。在刺胞动物中很少观察到肿瘤，但简单地抑制增殖就会促进肿瘤的发生。这里开发的定量框架提供了可通过实验测试的预测，以评估其他系统中的高通量校对。</w:t>
      </w:r>
    </w:p>
    <w:p>
      <w:pPr>
        <w:spacing w:before="0" w:after="200" w:lineRule="auto" w:line="276"/>
      </w:pPr>
      <w:r>
        <w:rPr>
          <w:b/>
        </w:rPr>
        <w:t xml:space="preserve">Abstract (EN): </w:t>
      </w:r>
      <w:r>
        <w:t>Cell proliferation is necessary to maintain tissue homeostasis, but proliferation carries with it a risk of cancer. To understand how some organisms suppress cancer while maintaining homeostasis, we developed a dynamical model of cell populations. The model identifies two regimes. In one regime, as expected, proliferation drives accumulation of neoplastic cells. In another regime, unexpectedly, increasing proliferation suppresses accumulation of neoplastic cells. In this regime, as more cells proliferate, more cells also die as a consequence of homeostatic feedback. As long as neoplastic cells are targeted preferentially, the high flux effectively acts as a proofreader. High-flux proofreading works even when the system lacks a highly specific detector of neoplastic cells. As a first experimental test, we examined the jellyfish. Neoplasms are rarely observed in cnidarians, yet simply inhibiting proliferation promotes neoplasms. The quantitative framework developed here offers experimentally testable predictions to assess high-flux proofreading in other systems.</w:t>
      </w:r>
    </w:p>
    <w:p>
      <w:pPr>
        <w:spacing w:before="120" w:after="120"/>
      </w:pPr>
      <w:r>
        <w:rPr>
          <w:sz w:val="18"/>
        </w:rPr>
        <w:t>——————————————————————————————————————————————————————————————————————</w:t>
      </w:r>
    </w:p>
    <w:p>
      <w:pPr>
        <w:spacing w:before="160" w:after="40" w:line="240" w:lineRule="auto"/>
      </w:pPr>
      <w:r>
        <w:rPr>
          <w:b/>
        </w:rPr>
        <w:t xml:space="preserve">[424] </w:t>
      </w:r>
      <w:hyperlink r:id="rId1385">
        <w:r>
          <w:rPr>
            <w:color w:val="1155CC"/>
            <w:u w:val="single"/>
          </w:rPr>
          <w:t>ER 保留基序控制 hERG1a/1b 通道的异聚化学计量</w:t>
        </w:r>
      </w:hyperlink>
    </w:p>
    <w:p>
      <w:pPr>
        <w:spacing w:before="0" w:after="80"/>
      </w:pPr>
      <w:r>
        <w:rPr>
          <w:i/>
          <w:sz w:val="20"/>
        </w:rPr>
        <w:t>EN: An ER retention motif controls the heteromeric stoichiometry of hERG1a/1b channels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86">
        <w:r>
          <w:rPr>
            <w:color w:val="1155CC"/>
            <w:u w:val="single"/>
          </w:rPr>
          <w:t>10.1073/pnas.2605305123</w:t>
        </w:r>
      </w:hyperlink>
    </w:p>
    <w:p>
      <w:pPr>
        <w:spacing w:before="0" w:after="120"/>
      </w:pPr>
      <w:r>
        <w:rPr>
          <w:b/>
        </w:rPr>
        <w:t xml:space="preserve">Notes: </w:t>
      </w:r>
      <w:r>
        <w:t>abstract_source=crossref</w:t>
      </w:r>
    </w:p>
    <w:p>
      <w:pPr>
        <w:spacing w:before="0" w:after="80" w:lineRule="auto" w:line="276"/>
      </w:pPr>
      <w:r>
        <w:rPr>
          <w:b/>
        </w:rPr>
        <w:t xml:space="preserve">摘要（ZH）: </w:t>
      </w:r>
      <w:r>
        <w:t>的</w:t>
      </w:r>
      <w:r>
        <w:t xml:space="preserve"> </w:t>
      </w:r>
      <w:r>
        <w:t>人类ether-à-go-相关基因</w:t>
      </w:r>
      <w:r>
        <w:t xml:space="preserve"> </w:t>
      </w:r>
      <w:r>
        <w:t>（</w:t>
      </w:r>
      <w:r>
        <w:t xml:space="preserve"> </w:t>
      </w:r>
      <w:r>
        <w:t>ERG</w:t>
      </w:r>
      <w:r>
        <w:t xml:space="preserve"> </w:t>
      </w:r>
      <w:r>
        <w:t>）编码对于心脏复极和神经元兴奋性至关重要的钾通道。在心脏中，hERG1a 和 hERG1b 亚基的异聚体组装产生心脏 I</w:t>
      </w:r>
      <w:r>
        <w:t xml:space="preserve"> </w:t>
      </w:r>
      <w:r>
        <w:t>克尔</w:t>
      </w:r>
      <w:r>
        <w:t xml:space="preserve"> </w:t>
      </w:r>
      <w:r>
        <w:t>，并且任一亚基的突变都与长 QT 综合征相关。虽然 hERG1a 和 1b 含有相同的跨膜和 C 端胞质结构域，但它们在 N 端胞质结构域方面有所不同，hERG1b 含有基于精氨酸的内质网 (ER) 保留/检索基序，在 hERG1a 不存在的情况下限制其表面表达。虽然已知 hERG1a 和 1b 亚基的关联会影响通道功能，但异聚 hERG 通道的化学计量和调节它的机制仍未解决。在这里，使用 HeLa 细胞中的单分子光漂白步骤分析，我们表明异聚 hERG1a/1b 通道主要以固定的 2:2 化学计量组装。 hERG1b ER 保留基序的突变破坏了这种偏差，导致亚基组成更广泛、近乎随机的分布。使用爪蟾卵母细胞中的显性失活孔突变体进行的独立功能测定产生了与 2:2 组装一致的定量电流抑制，并且类似地揭示了 RXR 突变时化学计量偏差的丧失。总之，这些结果确定了 hERG1a/1b 通道的寡聚组成，并将 ER 保留确定为以前未认识到的异聚体决定因素</w:t>
      </w:r>
    </w:p>
    <w:p>
      <w:pPr>
        <w:spacing w:before="0" w:after="200" w:lineRule="auto" w:line="276"/>
      </w:pPr>
      <w:r>
        <w:rPr>
          <w:b/>
        </w:rPr>
        <w:t xml:space="preserve">Abstract (EN): </w:t>
      </w:r>
      <w:r>
        <w:t>The</w:t>
      </w:r>
      <w:r>
        <w:t xml:space="preserve"> </w:t>
      </w:r>
      <w:r>
        <w:t>human ether-à-go-go related gene</w:t>
      </w:r>
      <w:r>
        <w:t xml:space="preserve"> </w:t>
      </w:r>
      <w:r>
        <w:t>(</w:t>
      </w:r>
      <w:r>
        <w:t xml:space="preserve"> </w:t>
      </w:r>
      <w:r>
        <w:t>hERG</w:t>
      </w:r>
      <w:r>
        <w:t xml:space="preserve"> </w:t>
      </w:r>
      <w:r>
        <w:t>) encodes a potassium channel essential for cardiac repolarization and neuronal excitability. In the heart, heteromeric assemblies of hERG1a and hERG1b subunits produce cardiac I</w:t>
      </w:r>
      <w:r>
        <w:t xml:space="preserve"> </w:t>
      </w:r>
      <w:r>
        <w:t>Kr</w:t>
      </w:r>
      <w:r>
        <w:t xml:space="preserve"> </w:t>
      </w:r>
      <w:r>
        <w:t>, and mutations in either subunit are associated with long QT syndrome. Although hERG1a and 1b contain identical transmembrane and C-terminal cytosolic domains, they differ in N-terminal cytosolic domains, with hERG1b harboring an arginine-based endoplasmic reticulum (ER) retention/retrieval motif that limits its surface expression in the absence of hERG1a. While the association of hERG1a and 1b subunits is known to influence channel function, the stoichiometry of heteromeric hERG channels and mechanisms that regulate it have remained unresolved. Here, using single molecule photobleaching step analysis in HeLa cells, we show that heteromeric hERG1a/1b channels assemble predominantly with a fixed 2:2 stoichiometry. Mutation of the hERG1b ER retention motif disrupts this bias, resulting in a broader, near-random distribution of subunit compositions. Independent functional assays using dominant-negative pore mutants in Xenopus oocytes yielded quantitative current suppression consistent with a 2:2 assembly and similarly revealed loss of stoichiometric bias upon RXR mutation. Together, these results establish the oligomeric composition of hERG1a/1b channels and identify ER retention as a previously unrecognized determinant of heteromeric stoichiometry.</w:t>
      </w:r>
    </w:p>
    <w:p>
      <w:pPr>
        <w:spacing w:before="120" w:after="120"/>
      </w:pPr>
      <w:r>
        <w:rPr>
          <w:sz w:val="18"/>
        </w:rPr>
        <w:t>——————————————————————————————————————————————————————————————————————</w:t>
      </w:r>
    </w:p>
    <w:p>
      <w:pPr>
        <w:spacing w:before="160" w:after="40" w:line="240" w:lineRule="auto"/>
      </w:pPr>
      <w:r>
        <w:rPr>
          <w:b/>
        </w:rPr>
        <w:t xml:space="preserve">[425] </w:t>
      </w:r>
      <w:hyperlink r:id="rId1387">
        <w:r>
          <w:rPr>
            <w:color w:val="1155CC"/>
            <w:u w:val="single"/>
          </w:rPr>
          <w:t>Knyazeva 等人的撤稿，IST1-CHMP1B 相互作用的化学抑制剂损害内体循环并诱导非经典 LC3 脂化</w:t>
        </w:r>
      </w:hyperlink>
    </w:p>
    <w:p>
      <w:pPr>
        <w:spacing w:before="0" w:after="80"/>
      </w:pPr>
      <w:r>
        <w:rPr>
          <w:i/>
          <w:sz w:val="20"/>
        </w:rPr>
        <w:t>EN: Retraction for Knyazeva et al., A chemical inhibitor of IST1-CHMP1B interaction impairs endosomal recycling and induces noncanonical LC3 lipidation</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88">
        <w:r>
          <w:rPr>
            <w:color w:val="1155CC"/>
            <w:u w:val="single"/>
          </w:rPr>
          <w:t>10.1073/pnas.2627721123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[426] </w:t>
      </w:r>
      <w:hyperlink r:id="rId1389">
        <w:r>
          <w:rPr>
            <w:color w:val="1155CC"/>
            <w:u w:val="single"/>
          </w:rPr>
          <w:t>人类 Hsp70 旁系同源物显示选择性 J 域相互作用，调节压力下的蛋白质稳态</w:t>
        </w:r>
      </w:hyperlink>
    </w:p>
    <w:p>
      <w:pPr>
        <w:spacing w:before="0" w:after="80"/>
      </w:pPr>
      <w:r>
        <w:rPr>
          <w:i/>
          <w:sz w:val="20"/>
        </w:rPr>
        <w:t>EN: Human Hsp70 paralogs display selective J-domain interactions tuning proteostasis under stress</w:t>
      </w:r>
    </w:p>
    <w:p>
      <w:pPr>
        <w:spacing w:before="0" w:after="120"/>
      </w:pPr>
      <w:r>
        <w:rPr>
          <w:b/>
        </w:rPr>
        <w:t xml:space="preserve">Source: </w:t>
      </w:r>
      <w:r>
        <w:t>Proceedings of the National Academy of Sciences: Keyword search for query</w:t>
      </w:r>
      <w:r>
        <w:t xml:space="preserve">    </w:t>
      </w:r>
      <w:r>
        <w:rPr>
          <w:b/>
        </w:rPr>
        <w:t xml:space="preserve">Pub date: </w:t>
      </w:r>
      <w:r>
        <w:t>2026-08-18 07:00:00+00:00</w:t>
      </w:r>
      <w:r>
        <w:t xml:space="preserve">    </w:t>
      </w:r>
      <w:r>
        <w:rPr>
          <w:b/>
        </w:rPr>
        <w:t xml:space="preserve">DOI: </w:t>
      </w:r>
      <w:hyperlink r:id="rId1390">
        <w:r>
          <w:rPr>
            <w:color w:val="1155CC"/>
            <w:u w:val="single"/>
          </w:rPr>
          <w:t>10.1073/pnas.2534903123</w:t>
        </w:r>
      </w:hyperlink>
    </w:p>
    <w:p>
      <w:pPr>
        <w:spacing w:before="0" w:after="120"/>
      </w:pPr>
      <w:r>
        <w:rPr>
          <w:b/>
        </w:rPr>
        <w:t xml:space="preserve">Notes: </w:t>
      </w:r>
      <w:r>
        <w:t>abstract_source=crossref</w:t>
      </w:r>
    </w:p>
    <w:p>
      <w:pPr>
        <w:spacing w:before="0" w:after="80" w:lineRule="auto" w:line="276"/>
      </w:pPr>
      <w:r>
        <w:rPr>
          <w:b/>
        </w:rPr>
        <w:t xml:space="preserve">摘要（ZH）: </w:t>
      </w:r>
      <w:r>
        <w:t>Hsp70 分子伴侣是蛋白质稳态的中央调节因子，介导折叠、重折叠、降解和聚集预防。它们的活性由不同的 J 结构域蛋白 (JDP) 调节，这些蛋白既招募客户蛋白，又通过与保守的 J 结构域相互作用刺激 Hsp70 ATP 水解。胞质溶胶含有四种 Hsp70 旁系同源物——应激诱导型 HSPA1A/B 和 HSPA6，以及组成型表达的 HSPA8。这些功能是否冗余或具有不同的细胞功能仍然悬而未决。在这里，我们系统地绘制了胞质 Hsp70 与广泛特异性 JDP 的相互作用，以阐明旁系同源身份如何塑造细胞功能。我们发现，尽管 JDP-Hsp70 相互作用位点高度保守，但这些相互作用的亲和力及其功能差异很大。 HSPA8 表现得像一个多面手，以相当的亲和力参与所有 JDP 类别，这与其管家角色一致。相比之下，HSPA1 优先结合规范的 A 类和 B 类 JDP，而仅显示出与 B' 类的弱结合。因此，在压力下，HSPA1 仅与 A/B 类 JDP 配对以支持稳健的蛋白质重折叠，同时释放 B' 类以独立于 Hsp70 的方式抑制蛋白质聚集。最出乎意料的是，HSPA6（最易诱发应激的旁系同源物）选择性地与 B 类 JDP 结合，失去了与 A 类和 B' 类的相互作用。因此，在严重压力下，HSPA6 专门与 B 类 JDP 一起工作，以确保 ATP 依赖性蛋白质修复，同时释放 A 类和 B' JDP 独立于 Hsp70 发挥作用，以保护受损/错误折叠的蛋白质</w:t>
      </w:r>
    </w:p>
    <w:p>
      <w:pPr>
        <w:spacing w:before="0" w:after="200" w:lineRule="auto" w:line="276"/>
      </w:pPr>
      <w:r>
        <w:rPr>
          <w:b/>
        </w:rPr>
        <w:t xml:space="preserve">Abstract (EN): </w:t>
      </w:r>
      <w:r>
        <w:t>Hsp70 chaperones are central regulators of proteostasis, mediating folding, refolding, degradation, and aggregation-prevention. Their activity is tuned by the diverse J-domain proteins (JDPs), which both recruit client proteins and stimulate Hsp70 ATP hydrolysis via interaction with a conserved J-domain. The cytosol contains four Hsp70 paralogs—the stress-inducible HSPA1A/B and HSPA6, and the constitutively expressed HSPA8. Whether these act redundantly or carry distinct cellular functions has remained unresolved. Here, we systematically map the interactions of cytosolic Hsp70s with broad-specificity JDPs to elucidate how paralog identity shapes cellular function. We found that despite the high conservation of the JDP–Hsp70 interaction sites, the affinities of these interactions and their functionality varied greatly. HSPA8 behaves as a generalist, engaging all JDP classes with comparable affinity, consistent with its housekeeping role. By contrast, HSPA1 preferentially binds canonical Class A and B JDPs, while showing only weak binding to Class B′. Therefore, under stress, HSPA1 pairs only with Class A/B JDPs to support robust protein refolding, while freeing Class B′ to suppress protein aggregation in an Hsp70-independent manner. Most unexpectedly, HSPA6, the most stress-inducible paralog, binds selectivity to Class B JDPs, losing interactions with both Class A and B′. Thus, under severe stress, HSPA6 works exclusively with Class B JDPs to ensure ATP-dependent protein repair, while freeing Class A and B′ JDPs to act independently of Hsp70 to protect damaged/misfolded proteins. Our findings reveal an evolved hierarchy of paralog-specific JDP couplings that dynamically rewires the Hsp70 network from active repair to protection during stress.</w:t>
      </w:r>
    </w:p>
    <w:p>
      <w:pPr>
        <w:spacing w:before="120" w:after="120"/>
      </w:pPr>
      <w:r>
        <w:rPr>
          <w:sz w:val="18"/>
        </w:rPr>
        <w:t>——————————————————————————————————————————————————————————————————————</w:t>
      </w:r>
    </w:p>
    <w:p>
      <w:pPr>
        <w:spacing w:before="160" w:after="40" w:line="240" w:lineRule="auto"/>
      </w:pPr>
      <w:r>
        <w:rPr>
          <w:b/>
        </w:rPr>
        <w:t xml:space="preserve">[427] </w:t>
      </w:r>
      <w:hyperlink r:id="rId1391">
        <w:r>
          <w:rPr>
            <w:color w:val="1155CC"/>
            <w:u w:val="single"/>
          </w:rPr>
          <w:t>光动力微针贴片精心策划的线粒体靶向焦亡可增强黑色素瘤免疫放射治疗</w:t>
        </w:r>
      </w:hyperlink>
    </w:p>
    <w:p>
      <w:pPr>
        <w:spacing w:before="0" w:after="80"/>
      </w:pPr>
      <w:r>
        <w:rPr>
          <w:i/>
          <w:sz w:val="20"/>
        </w:rPr>
        <w:t>EN: Mitochondria‐Targeted Pyroptosis Orchestrated by Photodynamic Microneedle Patches Potentiates Melanoma Immunoradiotherapy</w:t>
      </w:r>
    </w:p>
    <w:p>
      <w:pPr>
        <w:spacing w:before="0" w:after="120"/>
      </w:pPr>
      <w:r>
        <w:rPr>
          <w:b/>
        </w:rPr>
        <w:t xml:space="preserve">Source: </w:t>
      </w:r>
      <w:r>
        <w:t>Wiley: Advanced Materials: Table of Contents</w:t>
      </w:r>
      <w:r>
        <w:t xml:space="preserve">    </w:t>
      </w:r>
      <w:r>
        <w:rPr>
          <w:b/>
        </w:rPr>
        <w:t xml:space="preserve">Pub date: </w:t>
      </w:r>
      <w:r>
        <w:t>2026-08-18 07:38:56+00:00</w:t>
      </w:r>
      <w:r>
        <w:t xml:space="preserve">    </w:t>
      </w:r>
      <w:r>
        <w:rPr>
          <w:b/>
        </w:rPr>
        <w:t xml:space="preserve">DOI: </w:t>
      </w:r>
      <w:hyperlink r:id="rId1392">
        <w:r>
          <w:rPr>
            <w:color w:val="1155CC"/>
            <w:u w:val="single"/>
          </w:rPr>
          <w:t>10.1002/adma.74638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黑色素瘤的致命性源于其高转移倾向、内在的细胞凋亡抵抗和深度免疫抑制的微环境，这些共同破坏了传统的放射治疗和免疫治疗。在这里，我们使用线粒体靶向光动力微针开发了一种时空精确的治疗策略（</w:t>
      </w:r>
      <w:r>
        <w:t xml:space="preserve"> </w:t>
      </w:r>
      <w:r>
        <w:t>水户</w:t>
      </w:r>
      <w:r>
        <w:t xml:space="preserve"> </w:t>
      </w:r>
      <w:r>
        <w:t>TPS-MNs）协调 GSDME 介导的细胞焦亡并增强全身免疫放射治疗。经过透皮光活化后，</w:t>
      </w:r>
      <w:r>
        <w:t xml:space="preserve"> </w:t>
      </w:r>
      <w:r>
        <w:t>水户</w:t>
      </w:r>
      <w:r>
        <w:t xml:space="preserve"> </w:t>
      </w:r>
      <w:r>
        <w:t>TPS 诱导强烈的、线粒体限制的活性氧 (ROS) 爆发，触发 caspase-3/GSDME 依赖性焦亡级联反应，同时扰乱线粒体呼吸以缓解肿瘤缺氧。这种双重作用机制使黑色素瘤对 X 射线照射敏感，实现原发肿瘤近乎完全消退，并将“冷”肿瘤微环境重塑为免疫学“热”生态位。焦亡细胞爆炸性释放损伤相关分子模式 (DAMP)，起到原位癌症疫苗的作用，促进树突状细胞成熟、CD8 的全身募集</w:t>
      </w:r>
      <w:r>
        <w:t xml:space="preserve"> </w:t>
      </w:r>
      <w:r>
        <w:t>+</w:t>
      </w:r>
      <w:r>
        <w:t xml:space="preserve"> </w:t>
      </w:r>
      <w:r>
        <w:t>细胞毒性 T 淋巴细胞，以及针对未经治疗的远处转移的有效远隔反应。我们的工作将线粒体定向细胞焦亡作为一种机制开关，绕过黑色素瘤固有的细胞凋亡抗性，提供了一种临床上可转化的策略，将局部干预措施转化为局部干预措施。</w:t>
      </w:r>
    </w:p>
    <w:p>
      <w:pPr>
        <w:spacing w:before="0" w:after="200" w:lineRule="auto" w:line="276"/>
      </w:pPr>
      <w:r>
        <w:rPr>
          <w:b/>
        </w:rPr>
        <w:t xml:space="preserve">Abstract (EN): </w:t>
      </w:r>
      <w:r>
        <w:t>The lethality of melanoma stems from its high metastatic propensity, intrinsic apoptosis resistance, and a profoundly immunosuppressive microenvironment, which collectively undermine conventional radiotherapy and immunotherapy. Here, we develop a spatiotemporally precise therapeutic strategy using mitochondria‐targeted photodynamic microneedles (</w:t>
      </w:r>
      <w:r>
        <w:t xml:space="preserve"> </w:t>
      </w:r>
      <w:r>
        <w:t>mito</w:t>
      </w:r>
      <w:r>
        <w:t xml:space="preserve"> </w:t>
      </w:r>
      <w:r>
        <w:t>TPS‐MNs) to orchestrate GSDME‐mediated pyroptosis and potentiate systemic immunoradiotherapy. Upon transdermal photoactivation,</w:t>
      </w:r>
      <w:r>
        <w:t xml:space="preserve"> </w:t>
      </w:r>
      <w:r>
        <w:t>mito</w:t>
      </w:r>
      <w:r>
        <w:t xml:space="preserve"> </w:t>
      </w:r>
      <w:r>
        <w:t>TPS induces intense, mitochondria‐confined reactive oxygen species (ROS) bursts, triggering a caspase‐3/GSDME‐dependent pyroptotic cascade while simultaneously disrupting mitochondrial respiration to alleviate tumor hypoxia. This dual‐action mechanism sensitizes melanoma to x‐ray irradiation, achieving near‐complete regression of primary tumors and remodeling “cold” tumor microenvironments into immunologically “hot” niches. The explosive release of damage‐associated molecular patterns (DAMPs) from pyroptotic cells functions as an in situ cancer vaccine, promoting dendritic cell maturation, the systemic recruitment of CD8</w:t>
      </w:r>
      <w:r>
        <w:t xml:space="preserve"> </w:t>
      </w:r>
      <w:r>
        <w:t>+</w:t>
      </w:r>
      <w:r>
        <w:t xml:space="preserve"> </w:t>
      </w:r>
      <w:r>
        <w:t>cytotoxic T lymphocytes, and potent abscopal responses against untreated distant metastases. Our work establishes mitochondria‐directed pyroptosis as a mechanistic switch to bypass the inherent apoptotic resistance of melanoma, providing a clinically translatable strategy to convert localized interventions into systemic immunity against advanced melanoma.</w:t>
      </w:r>
    </w:p>
    <w:p>
      <w:pPr>
        <w:spacing w:before="120" w:after="120"/>
      </w:pPr>
      <w:r>
        <w:rPr>
          <w:sz w:val="18"/>
        </w:rPr>
        <w:t>——————————————————————————————————————————————————————————————————————</w:t>
      </w:r>
    </w:p>
    <w:p>
      <w:pPr>
        <w:spacing w:before="160" w:after="40" w:line="240" w:lineRule="auto"/>
      </w:pPr>
      <w:r>
        <w:rPr>
          <w:b/>
        </w:rPr>
        <w:t xml:space="preserve">[428] </w:t>
      </w:r>
      <w:hyperlink r:id="rId1393">
        <w:r>
          <w:rPr>
            <w:color w:val="1155CC"/>
            <w:u w:val="single"/>
          </w:rPr>
          <w:t>单层 A 型反铁磁体 Cr2S3-2D 中尼尔矢量切换的原子尺度检测</w:t>
        </w:r>
      </w:hyperlink>
    </w:p>
    <w:p>
      <w:pPr>
        <w:spacing w:before="0" w:after="80"/>
      </w:pPr>
      <w:r>
        <w:rPr>
          <w:i/>
          <w:sz w:val="20"/>
        </w:rPr>
        <w:t>EN: Atomic‐Scale Detection of Néel Vector Switching in the Single‐Layer A‐Type Antiferromagnet Cr2S3‐2D</w:t>
      </w:r>
    </w:p>
    <w:p>
      <w:pPr>
        <w:spacing w:before="0" w:after="120"/>
      </w:pPr>
      <w:r>
        <w:rPr>
          <w:b/>
        </w:rPr>
        <w:t xml:space="preserve">Source: </w:t>
      </w:r>
      <w:r>
        <w:t>Wiley: Advanced Materials: Table of Contents</w:t>
      </w:r>
      <w:r>
        <w:t xml:space="preserve">    </w:t>
      </w:r>
      <w:r>
        <w:rPr>
          <w:b/>
        </w:rPr>
        <w:t xml:space="preserve">Pub date: </w:t>
      </w:r>
      <w:r>
        <w:t>2026-08-18 08:08:49+00:00</w:t>
      </w:r>
      <w:r>
        <w:t xml:space="preserve">    </w:t>
      </w:r>
      <w:r>
        <w:rPr>
          <w:b/>
        </w:rPr>
        <w:t xml:space="preserve">DOI: </w:t>
      </w:r>
      <w:hyperlink r:id="rId1394">
        <w:r>
          <w:rPr>
            <w:color w:val="1155CC"/>
            <w:u w:val="single"/>
          </w:rPr>
          <w:t>10.1002/adma.74637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单层 A 型反铁磁体中尼尔矢量开关的检测标志着朝着功能二维自旋电子学迈出了重要一步。在这里，在 Ir(110) 上的石墨烯上生长的 ‐2D 被确立为第一个单层 A 型反铁磁体。自旋偏振扫描隧道显微镜揭示了具有大开关场且明显依赖于岛尺寸的磁滞回线。 Cr 边缘的 X 射线磁圆二向色性表现出具有线性磁场依赖性的微小信号，与反铁磁基态一致，估计净磁矩低于每 Cr，尼尔温度约为 160 K。对开关场的岛尺寸依赖性的定量分析以及第一性原理计算表明，当支撑在基板上时，‐2D 的两个 Cr 平面的磁矩之间存在轻微不平衡。这种不平衡导致 A 型反铁磁体产生净磁化，从而使奈尔矢量能够旋转 180 度。此外，‐2D 在暴露于空气几天后仍保留其磁性。</w:t>
      </w:r>
    </w:p>
    <w:p>
      <w:pPr>
        <w:spacing w:before="0" w:after="200" w:lineRule="auto" w:line="276"/>
      </w:pPr>
      <w:r>
        <w:rPr>
          <w:b/>
        </w:rPr>
        <w:t xml:space="preserve">Abstract (EN): </w:t>
      </w:r>
      <w:r>
        <w:t>The detection of Néel vector switching in a single‐layer A‐type antiferromagnet marks an important step toward functional two‐dimensional spintronics. Here, ‐2D, grown on graphene on Ir(110), is established as a first single‐layer A‐type antiferromagnet. Spin‐polarized scanning tunneling microscopy reveals hysteresis loops with a large switching field and a pronounced dependence on island size. X‐ray magnetic circular dichroism at the Cr  edges exhibits a tiny signal with a linear magnetic field dependence, consistent with an antiferromagnetic ground state with an estimated net moment below  per Cr and a Néel temperature of about 160 K. Quantitative analysis of the island‐size dependence of the switching field, together with first‐principles calculations, indicates a slight imbalance between the magnetic moments of the two Cr planes of ‐2D when supported on a substrate. This imbalance results in a net magnetization for the A‐type antiferromagnet, which enables the 180 rotation of the Néel vector. Moreover, ‐2D retains its magnetic properties after several days of exposure to air.</w:t>
      </w:r>
    </w:p>
    <w:p>
      <w:pPr>
        <w:spacing w:before="120" w:after="120"/>
      </w:pPr>
      <w:r>
        <w:rPr>
          <w:sz w:val="18"/>
        </w:rPr>
        <w:t>——————————————————————————————————————————————————————————————————————</w:t>
      </w:r>
    </w:p>
    <w:p>
      <w:pPr>
        <w:spacing w:before="160" w:after="40" w:line="240" w:lineRule="auto"/>
      </w:pPr>
      <w:r>
        <w:rPr>
          <w:b/>
        </w:rPr>
        <w:t xml:space="preserve">[429] </w:t>
      </w:r>
      <w:hyperlink r:id="rId1395">
        <w:r>
          <w:rPr>
            <w:color w:val="1155CC"/>
            <w:u w:val="single"/>
          </w:rPr>
          <w:t>费米子高斯态的可扩展性</w:t>
        </w:r>
      </w:hyperlink>
    </w:p>
    <w:p>
      <w:pPr>
        <w:spacing w:before="0" w:after="80"/>
      </w:pPr>
      <w:r>
        <w:rPr>
          <w:i/>
          <w:sz w:val="20"/>
        </w:rPr>
        <w:t>EN: Extendibility of Fermionic Gaussian States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396">
        <w:r>
          <w:rPr>
            <w:color w:val="1155CC"/>
            <w:u w:val="single"/>
          </w:rPr>
          <w:t>10.1103/65dd-448y</w:t>
        </w:r>
      </w:hyperlink>
    </w:p>
    <w:p>
      <w:pPr>
        <w:spacing w:before="0" w:after="120"/>
      </w:pPr>
      <w:r>
        <w:rPr>
          <w:b/>
        </w:rPr>
        <w:t xml:space="preserve">Notes: </w:t>
      </w:r>
      <w:r>
        <w:t>abstract_source=rss_description</w:t>
      </w:r>
    </w:p>
    <w:p>
      <w:pPr>
        <w:spacing w:before="0" w:after="80" w:lineRule="auto" w:line="276"/>
      </w:pPr>
      <w:r>
        <w:rPr>
          <w:b/>
        </w:rPr>
        <w:t xml:space="preserve">摘要（ZH）: </w:t>
      </w:r>
      <w:r>
        <w:t>作者：Amir-Reza Negari 和 Farzin Salek 我们研究费米高斯态的 $({k}_{1},{k}_{2})$ 可扩展性，这是量子相关性和可分离性近似的核心属性。我们证明这些状态是 $({k}_{1},{k}_{2})$-可扩展的当且仅当它们承认费米子高斯扩展，产生一个完整的 cov…[Phys.莱特牧师。 137, 080201] 2026 年 8 月 18 日星期二发布</w:t>
      </w:r>
    </w:p>
    <w:p>
      <w:pPr>
        <w:spacing w:before="0" w:after="200" w:lineRule="auto" w:line="276"/>
      </w:pPr>
      <w:r>
        <w:rPr>
          <w:b/>
        </w:rPr>
        <w:t xml:space="preserve">Abstract (EN): </w:t>
      </w:r>
      <w:r>
        <w:t>Author(s): Amir-Reza Negari and Farzin SalekWe investigate $({k}_{1},{k}_{2})$ extendibility of fermionic Gaussian states, a property central to quantum correlations and approximations of separability. We show that these states are $({k}_{1},{k}_{2})$-extendible if and only if they admit a fermionic Gaussian extension, yielding a complete cov…[Phys. Rev. Lett. 137, 080201] Published Tue Aug 18, 2026</w:t>
      </w:r>
    </w:p>
    <w:p>
      <w:pPr>
        <w:spacing w:before="120" w:after="120"/>
      </w:pPr>
      <w:r>
        <w:rPr>
          <w:sz w:val="18"/>
        </w:rPr>
        <w:t>——————————————————————————————————————————————————————————————————————</w:t>
      </w:r>
    </w:p>
    <w:p>
      <w:pPr>
        <w:spacing w:before="160" w:after="40" w:line="240" w:lineRule="auto"/>
      </w:pPr>
      <w:r>
        <w:rPr>
          <w:b/>
        </w:rPr>
        <w:t xml:space="preserve">[430] </w:t>
      </w:r>
      <w:hyperlink r:id="rId1397">
        <w:r>
          <w:rPr>
            <w:color w:val="1155CC"/>
            <w:u w:val="single"/>
          </w:rPr>
          <w:t>量子布朗运动：证明施密德跃迁属于 Berezinskii-Kosterlitz-Thouless 普遍性类</w:t>
        </w:r>
      </w:hyperlink>
    </w:p>
    <w:p>
      <w:pPr>
        <w:spacing w:before="0" w:after="80"/>
      </w:pPr>
      <w:r>
        <w:rPr>
          <w:i/>
          <w:sz w:val="20"/>
        </w:rPr>
        <w:t>EN: Quantum Brownian Motion: Proving That the Schmid Transition Belongs to the Berezinskii-Kosterlitz-Thouless Universality Class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398">
        <w:r>
          <w:rPr>
            <w:color w:val="1155CC"/>
            <w:u w:val="single"/>
          </w:rPr>
          <w:t>10.1103/drcz-b46s</w:t>
        </w:r>
      </w:hyperlink>
    </w:p>
    <w:p>
      <w:pPr>
        <w:spacing w:before="0" w:after="120"/>
      </w:pPr>
      <w:r>
        <w:rPr>
          <w:b/>
        </w:rPr>
        <w:t xml:space="preserve">Notes: </w:t>
      </w:r>
      <w:r>
        <w:t>abstract_source=rss_description</w:t>
      </w:r>
    </w:p>
    <w:p>
      <w:pPr>
        <w:spacing w:before="0" w:after="80" w:lineRule="auto" w:line="276"/>
      </w:pPr>
      <w:r>
        <w:rPr>
          <w:b/>
        </w:rPr>
        <w:t xml:space="preserve">摘要（ZH）: </w:t>
      </w:r>
      <w:r>
        <w:t>作者：F. G. Capone、A. de Candia、V. Cataudella、R. Fazio、N. Nagaosa、C. A. Perroni 和 G. De Filippis 我们研究了在周期性势中运动的量子布朗粒子的平衡特性，特别是解决了欧姆体系中耗散驱动的施密特跃迁的性质。通过在路径积分形式主义中采用世界线蒙特卡罗并引入特定的b…[Phys。莱特牧师。 137, 087101] 2026 年 8 月 18 日星期二发布</w:t>
      </w:r>
    </w:p>
    <w:p>
      <w:pPr>
        <w:spacing w:before="0" w:after="200" w:lineRule="auto" w:line="276"/>
      </w:pPr>
      <w:r>
        <w:rPr>
          <w:b/>
        </w:rPr>
        <w:t xml:space="preserve">Abstract (EN): </w:t>
      </w:r>
      <w:r>
        <w:t>Author(s): F. G. Capone, A. de Candia, V. Cataudella, R. Fazio, N. Nagaosa, C. A. Perroni, and G. De FilippisWe investigate the equilibrium properties of a quantum Brownian particle moving in a periodic potential, specifically addressing the nature of the dissipation-driven Schmid transition in the Ohmic regime. By employing world-line Monte Carlo in the path-integral formalism and introducing a specific b…[Phys. Rev. Lett. 137, 087101] Published Tue Aug 18, 2026</w:t>
      </w:r>
    </w:p>
    <w:p>
      <w:pPr>
        <w:spacing w:before="120" w:after="120"/>
      </w:pPr>
      <w:r>
        <w:rPr>
          <w:sz w:val="18"/>
        </w:rPr>
        <w:t>——————————————————————————————————————————————————————————————————————</w:t>
      </w:r>
    </w:p>
    <w:p>
      <w:pPr>
        <w:spacing w:before="160" w:after="40" w:line="240" w:lineRule="auto"/>
      </w:pPr>
      <w:r>
        <w:rPr>
          <w:b/>
        </w:rPr>
        <w:t xml:space="preserve">[431] </w:t>
      </w:r>
      <w:hyperlink r:id="rId1399">
        <w:r>
          <w:rPr>
            <w:color w:val="1155CC"/>
            <w:u w:val="single"/>
          </w:rPr>
          <w:t>通过软化隐藏的反铁畸变倾斜梯度模式来解锁钙钛矿中的静态极化和应变密度波</w:t>
        </w:r>
      </w:hyperlink>
    </w:p>
    <w:p>
      <w:pPr>
        <w:spacing w:before="0" w:after="80"/>
      </w:pPr>
      <w:r>
        <w:rPr>
          <w:i/>
          <w:sz w:val="20"/>
        </w:rPr>
        <w:t>EN: Unlocking Static Polarization and Strain Density Waves in Perovskites by Softening a Hidden Antiferrodistortive Tilt Gradient Mode</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00">
        <w:r>
          <w:rPr>
            <w:color w:val="1155CC"/>
            <w:u w:val="single"/>
          </w:rPr>
          <w:t>10.1103/xlvk-k52x</w:t>
        </w:r>
      </w:hyperlink>
    </w:p>
    <w:p>
      <w:pPr>
        <w:spacing w:before="0" w:after="120"/>
      </w:pPr>
      <w:r>
        <w:rPr>
          <w:b/>
        </w:rPr>
        <w:t xml:space="preserve">Notes: </w:t>
      </w:r>
      <w:r>
        <w:t>abstract_source=rss_description</w:t>
      </w:r>
    </w:p>
    <w:p>
      <w:pPr>
        <w:spacing w:before="0" w:after="80" w:lineRule="auto" w:line="276"/>
      </w:pPr>
      <w:r>
        <w:rPr>
          <w:b/>
        </w:rPr>
        <w:t xml:space="preserve">摘要（ZH）: </w:t>
      </w:r>
      <w:r>
        <w:t>作者：Yajun 张、Devesh R. Kripalani、Xu He、Konstantin Shapovalov、Jiyuan Yang、Hongjian Zhao、Shi Liu、Hudong Yong、Xingyi Zhang、Jie Wang、Kun Zhou 和 Philippe Ghosez 自旋密度波（SDW）代表了凝聚态物质系统中空间调制顺序的基本范式，但它们的电学和机械模拟——极化和应变密度波（PDW 和 StDW）——具有作为平衡阶段仍然难以捉摸。在这里，我们介绍一个一般的、对称性的——……[物理。莱特牧师。 137, 086101] 2026 年 8 月 18 日星期二发布</w:t>
      </w:r>
    </w:p>
    <w:p>
      <w:pPr>
        <w:spacing w:before="0" w:after="200" w:lineRule="auto" w:line="276"/>
      </w:pPr>
      <w:r>
        <w:rPr>
          <w:b/>
        </w:rPr>
        <w:t xml:space="preserve">Abstract (EN): </w:t>
      </w:r>
      <w:r>
        <w:t>Author(s): Yajun Zhang, Devesh R. Kripalani, Xu He, Konstantin Shapovalov, Jiyuan Yang, Hongjian Zhao, Shi Liu, Huadong Yong, Xingyi Zhang, Jie Wang, Kun Zhou, and Philippe GhosezSpin density waves (SDWs) represent a fundamental paradigm of spatially modulated order in condensed matter systems, yet their electrical and mechanical analogs—polarization and strain density waves (PDWs and StDWs)—have remained elusive as equilibrium phases. Here, we introduce a general, symmetry-…[Phys. Rev. Lett. 137, 086101] Published Tue Aug 18, 2026</w:t>
      </w:r>
    </w:p>
    <w:p>
      <w:pPr>
        <w:spacing w:before="120" w:after="120"/>
      </w:pPr>
      <w:r>
        <w:rPr>
          <w:sz w:val="18"/>
        </w:rPr>
        <w:t>——————————————————————————————————————————————————————————————————————</w:t>
      </w:r>
    </w:p>
    <w:p>
      <w:pPr>
        <w:spacing w:before="160" w:after="40" w:line="240" w:lineRule="auto"/>
      </w:pPr>
      <w:r>
        <w:rPr>
          <w:b/>
        </w:rPr>
        <w:t xml:space="preserve">[432] </w:t>
      </w:r>
      <w:hyperlink r:id="rId1401">
        <w:r>
          <w:rPr>
            <w:color w:val="1155CC"/>
            <w:u w:val="single"/>
          </w:rPr>
          <w:t>利用光导率探测相关金属的量子几何结构</w:t>
        </w:r>
      </w:hyperlink>
    </w:p>
    <w:p>
      <w:pPr>
        <w:spacing w:before="0" w:after="80"/>
      </w:pPr>
      <w:r>
        <w:rPr>
          <w:i/>
          <w:sz w:val="20"/>
        </w:rPr>
        <w:t>EN: Probing the Quantum Geometry of Correlated Metals Using Optical Conductivity</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02">
        <w:r>
          <w:rPr>
            <w:color w:val="1155CC"/>
            <w:u w:val="single"/>
          </w:rPr>
          <w:t>10.1103/hrxh-y5dl</w:t>
        </w:r>
      </w:hyperlink>
    </w:p>
    <w:p>
      <w:pPr>
        <w:spacing w:before="0" w:after="120"/>
      </w:pPr>
      <w:r>
        <w:rPr>
          <w:b/>
        </w:rPr>
        <w:t xml:space="preserve">Notes: </w:t>
      </w:r>
      <w:r>
        <w:t>abstract_source=rss_description</w:t>
      </w:r>
    </w:p>
    <w:p>
      <w:pPr>
        <w:spacing w:before="0" w:after="80" w:lineRule="auto" w:line="276"/>
      </w:pPr>
      <w:r>
        <w:rPr>
          <w:b/>
        </w:rPr>
        <w:t xml:space="preserve">摘要（ZH）: </w:t>
      </w:r>
      <w:r>
        <w:t>作者：Deven P. Carmichael 和 Martin Claassen 最近的研究表明，电子带的量子几何结构决定了非相互作用绝缘体和半金属的电磁特性。然而，量子几何在相互作用电子系统的光学响应中的作用仍然很大程度上未被探索。在这里，我们检查……[物理。莱特牧师。 137, 086503] 2026 年 8 月 18 日星期二发布</w:t>
      </w:r>
    </w:p>
    <w:p>
      <w:pPr>
        <w:spacing w:before="0" w:after="200" w:lineRule="auto" w:line="276"/>
      </w:pPr>
      <w:r>
        <w:rPr>
          <w:b/>
        </w:rPr>
        <w:t xml:space="preserve">Abstract (EN): </w:t>
      </w:r>
      <w:r>
        <w:t>Author(s): Deven P. Carmichael and Martin ClaassenRecent studies have revealed that the quantum geometry of electronic bands determines the electromagnetic properties of noninteracting insulators and semimetals. However, the role of quantum geometry in the optical responses of interacting electron systems remains largely unexplored. Here, we examin…[Phys. Rev. Lett. 137, 086503] Published Tue Aug 18, 2026</w:t>
      </w:r>
    </w:p>
    <w:p>
      <w:pPr>
        <w:spacing w:before="120" w:after="120"/>
      </w:pPr>
      <w:r>
        <w:rPr>
          <w:sz w:val="18"/>
        </w:rPr>
        <w:t>——————————————————————————————————————————————————————————————————————</w:t>
      </w:r>
    </w:p>
    <w:p>
      <w:pPr>
        <w:spacing w:before="160" w:after="40" w:line="240" w:lineRule="auto"/>
      </w:pPr>
      <w:r>
        <w:rPr>
          <w:b/>
        </w:rPr>
        <w:t xml:space="preserve">[433] </w:t>
      </w:r>
      <w:hyperlink r:id="rId1403">
        <w:r>
          <w:rPr>
            <w:color w:val="1155CC"/>
            <w:u w:val="single"/>
          </w:rPr>
          <w:t>归一化流在核多体微扰理论中的应用</w:t>
        </w:r>
      </w:hyperlink>
    </w:p>
    <w:p>
      <w:pPr>
        <w:spacing w:before="0" w:after="80"/>
      </w:pPr>
      <w:r>
        <w:rPr>
          <w:i/>
          <w:sz w:val="20"/>
        </w:rPr>
        <w:t>EN: Application of normalizing flows to nuclear many-body perturbation theory</w:t>
      </w:r>
    </w:p>
    <w:p>
      <w:pPr>
        <w:spacing w:before="0" w:after="120"/>
      </w:pPr>
      <w:r>
        <w:rPr>
          <w:b/>
        </w:rPr>
        <w:t xml:space="preserve">Source: </w:t>
      </w:r>
      <w:r>
        <w:t>Recent Articles in Phys. Rev. C</w:t>
      </w:r>
      <w:r>
        <w:t xml:space="preserve">    </w:t>
      </w:r>
      <w:r>
        <w:rPr>
          <w:b/>
        </w:rPr>
        <w:t xml:space="preserve">Pub date: </w:t>
      </w:r>
      <w:r>
        <w:t>2026-08-18 10:00:00+00:00</w:t>
      </w:r>
      <w:r>
        <w:t xml:space="preserve">    </w:t>
      </w:r>
      <w:r>
        <w:rPr>
          <w:b/>
        </w:rPr>
        <w:t xml:space="preserve">DOI: </w:t>
      </w:r>
      <w:hyperlink r:id="rId1404">
        <w:r>
          <w:rPr>
            <w:color w:val="1155CC"/>
            <w:u w:val="single"/>
          </w:rPr>
          <w:t>10.1103/8gvn-3gbn</w:t>
        </w:r>
      </w:hyperlink>
    </w:p>
    <w:p>
      <w:pPr>
        <w:spacing w:before="0" w:after="120"/>
      </w:pPr>
      <w:r>
        <w:rPr>
          <w:b/>
        </w:rPr>
        <w:t xml:space="preserve">Notes: </w:t>
      </w:r>
      <w:r>
        <w:t>abstract_source=rss_description</w:t>
      </w:r>
    </w:p>
    <w:p>
      <w:pPr>
        <w:spacing w:before="0" w:after="80" w:lineRule="auto" w:line="276"/>
      </w:pPr>
      <w:r>
        <w:rPr>
          <w:b/>
        </w:rPr>
        <w:t xml:space="preserve">摘要（ZH）: </w:t>
      </w:r>
      <w:r>
        <w:t>作者：Pengsheng Wen、Jeremy W. Holt 和 Albany Blackburn 多体微扰理论提供了一个强大的框架来研究核物质的基态和热力学性质，以及系统逐级展开中相关的单粒子势和响应函数。然而，计算挑战可能会出现……[物理。 Rev. C 114, 025804] 于 2026 年 8 月 18 日星期二发布</w:t>
      </w:r>
    </w:p>
    <w:p>
      <w:pPr>
        <w:spacing w:before="0" w:after="200" w:lineRule="auto" w:line="276"/>
      </w:pPr>
      <w:r>
        <w:rPr>
          <w:b/>
        </w:rPr>
        <w:t xml:space="preserve">Abstract (EN): </w:t>
      </w:r>
      <w:r>
        <w:t>Author(s): Pengsheng Wen, Jeremy W. Holt, and Albany BlackburnMany-body perturbation theory provides a powerful framework to study the ground state and thermodynamic properties of nuclear matter as well as associated single-particle potentials and response functions within a systematic order-by-order expansion. However, computational challenges can emerge beyo…[Phys. Rev. C 114, 025804] Published Tue Aug 18, 2026</w:t>
      </w:r>
    </w:p>
    <w:p>
      <w:pPr>
        <w:spacing w:before="120" w:after="120"/>
      </w:pPr>
      <w:r>
        <w:rPr>
          <w:sz w:val="18"/>
        </w:rPr>
        <w:t>——————————————————————————————————————————————————————————————————————</w:t>
      </w:r>
    </w:p>
    <w:p>
      <w:pPr>
        <w:spacing w:before="160" w:after="40" w:line="240" w:lineRule="auto"/>
      </w:pPr>
      <w:r>
        <w:rPr>
          <w:b/>
        </w:rPr>
        <w:t xml:space="preserve">[434] </w:t>
      </w:r>
      <w:hyperlink r:id="rId1405">
        <w:r>
          <w:rPr>
            <w:color w:val="1155CC"/>
            <w:u w:val="single"/>
          </w:rPr>
          <w:t>JWST 对 28 个强引力透镜的观测得出的暗物质自由流动长度</w:t>
        </w:r>
      </w:hyperlink>
    </w:p>
    <w:p>
      <w:pPr>
        <w:spacing w:before="0" w:after="80"/>
      </w:pPr>
      <w:r>
        <w:rPr>
          <w:i/>
          <w:sz w:val="20"/>
        </w:rPr>
        <w:t>EN: Free-Streaming Length of Dark Matter from JWST Observations of 28 Strong Gravitational Lenses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06">
        <w:r>
          <w:rPr>
            <w:color w:val="1155CC"/>
            <w:u w:val="single"/>
          </w:rPr>
          <w:t>10.1103/qckh-cqrd</w:t>
        </w:r>
      </w:hyperlink>
    </w:p>
    <w:p>
      <w:pPr>
        <w:spacing w:before="0" w:after="120"/>
      </w:pPr>
      <w:r>
        <w:rPr>
          <w:b/>
        </w:rPr>
        <w:t xml:space="preserve">Notes: </w:t>
      </w:r>
      <w:r>
        <w:t>abstract_source=rss_description</w:t>
      </w:r>
    </w:p>
    <w:p>
      <w:pPr>
        <w:spacing w:before="0" w:after="80" w:lineRule="auto" w:line="276"/>
      </w:pPr>
      <w:r>
        <w:rPr>
          <w:b/>
        </w:rPr>
        <w:t xml:space="preserve">摘要（ZH）: </w:t>
      </w:r>
      <w:r>
        <w:t>作者：D. Gilman 等人。 暗物质 (DM) 或晕的引力束缚超密度的形成是粒子 DM 理论的一般预测。我们对 JWST 最近观测到的 28 个四像强透镜系统中的光晕特性进行了测量，并使用这些观测结果来约束自由……[Phys.莱特牧师。 137, 081004] 2026 年 8 月 18 日星期二发布</w:t>
      </w:r>
    </w:p>
    <w:p>
      <w:pPr>
        <w:spacing w:before="0" w:after="200" w:lineRule="auto" w:line="276"/>
      </w:pPr>
      <w:r>
        <w:rPr>
          <w:b/>
        </w:rPr>
        <w:t xml:space="preserve">Abstract (EN): </w:t>
      </w:r>
      <w:r>
        <w:t>Author(s): D. Gilman et al.The formation of gravitationally bound overdensities of dark matter (DM), or halos, is a generic prediction of theories with particle DM. We present a measurement of halo properties in 28 quadruple image strong lens systems recently observed by JWST, and use these observations to constrain the free-…[Phys. Rev. Lett. 137, 081004] Published Tue Aug 18, 2026</w:t>
      </w:r>
    </w:p>
    <w:p>
      <w:pPr>
        <w:spacing w:before="120" w:after="120"/>
      </w:pPr>
      <w:r>
        <w:rPr>
          <w:sz w:val="18"/>
        </w:rPr>
        <w:t>——————————————————————————————————————————————————————————————————————</w:t>
      </w:r>
    </w:p>
    <w:p>
      <w:pPr>
        <w:spacing w:before="160" w:after="40" w:line="240" w:lineRule="auto"/>
      </w:pPr>
      <w:r>
        <w:rPr>
          <w:b/>
        </w:rPr>
        <w:t xml:space="preserve">[435] </w:t>
      </w:r>
      <w:hyperlink r:id="rId1407">
        <w:r>
          <w:rPr>
            <w:color w:val="1155CC"/>
            <w:u w:val="single"/>
          </w:rPr>
          <w:t>带电激励变为中性：以 $N$ 为中心的系综密度福井函数理论</w:t>
        </w:r>
      </w:hyperlink>
    </w:p>
    <w:p>
      <w:pPr>
        <w:spacing w:before="0" w:after="80"/>
      </w:pPr>
      <w:r>
        <w:rPr>
          <w:i/>
          <w:sz w:val="20"/>
        </w:rPr>
        <w:t>EN: Charged Excitations Made Neutral: $N$-Centered Ensemble Density Functional Theory of Fukui Functions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08">
        <w:r>
          <w:rPr>
            <w:color w:val="1155CC"/>
            <w:u w:val="single"/>
          </w:rPr>
          <w:t>10.1103/gjf6-25xy</w:t>
        </w:r>
      </w:hyperlink>
    </w:p>
    <w:p>
      <w:pPr>
        <w:spacing w:before="0" w:after="120"/>
      </w:pPr>
      <w:r>
        <w:rPr>
          <w:b/>
        </w:rPr>
        <w:t xml:space="preserve">Notes: </w:t>
      </w:r>
      <w:r>
        <w:t>abstract_source=rss_description</w:t>
      </w:r>
    </w:p>
    <w:p>
      <w:pPr>
        <w:spacing w:before="0" w:after="80" w:lineRule="auto" w:line="276"/>
      </w:pPr>
      <w:r>
        <w:rPr>
          <w:b/>
        </w:rPr>
        <w:t xml:space="preserve">摘要（ZH）: </w:t>
      </w:r>
      <w:r>
        <w:t>作者：Lucien Dupuy 和 Emmanuel Fromager 计算电子亲和力和电离 Fukui 函数的原则上精确的工作方程是在密度泛函理论 (DFT) 的 $N$ 中心 (Nc) 系综扩展中导出的。它规避了分数电子数 DFT 的核导数不连续性问题，其……[Phys.莱特牧师。 137, 088001] 2026 年 8 月 18 日星期二发布</w:t>
      </w:r>
    </w:p>
    <w:p>
      <w:pPr>
        <w:spacing w:before="0" w:after="200" w:lineRule="auto" w:line="276"/>
      </w:pPr>
      <w:r>
        <w:rPr>
          <w:b/>
        </w:rPr>
        <w:t xml:space="preserve">Abstract (EN): </w:t>
      </w:r>
      <w:r>
        <w:t>Author(s): Lucien Dupuy and Emmanuel FromagerAn in-principle exact working equation to compute electronic affinity and ionization Fukui functions is derived within the $N$-centered (Nc) ensemble extension of density functional theory (DFT). It circumvents the kernel derivative discontinuity problem of DFT for fractional electron numbers, whose…[Phys. Rev. Lett. 137, 088001] Published Tue Aug 18, 2026</w:t>
      </w:r>
    </w:p>
    <w:p>
      <w:pPr>
        <w:spacing w:before="120" w:after="120"/>
      </w:pPr>
      <w:r>
        <w:rPr>
          <w:sz w:val="18"/>
        </w:rPr>
        <w:t>——————————————————————————————————————————————————————————————————————</w:t>
      </w:r>
    </w:p>
    <w:p>
      <w:pPr>
        <w:spacing w:before="160" w:after="40" w:line="240" w:lineRule="auto"/>
      </w:pPr>
      <w:r>
        <w:rPr>
          <w:b/>
        </w:rPr>
        <w:t xml:space="preserve">[436] </w:t>
      </w:r>
      <w:hyperlink r:id="rId1409">
        <w:r>
          <w:rPr>
            <w:color w:val="1155CC"/>
            <w:u w:val="single"/>
          </w:rPr>
          <w:t>由于吸引子网络中的虚假重叠而导致容量的矛盾增加</w:t>
        </w:r>
      </w:hyperlink>
    </w:p>
    <w:p>
      <w:pPr>
        <w:spacing w:before="0" w:after="80"/>
      </w:pPr>
      <w:r>
        <w:rPr>
          <w:i/>
          <w:sz w:val="20"/>
        </w:rPr>
        <w:t>EN: Paradoxical Increase of Capacity due to Spurious Overlaps in Attractor Networks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10">
        <w:r>
          <w:rPr>
            <w:color w:val="1155CC"/>
            <w:u w:val="single"/>
          </w:rPr>
          <w:t>10.1103/wjsd-xzlq</w:t>
        </w:r>
      </w:hyperlink>
    </w:p>
    <w:p>
      <w:pPr>
        <w:spacing w:before="0" w:after="120"/>
      </w:pPr>
      <w:r>
        <w:rPr>
          <w:b/>
        </w:rPr>
        <w:t xml:space="preserve">Notes: </w:t>
      </w:r>
      <w:r>
        <w:t>abstract_source=rss_description</w:t>
      </w:r>
    </w:p>
    <w:p>
      <w:pPr>
        <w:spacing w:before="0" w:after="80" w:lineRule="auto" w:line="276"/>
      </w:pPr>
      <w:r>
        <w:rPr>
          <w:b/>
        </w:rPr>
        <w:t xml:space="preserve">摘要（ZH）: </w:t>
      </w:r>
      <w:r>
        <w:t>作者：Marco Benedetti、Nicolas Brunel、Enzo Marinari 和 Ulises Pereira-Obilinovic 在 Hopfield 型联想记忆模型中，记忆存储在连接矩阵中，并且由于网络的集体动态而可以随后检索。在这些模型中，特定记忆的检索可能会因网络状态和其他记忆之间的重叠而受到阻碍……[Phys.莱特牧师。 137, 088401] 2026 年 8 月 18 日星期二发布</w:t>
      </w:r>
    </w:p>
    <w:p>
      <w:pPr>
        <w:spacing w:before="0" w:after="200" w:lineRule="auto" w:line="276"/>
      </w:pPr>
      <w:r>
        <w:rPr>
          <w:b/>
        </w:rPr>
        <w:t xml:space="preserve">Abstract (EN): </w:t>
      </w:r>
      <w:r>
        <w:t>Author(s): Marco Benedetti, Nicolas Brunel, Enzo Marinari, and Ulises Pereira-ObilinovicIn Hopfield-type associative memory models, memories are stored in the connectivity matrix and can be retrieved subsequently thanks to the collective dynamics of the network. In these models, the retrieval of a particular memory can be hampered by overlaps between the network state and other memorie…[Phys. Rev. Lett. 137, 088401] Published Tue Aug 18, 2026</w:t>
      </w:r>
    </w:p>
    <w:p>
      <w:pPr>
        <w:spacing w:before="120" w:after="120"/>
      </w:pPr>
      <w:r>
        <w:rPr>
          <w:sz w:val="18"/>
        </w:rPr>
        <w:t>——————————————————————————————————————————————————————————————————————</w:t>
      </w:r>
    </w:p>
    <w:p>
      <w:pPr>
        <w:spacing w:before="160" w:after="40" w:line="240" w:lineRule="auto"/>
      </w:pPr>
      <w:r>
        <w:rPr>
          <w:b/>
        </w:rPr>
        <w:t xml:space="preserve">[437] </w:t>
      </w:r>
      <w:hyperlink r:id="rId1411">
        <w:r>
          <w:rPr>
            <w:color w:val="1155CC"/>
            <w:u w:val="single"/>
          </w:rPr>
          <w:t>双层镍酸盐中的自旋条纹和超导性</w:t>
        </w:r>
      </w:hyperlink>
    </w:p>
    <w:p>
      <w:pPr>
        <w:spacing w:before="0" w:after="80"/>
      </w:pPr>
      <w:r>
        <w:rPr>
          <w:i/>
          <w:sz w:val="20"/>
        </w:rPr>
        <w:t>EN: Spin Stripes and Superconductivity in Bilayer Nickelates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12">
        <w:r>
          <w:rPr>
            <w:color w:val="1155CC"/>
            <w:u w:val="single"/>
          </w:rPr>
          <w:t>10.1103/zqg5-gzbq</w:t>
        </w:r>
      </w:hyperlink>
    </w:p>
    <w:p>
      <w:pPr>
        <w:spacing w:before="0" w:after="120"/>
      </w:pPr>
      <w:r>
        <w:rPr>
          <w:b/>
        </w:rPr>
        <w:t xml:space="preserve">Notes: </w:t>
      </w:r>
      <w:r>
        <w:t>abstract_source=rss_description</w:t>
      </w:r>
    </w:p>
    <w:p>
      <w:pPr>
        <w:spacing w:before="0" w:after="80" w:lineRule="auto" w:line="276"/>
      </w:pPr>
      <w:r>
        <w:rPr>
          <w:b/>
        </w:rPr>
        <w:t xml:space="preserve">摘要（ZH）: </w:t>
      </w:r>
      <w:r>
        <w:t>作者：Hao-Xin Wang, Hanbit Oh, Tobias Helbig, Bai Yang Wang, Jiarui Li, Yijun Yu, Harold Y. Hwang, Hong-Chen Jiang, Yi-Ming Wu, and S. Raghu密度矩阵重正化群计算揭示了大洪德耦合下的自旋条纹排序，证明洪德耦合和层间耦合是磁序和配对的关键参数。莱特牧师。 137, 086502] 2026 年 8 月 18 日星期二发布</w:t>
      </w:r>
    </w:p>
    <w:p>
      <w:pPr>
        <w:spacing w:before="0" w:after="200" w:lineRule="auto" w:line="276"/>
      </w:pPr>
      <w:r>
        <w:rPr>
          <w:b/>
        </w:rPr>
        <w:t xml:space="preserve">Abstract (EN): </w:t>
      </w:r>
      <w:r>
        <w:t>Author(s): Hao-Xin Wang, Hanbit Oh, Tobias Helbig, Bai Yang Wang, Jiarui Li, Yijun Yu, Harold Y. Hwang, Hong-Chen Jiang, Yi-Ming Wu, and S. RaghuDensity matrix renormalization group calculations reveal spin-stripe ordering at large Hund’s coupling, demonstrating that Hund’s coupling and inter-layer coupling are key parameters in magnetic order and pairing.[Phys. Rev. Lett. 137, 086502] Published Tue Aug 18, 2026</w:t>
      </w:r>
    </w:p>
    <w:p>
      <w:pPr>
        <w:spacing w:before="120" w:after="120"/>
      </w:pPr>
      <w:r>
        <w:rPr>
          <w:sz w:val="18"/>
        </w:rPr>
        <w:t>——————————————————————————————————————————————————————————————————————</w:t>
      </w:r>
    </w:p>
    <w:p>
      <w:pPr>
        <w:spacing w:before="160" w:after="40" w:line="240" w:lineRule="auto"/>
      </w:pPr>
      <w:r>
        <w:rPr>
          <w:b/>
        </w:rPr>
        <w:t xml:space="preserve">[438] </w:t>
      </w:r>
      <w:hyperlink r:id="rId1413">
        <w:r>
          <w:rPr>
            <w:color w:val="1155CC"/>
            <w:u w:val="single"/>
          </w:rPr>
          <w:t>$a$ 最大化和高阶导数的全息原点 ${\mathrm{AdS}}_{5}/{\mathrm{CFT}}_{4}$</w:t>
        </w:r>
      </w:hyperlink>
    </w:p>
    <w:p>
      <w:pPr>
        <w:spacing w:before="0" w:after="80"/>
      </w:pPr>
      <w:r>
        <w:rPr>
          <w:i/>
          <w:sz w:val="20"/>
        </w:rPr>
        <w:t>EN: Holographic Origin of $a$ Maximization and Higher-Derivative ${\mathrm{AdS}}_{5}/{\mathrm{CFT}}_{4}$</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14">
        <w:r>
          <w:rPr>
            <w:color w:val="1155CC"/>
            <w:u w:val="single"/>
          </w:rPr>
          <w:t>10.1103/nrlq-ktd1</w:t>
        </w:r>
      </w:hyperlink>
    </w:p>
    <w:p>
      <w:pPr>
        <w:spacing w:before="0" w:after="120"/>
      </w:pPr>
      <w:r>
        <w:rPr>
          <w:b/>
        </w:rPr>
        <w:t xml:space="preserve">Notes: </w:t>
      </w:r>
      <w:r>
        <w:t>abstract_source=rss_description</w:t>
      </w:r>
    </w:p>
    <w:p>
      <w:pPr>
        <w:spacing w:before="0" w:after="80" w:lineRule="auto" w:line="276"/>
      </w:pPr>
      <w:r>
        <w:rPr>
          <w:b/>
        </w:rPr>
        <w:t xml:space="preserve">摘要（ZH）: </w:t>
      </w:r>
      <w:r>
        <w:t>作者：Kiril Hristov、Saurish Khandelwal、Yi Pang 和 Gabriele Tartaglino-Mazzucchelli 我们开发了一个一致的部分离壳框架，用于评估五维 $\mathcal{N}=1$ 在 ${\mathrm{AdS}}_{5}$ 上用阿贝尔向量多重态测量的高阶导数作用。使用超共形形式主义，我们表明由此产生的全息表达再现......[物理。莱特牧师。 137, 081602] 2026 年 8 月 18 日星期二发布</w:t>
      </w:r>
    </w:p>
    <w:p>
      <w:pPr>
        <w:spacing w:before="0" w:after="200" w:lineRule="auto" w:line="276"/>
      </w:pPr>
      <w:r>
        <w:rPr>
          <w:b/>
        </w:rPr>
        <w:t xml:space="preserve">Abstract (EN): </w:t>
      </w:r>
      <w:r>
        <w:t>Author(s): Kiril Hristov, Saurish Khandelwal, Yi Pang, and Gabriele Tartaglino-MazzucchelliWe develop a consistent partially off-shell framework for evaluating higher-derivative actions of five-dimensional $\mathcal{N}=1$ gauged supergravity with Abelian vector multiplets on ${\mathrm{AdS}}_{5}$. Using the superconformal formalism, we show that the resulting holographic expression reprodu…[Phys. Rev. Lett. 137, 081602] Published Tue Aug 18, 2026</w:t>
      </w:r>
    </w:p>
    <w:p>
      <w:pPr>
        <w:spacing w:before="120" w:after="120"/>
      </w:pPr>
      <w:r>
        <w:rPr>
          <w:sz w:val="18"/>
        </w:rPr>
        <w:t>——————————————————————————————————————————————————————————————————————</w:t>
      </w:r>
    </w:p>
    <w:p>
      <w:pPr>
        <w:spacing w:before="160" w:after="40" w:line="240" w:lineRule="auto"/>
      </w:pPr>
      <w:r>
        <w:rPr>
          <w:b/>
        </w:rPr>
        <w:t xml:space="preserve">[439] </w:t>
      </w:r>
      <w:hyperlink r:id="rId1415">
        <w:r>
          <w:rPr>
            <w:color w:val="1155CC"/>
            <w:u w:val="single"/>
          </w:rPr>
          <w:t>宇宙密度场中大尺度白噪声的约束</w:t>
        </w:r>
      </w:hyperlink>
    </w:p>
    <w:p>
      <w:pPr>
        <w:spacing w:before="0" w:after="80"/>
      </w:pPr>
      <w:r>
        <w:rPr>
          <w:i/>
          <w:sz w:val="20"/>
        </w:rPr>
        <w:t>EN: Constraints on Large-Scale White Noise in the Cosmic Density Field</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16">
        <w:r>
          <w:rPr>
            <w:color w:val="1155CC"/>
            <w:u w:val="single"/>
          </w:rPr>
          <w:t>10.1103/7dwt-h1h7</w:t>
        </w:r>
      </w:hyperlink>
    </w:p>
    <w:p>
      <w:pPr>
        <w:spacing w:before="0" w:after="120"/>
      </w:pPr>
      <w:r>
        <w:rPr>
          <w:b/>
        </w:rPr>
        <w:t xml:space="preserve">Notes: </w:t>
      </w:r>
      <w:r>
        <w:t>abstract_source=rss_description</w:t>
      </w:r>
    </w:p>
    <w:p>
      <w:pPr>
        <w:spacing w:before="0" w:after="80" w:lineRule="auto" w:line="276"/>
      </w:pPr>
      <w:r>
        <w:rPr>
          <w:b/>
        </w:rPr>
        <w:t xml:space="preserve">摘要（ZH）: </w:t>
      </w:r>
      <w:r>
        <w:t>作者：Gabriela Barenboim、Aurora Ireland 和 Albert Stebbins 我们提出了宇宙密度场中大规模白噪声 (LSWN) 的观测约束，这种现象预计由宇宙演化过程中的非线性模式耦合产生。基于我们配套论文的理论框架，我们证明了非线性必然......[物理。莱特牧师。 137, 081003] 2026 年 8 月 18 日星期二发布</w:t>
      </w:r>
    </w:p>
    <w:p>
      <w:pPr>
        <w:spacing w:before="0" w:after="200" w:lineRule="auto" w:line="276"/>
      </w:pPr>
      <w:r>
        <w:rPr>
          <w:b/>
        </w:rPr>
        <w:t xml:space="preserve">Abstract (EN): </w:t>
      </w:r>
      <w:r>
        <w:t>Author(s): Gabriela Barenboim, Aurora Ireland, and Albert StebbinsWe present observational constraints on large-scale white noise (LSWN) in the cosmic density field, a phenomenon predicted to arise from nonlinear mode coupling during cosmological evolution. Building on the theoretical framework of our companion paper, where we demonstrated that nonlinearities inev…[Phys. Rev. Lett. 137, 081003] Published Tue Aug 18, 2026</w:t>
      </w:r>
    </w:p>
    <w:p>
      <w:pPr>
        <w:spacing w:before="120" w:after="120"/>
      </w:pPr>
      <w:r>
        <w:rPr>
          <w:sz w:val="18"/>
        </w:rPr>
        <w:t>——————————————————————————————————————————————————————————————————————</w:t>
      </w:r>
    </w:p>
    <w:p>
      <w:pPr>
        <w:spacing w:before="160" w:after="40" w:line="240" w:lineRule="auto"/>
      </w:pPr>
      <w:r>
        <w:rPr>
          <w:b/>
        </w:rPr>
        <w:t xml:space="preserve">[440] </w:t>
      </w:r>
      <w:hyperlink r:id="rId1417">
        <w:r>
          <w:rPr>
            <w:color w:val="1155CC"/>
            <w:u w:val="single"/>
          </w:rPr>
          <w:t>柯克伍德-狄拉克非正性是量子计算的必要资源</w:t>
        </w:r>
      </w:hyperlink>
    </w:p>
    <w:p>
      <w:pPr>
        <w:spacing w:before="0" w:after="80"/>
      </w:pPr>
      <w:r>
        <w:rPr>
          <w:i/>
          <w:sz w:val="20"/>
        </w:rPr>
        <w:t>EN: Kirkwood-Dirac Nonpositivity Is a Necessary Resource for Quantum Computing</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18">
        <w:r>
          <w:rPr>
            <w:color w:val="1155CC"/>
            <w:u w:val="single"/>
          </w:rPr>
          <w:t>10.1103/x819-898d</w:t>
        </w:r>
      </w:hyperlink>
    </w:p>
    <w:p>
      <w:pPr>
        <w:spacing w:before="0" w:after="120"/>
      </w:pPr>
      <w:r>
        <w:rPr>
          <w:b/>
        </w:rPr>
        <w:t xml:space="preserve">Notes: </w:t>
      </w:r>
      <w:r>
        <w:t>abstract_source=rss_description</w:t>
      </w:r>
    </w:p>
    <w:p>
      <w:pPr>
        <w:spacing w:before="0" w:after="80" w:lineRule="auto" w:line="276"/>
      </w:pPr>
      <w:r>
        <w:rPr>
          <w:b/>
        </w:rPr>
        <w:t xml:space="preserve">摘要（ZH）: </w:t>
      </w:r>
      <w:r>
        <w:t>作者：Jonathan J. Thio、Songqinghao Yang、Nicole Yunger Halpern、Stephan De Bièvre、Crispin H. W. Barnes 和 David R. M. Arvidsson-Shukur 我们通过构建具有非稳定器输入的量子位 Clifford 电路来阐明经典计算和量子计算之间的界限，这些电路可以有效地进行经典模拟。我们通过按照柯克伍德-狄拉克（Kirkwood-Dirac）的形式铸造可通过表面代码中的缺陷编织实现的量子电路来实现这一点......[物理。莱特牧师。 137, 080601] 2026 年 8 月 18 日星期二发布</w:t>
      </w:r>
    </w:p>
    <w:p>
      <w:pPr>
        <w:spacing w:before="0" w:after="200" w:lineRule="auto" w:line="276"/>
      </w:pPr>
      <w:r>
        <w:rPr>
          <w:b/>
        </w:rPr>
        <w:t xml:space="preserve">Abstract (EN): </w:t>
      </w:r>
      <w:r>
        <w:t>Author(s): Jonathan J. Thio, Songqinghao Yang, Nicole Yunger Halpern, Stephan De Bièvre, Crispin H. W. Barnes, and David R. M. Arvidsson-ShukurWe elucidate the boundary between classical and quantum computation by constructing qubit Clifford circuits with nonstabilizer inputs that can be efficiently simulated classically. We do so by casting the quantum circuits realizable by defect braiding in the surface code in terms of a Kirkwood-Dirac…[Phys. Rev. Lett. 137, 080601] Published Tue Aug 18, 2026</w:t>
      </w:r>
    </w:p>
    <w:p>
      <w:pPr>
        <w:spacing w:before="120" w:after="120"/>
      </w:pPr>
      <w:r>
        <w:rPr>
          <w:sz w:val="18"/>
        </w:rPr>
        <w:t>——————————————————————————————————————————————————————————————————————</w:t>
      </w:r>
    </w:p>
    <w:p>
      <w:pPr>
        <w:spacing w:before="160" w:after="40" w:line="240" w:lineRule="auto"/>
      </w:pPr>
      <w:r>
        <w:rPr>
          <w:b/>
        </w:rPr>
        <w:t xml:space="preserve">[441] </w:t>
      </w:r>
      <w:hyperlink r:id="rId1419">
        <w:r>
          <w:rPr>
            <w:color w:val="1155CC"/>
            <w:u w:val="single"/>
          </w:rPr>
          <w:t>第一个 $^{94}\mathrm{Nb}(n,γ)$ 测量：约束前太阳颗粒中 $^{94}\mathrm{Mo}$ 的核合成起源</w:t>
        </w:r>
      </w:hyperlink>
    </w:p>
    <w:p>
      <w:pPr>
        <w:spacing w:before="0" w:after="80"/>
      </w:pPr>
      <w:r>
        <w:rPr>
          <w:i/>
          <w:sz w:val="20"/>
        </w:rPr>
        <w:t>EN: First $^{94}\mathrm{Nb}(n,γ)$ Measurement: Constraining the Nucleosynthetic Origin of $^{94}\mathrm{Mo}$ in Presolar Grains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20">
        <w:r>
          <w:rPr>
            <w:color w:val="1155CC"/>
            <w:u w:val="single"/>
          </w:rPr>
          <w:t>10.1103/538w-rhqb</w:t>
        </w:r>
      </w:hyperlink>
    </w:p>
    <w:p>
      <w:pPr>
        <w:spacing w:before="0" w:after="120"/>
      </w:pPr>
      <w:r>
        <w:rPr>
          <w:b/>
        </w:rPr>
        <w:t xml:space="preserve">Notes: </w:t>
      </w:r>
      <w:r>
        <w:t>abstract_source=rss_description</w:t>
      </w:r>
    </w:p>
    <w:p>
      <w:pPr>
        <w:spacing w:before="0" w:after="80" w:lineRule="auto" w:line="276"/>
      </w:pPr>
      <w:r>
        <w:rPr>
          <w:b/>
        </w:rPr>
        <w:t xml:space="preserve">摘要（ZH）: </w:t>
      </w:r>
      <w:r>
        <w:t>作者：J. Balibrea-Correa 等人。 （n_TOF 合作）对垂死恒星的前太阳碳化硅颗粒的同位素测量揭示了令人费解的过量$^{94}\mathrm{Mo}$，而恒星核合成模型二十年来一直未能重现。这种差异挑战了我们对缓慢中子捕获过程的理解 ($s$-...[Phys. Rev. Lett. 137, 082701] 2026 年 8 月 18 日星期二发布</w:t>
      </w:r>
    </w:p>
    <w:p>
      <w:pPr>
        <w:spacing w:before="0" w:after="200" w:lineRule="auto" w:line="276"/>
      </w:pPr>
      <w:r>
        <w:rPr>
          <w:b/>
        </w:rPr>
        <w:t xml:space="preserve">Abstract (EN): </w:t>
      </w:r>
      <w:r>
        <w:t>Author(s): J. Balibrea-Correa et al. (n_TOF Collaboration)Isotopic measurements of presolar silicon carbide grains from dying stars have revealed a puzzling overabundance of $^{94}\mathrm{Mo}$ that stellar nucleosynthesis models have failed to reproduce for two decades. This discrepancy challenged our understanding of the slow neutron-capture process ($s$-…[Phys. Rev. Lett. 137, 082701] Published Tue Aug 18, 2026</w:t>
      </w:r>
    </w:p>
    <w:p>
      <w:pPr>
        <w:spacing w:before="120" w:after="120"/>
      </w:pPr>
      <w:r>
        <w:rPr>
          <w:sz w:val="18"/>
        </w:rPr>
        <w:t>——————————————————————————————————————————————————————————————————————</w:t>
      </w:r>
    </w:p>
    <w:p>
      <w:pPr>
        <w:spacing w:before="160" w:after="40" w:line="240" w:lineRule="auto"/>
      </w:pPr>
      <w:r>
        <w:rPr>
          <w:b/>
        </w:rPr>
        <w:t xml:space="preserve">[442] </w:t>
      </w:r>
      <w:hyperlink r:id="rId1421">
        <w:r>
          <w:rPr>
            <w:color w:val="1155CC"/>
            <w:u w:val="single"/>
          </w:rPr>
          <w:t>非厄米反常尺度工程</w:t>
        </w:r>
      </w:hyperlink>
    </w:p>
    <w:p>
      <w:pPr>
        <w:spacing w:before="0" w:after="80"/>
      </w:pPr>
      <w:r>
        <w:rPr>
          <w:i/>
          <w:sz w:val="20"/>
        </w:rPr>
        <w:t>EN: Non-Hermitian Anomalous Scaling Engineering</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22">
        <w:r>
          <w:rPr>
            <w:color w:val="1155CC"/>
            <w:u w:val="single"/>
          </w:rPr>
          <w:t>10.1103/39t1-94yh</w:t>
        </w:r>
      </w:hyperlink>
    </w:p>
    <w:p>
      <w:pPr>
        <w:spacing w:before="0" w:after="120"/>
      </w:pPr>
      <w:r>
        <w:rPr>
          <w:b/>
        </w:rPr>
        <w:t xml:space="preserve">Notes: </w:t>
      </w:r>
      <w:r>
        <w:t>abstract_source=rss_description</w:t>
      </w:r>
    </w:p>
    <w:p>
      <w:pPr>
        <w:spacing w:before="0" w:after="80" w:lineRule="auto" w:line="276"/>
      </w:pPr>
      <w:r>
        <w:rPr>
          <w:b/>
        </w:rPr>
        <w:t xml:space="preserve">摘要（ZH）: </w:t>
      </w:r>
      <w:r>
        <w:t>作者：Shulin Wang、Jiawei He、Zhiyuan Yang、Stefano Longhi 和 Peng Xu 非厄米系统表现出反常尺度，与传统的体积定律显着背离，其根源在于非厄米集肤效应 (NHSE)。在这里，我们通过实验揭示了这种缩放并证明了它在时间光子晶格中的主动控制。通过跟踪 al 的实时演变……[Phys。莱特牧师。 137, 083801] 2026 年 8 月 18 日星期二发布</w:t>
      </w:r>
    </w:p>
    <w:p>
      <w:pPr>
        <w:spacing w:before="0" w:after="200" w:lineRule="auto" w:line="276"/>
      </w:pPr>
      <w:r>
        <w:rPr>
          <w:b/>
        </w:rPr>
        <w:t xml:space="preserve">Abstract (EN): </w:t>
      </w:r>
      <w:r>
        <w:t>Author(s): Shulin Wang, Jiawei He, Zhiyuan Yang, Stefano Longhi, and Peng XueNon-Hermitian systems exhibit anomalous scaling, a striking departure from conventional bulk laws, rooted in the non-Hermitian skin effect (NHSE). Here, we experimentally uncover this scaling and demonstrate its active control in a temporal photonic lattice. By tracking the real-time evolution of al…[Phys. Rev. Lett. 137, 083801] Published Tue Aug 18, 2026</w:t>
      </w:r>
    </w:p>
    <w:p>
      <w:pPr>
        <w:spacing w:before="120" w:after="120"/>
      </w:pPr>
      <w:r>
        <w:rPr>
          <w:sz w:val="18"/>
        </w:rPr>
        <w:t>——————————————————————————————————————————————————————————————————————</w:t>
      </w:r>
    </w:p>
    <w:p>
      <w:pPr>
        <w:spacing w:before="160" w:after="40" w:line="240" w:lineRule="auto"/>
      </w:pPr>
      <w:r>
        <w:rPr>
          <w:b/>
        </w:rPr>
        <w:t xml:space="preserve">[443] </w:t>
      </w:r>
      <w:hyperlink r:id="rId1423">
        <w:r>
          <w:rPr>
            <w:color w:val="1155CC"/>
            <w:u w:val="single"/>
          </w:rPr>
          <w:t>介观超导体中证明的手性超导有序参数的特征</w:t>
        </w:r>
      </w:hyperlink>
    </w:p>
    <w:p>
      <w:pPr>
        <w:spacing w:before="0" w:after="80"/>
      </w:pPr>
      <w:r>
        <w:rPr>
          <w:i/>
          <w:sz w:val="20"/>
        </w:rPr>
        <w:t>EN: Signature of Chiral Superconducting Order Parameter Evidenced in Mesoscopic Superconductors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24">
        <w:r>
          <w:rPr>
            <w:color w:val="1155CC"/>
            <w:u w:val="single"/>
          </w:rPr>
          <w:t>10.1103/qv9w-x78v</w:t>
        </w:r>
      </w:hyperlink>
    </w:p>
    <w:p>
      <w:pPr>
        <w:spacing w:before="0" w:after="120"/>
      </w:pPr>
      <w:r>
        <w:rPr>
          <w:b/>
        </w:rPr>
        <w:t xml:space="preserve">Notes: </w:t>
      </w:r>
      <w:r>
        <w:t>abstract_source=rss_description</w:t>
      </w:r>
    </w:p>
    <w:p>
      <w:pPr>
        <w:spacing w:before="0" w:after="80" w:lineRule="auto" w:line="276"/>
      </w:pPr>
      <w:r>
        <w:rPr>
          <w:b/>
        </w:rPr>
        <w:t xml:space="preserve">摘要（ZH）: </w:t>
      </w:r>
      <w:r>
        <w:t>作者：徐晓英、秦伟、沉月琳、黄子轩、周卓亚、王子饶、李宇凡手性超导相是一种新型超导相，其特征是有序参数打破时间反演对称性，赋予该态一定的旋向性。与传统超导体不同，手性超导体中的库珀对携带非零轨道角动量。通过……[物理。莱特牧师。 137, 086002] 2026 年 8 月 18 日星期二发布</w:t>
      </w:r>
    </w:p>
    <w:p>
      <w:pPr>
        <w:spacing w:before="0" w:after="200" w:lineRule="auto" w:line="276"/>
      </w:pPr>
      <w:r>
        <w:rPr>
          <w:b/>
        </w:rPr>
        <w:t xml:space="preserve">Abstract (EN): </w:t>
      </w:r>
      <w:r>
        <w:t>Author(s): Xiaoying Xu, Wei Qin, Yuelin Shen, Zixuan Huang, Zhuoya Zhou, Zirao Wang, and Yufan LiChiral superconductivity is a novel superconducting phase characterized by order parameters that break time-reversal symmetry, endowing the state with a definite handedness. Unlike conventional superconductors, the Cooper pairs in a chiral superconductor carry nonzero orbital angular momentum. Throu…[Phys. Rev. Lett. 137, 086002] Published Tue Aug 18, 2026</w:t>
      </w:r>
    </w:p>
    <w:p>
      <w:pPr>
        <w:spacing w:before="120" w:after="120"/>
      </w:pPr>
      <w:r>
        <w:rPr>
          <w:sz w:val="18"/>
        </w:rPr>
        <w:t>——————————————————————————————————————————————————————————————————————</w:t>
      </w:r>
    </w:p>
    <w:p>
      <w:pPr>
        <w:spacing w:before="160" w:after="40" w:line="240" w:lineRule="auto"/>
      </w:pPr>
      <w:r>
        <w:rPr>
          <w:b/>
        </w:rPr>
        <w:t xml:space="preserve">[444] </w:t>
      </w:r>
      <w:hyperlink r:id="rId1425">
        <w:r>
          <w:rPr>
            <w:color w:val="1155CC"/>
            <w:u w:val="single"/>
          </w:rPr>
          <w:t>旋转湍流中波湍流谱的证据</w:t>
        </w:r>
      </w:hyperlink>
    </w:p>
    <w:p>
      <w:pPr>
        <w:spacing w:before="0" w:after="80"/>
      </w:pPr>
      <w:r>
        <w:rPr>
          <w:i/>
          <w:sz w:val="20"/>
        </w:rPr>
        <w:t>EN: Evidence for Wave Turbulence Spectra in Rotating Turbulence</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26">
        <w:r>
          <w:rPr>
            <w:color w:val="1155CC"/>
            <w:u w:val="single"/>
          </w:rPr>
          <w:t>10.1103/33dv-bfcx</w:t>
        </w:r>
      </w:hyperlink>
    </w:p>
    <w:p>
      <w:pPr>
        <w:spacing w:before="0" w:after="120"/>
      </w:pPr>
      <w:r>
        <w:rPr>
          <w:b/>
        </w:rPr>
        <w:t xml:space="preserve">Notes: </w:t>
      </w:r>
      <w:r>
        <w:t>abstract_source=rss_description</w:t>
      </w:r>
    </w:p>
    <w:p>
      <w:pPr>
        <w:spacing w:before="0" w:after="80" w:lineRule="auto" w:line="276"/>
      </w:pPr>
      <w:r>
        <w:rPr>
          <w:b/>
        </w:rPr>
        <w:t xml:space="preserve">摘要（ZH）: </w:t>
      </w:r>
      <w:r>
        <w:t>作者：Omri Shaltiel、Omri Gat 和 Eran Sharon 尽管旋转湍流对我们的生活影响很大，但人们对它的了解还不够深入。这些各向异性的三维脉动流受不同的非线性过程控制，每个过程在不同的参数范围内都占主导地位。 20多年前，加尔蒂埃利用弱波...[Phys.莱特牧师。 137, 084001] 2026 年 8 月 18 日星期二发布</w:t>
      </w:r>
    </w:p>
    <w:p>
      <w:pPr>
        <w:spacing w:before="0" w:after="200" w:lineRule="auto" w:line="276"/>
      </w:pPr>
      <w:r>
        <w:rPr>
          <w:b/>
        </w:rPr>
        <w:t xml:space="preserve">Abstract (EN): </w:t>
      </w:r>
      <w:r>
        <w:t>Author(s): Omri Shaltiel, Omri Gat, and Eran SharonThough highly impacting our lives, rotating turbulent flows are not well understood. These anisotropic three-dimensional fluctuating flows are governed by different nonlinear processes, each of which can be dominant in a different range of parameters. More than 20 years ago, Galtier used weak wave t…[Phys. Rev. Lett. 137, 084001] Published Tue Aug 18, 2026</w:t>
      </w:r>
    </w:p>
    <w:p>
      <w:pPr>
        <w:spacing w:before="120" w:after="120"/>
      </w:pPr>
      <w:r>
        <w:rPr>
          <w:sz w:val="18"/>
        </w:rPr>
        <w:t>——————————————————————————————————————————————————————————————————————</w:t>
      </w:r>
    </w:p>
    <w:p>
      <w:pPr>
        <w:spacing w:before="160" w:after="40" w:line="240" w:lineRule="auto"/>
      </w:pPr>
      <w:r>
        <w:rPr>
          <w:b/>
        </w:rPr>
        <w:t xml:space="preserve">[445] </w:t>
      </w:r>
      <w:hyperlink r:id="rId1427">
        <w:r>
          <w:rPr>
            <w:color w:val="1155CC"/>
            <w:u w:val="single"/>
          </w:rPr>
          <w:t>隔离线中的马约拉纳边缘模式</w:t>
        </w:r>
      </w:hyperlink>
    </w:p>
    <w:p>
      <w:pPr>
        <w:spacing w:before="0" w:after="80"/>
      </w:pPr>
      <w:r>
        <w:rPr>
          <w:i/>
          <w:sz w:val="20"/>
        </w:rPr>
        <w:t>EN: Majorana Edge Modes in Isolated Wires</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28">
        <w:r>
          <w:rPr>
            <w:color w:val="1155CC"/>
            <w:u w:val="single"/>
          </w:rPr>
          <w:t>10.1103/97fb-45n9</w:t>
        </w:r>
      </w:hyperlink>
    </w:p>
    <w:p>
      <w:pPr>
        <w:spacing w:before="0" w:after="120"/>
      </w:pPr>
      <w:r>
        <w:rPr>
          <w:b/>
        </w:rPr>
        <w:t xml:space="preserve">Notes: </w:t>
      </w:r>
      <w:r>
        <w:t>abstract_source=rss_description</w:t>
      </w:r>
    </w:p>
    <w:p>
      <w:pPr>
        <w:spacing w:before="0" w:after="80" w:lineRule="auto" w:line="276"/>
      </w:pPr>
      <w:r>
        <w:rPr>
          <w:b/>
        </w:rPr>
        <w:t xml:space="preserve">摘要（ZH）: </w:t>
      </w:r>
      <w:r>
        <w:t>作者：Jaden Thomas-Markarian、Kartiek Agarwal 和 Ivar Martin 拓扑超导体被认为存在被称为马约拉纳零模式 (MZM) 的奇异准粒子激发，大部分证据基于 BCS 平均场理论。在一些实验相关的有限、孤立系统中，平均场参数的直接应用是脆弱的。在这里，w……[物理。莱特牧师。 137, 086504] 2026 年 8 月 18 日星期二发布</w:t>
      </w:r>
    </w:p>
    <w:p>
      <w:pPr>
        <w:spacing w:before="0" w:after="200" w:lineRule="auto" w:line="276"/>
      </w:pPr>
      <w:r>
        <w:rPr>
          <w:b/>
        </w:rPr>
        <w:t xml:space="preserve">Abstract (EN): </w:t>
      </w:r>
      <w:r>
        <w:t>Author(s): Jaden Thomas-Markarian, Kartiek Agarwal, and Ivar MartinTopological superconductors are believed to host exotic quasiparticle excitations known as Majorana zero modes (MZMs), with much of the evidence based on BCS mean-field theory. The direct application of mean-field arguments is tenuous in finite, isolated systems relevant in some experiments. Here, w…[Phys. Rev. Lett. 137, 086504] Published Tue Aug 18, 2026</w:t>
      </w:r>
    </w:p>
    <w:p>
      <w:pPr>
        <w:spacing w:before="120" w:after="120"/>
      </w:pPr>
      <w:r>
        <w:rPr>
          <w:sz w:val="18"/>
        </w:rPr>
        <w:t>——————————————————————————————————————————————————————————————————————</w:t>
      </w:r>
    </w:p>
    <w:p>
      <w:pPr>
        <w:spacing w:before="160" w:after="40" w:line="240" w:lineRule="auto"/>
      </w:pPr>
      <w:r>
        <w:rPr>
          <w:b/>
        </w:rPr>
        <w:t xml:space="preserve">[446] </w:t>
      </w:r>
      <w:hyperlink r:id="rId1429">
        <w:r>
          <w:rPr>
            <w:color w:val="1155CC"/>
            <w:u w:val="single"/>
          </w:rPr>
          <w:t>用 IceCube 表征宇宙中微子的三味成分</w:t>
        </w:r>
      </w:hyperlink>
    </w:p>
    <w:p>
      <w:pPr>
        <w:spacing w:before="0" w:after="80"/>
      </w:pPr>
      <w:r>
        <w:rPr>
          <w:i/>
          <w:sz w:val="20"/>
        </w:rPr>
        <w:t>EN: Characterization of the Three-Flavor Composition of Cosmic Neutrinos with IceCube</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30">
        <w:r>
          <w:rPr>
            <w:color w:val="1155CC"/>
            <w:u w:val="single"/>
          </w:rPr>
          <w:t>10.1103/vntd-m133</w:t>
        </w:r>
      </w:hyperlink>
    </w:p>
    <w:p>
      <w:pPr>
        <w:spacing w:before="0" w:after="120"/>
      </w:pPr>
      <w:r>
        <w:rPr>
          <w:b/>
        </w:rPr>
        <w:t xml:space="preserve">Notes: </w:t>
      </w:r>
      <w:r>
        <w:t>abstract_source=rss_description</w:t>
      </w:r>
    </w:p>
    <w:p>
      <w:pPr>
        <w:spacing w:before="0" w:after="80" w:lineRule="auto" w:line="276"/>
      </w:pPr>
      <w:r>
        <w:rPr>
          <w:b/>
        </w:rPr>
        <w:t xml:space="preserve">摘要（ZH）: </w:t>
      </w:r>
      <w:r>
        <w:t>作者：R. Abbasi 等人。 （IceCube 合作）宇宙中微子的味道成分可探测其来源的物理特性以及地面实验无法达到的能量和距离上的振荡。使用 11.4 年的 IceCube 数据，我们分析了 5 TeV–10 PeV 的全天空中微子通量的味道成分，显着……[Phys.莱特牧师。 137, 081002] 2026 年 8 月 18 日星期二发布</w:t>
      </w:r>
    </w:p>
    <w:p>
      <w:pPr>
        <w:spacing w:before="0" w:after="200" w:lineRule="auto" w:line="276"/>
      </w:pPr>
      <w:r>
        <w:rPr>
          <w:b/>
        </w:rPr>
        <w:t xml:space="preserve">Abstract (EN): </w:t>
      </w:r>
      <w:r>
        <w:t>Author(s): R. Abbasi et al. (IceCube Collaboration)The flavor composition of cosmic neutrinos probes both the physical properties of their sources and oscillations over energies and distances unreachable by terrestrial experiments. Using 11.4 yr of IceCube data, we analyze the flavor composition of the all-sky neutrino flux from 5 TeV–10 PeV, signif…[Phys. Rev. Lett. 137, 081002] Published Tue Aug 18, 2026</w:t>
      </w:r>
    </w:p>
    <w:p>
      <w:pPr>
        <w:spacing w:before="120" w:after="120"/>
      </w:pPr>
      <w:r>
        <w:rPr>
          <w:sz w:val="18"/>
        </w:rPr>
        <w:t>——————————————————————————————————————————————————————————————————————</w:t>
      </w:r>
    </w:p>
    <w:p>
      <w:pPr>
        <w:spacing w:before="160" w:after="40" w:line="240" w:lineRule="auto"/>
      </w:pPr>
      <w:r>
        <w:rPr>
          <w:b/>
        </w:rPr>
        <w:t xml:space="preserve">[447] </w:t>
      </w:r>
      <w:hyperlink r:id="rId1431">
        <w:r>
          <w:rPr>
            <w:color w:val="1155CC"/>
            <w:u w:val="single"/>
          </w:rPr>
          <w:t>极端质量比极限下双曲相遇的高后闵可夫斯基引力波形</w:t>
        </w:r>
      </w:hyperlink>
    </w:p>
    <w:p>
      <w:pPr>
        <w:spacing w:before="0" w:after="80"/>
      </w:pPr>
      <w:r>
        <w:rPr>
          <w:i/>
          <w:sz w:val="20"/>
        </w:rPr>
        <w:t>EN: High Post-Minkowskian Gravitational Waveform for Hyperbolic Encounters in the Extreme-Mass-Ratio Limit</w:t>
      </w:r>
    </w:p>
    <w:p>
      <w:pPr>
        <w:spacing w:before="0" w:after="120"/>
      </w:pPr>
      <w:r>
        <w:rPr>
          <w:b/>
        </w:rPr>
        <w:t xml:space="preserve">Source: </w:t>
      </w:r>
      <w:r>
        <w:t>Recent Articles in Phys. Rev. Lett.</w:t>
      </w:r>
      <w:r>
        <w:t xml:space="preserve">    </w:t>
      </w:r>
      <w:r>
        <w:rPr>
          <w:b/>
        </w:rPr>
        <w:t xml:space="preserve">Pub date: </w:t>
      </w:r>
      <w:r>
        <w:t>2026-08-18 10:00:00+00:00</w:t>
      </w:r>
      <w:r>
        <w:t xml:space="preserve">    </w:t>
      </w:r>
      <w:r>
        <w:rPr>
          <w:b/>
        </w:rPr>
        <w:t xml:space="preserve">DOI: </w:t>
      </w:r>
      <w:hyperlink r:id="rId1432">
        <w:r>
          <w:rPr>
            <w:color w:val="1155CC"/>
            <w:u w:val="single"/>
          </w:rPr>
          <w:t>10.1103/l9cd-88h7</w:t>
        </w:r>
      </w:hyperlink>
    </w:p>
    <w:p>
      <w:pPr>
        <w:spacing w:before="0" w:after="120"/>
      </w:pPr>
      <w:r>
        <w:rPr>
          <w:b/>
        </w:rPr>
        <w:t xml:space="preserve">Notes: </w:t>
      </w:r>
      <w:r>
        <w:t>abstract_source=rss_description</w:t>
      </w:r>
    </w:p>
    <w:p>
      <w:pPr>
        <w:spacing w:before="0" w:after="80" w:lineRule="auto" w:line="276"/>
      </w:pPr>
      <w:r>
        <w:rPr>
          <w:b/>
        </w:rPr>
        <w:t xml:space="preserve">摘要（ZH）: </w:t>
      </w:r>
      <w:r>
        <w:t>作者：Andrea Geralico 二体散射过程发出的频域波形是通过后闵可夫斯基 (PM) 第五阶 [即 $O({G}^{5})$] 和分数第六后牛顿 (PN) 阶在极端质量比极限下计算的。目前通过量子测量获得的散射波形精度...[Phys.莱特牧师。 137, 081401] 2026 年 8 月 18 日星期二发布</w:t>
      </w:r>
    </w:p>
    <w:p>
      <w:pPr>
        <w:spacing w:before="0" w:after="200" w:lineRule="auto" w:line="276"/>
      </w:pPr>
      <w:r>
        <w:rPr>
          <w:b/>
        </w:rPr>
        <w:t xml:space="preserve">Abstract (EN): </w:t>
      </w:r>
      <w:r>
        <w:t>Author(s): Andrea GeralicoThe frequency-domain waveform emitted by a two-body scattering process is computed in the extreme-mass-ratio limit through the fifth post-Minkowskian (PM) order [i.e., $O({G}^{5})$] and the fractional sixth post-Newtonian (PN) order. The current accuracy of the scattering waveform obtained by quantu…[Phys. Rev. Lett. 137, 081401] Published Tue Aug 18, 2026</w:t>
      </w:r>
    </w:p>
    <w:p>
      <w:pPr>
        <w:spacing w:before="120" w:after="120"/>
      </w:pPr>
      <w:r>
        <w:rPr>
          <w:sz w:val="18"/>
        </w:rPr>
        <w:t>——————————————————————————————————————————————————————————————————————</w:t>
      </w:r>
    </w:p>
    <w:p>
      <w:pPr>
        <w:spacing w:before="160" w:after="40" w:line="240" w:lineRule="auto"/>
      </w:pPr>
      <w:r>
        <w:rPr>
          <w:b/>
        </w:rPr>
        <w:t xml:space="preserve">[448] </w:t>
      </w:r>
      <w:hyperlink r:id="rId1433">
        <w:r>
          <w:rPr>
            <w:color w:val="1155CC"/>
            <w:u w:val="single"/>
          </w:rPr>
          <w:t>用于电子植物信号传感和功能调节的多尺度生物混合接口工程</w:t>
        </w:r>
      </w:hyperlink>
    </w:p>
    <w:p>
      <w:pPr>
        <w:spacing w:before="0" w:after="80"/>
      </w:pPr>
      <w:r>
        <w:rPr>
          <w:i/>
          <w:sz w:val="20"/>
        </w:rPr>
        <w:t>EN: Engineering Multiscale Biohybrid Interfaces for Signal Sensing and Functional Regulation of Electronic Plants</w:t>
      </w:r>
    </w:p>
    <w:p>
      <w:pPr>
        <w:spacing w:before="0" w:after="120"/>
      </w:pPr>
      <w:r>
        <w:rPr>
          <w:b/>
        </w:rPr>
        <w:t xml:space="preserve">Source: </w:t>
      </w:r>
      <w:r>
        <w:t>Wiley: Advanced Materials: Table of Contents</w:t>
      </w:r>
      <w:r>
        <w:t xml:space="preserve">    </w:t>
      </w:r>
      <w:r>
        <w:rPr>
          <w:b/>
        </w:rPr>
        <w:t xml:space="preserve">Pub date: </w:t>
      </w:r>
      <w:r>
        <w:t>2026-08-18 13:28:37+00:00</w:t>
      </w:r>
      <w:r>
        <w:t xml:space="preserve">    </w:t>
      </w:r>
      <w:r>
        <w:rPr>
          <w:b/>
        </w:rPr>
        <w:t xml:space="preserve">DOI: </w:t>
      </w:r>
      <w:hyperlink r:id="rId1434">
        <w:r>
          <w:rPr>
            <w:color w:val="1155CC"/>
            <w:u w:val="single"/>
          </w:rPr>
          <w:t>10.1002/adma.74652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电子植物（e-Plant）通常通过将人造电子材料与天然活植物相结合而构建，已被证明是生物电子应用的强大平台，但高性能 e-Plant 系统的实现仍然具有挑战性。在这篇综述中，我们简要总结了多尺度生物混合界面构建策略的最新技术，即表面可附着、可植入和原位可成型方法，并讨论了如何将这些方法应用于工程电子植物。此外，还介绍了e-Plants在传感基于信号分子的信号转导和代谢以及监测植物生理状态和微生态条件方面的应用，突显了其在精准农业中的巨大潜力。此外，进一步概述了能够进行光能到化学能转换和光催化的生物混合电子植物，这有望为增强光合作用和疾病治疗开辟一条新途径。另一方面，还讨论了推进快速响应时间、多模式响应、人工智能辅助和生物安全方面的挑战和前景，明确了该领域的未来发展方向。</w:t>
      </w:r>
    </w:p>
    <w:p>
      <w:pPr>
        <w:spacing w:before="0" w:after="200" w:lineRule="auto" w:line="276"/>
      </w:pPr>
      <w:r>
        <w:rPr>
          <w:b/>
        </w:rPr>
        <w:t xml:space="preserve">Abstract (EN): </w:t>
      </w:r>
      <w:r>
        <w:t>Electronic plants (e‐Plants), typically constructed by integrating artificial electronic materials with natural living plants, have demonstrated as a powerful platform for bioelectronic applications, but the realization of high‐performance e‐Plant systems still remains challenging. In this Review, we concisely summarize the state‐of‐the‐art of the multiscale biohybrid interface construction strategies, namely surface‐attachable, implantable, and in situ formable methods, and discuss how these approaches can be applied to engineer e‐Plants. In addition, the applications of e‐Plants for sensing of signaling molecule‐based signal transduction and metabolism as well as monitoring of plant physiological states and microecological conditions are introduced, highlighting their intriguing potential in precision agriculture. Moreover, biohybrid e‐Plants that are capable of light‐to‐chemical energy conversion and photocatalysis are further outlined, conceivably opening up a new avenue for photosynthesis enhancement and disease treatment. On the other hand, the challenges and perspectives on advancing fast response time, multimodal responsiveness, artificial intelligence assistance, and biosafety are also discussed, clearly mapping the future development directions in such field.</w:t>
      </w:r>
    </w:p>
    <w:p>
      <w:pPr>
        <w:spacing w:before="120" w:after="120"/>
      </w:pPr>
      <w:r>
        <w:rPr>
          <w:sz w:val="18"/>
        </w:rPr>
        <w:t>——————————————————————————————————————————————————————————————————————</w:t>
      </w:r>
    </w:p>
    <w:p>
      <w:pPr>
        <w:spacing w:before="160" w:after="40" w:line="240" w:lineRule="auto"/>
      </w:pPr>
      <w:r>
        <w:rPr>
          <w:b/>
        </w:rPr>
        <w:t xml:space="preserve">[449] </w:t>
      </w:r>
      <w:hyperlink r:id="rId1435">
        <w:r>
          <w:rPr>
            <w:color w:val="1155CC"/>
            <w:u w:val="single"/>
          </w:rPr>
          <w:t>通过 O-to-C 骨架编辑从异恶唑合成吡咯</w:t>
        </w:r>
      </w:hyperlink>
    </w:p>
    <w:p>
      <w:pPr>
        <w:spacing w:before="0" w:after="80"/>
      </w:pPr>
      <w:r>
        <w:rPr>
          <w:i/>
          <w:sz w:val="20"/>
        </w:rPr>
        <w:t>EN: Synthesis of pyrroles from isoxazoles by an O-to-C skeletal edit</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36">
        <w:r>
          <w:rPr>
            <w:color w:val="1155CC"/>
            <w:u w:val="single"/>
          </w:rPr>
          <w:t>10.1038/s41586-026-10933-6</w:t>
        </w:r>
      </w:hyperlink>
    </w:p>
    <w:p>
      <w:pPr>
        <w:spacing w:before="0" w:after="120"/>
      </w:pPr>
      <w:r>
        <w:rPr>
          <w:b/>
        </w:rPr>
        <w:t xml:space="preserve">Notes: </w:t>
      </w:r>
      <w:r>
        <w:t>abstract_source=pubmed</w:t>
      </w:r>
    </w:p>
    <w:p>
      <w:pPr>
        <w:spacing w:before="0" w:after="80" w:lineRule="auto" w:line="276"/>
      </w:pPr>
      <w:r>
        <w:rPr>
          <w:b/>
        </w:rPr>
        <w:t xml:space="preserve">摘要（ZH）: </w:t>
      </w:r>
      <w:r>
        <w:t>异恶唑和吡咯在感兴趣的药物和生物活性化合物中占有重要地位1,2。尽管它们的核心结构仅相差一个原子（O 与 C），但它们各自的从头环组装需要截然不同的合成，因为电子辅音异恶唑核心易于发生一系列断开，而这些断开对于相应的吡咯 3,4 来说是无法实现的。鉴于这两个杂环类之间的结构相似性，骨架编辑提供了满足这一需求的机会，因为它能够实现非传统的逆合成断开。在这里，我们实现了异恶唑的 O 原子到 C 原子的取代，在一锅法序列中提供吡咯。我们确定 N-炔丙基烯胺酮是连接两个杂环类的关键中间体，为其他具有挑战性的吡咯支架提供了与传统合成正交的逆合成断开。在我们的研究过程中，我们遇到了意想不到的烯胺酮反应性，并开发了一个预测计算模型，捕获控制反应结果的构象特征7。通过O-to-C取代反应连接这两个杂环可以实现难以捉摸的吡咯的区域选择性合成。</w:t>
      </w:r>
    </w:p>
    <w:p>
      <w:pPr>
        <w:spacing w:before="0" w:after="200" w:lineRule="auto" w:line="276"/>
      </w:pPr>
      <w:r>
        <w:rPr>
          <w:b/>
        </w:rPr>
        <w:t xml:space="preserve">Abstract (EN): </w:t>
      </w:r>
      <w:r>
        <w:t>Isoxazoles and pyrroles feature prominently in pharmaceutical and bioactive compounds of interest1,2. Although their core structures differ by only a single atom (O versus C), their respective de novo ring assemblies require vastly different syntheses, as the electronically consonant isoxazole core is amenable to a range of disconnections that are inaccessible for the corresponding pyrroles3,4. Given the structural similarity between these two heterocyclic classes, skeletal editing offers an opportunity to meet this need, as it empowers non-traditional retrosynthetic disconnections5. Here we achieve an O-to-C atom replacement of isoxazoles, affording pyrroles in a one-pot sequence. We identify the N-propargylic enaminone as a key intermediate connecting the two heterocycle classes, providing a retrosynthetic disconnection orthogonal to traditional syntheses for otherwise challenging pyrrole scaffolds6. During our investigations, we encountered unexpected enaminone reactivity and developed a predictive computational model capturing the conformational features controlling reaction outcomes7. Regioselective syntheses of elusive pyrroles can be achieved by linking these two heterocycles with an O-to-C replacement reaction.</w:t>
      </w:r>
    </w:p>
    <w:p>
      <w:pPr>
        <w:spacing w:before="120" w:after="120"/>
      </w:pPr>
      <w:r>
        <w:rPr>
          <w:sz w:val="18"/>
        </w:rPr>
        <w:t>——————————————————————————————————————————————————————————————————————</w:t>
      </w:r>
    </w:p>
    <w:p>
      <w:pPr>
        <w:spacing w:before="160" w:after="40" w:line="240" w:lineRule="auto"/>
      </w:pPr>
      <w:r>
        <w:rPr>
          <w:b/>
        </w:rPr>
        <w:t xml:space="preserve">[450] </w:t>
      </w:r>
      <w:hyperlink r:id="rId1437">
        <w:r>
          <w:rPr>
            <w:color w:val="1155CC"/>
            <w:u w:val="single"/>
          </w:rPr>
          <w:t>偏向变构调节剂是 β2AR 二聚化的分子胶</w:t>
        </w:r>
      </w:hyperlink>
    </w:p>
    <w:p>
      <w:pPr>
        <w:spacing w:before="0" w:after="80"/>
      </w:pPr>
      <w:r>
        <w:rPr>
          <w:i/>
          <w:sz w:val="20"/>
        </w:rPr>
        <w:t>EN: A biased allosteric modulator is a molecular glue for β2AR dimerization</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38">
        <w:r>
          <w:rPr>
            <w:color w:val="1155CC"/>
            <w:u w:val="single"/>
          </w:rPr>
          <w:t>10.1038/s41586-026-10892-y</w:t>
        </w:r>
      </w:hyperlink>
    </w:p>
    <w:p>
      <w:pPr>
        <w:spacing w:before="0" w:after="120"/>
      </w:pPr>
      <w:r>
        <w:rPr>
          <w:b/>
        </w:rPr>
        <w:t xml:space="preserve">Notes: </w:t>
      </w:r>
      <w:r>
        <w:t>abstract_source=pubmed</w:t>
      </w:r>
    </w:p>
    <w:p>
      <w:pPr>
        <w:spacing w:before="0" w:after="80" w:lineRule="auto" w:line="276"/>
      </w:pPr>
      <w:r>
        <w:rPr>
          <w:b/>
        </w:rPr>
        <w:t xml:space="preserve">摘要（ZH）: </w:t>
      </w:r>
      <w:r>
        <w:t>A 族 G 蛋白偶联受体 (GPCR) 通常被描述为单体，但越来越多的证据表明它们可以形成具有不同信号传导特性的二聚体1-3。然而，这种二聚化的机制和治疗潜力仍然知之甚少。在这里，我们展示了 AP-7-168 是 β2-肾上腺素受体 (β2AR) 的 β-arrestin 偏向负变构调节剂的优化衍生物，可在细胞和组织模型中维持支气管松弛4，充当稳定 β2AR 同二聚化的分子胶。低温电子显微镜结构揭示了一种独特的结合模式，其中两个 AP-7-168 分子堆积在由两个原聚体的跨膜螺旋 3、4 和 5 形成的口袋内，稳定二聚体构象，选择性地防止 β-抑制蛋白偶联。在细胞中，AP-7-168 能够稳定 β2AR 二聚化并促进扩大的纳米簇形成。结合广泛的功能研究，我们的研究结果确定了小分子通过二聚化偏向 β2AR 信号传导的变构机制，强调配体稳定的二聚化作为 GPCR 调节的策略。</w:t>
      </w:r>
    </w:p>
    <w:p>
      <w:pPr>
        <w:spacing w:before="0" w:after="200" w:lineRule="auto" w:line="276"/>
      </w:pPr>
      <w:r>
        <w:rPr>
          <w:b/>
        </w:rPr>
        <w:t xml:space="preserve">Abstract (EN): </w:t>
      </w:r>
      <w:r>
        <w:t>Family A G-protein-coupled receptors (GPCRs) are typically described as monomers, yet growing evidence suggests that they can form dimers with distinct signalling properties1-3. However, the mechanisms and therapeutic potential of such dimerization remain poorly understood. Here we show that AP-7-168, an optimized derivative of a β-arrestin-biased negative allosteric modulator of the β2-adrenergic receptor (β2AR) that sustains bronchorelaxation in cell and tissue models4, functions as a molecular glue to stabilize β2AR homodimerization. Cryogenic electron microscopy structures reveal a unique binding mode in which two AP-7-168 molecules pack within a pocket formed by transmembrane helices 3, 4 and 5 of two protomers, stabilizing a dimeric conformation that selectively prevents β-arrestin coupling. In cells, AP-7-168 robustly stabilizes β2AR dimerization and drives enlarged nanocluster formation. Combined with extensive functional studies, our findings identify an allosteric mechanism by which a small molecule biases β2AR signalling through dimerization, highlighting ligand-stabilized dimerization as a strategy for GPCR modulation.</w:t>
      </w:r>
    </w:p>
    <w:p>
      <w:pPr>
        <w:spacing w:before="120" w:after="120"/>
      </w:pPr>
      <w:r>
        <w:rPr>
          <w:sz w:val="18"/>
        </w:rPr>
        <w:t>——————————————————————————————————————————————————————————————————————</w:t>
      </w:r>
    </w:p>
    <w:p>
      <w:pPr>
        <w:spacing w:before="160" w:after="40" w:line="240" w:lineRule="auto"/>
      </w:pPr>
      <w:r>
        <w:rPr>
          <w:b/>
        </w:rPr>
        <w:t xml:space="preserve">[451] </w:t>
      </w:r>
      <w:hyperlink r:id="rId1439">
        <w:r>
          <w:rPr>
            <w:color w:val="1155CC"/>
            <w:u w:val="single"/>
          </w:rPr>
          <w:t>多年热带暖池变暖导致南极质量损失放缓</w:t>
        </w:r>
      </w:hyperlink>
    </w:p>
    <w:p>
      <w:pPr>
        <w:spacing w:before="0" w:after="80"/>
      </w:pPr>
      <w:r>
        <w:rPr>
          <w:i/>
          <w:sz w:val="20"/>
        </w:rPr>
        <w:t>EN: Multiyear tropical warm pool warming drives slowdown in Antarctic mass loss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40">
        <w:r>
          <w:rPr>
            <w:color w:val="1155CC"/>
            <w:u w:val="single"/>
          </w:rPr>
          <w:t>10.1038/s41586-026-10912-x</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过去几十年的大部分时间里，南极质量损失一直是全球海平面上升的主要原因，这主要是由西南极洲造成的</w:t>
      </w:r>
      <w:r>
        <w:rPr>
          <w:vertAlign w:val="subscript"/>
        </w:rPr>
        <w:t>1</w:t>
      </w:r>
      <w:r>
        <w:t>。然而，在2021年至2023年期间，东南极洲玛丽皇后地和威尔克斯地表面质量平衡的急剧增加抵消了西南极洲的损失，并减缓了总冰块损失的速度</w:t>
      </w:r>
      <w:r>
        <w:t xml:space="preserve"> </w:t>
      </w:r>
      <w:r>
        <w:t>2,3</w:t>
      </w:r>
      <w:r>
        <w:t xml:space="preserve"> </w:t>
      </w:r>
      <w:r>
        <w:t>。尽管这种放缓与预期的长期降水对全球变暖（通过向极地移动的风暴路径和南极湿润）的响应是一致的</w:t>
      </w:r>
      <w:r>
        <w:rPr>
          <w:vertAlign w:val="subscript"/>
        </w:rPr>
        <w:t>4</w:t>
      </w:r>
      <w:r>
        <w:t>，我们的结果指出了不同的机制。在这里，我们表明，最近冰块的增加与热带暖池海面温度异常驱动的周期性大气遥相关有关，相对于过去二十年，热带暖池在 2021 年至 2023 年经历了异常持续的变暖。根据观测和模型实验，我们发现热带暖池变暖激发了向极地传播的罗斯贝波列，导致南极洲东部出现高压异常，增加了玛丽皇后地和威尔克斯地的降水量，并推动了观测到的质量增加，其中水分主要来自中纬度印度洋。在观测和历史模拟中，热带暖池类似的多年变暖现象大约每十年发生一次，其对降水的影响与全球变暖的影响截然不同。因此，最近的南极</w:t>
      </w:r>
    </w:p>
    <w:p>
      <w:pPr>
        <w:spacing w:before="0" w:after="200" w:lineRule="auto" w:line="276"/>
      </w:pPr>
      <w:r>
        <w:rPr>
          <w:b/>
        </w:rPr>
        <w:t xml:space="preserve">Abstract (EN): </w:t>
      </w:r>
      <w:r>
        <w:t>Antarctic mass loss has been a major contributor to global sea-level rise for most of the last few decades, mainly driven by West Antarctica</w:t>
      </w:r>
      <w:r>
        <w:rPr>
          <w:vertAlign w:val="subscript"/>
        </w:rPr>
        <w:t>1</w:t>
      </w:r>
      <w:r>
        <w:t>. During 2021–2023, however, a sharp increase in surface mass balance over Queen Mary Land and Wilkes Land in East Antarctica offset West Antarctic loss and slowed the rate of total ice mass loss</w:t>
      </w:r>
      <w:r>
        <w:t xml:space="preserve"> </w:t>
      </w:r>
      <w:r>
        <w:t>2,3</w:t>
      </w:r>
      <w:r>
        <w:t xml:space="preserve"> </w:t>
      </w:r>
      <w:r>
        <w:t>. Although this slowdown is consistent with the expected long-term precipitation response to global warming through poleward-shifted storm tracks and Antarctic moistening</w:t>
      </w:r>
      <w:r>
        <w:rPr>
          <w:vertAlign w:val="subscript"/>
        </w:rPr>
        <w:t>4</w:t>
      </w:r>
      <w:r>
        <w:t>, our results point to a different mechanism. Here we show that the recent ice mass gain was linked to a recurrent atmospheric teleconnection driven by sea surface temperature anomalies in the tropical warm pool, which experienced unusually persistent warming from 2021 to 2023 relative to the previous two decades. On the basis of observations and model experiments, we find that tropical warm pool warming excites a poleward-propagating Rossby-wave train that induces a high-pressure anomaly over East Antarctica, enhancing Queen Mary Land and Wilkes Land precipitation and driving the observed mass gain, with moisture primarily sourced from the mid-latitude Indian Ocean. Similar multiyear warming in the tropical warm pool recurs about once per decade in observations and historical simulations, and its influence on precipitation is distinct from the effects of global warming. Therefore, the recent Antarctic Ice Sheet mass gain is probably temporary and does not yet reflect a sustained, global-warming-driven moistening of Antarctica.</w:t>
      </w:r>
    </w:p>
    <w:p>
      <w:pPr>
        <w:spacing w:before="120" w:after="120"/>
      </w:pPr>
      <w:r>
        <w:rPr>
          <w:sz w:val="18"/>
        </w:rPr>
        <w:t>——————————————————————————————————————————————————————————————————————</w:t>
      </w:r>
    </w:p>
    <w:p>
      <w:pPr>
        <w:spacing w:before="160" w:after="40" w:line="240" w:lineRule="auto"/>
      </w:pPr>
      <w:r>
        <w:rPr>
          <w:b/>
        </w:rPr>
        <w:t xml:space="preserve">[452] </w:t>
      </w:r>
      <w:hyperlink r:id="rId1441">
        <w:r>
          <w:rPr>
            <w:color w:val="1155CC"/>
            <w:u w:val="single"/>
          </w:rPr>
          <w:t>HydroGym 流体动力学强化学习平台</w:t>
        </w:r>
      </w:hyperlink>
    </w:p>
    <w:p>
      <w:pPr>
        <w:spacing w:before="0" w:after="80"/>
      </w:pPr>
      <w:r>
        <w:rPr>
          <w:i/>
          <w:sz w:val="20"/>
        </w:rPr>
        <w:t>EN: The HydroGym reinforcement learning platform for fluid dynamics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42">
        <w:r>
          <w:rPr>
            <w:color w:val="1155CC"/>
            <w:u w:val="single"/>
          </w:rPr>
          <w:t>10.1038/s41586-026-10917-6</w:t>
        </w:r>
      </w:hyperlink>
    </w:p>
    <w:p>
      <w:pPr>
        <w:spacing w:before="0" w:after="120"/>
      </w:pPr>
      <w:r>
        <w:rPr>
          <w:b/>
        </w:rPr>
        <w:t xml:space="preserve">Notes: </w:t>
      </w:r>
      <w:r>
        <w:t>abstract_source=pubmed</w:t>
      </w:r>
    </w:p>
    <w:p>
      <w:pPr>
        <w:spacing w:before="0" w:after="80" w:lineRule="auto" w:line="276"/>
      </w:pPr>
      <w:r>
        <w:rPr>
          <w:b/>
        </w:rPr>
        <w:t xml:space="preserve">摘要（ZH）: </w:t>
      </w:r>
      <w:r>
        <w:t>有效控制流体流动对于运输、能源和医药领域至关重要，它可以增加升力、减少阻力、增强混合并减弱噪音1-3。然而，众所周知，流体很难控制，因为它们涉及高维、非线性和多尺度动力学，传统方法无法实现4-6。强化学习在蛋白质折叠和复杂游戏等领域取得了显着进展，这些领域具有共享的基准和标准化环境7-10。流体动力学缺乏这样的基础设施，因此每个控制器通常都针对单一几何形状和操作条件进行调整，这使得进展难以积累、传输和比较11-13。在这里，我们介绍 HydroGym，一个独立于求解器的强化学习平台，提供 60 多个经过验证的、公开可用的流量控制环境，涵盖从规范层流到复杂的湍流，雷诺数系统级数高达 Re = 4 × 105，以及二维和三维的马赫数变化。在这些环境中，智能体反复发现稳健的控制原理，包括边界层操纵、声反馈的破坏和湍流尾流的重组。至关重要的是，我们展示了零镜头转移的概念证明，其中专门在廉价替代环境中训练的代理被部署到具有挑战性的现实场景，例如三维机翼部分。我们将局部表面摩擦力降低了 38%，同时将勘探成本降低了四个数量级</w:t>
      </w:r>
    </w:p>
    <w:p>
      <w:pPr>
        <w:spacing w:before="0" w:after="200" w:lineRule="auto" w:line="276"/>
      </w:pPr>
      <w:r>
        <w:rPr>
          <w:b/>
        </w:rPr>
        <w:t xml:space="preserve">Abstract (EN): </w:t>
      </w:r>
      <w:r>
        <w:t>Effective control of fluid flows is critical across transportation, energy and medicine, where it can increase lift, reduce drag, enhance mixing and attenuate noise1-3. Yet fluids are notoriously difficult to control because they involve high-dimensional, nonlinear and multiscale dynamics that resist conventional approaches4-6. Reinforcement learning has driven remarkable progress in fields such as protein folding and complex games, which have shared benchmarks and standardized environments7-10. Fluid dynamics has lacked such infrastructure, so each controller is typically tuned to a single geometry and operating condition, making progress difficult to accumulate, transfer and compare11-13. Here we introduce HydroGym, a solver-independent reinforcement learning platform providing more than 60 validated, openly available flow control environments spanning from canonical laminar flows to complex turbulent flows, with systematic progression in the Reynolds number up to Re = 4 × 105, and Mach number variations in two and three dimensions. Across these environments, agents repeatedly discover robust control principles, including boundary layer manipulation, disruption of acoustic feedback and reorganization of turbulent wakes. Critically, we demonstrate a proof of concept for zero-shot transfer, in which agents that are trained exclusively in inexpensive surrogate environments are deployed to challenging real-world scenarios such as a three-dimensional wing section. We achieve a 38% reduction in local skin friction while reducing exploration costs by four orders of magnitude compared with direct on-wing optimization. As this transfer exploits shared near-wall physics, the breadth of generalization remains open, suggesting a new pathway for research toward policy generalization across computationally prohibitive simulation environments. By offering a common, extensible foundation for reproducible research, HydroGym moves flow control from isolated case studies toward a cohesive community effort.</w:t>
      </w:r>
    </w:p>
    <w:p>
      <w:pPr>
        <w:spacing w:before="120" w:after="120"/>
      </w:pPr>
      <w:r>
        <w:rPr>
          <w:sz w:val="18"/>
        </w:rPr>
        <w:t>——————————————————————————————————————————————————————————————————————</w:t>
      </w:r>
    </w:p>
    <w:p>
      <w:pPr>
        <w:spacing w:before="160" w:after="40" w:line="240" w:lineRule="auto"/>
      </w:pPr>
      <w:r>
        <w:rPr>
          <w:b/>
        </w:rPr>
        <w:t xml:space="preserve">[453] </w:t>
      </w:r>
      <w:hyperlink r:id="rId1443">
        <w:r>
          <w:rPr>
            <w:color w:val="1155CC"/>
            <w:u w:val="single"/>
          </w:rPr>
          <w:t>胶原折叠的动力学挫败驱动凝结物介导的纤维组装</w:t>
        </w:r>
      </w:hyperlink>
    </w:p>
    <w:p>
      <w:pPr>
        <w:spacing w:before="0" w:after="80"/>
      </w:pPr>
      <w:r>
        <w:rPr>
          <w:i/>
          <w:sz w:val="20"/>
        </w:rPr>
        <w:t>EN: Kinetic Frustration of Collagen Folding Drives Condensate-Mediated Fibrous Assembly</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444">
        <w:r>
          <w:rPr>
            <w:color w:val="1155CC"/>
            <w:u w:val="single"/>
          </w:rPr>
          <w:t>10.1021/jacs.6c13610</w:t>
        </w:r>
      </w:hyperlink>
    </w:p>
    <w:p>
      <w:pPr>
        <w:spacing w:before="0" w:after="120"/>
      </w:pPr>
      <w:r>
        <w:rPr>
          <w:b/>
        </w:rPr>
        <w:t xml:space="preserve">Notes: </w:t>
      </w:r>
      <w:r>
        <w:t>abstract_source=crossref</w:t>
      </w:r>
    </w:p>
    <w:p>
      <w:pPr>
        <w:spacing w:before="0" w:after="80" w:lineRule="auto" w:line="276"/>
      </w:pPr>
      <w:r>
        <w:rPr>
          <w:b/>
        </w:rPr>
        <w:t xml:space="preserve">摘要（ZH）: </w:t>
      </w:r>
      <w:r>
        <w:t>摘要 通常认为胶原蛋白的组装是分层进行的，在更高阶的组织之前进行快速三螺旋折叠。在这里，我们表明，当三螺旋形成在动力学上受挫时，这种范式可能会崩溃。使用含有顺反异构化阳离子和阴离子类肽残基的胶原模拟肽，我们选择性地延迟折叠动力学，并证明液-液相分离（LLPS）可以在纤维组装之前发生。延迟折叠使弱的多价电荷对相互作用变得具有动力学相关性，产生相分离的中间体，随后成熟为微米级的纤维结构。时间分辨光谱、热和显微分析建立了一种冷凝物介导的组装途径，这在传统的快速折叠条件下是无法达到的。通过证明动力学挫败可以通过 LLPS 重定向胶原模拟组装，这项工作将折叠动力学确定为组装途径选择的关键决定因素。我们的研究结果扩展了当前胶原蛋白启发自组装的框架，揭示了分层胶原蛋白组织的替代途径，并建立了冷凝物介导的生长作为胶原蛋白启发材料中超分子结构编程的策略。</w:t>
      </w:r>
    </w:p>
    <w:p>
      <w:pPr>
        <w:spacing w:before="0" w:after="200" w:lineRule="auto" w:line="276"/>
      </w:pPr>
      <w:r>
        <w:rPr>
          <w:b/>
        </w:rPr>
        <w:t xml:space="preserve">Abstract (EN): </w:t>
      </w:r>
      <w:r>
        <w:t>Collagen assembly is generally assumed to proceed hierarchically with rapid triple-helix folding preceding higher-order organization. Here, we show that this paradigm can break down when triple helix formation becomes kinetically frustrated. Using collagen-mimetic peptides containing cis–trans-isomerizing cationic and anionic peptoid residues, we selectively delay folding kinetics and demonstrate that liquid–liquid phase separation (LLPS) can occur prior to fibrous assembly. Delayed folding enables weak multivalent charge–pair interactions to become kinetically relevant, generating a phase-separated intermediate that subsequently matures into micrometer-scale fibrous architectures. Time-resolved spectroscopic, thermal, and microscopic analyses establish a condensate-mediated assembly pathway that is inaccessible under conventional rapid folding conditions. By demonstrating that kinetic frustration can redirect collagen-mimetic assembly through LLPS, this work identifies folding kinetics as a key determinant of the assembly pathway selection. Our findings expand the current framework of collagen-inspired self-assembly, reveal an alternative route to hierarchical collagen organization, and establish condensate-mediated growth as a strategy for programming the supramolecular architecture in collagen-inspired materials.</w:t>
      </w:r>
    </w:p>
    <w:p>
      <w:pPr>
        <w:spacing w:before="120" w:after="120"/>
      </w:pPr>
      <w:r>
        <w:rPr>
          <w:sz w:val="18"/>
        </w:rPr>
        <w:t>——————————————————————————————————————————————————————————————————————</w:t>
      </w:r>
    </w:p>
    <w:p>
      <w:pPr>
        <w:spacing w:before="160" w:after="40" w:line="240" w:lineRule="auto"/>
      </w:pPr>
      <w:r>
        <w:rPr>
          <w:b/>
        </w:rPr>
        <w:t xml:space="preserve">[454] </w:t>
      </w:r>
      <w:hyperlink r:id="rId1445">
        <w:r>
          <w:rPr>
            <w:color w:val="1155CC"/>
            <w:u w:val="single"/>
          </w:rPr>
          <w:t>通过熵重新定义原子分散催化剂稳定性</w:t>
        </w:r>
      </w:hyperlink>
    </w:p>
    <w:p>
      <w:pPr>
        <w:spacing w:before="0" w:after="80"/>
      </w:pPr>
      <w:r>
        <w:rPr>
          <w:i/>
          <w:sz w:val="20"/>
        </w:rPr>
        <w:t>EN: Redefining Atomically Dispersed Catalyst Stability via Entropy</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446">
        <w:r>
          <w:rPr>
            <w:color w:val="1155CC"/>
            <w:u w:val="single"/>
          </w:rPr>
          <w:t>10.1021/jacs.6c04747</w:t>
        </w:r>
      </w:hyperlink>
    </w:p>
    <w:p>
      <w:pPr>
        <w:spacing w:before="0" w:after="120"/>
      </w:pPr>
      <w:r>
        <w:rPr>
          <w:b/>
        </w:rPr>
        <w:t xml:space="preserve">Notes: </w:t>
      </w:r>
      <w:r>
        <w:t>abstract_source=crossref</w:t>
      </w:r>
    </w:p>
    <w:p>
      <w:pPr>
        <w:spacing w:before="0" w:after="80" w:lineRule="auto" w:line="276"/>
      </w:pPr>
      <w:r>
        <w:rPr>
          <w:b/>
        </w:rPr>
        <w:t xml:space="preserve">摘要（ZH）: </w:t>
      </w:r>
      <w:r>
        <w:t>摘要 原子分散催化剂（ADC）近年来因其在多相催化中的良好活性而引起了人们的广泛关注。传统的催化剂烧结理论很大程度上忽略了熵效应，并认为ADC由于其高表面自由能而通常在热力学上不稳定，这成为实际应用的障碍。在这里，我们提出了一个广义的热力学框架来证明先前被忽略的熵效应如何诱导负载纳米粒子的自再分散。通过机器学习辅助的分子动力学模拟、原位Cs校正的环境扫描透射电子显微镜和基于同步加速器的常压X射线光电子能谱实验，我们揭示了一种熵驱动的现象：在三个体系（Pd-CeO2、Cu-TiO2、Ag-TiO2）中，负载的NP在加热时重新分散成未捕获的ADC，并在冷却时可逆地烧结，这与“高温促进烧结”。我们进一步建立了熵驱动的催化剂再分散理论，类似于二维溶解，其中热力学稳定的 ADC 在达到饱和浓度时普遍存在。它重新定义了对纳米粒子和ADC之间的烧结、分散和共存行为的基本理解，从而为获得热力学稳定的ADC提供了多种策略。</w:t>
      </w:r>
    </w:p>
    <w:p>
      <w:pPr>
        <w:spacing w:before="0" w:after="200" w:lineRule="auto" w:line="276"/>
      </w:pPr>
      <w:r>
        <w:rPr>
          <w:b/>
        </w:rPr>
        <w:t xml:space="preserve">Abstract (EN): </w:t>
      </w:r>
      <w:r>
        <w:t>Atomically dispersed catalysts (ADCs) have drawn considerable attention in recent years for their promising activity in heterogeneous catalysis. Conventional catalyst sintering theory largely ignores the entropy effect and suggests that ADCs are normally thermodynamically unstable due to their high surface free energies, which becomes an obstacle for practical applications. Here, we present a generalized thermodynamic framework to demonstrate how the previously ignored entropy effect induces the self-redispersion of supported NPs. Through machine-learning-assisted molecular dynamics simulations, in situ Cs-corrected environmental scanning transmission electron microscopy, and synchrotron-based ambient-pressure X-ray photoelectron spectroscopy experiments, we reveal an entropy-driven phenomenon: the supported NPs redisperse into untrapped ADCs upon heating and reversibly sinter upon cooling in three systems (Pd-CeO2, Cu-TiO2, Ag-TiO2), contrary to the traditional understanding that “high temperature promotes sintering”. We further establish the entropy-driven catalyst redispersion theory, analogous to two-dimensional dissolution, where thermodynamically stable ADCs are ubiquitous up to their saturation concentration. It redefines the basic understanding of sintering, dispersion, and coexistence behavior between NPs and ADCs, thereby offering multiple strategies for obtaining thermodynamically stable ADCs.</w:t>
      </w:r>
    </w:p>
    <w:p>
      <w:pPr>
        <w:spacing w:before="120" w:after="120"/>
      </w:pPr>
      <w:r>
        <w:rPr>
          <w:sz w:val="18"/>
        </w:rPr>
        <w:t>——————————————————————————————————————————————————————————————————————</w:t>
      </w:r>
    </w:p>
    <w:p>
      <w:pPr>
        <w:spacing w:before="160" w:after="40" w:line="240" w:lineRule="auto"/>
      </w:pPr>
      <w:r>
        <w:rPr>
          <w:b/>
        </w:rPr>
        <w:t xml:space="preserve">[455] </w:t>
      </w:r>
      <w:hyperlink r:id="rId1447">
        <w:r>
          <w:rPr>
            <w:color w:val="1155CC"/>
            <w:u w:val="single"/>
          </w:rPr>
          <w:t>纳米催化医学：以病理化学微环境为调控目标，根本解决重大慢性疾病</w:t>
        </w:r>
      </w:hyperlink>
    </w:p>
    <w:p>
      <w:pPr>
        <w:spacing w:before="0" w:after="80"/>
      </w:pPr>
      <w:r>
        <w:rPr>
          <w:i/>
          <w:sz w:val="20"/>
        </w:rPr>
        <w:t>EN: Nanocatalytic medicine: pathological chemical microenvironments as regulation targets for fundamental solutions of major chronic diseases</w:t>
      </w:r>
    </w:p>
    <w:p>
      <w:pPr>
        <w:spacing w:before="0" w:after="120"/>
      </w:pPr>
      <w:r>
        <w:rPr>
          <w:b/>
        </w:rPr>
        <w:t xml:space="preserve">Source: </w:t>
      </w:r>
      <w:r>
        <w:t>National Science Review Advance Access</w:t>
      </w:r>
      <w:r>
        <w:t xml:space="preserve">    </w:t>
      </w:r>
      <w:r>
        <w:rPr>
          <w:b/>
        </w:rPr>
        <w:t xml:space="preserve">Pub date: </w:t>
      </w:r>
      <w:r>
        <w:t>2026-08-19 00:00:00+00:00</w:t>
      </w:r>
      <w:r>
        <w:t xml:space="preserve">    </w:t>
      </w:r>
      <w:r>
        <w:rPr>
          <w:b/>
        </w:rPr>
        <w:t xml:space="preserve">DOI: </w:t>
      </w:r>
      <w:hyperlink r:id="rId1448">
        <w:r>
          <w:rPr>
            <w:color w:val="1155CC"/>
            <w:u w:val="single"/>
          </w:rPr>
          <w:t>10.1093/nsr/nwag510</w:t>
        </w:r>
      </w:hyperlink>
    </w:p>
    <w:p>
      <w:pPr>
        <w:spacing w:before="0" w:after="120"/>
      </w:pPr>
      <w:r>
        <w:rPr>
          <w:b/>
        </w:rPr>
        <w:t xml:space="preserve">Notes: </w:t>
      </w:r>
      <w:r>
        <w:t>abstract_source=rss_oup</w:t>
      </w:r>
    </w:p>
    <w:p>
      <w:pPr>
        <w:spacing w:before="0" w:after="80" w:lineRule="auto" w:line="276"/>
      </w:pPr>
      <w:r>
        <w:rPr>
          <w:b/>
        </w:rPr>
        <w:t xml:space="preserve">摘要（ZH）: </w:t>
      </w:r>
      <w:r>
        <w:t>主要慢性疾病，包括癌症、心血管和神经退行性疾病、糖尿病和非感染性炎症，从根本上是由病理化学微环境失调驱动的，其特征是氧化应激、缺氧、酸中毒、蛋白质错误折叠以及碳水化合物和脂质代谢异常。这些异常的化学环境不仅驱动发病机制，而且还创造了支持疾病进展并赋予治疗抗性的病理“土壤”。传统策略主要针对细胞成分，忽视了这一基本化学基础。纳米催化医学最近成为一种新的范例，通过受控的原位直接针对这些病理化学微环境</w:t>
      </w:r>
    </w:p>
    <w:p>
      <w:pPr>
        <w:spacing w:before="0" w:after="200" w:lineRule="auto" w:line="276"/>
      </w:pPr>
      <w:r>
        <w:rPr>
          <w:b/>
        </w:rPr>
        <w:t xml:space="preserve">Abstract (EN): </w:t>
      </w:r>
      <w:r>
        <w:t>Major chronic diseases, including cancer, cardiovascular and neurodegenerative disorders, diabetes, and non-infectious inflammations, are fundamentally driven by dysregulated pathological chemical microenvironments characterized by oxidative stress, hypoxia, acidosis, protein misfolding, and abnormal carbohydrate and lipid metabolism. These aberrant chemical milieus not only drive pathogenesis but also create a pathological ‘soil’ that supports disease progression and confers therapeutic resistance. Traditional strategies predominantly target cellular components, overlooking this fundamental chemical basis. Nanocatalytic medicine has recently emerged as a novel paradigm that directly targets these pathological chemical microenvironments through controlled in-situ</w:t>
      </w:r>
    </w:p>
    <w:p>
      <w:pPr>
        <w:spacing w:before="120" w:after="120"/>
      </w:pPr>
      <w:r>
        <w:rPr>
          <w:sz w:val="18"/>
        </w:rPr>
        <w:t>——————————————————————————————————————————————————————————————————————</w:t>
      </w:r>
    </w:p>
    <w:p>
      <w:pPr>
        <w:spacing w:before="160" w:after="40" w:line="240" w:lineRule="auto"/>
      </w:pPr>
      <w:r>
        <w:rPr>
          <w:b/>
        </w:rPr>
        <w:t xml:space="preserve">[456] </w:t>
      </w:r>
      <w:hyperlink r:id="rId1449">
        <w:r>
          <w:rPr>
            <w:color w:val="1155CC"/>
            <w:u w:val="single"/>
          </w:rPr>
          <w:t>地球深部强迫和古气候演化</w:t>
        </w:r>
      </w:hyperlink>
    </w:p>
    <w:p>
      <w:pPr>
        <w:spacing w:before="0" w:after="80"/>
      </w:pPr>
      <w:r>
        <w:rPr>
          <w:i/>
          <w:sz w:val="20"/>
        </w:rPr>
        <w:t>EN: Deep Earth Forcing and Paleoclimate Evolution</w:t>
      </w:r>
    </w:p>
    <w:p>
      <w:pPr>
        <w:spacing w:before="0" w:after="120"/>
      </w:pPr>
      <w:r>
        <w:rPr>
          <w:b/>
        </w:rPr>
        <w:t xml:space="preserve">Source: </w:t>
      </w:r>
      <w:r>
        <w:t>National Science Review Advance Access</w:t>
      </w:r>
      <w:r>
        <w:t xml:space="preserve">    </w:t>
      </w:r>
      <w:r>
        <w:rPr>
          <w:b/>
        </w:rPr>
        <w:t xml:space="preserve">Pub date: </w:t>
      </w:r>
      <w:r>
        <w:t>2026-08-19 00:00:00+00:00</w:t>
      </w:r>
      <w:r>
        <w:t xml:space="preserve">    </w:t>
      </w:r>
      <w:r>
        <w:rPr>
          <w:b/>
        </w:rPr>
        <w:t xml:space="preserve">DOI: </w:t>
      </w:r>
      <w:hyperlink r:id="rId1450">
        <w:r>
          <w:rPr>
            <w:color w:val="1155CC"/>
            <w:u w:val="single"/>
          </w:rPr>
          <w:t>10.1093/nsr/nwag502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[457] </w:t>
      </w:r>
      <w:hyperlink r:id="rId1451">
        <w:r>
          <w:rPr>
            <w:color w:val="1155CC"/>
            <w:u w:val="single"/>
          </w:rPr>
          <w:t>计算“健身房”训练人工智能模型来控制湍流</w:t>
        </w:r>
      </w:hyperlink>
    </w:p>
    <w:p>
      <w:pPr>
        <w:spacing w:before="0" w:after="80"/>
      </w:pPr>
      <w:r>
        <w:rPr>
          <w:i/>
          <w:sz w:val="20"/>
        </w:rPr>
        <w:t>EN: Computational ‘gym’ trains AI models to control turbulence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52">
        <w:r>
          <w:rPr>
            <w:color w:val="1155CC"/>
            <w:u w:val="single"/>
          </w:rPr>
          <w:t>10.1038/d41586-026-02375-x</w:t>
        </w:r>
      </w:hyperlink>
    </w:p>
    <w:p>
      <w:pPr>
        <w:spacing w:before="0" w:after="120"/>
      </w:pPr>
      <w:r>
        <w:rPr>
          <w:b/>
        </w:rPr>
        <w:t xml:space="preserve">Notes: </w:t>
      </w:r>
      <w:r>
        <w:t>abstract_source=rss_nature</w:t>
      </w:r>
    </w:p>
    <w:p>
      <w:pPr>
        <w:spacing w:before="0" w:after="80" w:lineRule="auto" w:line="276"/>
      </w:pPr>
      <w:r>
        <w:rPr>
          <w:b/>
        </w:rPr>
        <w:t xml:space="preserve">摘要（ZH）: </w:t>
      </w:r>
      <w:r>
        <w:t>HydroGym 计算环境教授代理流体流量控制策略，这些策略可以应用于他们以前从未遇到过的场景。</w:t>
      </w:r>
    </w:p>
    <w:p>
      <w:pPr>
        <w:spacing w:before="0" w:after="200" w:lineRule="auto" w:line="276"/>
      </w:pPr>
      <w:r>
        <w:rPr>
          <w:b/>
        </w:rPr>
        <w:t xml:space="preserve">Abstract (EN): </w:t>
      </w:r>
      <w:r>
        <w:t>The HydroGym computational environment teaches agents strategies for fluid-flow control that can be applied to scenarios they have not encountered before.</w:t>
      </w:r>
    </w:p>
    <w:p>
      <w:pPr>
        <w:spacing w:before="120" w:after="120"/>
      </w:pPr>
      <w:r>
        <w:rPr>
          <w:sz w:val="18"/>
        </w:rPr>
        <w:t>——————————————————————————————————————————————————————————————————————</w:t>
      </w:r>
    </w:p>
    <w:p>
      <w:pPr>
        <w:spacing w:before="160" w:after="40" w:line="240" w:lineRule="auto"/>
      </w:pPr>
      <w:r>
        <w:rPr>
          <w:b/>
        </w:rPr>
        <w:t xml:space="preserve">[458] </w:t>
      </w:r>
      <w:hyperlink r:id="rId1453">
        <w:r>
          <w:rPr>
            <w:color w:val="1155CC"/>
            <w:u w:val="single"/>
          </w:rPr>
          <w:t>政策和动力转变下的具体学习</w:t>
        </w:r>
      </w:hyperlink>
    </w:p>
    <w:p>
      <w:pPr>
        <w:spacing w:before="0" w:after="80"/>
      </w:pPr>
      <w:r>
        <w:rPr>
          <w:i/>
          <w:sz w:val="20"/>
        </w:rPr>
        <w:t>EN: Embodied Learning under Policy and Dynamics Shifts</w:t>
      </w:r>
    </w:p>
    <w:p>
      <w:pPr>
        <w:spacing w:before="0" w:after="120"/>
      </w:pPr>
      <w:r>
        <w:rPr>
          <w:b/>
        </w:rPr>
        <w:t xml:space="preserve">Source: </w:t>
      </w:r>
      <w:r>
        <w:t>National Science Review Advance Access</w:t>
      </w:r>
      <w:r>
        <w:t xml:space="preserve">    </w:t>
      </w:r>
      <w:r>
        <w:rPr>
          <w:b/>
        </w:rPr>
        <w:t xml:space="preserve">Pub date: </w:t>
      </w:r>
      <w:r>
        <w:t>2026-08-19 00:00:00+00:00</w:t>
      </w:r>
      <w:r>
        <w:t xml:space="preserve">    </w:t>
      </w:r>
      <w:r>
        <w:rPr>
          <w:b/>
        </w:rPr>
        <w:t xml:space="preserve">DOI: </w:t>
      </w:r>
      <w:hyperlink r:id="rId1454">
        <w:r>
          <w:rPr>
            <w:color w:val="1155CC"/>
            <w:u w:val="single"/>
          </w:rPr>
          <w:t>10.1093/nsr/nwag506</w:t>
        </w:r>
      </w:hyperlink>
    </w:p>
    <w:p>
      <w:pPr>
        <w:spacing w:before="0" w:after="120"/>
      </w:pPr>
      <w:r>
        <w:rPr>
          <w:b/>
        </w:rPr>
        <w:t xml:space="preserve">Notes: </w:t>
      </w:r>
      <w:r>
        <w:t>abstract_source=rss_oup</w:t>
      </w:r>
    </w:p>
    <w:p>
      <w:pPr>
        <w:spacing w:before="0" w:after="80" w:lineRule="auto" w:line="276"/>
      </w:pPr>
      <w:r>
        <w:rPr>
          <w:b/>
        </w:rPr>
        <w:t xml:space="preserve">摘要（ZH）: </w:t>
      </w:r>
      <w:r>
        <w:t>实体代理必须使用在不同时间尺度、控制器和环境条件下收集的交互数据不断适应物理世界。然而，标准强化学习假设静态动态和同策略数据，而在现实中，物理参数漂移和历史数据变得异构，这一前提经常被违反。核心挑战在于复合分布转变：重放的转换遵循的占用分布与当前的物理现实根本不同，导致价值估计有偏差和灾难性的学习崩溃。在这项工作中，我们提出过渡占用匹配作为统一原则，以在单一数学框架内解决政策和动态变化。我们引入了占用匹配策略优化（OMPO），这是一种新颖的算法，可以优化代理目标，明确纠正转换差异。通过利用具有无符号对数链接的对偶重构，OMPO 将棘手的匹配问题转化为稳定的最小-最大优化，适用于任意奖励结构。至关重要的是，OMPO 将分布式批评家和多模态编码器与小规模本地缓冲区集成在一起，使代理能够将大量历史数据锚定到直接的物理环境中，以实现快速适应。对不同基准（包括 MuJoCo 运动、DM-Control、Meta-World 和高保真 Panda 机器人操作）的广泛评估表明，OMPO 在静止、域移动、</w:t>
      </w:r>
    </w:p>
    <w:p>
      <w:pPr>
        <w:spacing w:before="0" w:after="200" w:lineRule="auto" w:line="276"/>
      </w:pPr>
      <w:r>
        <w:rPr>
          <w:b/>
        </w:rPr>
        <w:t xml:space="preserve">Abstract (EN): </w:t>
      </w:r>
      <w:r>
        <w:t>Embodied agents must continuously adapt to the physical world using interaction data collected across varying timescales, controllers, and environmental conditions. However, standard reinforcement learning assumes stationary dynamics and on-policy data, a premise often violated in reality where physical parameters drift and historical data becomes heterogeneous. The central challenge lies in the compound distribution shift: replayed transitions follow an occupancy distribution that diverges fundamentally from the current physical reality, leading to biased value estimation and catastrophic learning collapse. In this work, we propose Transition Occupancy Matching as a unifying principle to resolve policy and dynamics shifts within a single mathematical framework. We introduce Occupancy-Matching Policy Optimization (OMPO), a novel algorithm that optimizes a surrogate objective explicitly correcting for transition discrepancies. By leveraging a dual reformulation with a sign-free logarithmic link, OMPO transforms the intractable matching problem into a stable min-max optimization, amenable to arbitrary reward structures. Crucially, OMPO integrates a distributional critic and a multimodal encoder with a small-scale local buffer, allowing the agent to anchor massive historical data to the immediate physical context for rapid adaptation. Extensive evaluations across diverse benchmarks—including MuJoCo locomotion, DM-Control, Meta-World, and high-fidelity Panda robot manipulation—demonstrate that OMPO consistently outperforms specialized baselines in stationary, domain-shifting, and non-stationary settings. By unifying distribution correction across policy and dynamics shifts, OMPO addresses a fundamental bottleneck in transfer learning, providing a robust algorithmic framework for continual adaptation in changing physical conditions.</w:t>
      </w:r>
    </w:p>
    <w:p>
      <w:pPr>
        <w:spacing w:before="120" w:after="120"/>
      </w:pPr>
      <w:r>
        <w:rPr>
          <w:sz w:val="18"/>
        </w:rPr>
        <w:t>——————————————————————————————————————————————————————————————————————</w:t>
      </w:r>
    </w:p>
    <w:p>
      <w:pPr>
        <w:spacing w:before="160" w:after="40" w:line="240" w:lineRule="auto"/>
      </w:pPr>
      <w:r>
        <w:rPr>
          <w:b/>
        </w:rPr>
        <w:t xml:space="preserve">[459] </w:t>
      </w:r>
      <w:hyperlink r:id="rId1455">
        <w:r>
          <w:rPr>
            <w:color w:val="1155CC"/>
            <w:u w:val="single"/>
          </w:rPr>
          <w:t>用于高度稳定和低功耗生物传感的自n掺杂小分子</w:t>
        </w:r>
      </w:hyperlink>
    </w:p>
    <w:p>
      <w:pPr>
        <w:spacing w:before="0" w:after="80"/>
      </w:pPr>
      <w:r>
        <w:rPr>
          <w:i/>
          <w:sz w:val="20"/>
        </w:rPr>
        <w:t>EN: Self-n-doped small molecules for highly stable and low-power biosensing</w:t>
      </w:r>
    </w:p>
    <w:p>
      <w:pPr>
        <w:spacing w:before="0" w:after="120"/>
      </w:pPr>
      <w:r>
        <w:rPr>
          <w:b/>
        </w:rPr>
        <w:t xml:space="preserve">Source: </w:t>
      </w:r>
      <w:r>
        <w:t>National Science Review Advance Access</w:t>
      </w:r>
      <w:r>
        <w:t xml:space="preserve">    </w:t>
      </w:r>
      <w:r>
        <w:rPr>
          <w:b/>
        </w:rPr>
        <w:t xml:space="preserve">Pub date: </w:t>
      </w:r>
      <w:r>
        <w:t>2026-08-19 00:00:00+00:00</w:t>
      </w:r>
      <w:r>
        <w:t xml:space="preserve">    </w:t>
      </w:r>
      <w:r>
        <w:rPr>
          <w:b/>
        </w:rPr>
        <w:t xml:space="preserve">DOI: </w:t>
      </w:r>
      <w:hyperlink r:id="rId1456">
        <w:r>
          <w:rPr>
            <w:color w:val="1155CC"/>
            <w:u w:val="single"/>
          </w:rPr>
          <w:t>10.1093/nsr/nwag489</w:t>
        </w:r>
      </w:hyperlink>
    </w:p>
    <w:p>
      <w:pPr>
        <w:spacing w:before="0" w:after="120"/>
      </w:pPr>
      <w:r>
        <w:rPr>
          <w:b/>
        </w:rPr>
        <w:t xml:space="preserve">Notes: </w:t>
      </w:r>
      <w:r>
        <w:t>abstract_source=rss_oup</w:t>
      </w:r>
    </w:p>
    <w:p>
      <w:pPr>
        <w:spacing w:before="0" w:after="80" w:lineRule="auto" w:line="276"/>
      </w:pPr>
      <w:r>
        <w:rPr>
          <w:b/>
        </w:rPr>
        <w:t xml:space="preserve">摘要（ZH）: </w:t>
      </w:r>
      <w:r>
        <w:t>最大限度地降低功耗并提高生物电子设备的长期稳定性对于确保长时间运行和降低组织损伤的风险至关重要。有机电化学晶体管（OECT）由于其高跨导和优异的生物相容性在生物传感应用中受到广泛关注。尽管已经付出了相当大的努力来优化性能指标（例如 µC</w:t>
      </w:r>
    </w:p>
    <w:p>
      <w:pPr>
        <w:spacing w:before="0" w:after="200" w:lineRule="auto" w:line="276"/>
      </w:pPr>
      <w:r>
        <w:rPr>
          <w:b/>
        </w:rPr>
        <w:t xml:space="preserve">Abstract (EN): </w:t>
      </w:r>
      <w:r>
        <w:t>Minimizing power consumption and improving long-term stability of bioelectronic devices are crucial for ensuring prolonged operation and reducing the risk of tissue damage. Organic electrochemical transistors (OECTs) have gained widespread attention in biosensing applications due to their high transconductance and excellent biocompatibility. Although considerable efforts have been directed toward optimizing performance metrics (e.g. µC</w:t>
      </w:r>
    </w:p>
    <w:p>
      <w:pPr>
        <w:spacing w:before="120" w:after="120"/>
      </w:pPr>
      <w:r>
        <w:rPr>
          <w:sz w:val="18"/>
        </w:rPr>
        <w:t>——————————————————————————————————————————————————————————————————————</w:t>
      </w:r>
    </w:p>
    <w:p>
      <w:pPr>
        <w:spacing w:before="160" w:after="40" w:line="240" w:lineRule="auto"/>
      </w:pPr>
      <w:r>
        <w:rPr>
          <w:b/>
        </w:rPr>
        <w:t xml:space="preserve">[460] </w:t>
      </w:r>
      <w:hyperlink r:id="rId1457">
        <w:r>
          <w:rPr>
            <w:color w:val="1155CC"/>
            <w:u w:val="single"/>
          </w:rPr>
          <w:t>南极冰盖的质量增加了——但可能不会持续很长时间</w:t>
        </w:r>
      </w:hyperlink>
    </w:p>
    <w:p>
      <w:pPr>
        <w:spacing w:before="0" w:after="80"/>
      </w:pPr>
      <w:r>
        <w:rPr>
          <w:i/>
          <w:sz w:val="20"/>
        </w:rPr>
        <w:t>EN: The Antarctic ice sheet has gained mass — but probably not for long</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58">
        <w:r>
          <w:rPr>
            <w:color w:val="1155CC"/>
            <w:u w:val="single"/>
          </w:rPr>
          <w:t>10.1038/d41586-026-02376-w</w:t>
        </w:r>
      </w:hyperlink>
    </w:p>
    <w:p>
      <w:pPr>
        <w:spacing w:before="0" w:after="120"/>
      </w:pPr>
      <w:r>
        <w:rPr>
          <w:b/>
        </w:rPr>
        <w:t xml:space="preserve">Notes: </w:t>
      </w:r>
      <w:r>
        <w:t>abstract_source=rss_nature</w:t>
      </w:r>
    </w:p>
    <w:p>
      <w:pPr>
        <w:spacing w:before="0" w:after="80" w:lineRule="auto" w:line="276"/>
      </w:pPr>
      <w:r>
        <w:rPr>
          <w:b/>
        </w:rPr>
        <w:t xml:space="preserve">摘要（ZH）: </w:t>
      </w:r>
      <w:r>
        <w:t>2020年以来，降雪在很大程度上抵消了南极冰盖的融化。造成这种情况的大气效应已经被确定——而且它是暂时的。</w:t>
      </w:r>
    </w:p>
    <w:p>
      <w:pPr>
        <w:spacing w:before="0" w:after="200" w:lineRule="auto" w:line="276"/>
      </w:pPr>
      <w:r>
        <w:rPr>
          <w:b/>
        </w:rPr>
        <w:t xml:space="preserve">Abstract (EN): </w:t>
      </w:r>
      <w:r>
        <w:t>Since 2020, snowfall has largely counterbalanced the melting of the Antarctic ice sheet. The atmospheric effect that causes this has been identified — and it’s temporary.</w:t>
      </w:r>
    </w:p>
    <w:p>
      <w:pPr>
        <w:spacing w:before="120" w:after="120"/>
      </w:pPr>
      <w:r>
        <w:rPr>
          <w:sz w:val="18"/>
        </w:rPr>
        <w:t>——————————————————————————————————————————————————————————————————————</w:t>
      </w:r>
    </w:p>
    <w:p>
      <w:pPr>
        <w:spacing w:before="160" w:after="40" w:line="240" w:lineRule="auto"/>
      </w:pPr>
      <w:r>
        <w:rPr>
          <w:b/>
        </w:rPr>
        <w:t xml:space="preserve">[461] </w:t>
      </w:r>
      <w:hyperlink r:id="rId1459">
        <w:r>
          <w:rPr>
            <w:color w:val="1155CC"/>
            <w:u w:val="single"/>
          </w:rPr>
          <w:t>在实验室培养多年的模拟大脑发育的人类类器官</w:t>
        </w:r>
      </w:hyperlink>
    </w:p>
    <w:p>
      <w:pPr>
        <w:spacing w:before="0" w:after="80"/>
      </w:pPr>
      <w:r>
        <w:rPr>
          <w:i/>
          <w:sz w:val="20"/>
        </w:rPr>
        <w:t>EN: Human organoids that mimic brain development grown for years in lab</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60">
        <w:r>
          <w:rPr>
            <w:color w:val="1155CC"/>
            <w:u w:val="single"/>
          </w:rPr>
          <w:t>10.1038/d41586-026-02585-3</w:t>
        </w:r>
      </w:hyperlink>
    </w:p>
    <w:p>
      <w:pPr>
        <w:spacing w:before="0" w:after="120"/>
      </w:pPr>
      <w:r>
        <w:rPr>
          <w:b/>
        </w:rPr>
        <w:t xml:space="preserve">Notes: </w:t>
      </w:r>
      <w:r>
        <w:t>abstract_source=rss_nature</w:t>
      </w:r>
    </w:p>
    <w:p>
      <w:pPr>
        <w:spacing w:before="0" w:after="80" w:lineRule="auto" w:line="276"/>
      </w:pPr>
      <w:r>
        <w:rPr>
          <w:b/>
        </w:rPr>
        <w:t xml:space="preserve">摘要（ZH）: </w:t>
      </w:r>
      <w:r>
        <w:t>大脑如何随时间变化的模型可以帮助研究人员了解疾病如何影响晚年的器官。</w:t>
      </w:r>
    </w:p>
    <w:p>
      <w:pPr>
        <w:spacing w:before="0" w:after="200" w:lineRule="auto" w:line="276"/>
      </w:pPr>
      <w:r>
        <w:rPr>
          <w:b/>
        </w:rPr>
        <w:t xml:space="preserve">Abstract (EN): </w:t>
      </w:r>
      <w:r>
        <w:t>Models of how the brain changes over time could help researchers to understand how diseases affect the organ later in life.</w:t>
      </w:r>
    </w:p>
    <w:p>
      <w:pPr>
        <w:spacing w:before="120" w:after="120"/>
      </w:pPr>
      <w:r>
        <w:rPr>
          <w:sz w:val="18"/>
        </w:rPr>
        <w:t>——————————————————————————————————————————————————————————————————————</w:t>
      </w:r>
    </w:p>
    <w:p>
      <w:pPr>
        <w:spacing w:before="160" w:after="40" w:line="240" w:lineRule="auto"/>
      </w:pPr>
      <w:r>
        <w:rPr>
          <w:b/>
        </w:rPr>
        <w:t xml:space="preserve">[462] </w:t>
      </w:r>
      <w:hyperlink r:id="rId1461">
        <w:r>
          <w:rPr>
            <w:color w:val="1155CC"/>
            <w:u w:val="single"/>
          </w:rPr>
          <w:t>退市</w:t>
        </w:r>
      </w:hyperlink>
    </w:p>
    <w:p>
      <w:pPr>
        <w:spacing w:before="0" w:after="80"/>
      </w:pPr>
      <w:r>
        <w:rPr>
          <w:i/>
          <w:sz w:val="20"/>
        </w:rPr>
        <w:t>EN: Delisted</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62">
        <w:r>
          <w:rPr>
            <w:color w:val="1155CC"/>
            <w:u w:val="single"/>
          </w:rPr>
          <w:t>10.1038/d41586-026-02410-x</w:t>
        </w:r>
      </w:hyperlink>
    </w:p>
    <w:p>
      <w:pPr>
        <w:spacing w:before="0" w:after="120"/>
      </w:pPr>
      <w:r>
        <w:rPr>
          <w:b/>
        </w:rPr>
        <w:t xml:space="preserve">Notes: </w:t>
      </w:r>
      <w:r>
        <w:t>abstract_source=nature_html</w:t>
      </w:r>
    </w:p>
    <w:p>
      <w:pPr>
        <w:spacing w:before="0" w:after="80" w:lineRule="auto" w:line="276"/>
      </w:pPr>
      <w:r>
        <w:rPr>
          <w:b/>
        </w:rPr>
        <w:t xml:space="preserve">摘要（ZH）: </w:t>
      </w:r>
      <w:r>
        <w:t>被叫到账了。</w:t>
      </w:r>
    </w:p>
    <w:p>
      <w:pPr>
        <w:spacing w:before="0" w:after="200" w:lineRule="auto" w:line="276"/>
      </w:pPr>
      <w:r>
        <w:rPr>
          <w:b/>
        </w:rPr>
        <w:t xml:space="preserve">Abstract (EN): </w:t>
      </w:r>
      <w:r>
        <w:t>Called to account.</w:t>
      </w:r>
    </w:p>
    <w:p>
      <w:pPr>
        <w:spacing w:before="120" w:after="120"/>
      </w:pPr>
      <w:r>
        <w:rPr>
          <w:sz w:val="18"/>
        </w:rPr>
        <w:t>——————————————————————————————————————————————————————————————————————</w:t>
      </w:r>
    </w:p>
    <w:p>
      <w:pPr>
        <w:spacing w:before="160" w:after="40" w:line="240" w:lineRule="auto"/>
      </w:pPr>
      <w:r>
        <w:rPr>
          <w:b/>
        </w:rPr>
        <w:t xml:space="preserve">[463] </w:t>
      </w:r>
      <w:hyperlink r:id="rId1463">
        <w:r>
          <w:rPr>
            <w:color w:val="1155CC"/>
            <w:u w:val="single"/>
          </w:rPr>
          <w:t>MoBa 中的家族遗传设计提供了对健康和功能的见解</w:t>
        </w:r>
      </w:hyperlink>
    </w:p>
    <w:p>
      <w:pPr>
        <w:spacing w:before="0" w:after="80"/>
      </w:pPr>
      <w:r>
        <w:rPr>
          <w:i/>
          <w:sz w:val="20"/>
        </w:rPr>
        <w:t>EN: Family genetic designs in MoBa provide insights into health and functioning</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64">
        <w:r>
          <w:rPr>
            <w:color w:val="1155CC"/>
            <w:u w:val="single"/>
          </w:rPr>
          <w:t>10.1038/s41586-026-10926-5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使用基于人群的大量无关个体样本进行的全基因组关联研究发现了数千种与健康和疾病的遗传关联</w:t>
      </w:r>
      <w:r>
        <w:rPr>
          <w:vertAlign w:val="subscript"/>
        </w:rPr>
        <w:t>1</w:t>
      </w:r>
      <w:r>
        <w:t>。这些研究可以帮助解释遗传和环境风险。然而，越来越多的证据表明，基于人口的估计虽然精确，但也可能反映出影响其使用和解释的混杂因素。这种混淆可以通过使用基因型家庭成员的数据来克服，例如核心母父子三人组</w:t>
      </w:r>
      <w:r>
        <w:t xml:space="preserve"> </w:t>
      </w:r>
      <w:r>
        <w:t>2,3</w:t>
      </w:r>
      <w:r>
        <w:t xml:space="preserve"> </w:t>
      </w:r>
      <w:r>
        <w:t>。然而，基因分型家族的样本很少</w:t>
      </w:r>
      <w:r>
        <w:t xml:space="preserve"> </w:t>
      </w:r>
      <w:r>
        <w:t>4–11</w:t>
      </w:r>
      <w:r>
        <w:t xml:space="preserve"> </w:t>
      </w:r>
      <w:r>
        <w:t>。在这里，我们使用挪威母亲、父亲和儿童队列研究 (MoBa) 来说明家族数据的一些优势，该研究是一个基于人群的父母和后代队列，具有广泛的基因型数据 (</w:t>
      </w:r>
      <w:r>
        <w:t xml:space="preserve"> </w:t>
      </w:r>
      <w:r>
        <w:t>n</w:t>
      </w:r>
      <w:r>
        <w:t xml:space="preserve"> </w:t>
      </w:r>
      <w:r>
        <w:t>≈</w:t>
      </w:r>
      <w:r>
        <w:t xml:space="preserve"> </w:t>
      </w:r>
      <w:r>
        <w:t>230,000）（参考。</w:t>
      </w:r>
      <w:r>
        <w:rPr>
          <w:vertAlign w:val="subscript"/>
        </w:rPr>
        <w:t>3</w:t>
      </w:r>
      <w:r>
        <w:t>），以及健康和功能的广泛和纵向表型分析。我们提供了 MoBa 的概述，并描述了针对这个广泛相关的样本定制的基因型数据的质量控制。然后，我们使用三重数据来说明基于家族的基因组设计如何识别遗传影响和结构混杂的不同直接和间接来源。例如，我们分析儿童的身高、教育成绩、抑郁症状和睡眠时间。这些演示凸显了 MoBa 作为一种广泛的价值</w:t>
      </w:r>
    </w:p>
    <w:p>
      <w:pPr>
        <w:spacing w:before="0" w:after="200" w:lineRule="auto" w:line="276"/>
      </w:pPr>
      <w:r>
        <w:rPr>
          <w:b/>
        </w:rPr>
        <w:t xml:space="preserve">Abstract (EN): </w:t>
      </w:r>
      <w:r>
        <w:t>Genome-wide association studies using large, population-based samples of unrelated individuals have discovered thousands of genetic associations with health and disease</w:t>
      </w:r>
      <w:r>
        <w:rPr>
          <w:vertAlign w:val="subscript"/>
        </w:rPr>
        <w:t>1</w:t>
      </w:r>
      <w:r>
        <w:t>. These studies can help explain genetic and environmental risks. However, increasing evidence suggests that population-based estimates, while precise, can also reflect confounding that affects their use and interpretation. This confounding can be overcome using data from genotyped family members, such as nuclear mother–father–child trios</w:t>
      </w:r>
      <w:r>
        <w:t xml:space="preserve"> </w:t>
      </w:r>
      <w:r>
        <w:t>2,3</w:t>
      </w:r>
      <w:r>
        <w:t xml:space="preserve"> </w:t>
      </w:r>
      <w:r>
        <w:t>. However, samples of genotyped families are rare</w:t>
      </w:r>
      <w:r>
        <w:t xml:space="preserve"> </w:t>
      </w:r>
      <w:r>
        <w:t>4–11</w:t>
      </w:r>
      <w:r>
        <w:t xml:space="preserve"> </w:t>
      </w:r>
      <w:r>
        <w:t>. Here we illustrate some of the advantages of familial data using the Norwegian Mother, Father and Child Cohort Study (MoBa), a population-based cohort of parents and offspring with extensive genotype data (</w:t>
      </w:r>
      <w:r>
        <w:t xml:space="preserve"> </w:t>
      </w:r>
      <w:r>
        <w:t>n</w:t>
      </w:r>
      <w:r>
        <w:t xml:space="preserve"> </w:t>
      </w:r>
      <w:r>
        <w:t>≈</w:t>
      </w:r>
      <w:r>
        <w:t xml:space="preserve"> </w:t>
      </w:r>
      <w:r>
        <w:t>230,000) (ref.</w:t>
      </w:r>
      <w:r>
        <w:rPr>
          <w:vertAlign w:val="subscript"/>
        </w:rPr>
        <w:t>3</w:t>
      </w:r>
      <w:r>
        <w:t>), along with broad and longitudinal phenotyping of health and functioning. We provide an overview of MoBa and describe the quality control of genotype data tailored to this extensively related sample. We then use trio data to illustrate how family-based genomic designs can identify distinct direct and indirect sources of genetic influence and structural confounding. As examples, we analyse children’s height, educational achievement, depressive symptoms and sleep duration. These demonstrations highlight MoBa as a broadly valuable resource for advancing understanding of health and functioning across the lifecourse and generations.</w:t>
      </w:r>
    </w:p>
    <w:p>
      <w:pPr>
        <w:spacing w:before="120" w:after="120"/>
      </w:pPr>
      <w:r>
        <w:rPr>
          <w:sz w:val="18"/>
        </w:rPr>
        <w:t>——————————————————————————————————————————————————————————————————————</w:t>
      </w:r>
    </w:p>
    <w:p>
      <w:pPr>
        <w:spacing w:before="160" w:after="40" w:line="240" w:lineRule="auto"/>
      </w:pPr>
      <w:r>
        <w:rPr>
          <w:b/>
        </w:rPr>
        <w:t xml:space="preserve">[464] </w:t>
      </w:r>
      <w:hyperlink r:id="rId1465">
        <w:r>
          <w:rPr>
            <w:color w:val="1155CC"/>
            <w:u w:val="single"/>
          </w:rPr>
          <w:t>人脑类器官记录多年时间的流逝</w:t>
        </w:r>
      </w:hyperlink>
    </w:p>
    <w:p>
      <w:pPr>
        <w:spacing w:before="0" w:after="80"/>
      </w:pPr>
      <w:r>
        <w:rPr>
          <w:i/>
          <w:sz w:val="20"/>
        </w:rPr>
        <w:t>EN: Human brain organoids record the passage of time over multiple years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66">
        <w:r>
          <w:rPr>
            <w:color w:val="1155CC"/>
            <w:u w:val="single"/>
          </w:rPr>
          <w:t>10.1038/s41586-026-10877-x</w:t>
        </w:r>
      </w:hyperlink>
    </w:p>
    <w:p>
      <w:pPr>
        <w:spacing w:before="0" w:after="120"/>
      </w:pPr>
      <w:r>
        <w:rPr>
          <w:b/>
        </w:rPr>
        <w:t xml:space="preserve">Notes: </w:t>
      </w:r>
      <w:r>
        <w:t>abstract_source=pubmed</w:t>
      </w:r>
    </w:p>
    <w:p>
      <w:pPr>
        <w:spacing w:before="0" w:after="80" w:lineRule="auto" w:line="276"/>
      </w:pPr>
      <w:r>
        <w:rPr>
          <w:b/>
        </w:rPr>
        <w:t xml:space="preserve">摘要（ZH）: </w:t>
      </w:r>
      <w:r>
        <w:t>人类大脑的发育和成熟需要相当长的一段时间，跨越近二十年的生命。控制人类出生后大脑发育的物种特定方面的过程很难在动物模型中进行研究1。虽然人脑类器官提供了一种很有前途的体外模型，但迄今为止，它们已被证明在很大程度上模仿了大脑发育的早期阶段。在这里，我们在培养中开发了 5 年的人脑类器官，优化了生长条件，以将兴奋性神经元的活力扩展到之前的极限之外。使用源自内源性人脑的成熟相关模块，我们发现大脑类器官在培养多年后会随着细胞类型特异性而转录老化。全基因组甲基化分析表明，类器官的预测表观基因组年龄与体外花费的时间精确相关，并且与体内表观基因组衰老相似。值得注意的是，我们发现，在通过混合不同年龄的神经祖细胞产生的嵌合类器官中，年老的祖细胞迅速产生晚期神经元命运，跳过早期神经元后代的产生，因此表明在类器官中老化的祖细胞保留了体外所花费时间的记忆。数据表明，人脑类器官可以在培养中持续成熟并记录多年的时间流逝。</w:t>
      </w:r>
    </w:p>
    <w:p>
      <w:pPr>
        <w:spacing w:before="0" w:after="200" w:lineRule="auto" w:line="276"/>
      </w:pPr>
      <w:r>
        <w:rPr>
          <w:b/>
        </w:rPr>
        <w:t xml:space="preserve">Abstract (EN): </w:t>
      </w:r>
      <w:r>
        <w:t>The human brain develops and matures over an exceptionally prolonged period of time that spans nearly two decades of life. Processes that govern species-specific aspects of human postnatal brain development are difficult to study in animal models1. While human brain organoids offer a promising in vitro model, they have thus far been shown to largely mimic early stages of brain development. Here we develop human brain organoids for 5 years in culture, optimizing growth conditions to extend excitatory neuron viability beyond previous limits. Using maturation-associated modules derived from endogenous human brain, we show that brain organoids transcriptionally age with cell type specificity over years in culture. Whole-genome methylation profiling reveals that the predicted epigenomic age of organoids correlates precisely with time spent in vitro, and parallels epigenomic ageing in vivo. Notably, we show that in chimeric organoids generated by mixing neural progenitors of different ages, old progenitors rapidly produce late neuronal fates, skipping the production of earlier neuronal progeny, therefore showing that progenitors that age in organoids retain a memory of the time spent in vitro. The data indicate that human brain organoids can continue to mature and record the passage of time over many years in culture.</w:t>
      </w:r>
    </w:p>
    <w:p>
      <w:pPr>
        <w:spacing w:before="120" w:after="120"/>
      </w:pPr>
      <w:r>
        <w:rPr>
          <w:sz w:val="18"/>
        </w:rPr>
        <w:t>——————————————————————————————————————————————————————————————————————</w:t>
      </w:r>
    </w:p>
    <w:p>
      <w:pPr>
        <w:spacing w:before="160" w:after="40" w:line="240" w:lineRule="auto"/>
      </w:pPr>
      <w:r>
        <w:rPr>
          <w:b/>
        </w:rPr>
        <w:t xml:space="preserve">[465] </w:t>
      </w:r>
      <w:hyperlink r:id="rId1467">
        <w:r>
          <w:rPr>
            <w:color w:val="1155CC"/>
            <w:u w:val="single"/>
          </w:rPr>
          <w:t>人工智能工具让研究人员在量子领域“感受代码”</w:t>
        </w:r>
      </w:hyperlink>
    </w:p>
    <w:p>
      <w:pPr>
        <w:spacing w:before="0" w:after="80"/>
      </w:pPr>
      <w:r>
        <w:rPr>
          <w:i/>
          <w:sz w:val="20"/>
        </w:rPr>
        <w:t>EN: AI tool lets researchers 'vibe code' in the quantum realm</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68">
        <w:r>
          <w:rPr>
            <w:color w:val="1155CC"/>
            <w:u w:val="single"/>
          </w:rPr>
          <w:t>10.1038/d41586-026-02495-4</w:t>
        </w:r>
      </w:hyperlink>
    </w:p>
    <w:p>
      <w:pPr>
        <w:spacing w:before="0" w:after="120"/>
      </w:pPr>
      <w:r>
        <w:rPr>
          <w:b/>
        </w:rPr>
        <w:t xml:space="preserve">Notes: </w:t>
      </w:r>
      <w:r>
        <w:t>abstract_source=rss_nature</w:t>
      </w:r>
    </w:p>
    <w:p>
      <w:pPr>
        <w:spacing w:before="0" w:after="80" w:lineRule="auto" w:line="276"/>
      </w:pPr>
      <w:r>
        <w:rPr>
          <w:b/>
        </w:rPr>
        <w:t xml:space="preserve">摘要（ZH）: </w:t>
      </w:r>
      <w:r>
        <w:t>自主人工智能代理可以编写和执行量子计算代码，但有时需要人工干预。</w:t>
      </w:r>
    </w:p>
    <w:p>
      <w:pPr>
        <w:spacing w:before="0" w:after="200" w:lineRule="auto" w:line="276"/>
      </w:pPr>
      <w:r>
        <w:rPr>
          <w:b/>
        </w:rPr>
        <w:t xml:space="preserve">Abstract (EN): </w:t>
      </w:r>
      <w:r>
        <w:t>An autonomous AI agent can write and execute quantum computing code, but it sometimes needs a human touch.</w:t>
      </w:r>
    </w:p>
    <w:p>
      <w:pPr>
        <w:spacing w:before="120" w:after="120"/>
      </w:pPr>
      <w:r>
        <w:rPr>
          <w:sz w:val="18"/>
        </w:rPr>
        <w:t>——————————————————————————————————————————————————————————————————————</w:t>
      </w:r>
    </w:p>
    <w:p>
      <w:pPr>
        <w:spacing w:before="160" w:after="40" w:line="240" w:lineRule="auto"/>
      </w:pPr>
      <w:r>
        <w:rPr>
          <w:b/>
        </w:rPr>
        <w:t xml:space="preserve">[466] </w:t>
      </w:r>
      <w:hyperlink r:id="rId1469">
        <w:r>
          <w:rPr>
            <w:color w:val="1155CC"/>
            <w:u w:val="single"/>
          </w:rPr>
          <w:t>调节睡眠驱动力的唤醒激活神经元群</w:t>
        </w:r>
      </w:hyperlink>
    </w:p>
    <w:p>
      <w:pPr>
        <w:spacing w:before="0" w:after="80"/>
      </w:pPr>
      <w:r>
        <w:rPr>
          <w:i/>
          <w:sz w:val="20"/>
        </w:rPr>
        <w:t>EN: Wake-activated neuronal populations that regulate sleep drive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70">
        <w:r>
          <w:rPr>
            <w:color w:val="1155CC"/>
            <w:u w:val="single"/>
          </w:rPr>
          <w:t>10.1038/s41586-026-10928-3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长时间的清醒会增加睡眠动力，通常可以通过增加睡眠来补偿</w:t>
      </w:r>
      <w:r>
        <w:t xml:space="preserve"> </w:t>
      </w:r>
      <w:r>
        <w:t>1–3</w:t>
      </w:r>
      <w:r>
        <w:t xml:space="preserve"> </w:t>
      </w:r>
      <w:r>
        <w:t>。这种睡眠的稳态调节深刻地影响着我们的生活，但其潜在的神经回路机制仍然知之甚少。在这里，我们利用全脑活动图谱、有针对性的神经元操作和电生理学来识别调节小鼠睡眠驱动的唤醒激活神经元。通过比较全脑对睡眠剥夺、恢复睡眠和昼夜节律行为的反应，我们将前内侧视前区和中缝确定为编码睡眠不足的候选区域。激活这些区域的睡眠剥夺反应细胞会导致睡眠持续时间和强度增加，类似于恢复睡眠。相反，抑制剥夺反应细胞会减少睡眠，并消除通常在剥夺期间观察到的睡眠倾向增加。中缝中对睡眠剥夺有反应的神经元投射到皮质下睡眠相关区域，并通过视前下丘脑发挥作用。这些对睡眠剥夺敏感的细胞包括血清素能神经元和一组独特的 GABA 能神经元，其内在兴奋性在睡眠剥夺期间增加。 GABA 能神经元和血清素能神经元的共同激活可协同促进睡眠，而共同抑制会长期使睡眠减少近 70%。值得注意的是，尽管睡眠明显减少，大多数小鼠仍存活下来，而睡眠驱动力没有补偿性增加</w:t>
      </w:r>
    </w:p>
    <w:p>
      <w:pPr>
        <w:spacing w:before="0" w:after="200" w:lineRule="auto" w:line="276"/>
      </w:pPr>
      <w:r>
        <w:rPr>
          <w:b/>
        </w:rPr>
        <w:t xml:space="preserve">Abstract (EN): </w:t>
      </w:r>
      <w:r>
        <w:t>Prolonged wakefulness increases sleep drive and is normally compensated for by increased sleep</w:t>
      </w:r>
      <w:r>
        <w:t xml:space="preserve"> </w:t>
      </w:r>
      <w:r>
        <w:t>1–3</w:t>
      </w:r>
      <w:r>
        <w:t xml:space="preserve"> </w:t>
      </w:r>
      <w:r>
        <w:t>. This homeostatic regulation of sleep shapes our lives profoundly, but the underlying neural circuit mechanisms remain poorly understood. Here, we identify wake-activated neurons that regulate sleep drive in mice, using whole-brain activity mapping, targeted neuronal manipulations and electrophysiology. By comparing whole-brain responses to sleep deprivation, recovery sleep and circadian behaviour, we identify the anterior medial preoptic area and the median raphe as candidate regions that encode sleep deficit. Activating sleep-deprivation-responsive cells in these regions induces increases in sleep duration and intensity that resemble recovery sleep. Conversely, inhibiting deprivation-responsive cells reduces sleep and abolishes the increased sleep propensity usually observed during deprivation. Neurons in the median raphe that are responsive to sleep deprivation project to subcortical sleep-associated regions and act through the preoptic hypothalamus. These deprivation-sensitive cells include serotonergic neurons and a distinct population of GABAergic neurons, whose intrinsic excitability increases during sleep deprivation. Co-activation of GABAergic and serotonergic neurons synergistically promotes sleep, whereas co-inhibition chronically decreases sleep by nearly 70%. Remarkably, most mice survive despite this marked reduction in sleep, without the compensatory increases in sleep drive or the behavioural deficits typically associated with severe sleep deprivation. Together, these results define neuronal populations that are activated during wakefulness and are crucial for sleep drive.</w:t>
      </w:r>
    </w:p>
    <w:p>
      <w:pPr>
        <w:spacing w:before="120" w:after="120"/>
      </w:pPr>
      <w:r>
        <w:rPr>
          <w:sz w:val="18"/>
        </w:rPr>
        <w:t>——————————————————————————————————————————————————————————————————————</w:t>
      </w:r>
    </w:p>
    <w:p>
      <w:pPr>
        <w:spacing w:before="160" w:after="40" w:line="240" w:lineRule="auto"/>
      </w:pPr>
      <w:r>
        <w:rPr>
          <w:b/>
        </w:rPr>
        <w:t xml:space="preserve">[467] </w:t>
      </w:r>
      <w:hyperlink r:id="rId1471">
        <w:r>
          <w:rPr>
            <w:color w:val="1155CC"/>
            <w:u w:val="single"/>
          </w:rPr>
          <w:t>黑洞的自转终于可以由高速恒星测量</w:t>
        </w:r>
      </w:hyperlink>
    </w:p>
    <w:p>
      <w:pPr>
        <w:spacing w:before="0" w:after="80"/>
      </w:pPr>
      <w:r>
        <w:rPr>
          <w:i/>
          <w:sz w:val="20"/>
        </w:rPr>
        <w:t>EN: A black hole's spin could finally be measured by a high-speed star</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72">
        <w:r>
          <w:rPr>
            <w:color w:val="1155CC"/>
            <w:u w:val="single"/>
          </w:rPr>
          <w:t>10.1038/d41586-026-02607-0</w:t>
        </w:r>
      </w:hyperlink>
    </w:p>
    <w:p>
      <w:pPr>
        <w:spacing w:before="0" w:after="120"/>
      </w:pPr>
      <w:r>
        <w:rPr>
          <w:b/>
        </w:rPr>
        <w:t xml:space="preserve">Notes: </w:t>
      </w:r>
      <w:r>
        <w:t>abstract_source=rss_nature</w:t>
      </w:r>
    </w:p>
    <w:p>
      <w:pPr>
        <w:spacing w:before="0" w:after="80" w:lineRule="auto" w:line="276"/>
      </w:pPr>
      <w:r>
        <w:rPr>
          <w:b/>
        </w:rPr>
        <w:t xml:space="preserve">摘要（ZH）: </w:t>
      </w:r>
      <w:r>
        <w:t>靠近人马座 A* 运行的恒星可以揭示其自转——此外，外骨骼可能如何改变人类的移动方式。</w:t>
      </w:r>
    </w:p>
    <w:p>
      <w:pPr>
        <w:spacing w:before="0" w:after="200" w:lineRule="auto" w:line="276"/>
      </w:pPr>
      <w:r>
        <w:rPr>
          <w:b/>
        </w:rPr>
        <w:t xml:space="preserve">Abstract (EN): </w:t>
      </w:r>
      <w:r>
        <w:t>Star orbiting close to Sagittarius A* could reveal its spin — plus, how exoskeletons might change the way humans move.</w:t>
      </w:r>
    </w:p>
    <w:p>
      <w:pPr>
        <w:spacing w:before="120" w:after="120"/>
      </w:pPr>
      <w:r>
        <w:rPr>
          <w:sz w:val="18"/>
        </w:rPr>
        <w:t>——————————————————————————————————————————————————————————————————————</w:t>
      </w:r>
    </w:p>
    <w:p>
      <w:pPr>
        <w:spacing w:before="160" w:after="40" w:line="240" w:lineRule="auto"/>
      </w:pPr>
      <w:r>
        <w:rPr>
          <w:b/>
        </w:rPr>
        <w:t xml:space="preserve">[468] </w:t>
      </w:r>
      <w:hyperlink r:id="rId1473">
        <w:r>
          <w:rPr>
            <w:color w:val="1155CC"/>
            <w:u w:val="single"/>
          </w:rPr>
          <w:t>回复：单细胞 mtDNA 分析中的假象误导了系统发育</w:t>
        </w:r>
      </w:hyperlink>
    </w:p>
    <w:p>
      <w:pPr>
        <w:spacing w:before="0" w:after="80"/>
      </w:pPr>
      <w:r>
        <w:rPr>
          <w:i/>
          <w:sz w:val="20"/>
        </w:rPr>
        <w:t>EN: Reply to: Artefacts in single-cell mtDNA analyses misinform phylogenies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74">
        <w:r>
          <w:rPr>
            <w:color w:val="1155CC"/>
            <w:u w:val="single"/>
          </w:rPr>
          <w:t>10.1038/s41586-026-10776-1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[469] </w:t>
      </w:r>
      <w:hyperlink r:id="rId1475">
        <w:r>
          <w:rPr>
            <w:color w:val="1155CC"/>
            <w:u w:val="single"/>
          </w:rPr>
          <w:t>单细胞 mtDNA 分析中的假象误导了系统发育</w:t>
        </w:r>
      </w:hyperlink>
    </w:p>
    <w:p>
      <w:pPr>
        <w:spacing w:before="0" w:after="80"/>
      </w:pPr>
      <w:r>
        <w:rPr>
          <w:i/>
          <w:sz w:val="20"/>
        </w:rPr>
        <w:t>EN: Artefacts in single-cell mtDNA analyses misinform phylogenies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76">
        <w:r>
          <w:rPr>
            <w:color w:val="1155CC"/>
            <w:u w:val="single"/>
          </w:rPr>
          <w:t>10.1038/s41586-026-10777-0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[470] </w:t>
      </w:r>
      <w:hyperlink r:id="rId1477">
        <w:r>
          <w:rPr>
            <w:color w:val="1155CC"/>
            <w:u w:val="single"/>
          </w:rPr>
          <w:t>颅骨淋巴结构在中枢神经系统免疫监视中的功能作用</w:t>
        </w:r>
      </w:hyperlink>
    </w:p>
    <w:p>
      <w:pPr>
        <w:spacing w:before="0" w:after="80"/>
      </w:pPr>
      <w:r>
        <w:rPr>
          <w:i/>
          <w:sz w:val="20"/>
        </w:rPr>
        <w:t>EN: Functional role of skull lymphoid structures in CNS immunosurveillance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78">
        <w:r>
          <w:rPr>
            <w:color w:val="1155CC"/>
            <w:u w:val="single"/>
          </w:rPr>
          <w:t>10.1038/s41586-026-10951-4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越来越多的证据表明，中枢神经系统（CNS）与外周免疫系统并没有脱节。然而，适应性免疫系统究竟如何监视中枢神经系统仍然是一个关键问题。最近的研究结果表明，在稳态和疾病条件下，颅骨和硬脑膜之间的通道促进了小鼠中枢神经系统和颅骨骨髓之间脑脊液和免疫细胞的交换</w:t>
      </w:r>
      <w:r>
        <w:t xml:space="preserve"> </w:t>
      </w:r>
      <w:r>
        <w:t>1–6</w:t>
      </w:r>
      <w:r>
        <w:t xml:space="preserve"> </w:t>
      </w:r>
      <w:r>
        <w:t>。头骨骨髓是中枢神经系统免疫细胞的来源</w:t>
      </w:r>
      <w:r>
        <w:rPr>
          <w:vertAlign w:val="subscript"/>
        </w:rPr>
        <w:t>5</w:t>
      </w:r>
      <w:r>
        <w:t>，但其在中枢神经系统抗原特异性适应性免疫反应中的作用仍不清楚。在这里，我们鉴定了颅骨骨髓内的淋巴结构，其特征是生发中心样结构，并含有独特的滤泡辅助样 T 细胞群，可通过 CD40L、IL-21 和 IFNγ 信号传导促进 B 细胞激活和体液免疫。这些颅骨骨髓淋巴结构内的适应性免疫细胞监视并响应中枢神经系统衍生的抗原，并有助于小鼠脑癌模型中的抗肿瘤免疫反应。总之，我们的研究结果表明，颅骨骨髓是中枢神经系统免疫监视的一个部位，可能影响多种神经系统疾病的免疫反应。</w:t>
      </w:r>
    </w:p>
    <w:p>
      <w:pPr>
        <w:spacing w:before="0" w:after="200" w:lineRule="auto" w:line="276"/>
      </w:pPr>
      <w:r>
        <w:rPr>
          <w:b/>
        </w:rPr>
        <w:t xml:space="preserve">Abstract (EN): </w:t>
      </w:r>
      <w:r>
        <w:t>Accumulating evidence demonstrates that the central nervous system (CNS) is not disconnected from the peripheral immune system; however, precisely how the adaptive immune system surveils the CNS remains a critical question. Recent findings reveal that channels between the skull and the dura mater facilitate the exchange of cerebrospinal fluid and immune cells between the CNS and skull bone marrow of mice under both homeostatic and disease conditions</w:t>
      </w:r>
      <w:r>
        <w:t xml:space="preserve"> </w:t>
      </w:r>
      <w:r>
        <w:t>1–6</w:t>
      </w:r>
      <w:r>
        <w:t xml:space="preserve"> </w:t>
      </w:r>
      <w:r>
        <w:t>. Skull bone marrow functions as a source of immune cells for the CNS</w:t>
      </w:r>
      <w:r>
        <w:rPr>
          <w:vertAlign w:val="subscript"/>
        </w:rPr>
        <w:t>5</w:t>
      </w:r>
      <w:r>
        <w:t>, yet its role in CNS antigen-specific adaptive immune responses remains unclear. Here we identify lymphoid structures within the skull bone marrow, featuring germinal-centre-like formations and containing a distinct population of follicular-helper-like T cells that promote B cell activation and humoral immunity through CD40L, IL-21 and IFNγ signalling. Adaptive immune cells within these skull bone marrow lymphoid structures surveil and respond to CNS-derived antigens and contribute to anti-tumour immune responses in mouse brain cancer models. Together, our findings show that the skull bone marrow is a site of CNS immunosurveillance that may influence immune responses across diverse neurological diseases.</w:t>
      </w:r>
    </w:p>
    <w:p>
      <w:pPr>
        <w:spacing w:before="120" w:after="120"/>
      </w:pPr>
      <w:r>
        <w:rPr>
          <w:sz w:val="18"/>
        </w:rPr>
        <w:t>——————————————————————————————————————————————————————————————————————</w:t>
      </w:r>
    </w:p>
    <w:p>
      <w:pPr>
        <w:spacing w:before="160" w:after="40" w:line="240" w:lineRule="auto"/>
      </w:pPr>
      <w:r>
        <w:rPr>
          <w:b/>
        </w:rPr>
        <w:t xml:space="preserve">[471] </w:t>
      </w:r>
      <w:hyperlink r:id="rId1479">
        <w:r>
          <w:rPr>
            <w:color w:val="1155CC"/>
            <w:u w:val="single"/>
          </w:rPr>
          <w:t>在量子模拟器中观察共形场论光谱</w:t>
        </w:r>
      </w:hyperlink>
    </w:p>
    <w:p>
      <w:pPr>
        <w:spacing w:before="0" w:after="80"/>
      </w:pPr>
      <w:r>
        <w:rPr>
          <w:i/>
          <w:sz w:val="20"/>
        </w:rPr>
        <w:t>EN: Observation of conformal field theory spectra in a quantum simulator</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80">
        <w:r>
          <w:rPr>
            <w:color w:val="1155CC"/>
            <w:u w:val="single"/>
          </w:rPr>
          <w:t>10.1038/s41586-026-10904-x</w:t>
        </w:r>
      </w:hyperlink>
    </w:p>
    <w:p>
      <w:pPr>
        <w:spacing w:before="0" w:after="120"/>
      </w:pPr>
      <w:r>
        <w:rPr>
          <w:b/>
        </w:rPr>
        <w:t xml:space="preserve">Notes: </w:t>
      </w:r>
      <w:r>
        <w:t>abstract_source=pubmed</w:t>
      </w:r>
    </w:p>
    <w:p>
      <w:pPr>
        <w:spacing w:before="0" w:after="80" w:lineRule="auto" w:line="276"/>
      </w:pPr>
      <w:r>
        <w:rPr>
          <w:b/>
        </w:rPr>
        <w:t xml:space="preserve">摘要（ZH）: </w:t>
      </w:r>
      <w:r>
        <w:t>共形场论 (CFT) 在高能物理 1,2、统计力学 3 和凝聚态物质 4-6 中具有突出的作用。例如，CFT 控制着量子相变 4,7 系统的新兴普遍特性，包括它们的纠缠、相关性和低能激发光谱。然而，CFT 预测的许多丰富结构在实验中仍未观察到。在这里，我们直接观察量子相变时涌现的 CFT 的能量激发光谱 - 恢复基础场论的普遍能量比特征 8,9。具体来说，我们开发并实现了一种调制技术来解析里德伯链的有限尺寸光谱，该技术可变地调谐到由伊辛或三临界伊辛 CFT 描述的量子相变。我们还使用局部控制来区分反射下激发的奇偶性，并在三临界伊辛链中诱导与边界条件变化相关的不同 CFT 光谱之间的转变。通过使用调制技术的变体，我们进一步研究了关键系统的动态结构因子，这与基础伊辛共形场的相关性密切相关。我们的工作不仅探讨了量子模拟器中 CFT 特征的出现，而且还提供了一种在未来实验中诊断先验未知的普遍性类别的技术。</w:t>
      </w:r>
    </w:p>
    <w:p>
      <w:pPr>
        <w:spacing w:before="0" w:after="200" w:lineRule="auto" w:line="276"/>
      </w:pPr>
      <w:r>
        <w:rPr>
          <w:b/>
        </w:rPr>
        <w:t xml:space="preserve">Abstract (EN): </w:t>
      </w:r>
      <w:r>
        <w:t>Conformal field theories (CFTs) feature prominently in high-energy physics1,2, statistical mechanics3 and condensed matter4-6. For example, CFTs govern emergent universal properties of systems tuned to quantum phase transitions4,7, including their entanglement, correlations and low-energy excitation spectra. Much of the rich structure predicted by CFTs nevertheless remains unobserved in experiment. Here we directly observe the energy excitation spectra of emergent CFTs at quantum phase transitions-recovering universal energy ratios characteristic of the underlying field theories8,9. Specifically, we develop and implement a modulation technique to resolve the finite-size spectra of a Rydberg chain, variably tuned to quantum phase transitions described by either Ising or tricritical Ising CFTs. We also use local control to distinguish parities of excitations under reflection and, in the tricritical Ising chain, to induce transitions between distinct CFT spectra associated with changing boundary conditions. By using a variant of the modulation technique, we furthermore study the dynamical structure factor of the critical system, which is closely related to the correlation of an underlying Ising conformal field. Our work not only probes the emergence of CFT features in a quantum simulator but also provides a technique for diagnosing a priori unknown universality classes in future experiments.</w:t>
      </w:r>
    </w:p>
    <w:p>
      <w:pPr>
        <w:spacing w:before="120" w:after="120"/>
      </w:pPr>
      <w:r>
        <w:rPr>
          <w:sz w:val="18"/>
        </w:rPr>
        <w:t>——————————————————————————————————————————————————————————————————————</w:t>
      </w:r>
    </w:p>
    <w:p>
      <w:pPr>
        <w:spacing w:before="160" w:after="40" w:line="240" w:lineRule="auto"/>
      </w:pPr>
      <w:r>
        <w:rPr>
          <w:b/>
        </w:rPr>
        <w:t xml:space="preserve">[472] </w:t>
      </w:r>
      <w:hyperlink r:id="rId1481">
        <w:r>
          <w:rPr>
            <w:color w:val="1155CC"/>
            <w:u w:val="single"/>
          </w:rPr>
          <w:t>热带冰芯的全球大气甲烷记录</w:t>
        </w:r>
      </w:hyperlink>
    </w:p>
    <w:p>
      <w:pPr>
        <w:spacing w:before="0" w:after="80"/>
      </w:pPr>
      <w:r>
        <w:rPr>
          <w:i/>
          <w:sz w:val="20"/>
        </w:rPr>
        <w:t>EN: A global atmospheric methane record from a tropical ice core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82">
        <w:r>
          <w:rPr>
            <w:color w:val="1155CC"/>
            <w:u w:val="single"/>
          </w:rPr>
          <w:t>10.1038/s41586-026-10938-1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热带湿地被广泛认为是大气甲烷（CH</w:t>
      </w:r>
      <w:r>
        <w:rPr>
          <w:vertAlign w:val="subscript"/>
        </w:rPr>
        <w:t>4</w:t>
      </w:r>
      <w:r>
        <w:t>）</w:t>
      </w:r>
      <w:r>
        <w:t xml:space="preserve"> </w:t>
      </w:r>
      <w:r>
        <w:t>1-4</w:t>
      </w:r>
      <w:r>
        <w:t xml:space="preserve"> </w:t>
      </w:r>
      <w:r>
        <w:t>。然而，湿地范围和 CH 的不确定性</w:t>
      </w:r>
      <w:r>
        <w:rPr>
          <w:vertAlign w:val="subscript"/>
        </w:rPr>
        <w:t>4</w:t>
      </w:r>
      <w:r>
        <w:t>生产导致了 CH 模型的巨大变化</w:t>
      </w:r>
      <w:r>
        <w:rPr>
          <w:vertAlign w:val="subscript"/>
        </w:rPr>
        <w:t>4</w:t>
      </w:r>
      <w:r>
        <w:t>排放趋势</w:t>
      </w:r>
      <w:r>
        <w:t xml:space="preserve"> </w:t>
      </w:r>
      <w:r>
        <w:t>2,3</w:t>
      </w:r>
      <w:r>
        <w:t xml:space="preserve"> </w:t>
      </w:r>
      <w:r>
        <w:t>。大多数历史重建依赖于极地冰芯的数据，这不能完全解决热带贡献</w:t>
      </w:r>
      <w:r>
        <w:t xml:space="preserve"> </w:t>
      </w:r>
      <w:r>
        <w:t>5,6</w:t>
      </w:r>
      <w:r>
        <w:t xml:space="preserve"> </w:t>
      </w:r>
      <w:r>
        <w:t>至CH</w:t>
      </w:r>
      <w:r>
        <w:rPr>
          <w:vertAlign w:val="subscript"/>
        </w:rPr>
        <w:t>4</w:t>
      </w:r>
      <w:r>
        <w:t>预算。在这里，我们展示了 2000 年来大气 CH 的记录</w:t>
      </w:r>
      <w:r>
        <w:rPr>
          <w:vertAlign w:val="subscript"/>
        </w:rPr>
        <w:t>4</w:t>
      </w:r>
      <w:r>
        <w:t>内瓦多瓦斯卡兰南峰（Summit Core A，SCA；-9.122°S，-77.605°W；6,768米asl）钻取的冰芯浓度。我们发现 CH 的趋势和幅度</w:t>
      </w:r>
      <w:r>
        <w:rPr>
          <w:vertAlign w:val="subscript"/>
        </w:rPr>
        <w:t>4</w:t>
      </w:r>
      <w:r>
        <w:t>记录与极地记录基本一致</w:t>
      </w:r>
      <w:r>
        <w:rPr>
          <w:vertAlign w:val="subscript"/>
        </w:rPr>
        <w:t>7</w:t>
      </w:r>
      <w:r>
        <w:t>。我们的</w:t>
      </w:r>
      <w:r>
        <w:t xml:space="preserve"> </w:t>
      </w:r>
      <w:r>
        <w:t>δ</w:t>
      </w:r>
      <w:r>
        <w:rPr>
          <w:vertAlign w:val="subscript"/>
        </w:rPr>
        <w:t>13</w:t>
      </w:r>
      <w:r>
        <w:t>C-CH</w:t>
      </w:r>
      <w:r>
        <w:rPr>
          <w:vertAlign w:val="subscript"/>
        </w:rPr>
        <w:t>4</w:t>
      </w:r>
      <w:r>
        <w:t>测量值（从大约 1530 CE 到 1999 CE）与同位素值一致</w:t>
      </w:r>
      <w:r>
        <w:rPr>
          <w:vertAlign w:val="subscript"/>
        </w:rPr>
        <w:t>8</w:t>
      </w:r>
      <w:r>
        <w:t>与占主导地位的热带CH一致</w:t>
      </w:r>
      <w:r>
        <w:rPr>
          <w:vertAlign w:val="subscript"/>
        </w:rPr>
        <w:t>4</w:t>
      </w:r>
      <w:r>
        <w:t>来源。将我们的记录整合到大气四箱模型中表明 CH 在赤道地区持续占主导地位</w:t>
      </w:r>
      <w:r>
        <w:rPr>
          <w:vertAlign w:val="subscript"/>
        </w:rPr>
        <w:t>4</w:t>
      </w:r>
    </w:p>
    <w:p>
      <w:pPr>
        <w:spacing w:before="0" w:after="200" w:lineRule="auto" w:line="276"/>
      </w:pPr>
      <w:r>
        <w:rPr>
          <w:b/>
        </w:rPr>
        <w:t xml:space="preserve">Abstract (EN): </w:t>
      </w:r>
      <w:r>
        <w:t>Tropical wetlands are widely considered the largest natural source of atmospheric methane (CH</w:t>
      </w:r>
      <w:r>
        <w:rPr>
          <w:vertAlign w:val="subscript"/>
        </w:rPr>
        <w:t>4</w:t>
      </w:r>
      <w:r>
        <w:t>)</w:t>
      </w:r>
      <w:r>
        <w:t xml:space="preserve"> </w:t>
      </w:r>
      <w:r>
        <w:t>1–4</w:t>
      </w:r>
      <w:r>
        <w:t xml:space="preserve"> </w:t>
      </w:r>
      <w:r>
        <w:t>. However, uncertainties about wetland extent and CH</w:t>
      </w:r>
      <w:r>
        <w:rPr>
          <w:vertAlign w:val="subscript"/>
        </w:rPr>
        <w:t>4</w:t>
      </w:r>
      <w:r>
        <w:t>production have led to large variations in modelled CH</w:t>
      </w:r>
      <w:r>
        <w:rPr>
          <w:vertAlign w:val="subscript"/>
        </w:rPr>
        <w:t>4</w:t>
      </w:r>
      <w:r>
        <w:t>emission trends</w:t>
      </w:r>
      <w:r>
        <w:t xml:space="preserve"> </w:t>
      </w:r>
      <w:r>
        <w:t>2,3</w:t>
      </w:r>
      <w:r>
        <w:t xml:space="preserve"> </w:t>
      </w:r>
      <w:r>
        <w:t>. Most historical reconstructions rely on data from polar ice cores, which cannot fully resolve the tropical contribution</w:t>
      </w:r>
      <w:r>
        <w:t xml:space="preserve"> </w:t>
      </w:r>
      <w:r>
        <w:t>5,6</w:t>
      </w:r>
      <w:r>
        <w:t xml:space="preserve"> </w:t>
      </w:r>
      <w:r>
        <w:t>to the CH</w:t>
      </w:r>
      <w:r>
        <w:rPr>
          <w:vertAlign w:val="subscript"/>
        </w:rPr>
        <w:t>4</w:t>
      </w:r>
      <w:r>
        <w:t>budget. Here we present a 2,000-year record of atmospheric CH</w:t>
      </w:r>
      <w:r>
        <w:rPr>
          <w:vertAlign w:val="subscript"/>
        </w:rPr>
        <w:t>4</w:t>
      </w:r>
      <w:r>
        <w:t>concentrations from ice cores drilled from the South Peak summit of Nevado Huascarán (Summit Core A, SCA; −9.122° S, −77.605° W; 6,768 m asl). We find that the trends and magnitudes of our CH</w:t>
      </w:r>
      <w:r>
        <w:rPr>
          <w:vertAlign w:val="subscript"/>
        </w:rPr>
        <w:t>4</w:t>
      </w:r>
      <w:r>
        <w:t>record are broadly consistent with polar records</w:t>
      </w:r>
      <w:r>
        <w:rPr>
          <w:vertAlign w:val="subscript"/>
        </w:rPr>
        <w:t>7</w:t>
      </w:r>
      <w:r>
        <w:t>. Our</w:t>
      </w:r>
      <w:r>
        <w:t xml:space="preserve"> </w:t>
      </w:r>
      <w:r>
        <w:t>δ</w:t>
      </w:r>
      <w:r>
        <w:rPr>
          <w:vertAlign w:val="subscript"/>
        </w:rPr>
        <w:t>13</w:t>
      </w:r>
      <w:r>
        <w:t>C-CH</w:t>
      </w:r>
      <w:r>
        <w:rPr>
          <w:vertAlign w:val="subscript"/>
        </w:rPr>
        <w:t>4</w:t>
      </w:r>
      <w:r>
        <w:t>measurements (from approximately 1530 CE to 1999 CE) align with isotope values</w:t>
      </w:r>
      <w:r>
        <w:rPr>
          <w:vertAlign w:val="subscript"/>
        </w:rPr>
        <w:t>8</w:t>
      </w:r>
      <w:r>
        <w:t>consistent with a dominant tropical CH</w:t>
      </w:r>
      <w:r>
        <w:rPr>
          <w:vertAlign w:val="subscript"/>
        </w:rPr>
        <w:t>4</w:t>
      </w:r>
      <w:r>
        <w:t>source. Integration of our record into an atmospheric four-box model suggests a sustained equatorial dominance of CH</w:t>
      </w:r>
      <w:r>
        <w:rPr>
          <w:vertAlign w:val="subscript"/>
        </w:rPr>
        <w:t>4</w:t>
      </w:r>
      <w:r>
        <w:t>source strength over the past two millennia. Our findings indicate that equatorial CH</w:t>
      </w:r>
      <w:r>
        <w:rPr>
          <w:vertAlign w:val="subscript"/>
        </w:rPr>
        <w:t>4</w:t>
      </w:r>
      <w:r>
        <w:t>emissions are higher than previous estimates based only on polar ice core data, supporting the long-standing hypothesis that low-latitude CH</w:t>
      </w:r>
      <w:r>
        <w:rPr>
          <w:vertAlign w:val="subscript"/>
        </w:rPr>
        <w:t>4</w:t>
      </w:r>
      <w:r>
        <w:t>emissions dominated pre-industrial (PI) CH</w:t>
      </w:r>
      <w:r>
        <w:rPr>
          <w:vertAlign w:val="subscript"/>
        </w:rPr>
        <w:t>4</w:t>
      </w:r>
      <w:r>
        <w:t>variability</w:t>
      </w:r>
      <w:r>
        <w:t xml:space="preserve"> </w:t>
      </w:r>
      <w:r>
        <w:t>5,6</w:t>
      </w:r>
      <w:r>
        <w:t xml:space="preserve"> </w:t>
      </w:r>
      <w:r>
        <w:t>. These results demonstrate the importance of tropical ice cores on the reconstruction of CH</w:t>
      </w:r>
      <w:r>
        <w:rPr>
          <w:vertAlign w:val="subscript"/>
        </w:rPr>
        <w:t>4</w:t>
      </w:r>
      <w:r>
        <w:t>variability and latitudinal distribution.</w:t>
      </w:r>
    </w:p>
    <w:p>
      <w:pPr>
        <w:spacing w:before="120" w:after="120"/>
      </w:pPr>
      <w:r>
        <w:rPr>
          <w:sz w:val="18"/>
        </w:rPr>
        <w:t>——————————————————————————————————————————————————————————————————————</w:t>
      </w:r>
    </w:p>
    <w:p>
      <w:pPr>
        <w:spacing w:before="160" w:after="40" w:line="240" w:lineRule="auto"/>
      </w:pPr>
      <w:r>
        <w:rPr>
          <w:b/>
        </w:rPr>
        <w:t xml:space="preserve">[473] </w:t>
      </w:r>
      <w:hyperlink r:id="rId1483">
        <w:r>
          <w:rPr>
            <w:color w:val="1155CC"/>
            <w:u w:val="single"/>
          </w:rPr>
          <w:t>使用聚焦电子探针的原子尺度双缝干涉测量</w:t>
        </w:r>
      </w:hyperlink>
    </w:p>
    <w:p>
      <w:pPr>
        <w:spacing w:before="0" w:after="80"/>
      </w:pPr>
      <w:r>
        <w:rPr>
          <w:i/>
          <w:sz w:val="20"/>
        </w:rPr>
        <w:t>EN: Atomic-scale double-slit interferometry with a focused electron probe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84">
        <w:r>
          <w:rPr>
            <w:color w:val="1155CC"/>
            <w:u w:val="single"/>
          </w:rPr>
          <w:t>10.1038/s41586-026-10914-9</w:t>
        </w:r>
      </w:hyperlink>
    </w:p>
    <w:p>
      <w:pPr>
        <w:spacing w:before="0" w:after="120"/>
      </w:pPr>
      <w:r>
        <w:rPr>
          <w:b/>
        </w:rPr>
        <w:t xml:space="preserve">Notes: </w:t>
      </w:r>
      <w:r>
        <w:t>abstract_source=pubmed</w:t>
      </w:r>
    </w:p>
    <w:p>
      <w:pPr>
        <w:spacing w:before="0" w:after="80" w:lineRule="auto" w:line="276"/>
      </w:pPr>
      <w:r>
        <w:rPr>
          <w:b/>
        </w:rPr>
        <w:t xml:space="preserve">摘要（ZH）: </w:t>
      </w:r>
      <w:r>
        <w:t>自从杨格最初对光进行研究1以来，双缝干涉实验一直是波粒二象性的典型演示2-6。它们现在是现代电子、中子、原子和分子干涉仪的基础，其条纹可见度和相位编码有关波和衍射物体的定量信息。将其扩展到原子长度尺度将提供对微观结构和动力学的直接局部访问，但尚未得到探索。在这里，我们展示了双缝干涉测量可以在晶体内部的原子尺度上实现。使用扫描透射电子显微镜 (STEM)，我们证明了聚焦电子束会在两个相距 1.36 Å 的相邻 Si [110] 原子柱上离域产生干涉条纹。在有限温度下，这两个原子“狭缝”强烈振动，将它们的运动印在边缘上。条纹从 300 K 持续到 900 K，表明只有声子模式的一个子集会降低可见度；相邻原子之间的相关热振动保持了相干性，否则独立运动会破坏这种相干性。对这种保留的可见性的定量分析提供了对一对原子柱之间振动相关性的直接实验访问。这些相关性映射到特定原子键的各向异性刚度，从而可以了解影响热传输的低能声子动力学。通过将晶体改造成原子级干涉仪，该平台能够直接可视化局部原子排列及其相关动力学</w:t>
      </w:r>
    </w:p>
    <w:p>
      <w:pPr>
        <w:spacing w:before="0" w:after="200" w:lineRule="auto" w:line="276"/>
      </w:pPr>
      <w:r>
        <w:rPr>
          <w:b/>
        </w:rPr>
        <w:t xml:space="preserve">Abstract (EN): </w:t>
      </w:r>
      <w:r>
        <w:t>Since Young's original work with light1, double-slit interference experiments have been paradigmatic demonstrations of wave-particle duality2-6. They now underpin modern electron, neutron, atom and molecule interferometers, whose fringe visibility and phase encode quantitative information about both the wave and the diffracting object. Extending this to atomic length scales would offer direct, local access to microscopic structure and dynamics, but has remained unexplored. Here we show that double-slit interferometry can be realized at atomic scales inside a crystal. Using scanning transmission electron microscopy (STEM), we demonstrate the generation of interference fringes with a focused electron beam that is delocalized over two adjacent Si [110] atomic columns separated by 1.36 Å. At finite temperature, these two atomic 'slits' vibrate strongly, imprinting their motion on the fringes. The fringes persist from 300 K to 900 K, indicating that only a subset of phonon modes degrades visibility; correlated thermal vibrations between neighbouring atoms preserve coherence that independent motion would otherwise destroy. Quantitative analysis of this preserved visibility provides direct experimental access to vibrational correlations between a pair of atomic columns. These correlations map to the anisotropic stiffness of the specific atomic bond, giving access to the low-energy phonon dynamics that affect thermal transport. By recasting crystals as atomic-scale interferometers, this platform enables direct visualization of local atomic arrangements and their correlated dynamics, opening routes to examine lattice dynamics at the single-bond level.</w:t>
      </w:r>
    </w:p>
    <w:p>
      <w:pPr>
        <w:spacing w:before="120" w:after="120"/>
      </w:pPr>
      <w:r>
        <w:rPr>
          <w:sz w:val="18"/>
        </w:rPr>
        <w:t>——————————————————————————————————————————————————————————————————————</w:t>
      </w:r>
    </w:p>
    <w:p>
      <w:pPr>
        <w:spacing w:before="160" w:after="40" w:line="240" w:lineRule="auto"/>
      </w:pPr>
      <w:r>
        <w:rPr>
          <w:b/>
        </w:rPr>
        <w:t xml:space="preserve">[474] </w:t>
      </w:r>
      <w:hyperlink r:id="rId1485">
        <w:r>
          <w:rPr>
            <w:color w:val="1155CC"/>
            <w:u w:val="single"/>
          </w:rPr>
          <w:t>通过串联供体-受体稳定/芳烃释放策略驯服分子氮化硼</w:t>
        </w:r>
      </w:hyperlink>
    </w:p>
    <w:p>
      <w:pPr>
        <w:spacing w:before="0" w:after="80"/>
      </w:pPr>
      <w:r>
        <w:rPr>
          <w:i/>
          <w:sz w:val="20"/>
        </w:rPr>
        <w:t>EN: Taming Molecular Boron Nitride through a Tandem Donor–Acceptor Stabilization/Arene Release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486">
        <w:r>
          <w:rPr>
            <w:color w:val="1155CC"/>
            <w:u w:val="single"/>
          </w:rPr>
          <w:t>10.1021/jacs.6c14427</w:t>
        </w:r>
      </w:hyperlink>
    </w:p>
    <w:p>
      <w:pPr>
        <w:spacing w:before="0" w:after="120"/>
      </w:pPr>
      <w:r>
        <w:rPr>
          <w:b/>
        </w:rPr>
        <w:t xml:space="preserve">Notes: </w:t>
      </w:r>
      <w:r>
        <w:t>abstract_source=crossref</w:t>
      </w:r>
    </w:p>
    <w:p>
      <w:pPr>
        <w:spacing w:before="0" w:after="80" w:lineRule="auto" w:line="276"/>
      </w:pPr>
      <w:r>
        <w:rPr>
          <w:b/>
        </w:rPr>
        <w:t xml:space="preserve">摘要（ZH）: </w:t>
      </w:r>
      <w:r>
        <w:t>摘要 氮化硼（BN）是一种高反应活性的8价电子双原子分子，在环境条件下不稳定。然而，在&gt;900°C的温度下，可以制备陶瓷(BN)n多晶型物。由于高度极性的 B-N 键，与碳等电子体（例如金刚石、石墨和碳纳米管 (CNT)）、(BN)n 多晶型物表现出显着不同的特性。 (BN)n材料的高温合成阻碍了分子BN的分离和研究。在此，我们报道了 EtCAAC-BeqN-B(C6F5)3 的合成，这是一种供体-受体稳定的分子氮化硼。单晶 X 射线衍射以及核磁共振、红外和拉曼光谱研究与密度泛函理论计算相结合，支持中心 B = N 单元表现出三键特征的观点。初步反应性表明，该化合物不会与结构相似的亚氨基硼烷发生类似的反应，如中心硼和氮原子的热挤出所证明的那样。</w:t>
      </w:r>
    </w:p>
    <w:p>
      <w:pPr>
        <w:spacing w:before="0" w:after="200" w:lineRule="auto" w:line="276"/>
      </w:pPr>
      <w:r>
        <w:rPr>
          <w:b/>
        </w:rPr>
        <w:t xml:space="preserve">Abstract (EN): </w:t>
      </w:r>
      <w:r>
        <w:t>Boron nitride (BN) is a highly reactive 8 valence electron diatomic molecule, unstable under ambient conditions; however, at temperatures &amp;gt;900 °C, ceramic (BN)n polymorphs can be prepared. Isoelectronic to carbon isosteres such as diamond, graphite, and carbon nanotubes (CNTs), (BN)n polymorphs exhibit remarkably different properties owing to the highly polar B–N bonds. The high temperature synthesis of (BN)n materials preclude the isolation and study of molecular BN. Herein, we report the synthesis of EtCAAC–B≡N–B(C6F5)3, a donor–acceptor stabilized molecular boron nitride. Single-crystal X-ray diffraction as well as nuclear magnetic resonance, infrared, and Raman spectroscopic studies coupled with density functional theory calculations support the notion that the central B≡N unit exhibits triple bond character. Preliminary reactivity indicates that this compound does not react analogously to structurally similar iminoboranes as evidenced by the thermal extrusion of the central boron and nitrogen atoms.</w:t>
      </w:r>
    </w:p>
    <w:p>
      <w:pPr>
        <w:spacing w:before="120" w:after="120"/>
      </w:pPr>
      <w:r>
        <w:rPr>
          <w:sz w:val="18"/>
        </w:rPr>
        <w:t>——————————————————————————————————————————————————————————————————————</w:t>
      </w:r>
    </w:p>
    <w:p>
      <w:pPr>
        <w:spacing w:before="160" w:after="40" w:line="240" w:lineRule="auto"/>
      </w:pPr>
      <w:r>
        <w:rPr>
          <w:b/>
        </w:rPr>
        <w:t xml:space="preserve">[475] </w:t>
      </w:r>
      <w:hyperlink r:id="rId1487">
        <w:r>
          <w:rPr>
            <w:color w:val="1155CC"/>
            <w:u w:val="single"/>
          </w:rPr>
          <w:t>二氧化碳水平的增加有利于 C4 草的生产</w:t>
        </w:r>
      </w:hyperlink>
    </w:p>
    <w:p>
      <w:pPr>
        <w:spacing w:before="0" w:after="80"/>
      </w:pPr>
      <w:r>
        <w:rPr>
          <w:i/>
          <w:sz w:val="20"/>
        </w:rPr>
        <w:t>EN: Increasing CO2 levels fertilize C4 grass production</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88">
        <w:r>
          <w:rPr>
            <w:color w:val="1155CC"/>
            <w:u w:val="single"/>
          </w:rPr>
          <w:t>10.1038/s41586-026-10935-4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大气中二氧化碳浓度上升</w:t>
      </w:r>
      <w:r>
        <w:rPr>
          <w:vertAlign w:val="subscript"/>
        </w:rPr>
        <w:t>2</w:t>
      </w:r>
      <w:r>
        <w:t>浓度通过间接气候影响和对植物性能的直接影响影响全球陆地生物圈</w:t>
      </w:r>
      <w:r>
        <w:t xml:space="preserve"> </w:t>
      </w:r>
      <w:r>
        <w:t>1–3</w:t>
      </w:r>
      <w:r>
        <w:t xml:space="preserve"> </w:t>
      </w:r>
      <w:r>
        <w:t>。在热带森林中，长期监测表明存在大量二氧化碳</w:t>
      </w:r>
      <w:r>
        <w:rPr>
          <w:vertAlign w:val="subscript"/>
        </w:rPr>
        <w:t>2</w:t>
      </w:r>
      <w:r>
        <w:t>驱动碳汇</w:t>
      </w:r>
      <w:r>
        <w:rPr>
          <w:vertAlign w:val="subscript"/>
        </w:rPr>
        <w:t>4</w:t>
      </w:r>
      <w:r>
        <w:t>。 C</w:t>
      </w:r>
      <w:r>
        <w:rPr>
          <w:vertAlign w:val="subscript"/>
        </w:rPr>
        <w:t>4</w:t>
      </w:r>
      <w:r>
        <w:t>-以草为主的热带和亚热带稀树草原贡献了陆地净初级生产力的约30%</w:t>
      </w:r>
      <w:r>
        <w:rPr>
          <w:vertAlign w:val="subscript"/>
        </w:rPr>
        <w:t>5</w:t>
      </w:r>
      <w:r>
        <w:t>，以及 CO 的等效长期分析</w:t>
      </w:r>
      <w:r>
        <w:rPr>
          <w:vertAlign w:val="subscript"/>
        </w:rPr>
        <w:t>2</w:t>
      </w:r>
      <w:r>
        <w:t>缺乏回应。在这里，我们展示了对 70 CO 的荟萃分析的清晰一致的结果</w:t>
      </w:r>
      <w:r>
        <w:rPr>
          <w:vertAlign w:val="subscript"/>
        </w:rPr>
        <w:t>2</w:t>
      </w:r>
      <w:r>
        <w:t>- 南部非洲的附加实验和 32 年现场实地观测：CO</w:t>
      </w:r>
      <w:r>
        <w:rPr>
          <w:vertAlign w:val="subscript"/>
        </w:rPr>
        <w:t>2</w:t>
      </w:r>
      <w:r>
        <w:t>野生C的受精</w:t>
      </w:r>
      <w:r>
        <w:rPr>
          <w:vertAlign w:val="subscript"/>
        </w:rPr>
        <w:t>4</w:t>
      </w:r>
      <w:r>
        <w:t>草在干燥条件下广泛分布。在实验中，草在较高浓度的二氧化碳下降低了气孔导度</w:t>
      </w:r>
      <w:r>
        <w:rPr>
          <w:vertAlign w:val="subscript"/>
        </w:rPr>
        <w:t>2</w:t>
      </w:r>
      <w:r>
        <w:t>，限制水分流失，同时增加碳增益。在现场，用水效率的提高转化为碳的增加</w:t>
      </w:r>
      <w:r>
        <w:rPr>
          <w:vertAlign w:val="subscript"/>
        </w:rPr>
        <w:t>4</w:t>
      </w:r>
      <w:r>
        <w:t>三十年观测中的草生物量生产。最后，通过社区土地模型进行模拟</w:t>
      </w:r>
      <w:r>
        <w:rPr>
          <w:vertAlign w:val="subscript"/>
        </w:rPr>
        <w:t>6</w:t>
      </w:r>
      <w:r>
        <w:t>建议CO</w:t>
      </w:r>
    </w:p>
    <w:p>
      <w:pPr>
        <w:spacing w:before="0" w:after="200" w:lineRule="auto" w:line="276"/>
      </w:pPr>
      <w:r>
        <w:rPr>
          <w:b/>
        </w:rPr>
        <w:t xml:space="preserve">Abstract (EN): </w:t>
      </w:r>
      <w:r>
        <w:t>Rising atmospheric CO</w:t>
      </w:r>
      <w:r>
        <w:rPr>
          <w:vertAlign w:val="subscript"/>
        </w:rPr>
        <w:t>2</w:t>
      </w:r>
      <w:r>
        <w:t>concentrations are impacting the global terrestrial biosphere through indirect climate effects and direct effects on plant performance</w:t>
      </w:r>
      <w:r>
        <w:t xml:space="preserve"> </w:t>
      </w:r>
      <w:r>
        <w:t>1–3</w:t>
      </w:r>
      <w:r>
        <w:t xml:space="preserve"> </w:t>
      </w:r>
      <w:r>
        <w:t>. In tropical forests, long-term monitoring indicates a substantial CO</w:t>
      </w:r>
      <w:r>
        <w:rPr>
          <w:vertAlign w:val="subscript"/>
        </w:rPr>
        <w:t>2</w:t>
      </w:r>
      <w:r>
        <w:t>-driven carbon sink</w:t>
      </w:r>
      <w:r>
        <w:rPr>
          <w:vertAlign w:val="subscript"/>
        </w:rPr>
        <w:t>4</w:t>
      </w:r>
      <w:r>
        <w:t>. C</w:t>
      </w:r>
      <w:r>
        <w:rPr>
          <w:vertAlign w:val="subscript"/>
        </w:rPr>
        <w:t>4</w:t>
      </w:r>
      <w:r>
        <w:t>-grass-dominated tropical and subtropical savannas contribute approximately 30% of terrestrial net primary production</w:t>
      </w:r>
      <w:r>
        <w:rPr>
          <w:vertAlign w:val="subscript"/>
        </w:rPr>
        <w:t>5</w:t>
      </w:r>
      <w:r>
        <w:t>, and yet equivalent long-term analyses of CO</w:t>
      </w:r>
      <w:r>
        <w:rPr>
          <w:vertAlign w:val="subscript"/>
        </w:rPr>
        <w:t>2</w:t>
      </w:r>
      <w:r>
        <w:t>responses are lacking. Here we show a clear and consistent result across a meta-analysis of 70 CO</w:t>
      </w:r>
      <w:r>
        <w:rPr>
          <w:vertAlign w:val="subscript"/>
        </w:rPr>
        <w:t>2</w:t>
      </w:r>
      <w:r>
        <w:t>-addition experiments and 32 years of in situ field observations from southern Africa: CO</w:t>
      </w:r>
      <w:r>
        <w:rPr>
          <w:vertAlign w:val="subscript"/>
        </w:rPr>
        <w:t>2</w:t>
      </w:r>
      <w:r>
        <w:t>fertilization of wild C</w:t>
      </w:r>
      <w:r>
        <w:rPr>
          <w:vertAlign w:val="subscript"/>
        </w:rPr>
        <w:t>4</w:t>
      </w:r>
      <w:r>
        <w:t>grasses is widespread in dry conditions. In experiments, grasses reduced stomatal conductance under higher levels of CO</w:t>
      </w:r>
      <w:r>
        <w:rPr>
          <w:vertAlign w:val="subscript"/>
        </w:rPr>
        <w:t>2</w:t>
      </w:r>
      <w:r>
        <w:t>, limiting water loss while increasing carbon gain. In the field, improved water use efficiency translated into increased C</w:t>
      </w:r>
      <w:r>
        <w:rPr>
          <w:vertAlign w:val="subscript"/>
        </w:rPr>
        <w:t>4</w:t>
      </w:r>
      <w:r>
        <w:t>grass biomass production across three decades of observations. Finally, simulations via the Community Land Model</w:t>
      </w:r>
      <w:r>
        <w:rPr>
          <w:vertAlign w:val="subscript"/>
        </w:rPr>
        <w:t>6</w:t>
      </w:r>
      <w:r>
        <w:t>suggest that CO</w:t>
      </w:r>
      <w:r>
        <w:rPr>
          <w:vertAlign w:val="subscript"/>
        </w:rPr>
        <w:t>2</w:t>
      </w:r>
      <w:r>
        <w:t>fertilization of C</w:t>
      </w:r>
      <w:r>
        <w:rPr>
          <w:vertAlign w:val="subscript"/>
        </w:rPr>
        <w:t>4</w:t>
      </w:r>
      <w:r>
        <w:t>grass aboveground productivity may continue to increase under future conditions. Together, these results challenge the view that C</w:t>
      </w:r>
      <w:r>
        <w:rPr>
          <w:vertAlign w:val="subscript"/>
        </w:rPr>
        <w:t>4</w:t>
      </w:r>
      <w:r>
        <w:t>grasses are unresponsive to increasing levels of CO</w:t>
      </w:r>
      <w:r>
        <w:rPr>
          <w:vertAlign w:val="subscript"/>
        </w:rPr>
        <w:t>2</w:t>
      </w:r>
      <w:r>
        <w:t>, demonstrating instead that annual aboveground production of grasses in the field in southern Africa has increased by 28% over three decades (a CO</w:t>
      </w:r>
      <w:r>
        <w:rPr>
          <w:vertAlign w:val="subscript"/>
        </w:rPr>
        <w:t>2</w:t>
      </w:r>
      <w:r>
        <w:t>-driven increase of 75.1 g m</w:t>
      </w:r>
      <w:r>
        <w:t xml:space="preserve"> </w:t>
      </w:r>
      <w:r>
        <w:t>−2</w:t>
      </w:r>
      <w:r>
        <w:t xml:space="preserve"> </w:t>
      </w:r>
      <w:r>
        <w:t>(95% confidence interval of 74.5–75.8 g m</w:t>
      </w:r>
      <w:r>
        <w:t xml:space="preserve"> </w:t>
      </w:r>
      <w:r>
        <w:t>−2</w:t>
      </w:r>
      <w:r>
        <w:t xml:space="preserve"> </w:t>
      </w:r>
      <w:r>
        <w:t>) or 0.37 tons C ha</w:t>
      </w:r>
      <w:r>
        <w:t xml:space="preserve"> </w:t>
      </w:r>
      <w:r>
        <w:t>−1</w:t>
      </w:r>
      <w:r>
        <w:t xml:space="preserve"> </w:t>
      </w:r>
      <w:r>
        <w:t>of annual production). Although the fate of this carbon is uncertain (depending on feedbacks with fire, herbivory and woody vegetation), effects on the global carbon cycle may be profound.</w:t>
      </w:r>
    </w:p>
    <w:p>
      <w:pPr>
        <w:spacing w:before="120" w:after="120"/>
      </w:pPr>
      <w:r>
        <w:rPr>
          <w:sz w:val="18"/>
        </w:rPr>
        <w:t>——————————————————————————————————————————————————————————————————————</w:t>
      </w:r>
    </w:p>
    <w:p>
      <w:pPr>
        <w:spacing w:before="160" w:after="40" w:line="240" w:lineRule="auto"/>
      </w:pPr>
      <w:r>
        <w:rPr>
          <w:b/>
        </w:rPr>
        <w:t xml:space="preserve">[476] </w:t>
      </w:r>
      <w:hyperlink r:id="rId1489">
        <w:r>
          <w:rPr>
            <w:color w:val="1155CC"/>
            <w:u w:val="single"/>
          </w:rPr>
          <w:t>NbSe2 真空增强超导性的证据</w:t>
        </w:r>
      </w:hyperlink>
    </w:p>
    <w:p>
      <w:pPr>
        <w:spacing w:before="0" w:after="80"/>
      </w:pPr>
      <w:r>
        <w:rPr>
          <w:i/>
          <w:sz w:val="20"/>
        </w:rPr>
        <w:t>EN: Evidence for vacuum-enhanced superconductivity in NbSe2</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90">
        <w:r>
          <w:rPr>
            <w:color w:val="1155CC"/>
            <w:u w:val="single"/>
          </w:rPr>
          <w:t>10.1038/s41586-026-11037-x</w:t>
        </w:r>
      </w:hyperlink>
    </w:p>
    <w:p>
      <w:pPr>
        <w:spacing w:before="0" w:after="120"/>
      </w:pPr>
      <w:r>
        <w:rPr>
          <w:b/>
        </w:rPr>
        <w:t xml:space="preserve">Notes: </w:t>
      </w:r>
      <w:r>
        <w:t>abstract_source=nature_html</w:t>
      </w:r>
    </w:p>
    <w:p>
      <w:pPr>
        <w:spacing w:before="0" w:after="80" w:lineRule="auto" w:line="276"/>
      </w:pPr>
      <w:r>
        <w:rPr>
          <w:b/>
        </w:rPr>
        <w:t xml:space="preserve">摘要（ZH）: </w:t>
      </w:r>
      <w:r>
        <w:t>真空波动提供了一种以非侵入方式控制材料特性的重要新方法1-6。在这里，我们提供了实验证据表明它们可以增强超导性。 NbSe2 是一种层状过渡金属二硫属化物，具有良好的超导行为特征，为揭示这种效应提供了一个清晰的平台。我们观察到，当超导 NbSe2 嵌入开环腔谐振器时，其临界温度会升高。接近转变温度时，临界电流和临界场急剧增加。我们的观察结果与理论计算一致，表明电子自由度和涨落腔模式之间的杂化降低了超导态的能量。通过提供通过真空波动增强超导性的原理验证演示，我们的工作建立了一种用于控制量子技术支柱的非侵入性技术。</w:t>
      </w:r>
    </w:p>
    <w:p>
      <w:pPr>
        <w:spacing w:before="0" w:after="200" w:lineRule="auto" w:line="276"/>
      </w:pPr>
      <w:r>
        <w:rPr>
          <w:b/>
        </w:rPr>
        <w:t xml:space="preserve">Abstract (EN): </w:t>
      </w:r>
      <w:r>
        <w:t>Vacuum fluctuations provide an important new way to control material properties noninvasively1-6. Here, we present experimental evidence that they can enhance superconductivity. NbSe2 is a layered transition-metal dichalcogenide with well-characterized superconducting behavior, providing a clear platform to reveal this effect. We have observed an increase in the critical temperature of superconducting NbSe2 when it is embedded in a split-ring cavity resonator. Near the transition temperature, the critical current and critical field increase dramatically. Our observations are consistent with theoretical calculations showing that hybridization between electronic degrees of freedom and fluctuating cavity modes lowers the energy of the superconducting state. By providing a proof-of-principle demonstration of superconductivity enhancement via vacuum fluctuations, our work establishes a noninvasive technique for controlling the mainstay of quantum technology.</w:t>
      </w:r>
    </w:p>
    <w:p>
      <w:pPr>
        <w:spacing w:before="120" w:after="120"/>
      </w:pPr>
      <w:r>
        <w:rPr>
          <w:sz w:val="18"/>
        </w:rPr>
        <w:t>——————————————————————————————————————————————————————————————————————</w:t>
      </w:r>
    </w:p>
    <w:p>
      <w:pPr>
        <w:spacing w:before="160" w:after="40" w:line="240" w:lineRule="auto"/>
      </w:pPr>
      <w:r>
        <w:rPr>
          <w:b/>
        </w:rPr>
        <w:t xml:space="preserve">[477] </w:t>
      </w:r>
      <w:hyperlink r:id="rId1491">
        <w:r>
          <w:rPr>
            <w:color w:val="1155CC"/>
            <w:u w:val="single"/>
          </w:rPr>
          <w:t>过多的配偶选择让青蛙不知所措</w:t>
        </w:r>
      </w:hyperlink>
    </w:p>
    <w:p>
      <w:pPr>
        <w:spacing w:before="0" w:after="80"/>
      </w:pPr>
      <w:r>
        <w:rPr>
          <w:i/>
          <w:sz w:val="20"/>
        </w:rPr>
        <w:t>EN: Too much mate choice overwhelms frogs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492">
        <w:r>
          <w:rPr>
            <w:color w:val="1155CC"/>
            <w:u w:val="single"/>
          </w:rPr>
          <w:t>10.1038/d41586-026-02554-w</w:t>
        </w:r>
      </w:hyperlink>
    </w:p>
    <w:p>
      <w:pPr>
        <w:spacing w:before="0" w:after="120"/>
      </w:pPr>
      <w:r>
        <w:rPr>
          <w:b/>
        </w:rPr>
        <w:t xml:space="preserve">Notes: </w:t>
      </w:r>
      <w:r>
        <w:t>abstract_source=nature_html</w:t>
      </w:r>
    </w:p>
    <w:p>
      <w:pPr>
        <w:spacing w:before="0" w:after="80" w:lineRule="auto" w:line="276"/>
      </w:pPr>
      <w:r>
        <w:rPr>
          <w:b/>
        </w:rPr>
        <w:t xml:space="preserve">摘要（ZH）: </w:t>
      </w:r>
      <w:r>
        <w:t>当听到雄性树蛙的合唱时，雌性树蛙的选择不太仔细。</w:t>
      </w:r>
    </w:p>
    <w:p>
      <w:pPr>
        <w:spacing w:before="0" w:after="200" w:lineRule="auto" w:line="276"/>
      </w:pPr>
      <w:r>
        <w:rPr>
          <w:b/>
        </w:rPr>
        <w:t xml:space="preserve">Abstract (EN): </w:t>
      </w:r>
      <w:r>
        <w:t>Female treefrogs select less carefully when hearing a chorus of males.</w:t>
      </w:r>
    </w:p>
    <w:p>
      <w:pPr>
        <w:spacing w:before="120" w:after="120"/>
      </w:pPr>
      <w:r>
        <w:rPr>
          <w:sz w:val="18"/>
        </w:rPr>
        <w:t>——————————————————————————————————————————————————————————————————————</w:t>
      </w:r>
    </w:p>
    <w:p>
      <w:pPr>
        <w:spacing w:before="160" w:after="40" w:line="240" w:lineRule="auto"/>
      </w:pPr>
      <w:r>
        <w:rPr>
          <w:b/>
        </w:rPr>
        <w:t xml:space="preserve">[478] </w:t>
      </w:r>
      <w:hyperlink r:id="rId1493">
        <w:r>
          <w:rPr>
            <w:color w:val="1155CC"/>
            <w:u w:val="single"/>
          </w:rPr>
          <w:t>对“中空 MOF 微环境中 PdAg 纳米笼的光诱导选择性氢化”的修正</w:t>
        </w:r>
      </w:hyperlink>
    </w:p>
    <w:p>
      <w:pPr>
        <w:spacing w:before="0" w:after="80"/>
      </w:pPr>
      <w:r>
        <w:rPr>
          <w:i/>
          <w:sz w:val="20"/>
        </w:rPr>
        <w:t>EN: Correction to “Light-Induced Selective Hydrogenation over PdAg Nanocages in Hollow MOF Microenvironment”</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494">
        <w:r>
          <w:rPr>
            <w:color w:val="1155CC"/>
            <w:u w:val="single"/>
          </w:rPr>
          <w:t>10.1021/jacs.6c15648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[479] </w:t>
      </w:r>
      <w:hyperlink r:id="rId1495">
        <w:r>
          <w:rPr>
            <w:color w:val="1155CC"/>
            <w:u w:val="single"/>
          </w:rPr>
          <w:t>从平衡态到超快反铁磁性</w:t>
        </w:r>
      </w:hyperlink>
    </w:p>
    <w:p>
      <w:pPr>
        <w:spacing w:before="0" w:after="80"/>
      </w:pPr>
      <w:r>
        <w:rPr>
          <w:i/>
          <w:sz w:val="20"/>
        </w:rPr>
        <w:t>EN: From equilibrium to ultrafast antiferromagnetism</w:t>
      </w:r>
    </w:p>
    <w:p>
      <w:pPr>
        <w:spacing w:before="0" w:after="120"/>
      </w:pPr>
      <w:r>
        <w:rPr>
          <w:b/>
        </w:rPr>
        <w:t xml:space="preserve">Source: </w:t>
      </w:r>
      <w:r>
        <w:t>Nature Materials</w:t>
      </w:r>
      <w:r>
        <w:t xml:space="preserve">    </w:t>
      </w:r>
      <w:r>
        <w:rPr>
          <w:b/>
        </w:rPr>
        <w:t xml:space="preserve">Pub date: </w:t>
      </w:r>
      <w:r>
        <w:t>2026-08-19 00:00:00+00:00</w:t>
      </w:r>
      <w:r>
        <w:t xml:space="preserve">    </w:t>
      </w:r>
      <w:r>
        <w:rPr>
          <w:b/>
        </w:rPr>
        <w:t xml:space="preserve">DOI: </w:t>
      </w:r>
      <w:hyperlink r:id="rId1496">
        <w:r>
          <w:rPr>
            <w:color w:val="1155CC"/>
            <w:u w:val="single"/>
          </w:rPr>
          <w:t>10.1038/s41563-026-02686-4</w:t>
        </w:r>
      </w:hyperlink>
    </w:p>
    <w:p>
      <w:pPr>
        <w:spacing w:before="0" w:after="120"/>
      </w:pPr>
      <w:r>
        <w:rPr>
          <w:b/>
        </w:rPr>
        <w:t xml:space="preserve">Notes: </w:t>
      </w:r>
      <w:r>
        <w:t>abstract_source=pubmed</w:t>
      </w:r>
    </w:p>
    <w:p>
      <w:pPr>
        <w:spacing w:before="0" w:after="80" w:lineRule="auto" w:line="276"/>
      </w:pPr>
      <w:r>
        <w:rPr>
          <w:b/>
        </w:rPr>
        <w:t xml:space="preserve">摘要（ZH）: </w:t>
      </w:r>
      <w:r>
        <w:t>尽管铁磁体自古以来就为人所知，但反铁磁体直到二十世纪才被发现，并且代表了一类规模更大、探索较少的磁体。在这篇综述中，我们提出了目前对反铁磁体自旋对超短激光刺激的超快响应的理解。我们逐步从平衡态过渡到超快非平衡态动力学，强调了使反铁磁体中的超快磁响应与铁磁体中的超快磁响应在性质上截然不同的基本支柱。在这篇综述中，我们展示了超短激光激发如何作为研究和控制反铁磁体的强大工具，提供超快时间尺度上的相干太赫兹自旋动力学、耗散机制、非线性相互作用和磁开关。这种丰富的基础物理和先进控制能力的独特结合使反铁磁体既成为基础研究的一个令人着迷的课题，又成为下一代超快和低耗散自旋电子技术的有前途的平台。</w:t>
      </w:r>
    </w:p>
    <w:p>
      <w:pPr>
        <w:spacing w:before="0" w:after="200" w:lineRule="auto" w:line="276"/>
      </w:pPr>
      <w:r>
        <w:rPr>
          <w:b/>
        </w:rPr>
        <w:t xml:space="preserve">Abstract (EN): </w:t>
      </w:r>
      <w:r>
        <w:t>Although ferromagnets are known from ancient times, antiferromagnets were only discovered in the twentieth century and represent a much larger, less explored class of magnets. In this Review, we present the current understanding of the ultrafast response of spins in antiferromagnets to ultrashort laser stimuli. We progressively transition from equilibrium to ultrafast out-of-equilibrium dynamics, highlighting fundamental pillars that make the ultrafast magnetic response in antiferromagnets qualitatively distinct, compared with that in ferromagnets. Throughout this Review, we demonstrate how ultrashort laser excitation serves as a powerful tool for investigating and controlling antiferromagnets, providing access to coherent terahertz spin dynamics, dissipation mechanisms, nonlinear interactions and magnetic switching on ultrafast timescales. This unique combination of rich fundamental physics and advanced control capabilities positions antiferromagnets as both a fascinating subject of basic research and a promising platform for next-generation ultrafast and low-dissipation spintronic technologies.</w:t>
      </w:r>
    </w:p>
    <w:p>
      <w:pPr>
        <w:spacing w:before="120" w:after="120"/>
      </w:pPr>
      <w:r>
        <w:rPr>
          <w:sz w:val="18"/>
        </w:rPr>
        <w:t>——————————————————————————————————————————————————————————————————————</w:t>
      </w:r>
    </w:p>
    <w:p>
      <w:pPr>
        <w:spacing w:before="160" w:after="40" w:line="240" w:lineRule="auto"/>
      </w:pPr>
      <w:r>
        <w:rPr>
          <w:b/>
        </w:rPr>
        <w:t xml:space="preserve">[480] </w:t>
      </w:r>
      <w:hyperlink r:id="rId1497">
        <w:r>
          <w:rPr>
            <w:color w:val="1155CC"/>
            <w:u w:val="single"/>
          </w:rPr>
          <w:t>气候影响分类法将 IPCC 物理驱动因素和风险概念付诸实践</w:t>
        </w:r>
      </w:hyperlink>
    </w:p>
    <w:p>
      <w:pPr>
        <w:spacing w:before="0" w:after="80"/>
      </w:pPr>
      <w:r>
        <w:rPr>
          <w:i/>
          <w:sz w:val="20"/>
        </w:rPr>
        <w:t>EN: A climate impact taxonomy operationalizing IPCC physical driver and risk concepts</w:t>
      </w:r>
    </w:p>
    <w:p>
      <w:pPr>
        <w:spacing w:before="0" w:after="120"/>
      </w:pPr>
      <w:r>
        <w:rPr>
          <w:b/>
        </w:rPr>
        <w:t xml:space="preserve">Source: </w:t>
      </w:r>
      <w:r>
        <w:t>Nature Climate Change</w:t>
      </w:r>
      <w:r>
        <w:t xml:space="preserve">    </w:t>
      </w:r>
      <w:r>
        <w:rPr>
          <w:b/>
        </w:rPr>
        <w:t xml:space="preserve">Pub date: </w:t>
      </w:r>
      <w:r>
        <w:t>2026-08-19 00:00:00+00:00</w:t>
      </w:r>
      <w:r>
        <w:t xml:space="preserve">    </w:t>
      </w:r>
      <w:r>
        <w:rPr>
          <w:b/>
        </w:rPr>
        <w:t xml:space="preserve">DOI: </w:t>
      </w:r>
      <w:hyperlink r:id="rId1498">
        <w:r>
          <w:rPr>
            <w:color w:val="1155CC"/>
            <w:u w:val="single"/>
          </w:rPr>
          <w:t>10.1038/s41558-026-02717-7</w:t>
        </w:r>
      </w:hyperlink>
    </w:p>
    <w:p>
      <w:pPr>
        <w:spacing w:before="0" w:after="120"/>
      </w:pPr>
      <w:r>
        <w:rPr>
          <w:b/>
        </w:rPr>
        <w:t xml:space="preserve">Notes: </w:t>
      </w:r>
      <w:r>
        <w:t>abstract_source=rss_nature</w:t>
      </w:r>
    </w:p>
    <w:p>
      <w:pPr>
        <w:spacing w:before="0" w:after="80" w:lineRule="auto" w:line="276"/>
      </w:pPr>
      <w:r>
        <w:rPr>
          <w:b/>
        </w:rPr>
        <w:t xml:space="preserve">摘要（ZH）: </w:t>
      </w:r>
      <w:r>
        <w:t>适应气候风险需要整合政府间气候变化专门委员会各工作组的知识。本研究提出了一种气候影响分类法，将第一工作组的气候影响驱动因素与第二工作组的代表性关键风险联系起来，并为风险评估和适应战略提供更直接的指导。</w:t>
      </w:r>
    </w:p>
    <w:p>
      <w:pPr>
        <w:spacing w:before="0" w:after="200" w:lineRule="auto" w:line="276"/>
      </w:pPr>
      <w:r>
        <w:rPr>
          <w:b/>
        </w:rPr>
        <w:t xml:space="preserve">Abstract (EN): </w:t>
      </w:r>
      <w:r>
        <w:t>Adaptation to climate risks requires integrating knowledge across IPCC working groups. This study presents a climate impact taxonomy that connects climatic impact-drivers from Working Group I to representative key risks from Working Group II and provides more direct guidance for risk assessment and adaptation strategies.</w:t>
      </w:r>
    </w:p>
    <w:p>
      <w:pPr>
        <w:spacing w:before="120" w:after="120"/>
      </w:pPr>
      <w:r>
        <w:rPr>
          <w:sz w:val="18"/>
        </w:rPr>
        <w:t>——————————————————————————————————————————————————————————————————————</w:t>
      </w:r>
    </w:p>
    <w:p>
      <w:pPr>
        <w:spacing w:before="160" w:after="40" w:line="240" w:lineRule="auto"/>
      </w:pPr>
      <w:r>
        <w:rPr>
          <w:b/>
        </w:rPr>
        <w:t xml:space="preserve">[481] </w:t>
      </w:r>
      <w:hyperlink r:id="rId1499">
        <w:r>
          <w:rPr>
            <w:color w:val="1155CC"/>
            <w:u w:val="single"/>
          </w:rPr>
          <w:t>公正对待热应激的非正式适应</w:t>
        </w:r>
      </w:hyperlink>
    </w:p>
    <w:p>
      <w:pPr>
        <w:spacing w:before="0" w:after="80"/>
      </w:pPr>
      <w:r>
        <w:rPr>
          <w:i/>
          <w:sz w:val="20"/>
        </w:rPr>
        <w:t>EN: Bringing justice to informal adaptation to heat stress</w:t>
      </w:r>
    </w:p>
    <w:p>
      <w:pPr>
        <w:spacing w:before="0" w:after="120"/>
      </w:pPr>
      <w:r>
        <w:rPr>
          <w:b/>
        </w:rPr>
        <w:t xml:space="preserve">Source: </w:t>
      </w:r>
      <w:r>
        <w:t>Nature Climate Change</w:t>
      </w:r>
      <w:r>
        <w:t xml:space="preserve">    </w:t>
      </w:r>
      <w:r>
        <w:rPr>
          <w:b/>
        </w:rPr>
        <w:t xml:space="preserve">Pub date: </w:t>
      </w:r>
      <w:r>
        <w:t>2026-08-19 00:00:00+00:00</w:t>
      </w:r>
      <w:r>
        <w:t xml:space="preserve">    </w:t>
      </w:r>
      <w:r>
        <w:rPr>
          <w:b/>
        </w:rPr>
        <w:t xml:space="preserve">DOI: </w:t>
      </w:r>
      <w:hyperlink r:id="rId1500">
        <w:r>
          <w:rPr>
            <w:color w:val="1155CC"/>
            <w:u w:val="single"/>
          </w:rPr>
          <w:t>10.1038/s41558-026-02728-4</w:t>
        </w:r>
      </w:hyperlink>
    </w:p>
    <w:p>
      <w:pPr>
        <w:spacing w:before="0" w:after="120"/>
      </w:pPr>
      <w:r>
        <w:rPr>
          <w:b/>
        </w:rPr>
        <w:t xml:space="preserve">Notes: </w:t>
      </w:r>
      <w:r>
        <w:t>abstract_source=rss_nature</w:t>
      </w:r>
    </w:p>
    <w:p>
      <w:pPr>
        <w:spacing w:before="0" w:after="80" w:lineRule="auto" w:line="276"/>
      </w:pPr>
      <w:r>
        <w:rPr>
          <w:b/>
        </w:rPr>
        <w:t xml:space="preserve">摘要（ZH）: </w:t>
      </w:r>
      <w:r>
        <w:t>非正式适应可以通过灵活和反应迅速的行动来增强或取代正式适应，但它也可能重现和加剧现有的不公正现象。我们建议非正式和正式行动之间以正义为导向的共同创造，作为有效热适应的途径。</w:t>
      </w:r>
    </w:p>
    <w:p>
      <w:pPr>
        <w:spacing w:before="0" w:after="200" w:lineRule="auto" w:line="276"/>
      </w:pPr>
      <w:r>
        <w:rPr>
          <w:b/>
        </w:rPr>
        <w:t xml:space="preserve">Abstract (EN): </w:t>
      </w:r>
      <w:r>
        <w:t>Informal adaptation can augment or replace formal adaptation with flexible and responsive actions, yet it can also reproduce and intensify existing injustices. We propose justice-oriented co-creation between informal and formal actions as a pathway for effective heat adaptation.</w:t>
      </w:r>
    </w:p>
    <w:p>
      <w:pPr>
        <w:spacing w:before="120" w:after="120"/>
      </w:pPr>
      <w:r>
        <w:rPr>
          <w:sz w:val="18"/>
        </w:rPr>
        <w:t>——————————————————————————————————————————————————————————————————————</w:t>
      </w:r>
    </w:p>
    <w:p>
      <w:pPr>
        <w:spacing w:before="160" w:after="40" w:line="240" w:lineRule="auto"/>
      </w:pPr>
      <w:r>
        <w:rPr>
          <w:b/>
        </w:rPr>
        <w:t xml:space="preserve">[482] </w:t>
      </w:r>
      <w:hyperlink r:id="rId1501">
        <w:r>
          <w:rPr>
            <w:color w:val="1155CC"/>
            <w:u w:val="single"/>
          </w:rPr>
          <w:t>城市气候变化适应中的热正义</w:t>
        </w:r>
      </w:hyperlink>
    </w:p>
    <w:p>
      <w:pPr>
        <w:spacing w:before="0" w:after="80"/>
      </w:pPr>
      <w:r>
        <w:rPr>
          <w:i/>
          <w:sz w:val="20"/>
        </w:rPr>
        <w:t>EN: Thermal justice in urban climate change adaptation</w:t>
      </w:r>
    </w:p>
    <w:p>
      <w:pPr>
        <w:spacing w:before="0" w:after="120"/>
      </w:pPr>
      <w:r>
        <w:rPr>
          <w:b/>
        </w:rPr>
        <w:t xml:space="preserve">Source: </w:t>
      </w:r>
      <w:r>
        <w:t>Nature Climate Change</w:t>
      </w:r>
      <w:r>
        <w:t xml:space="preserve">    </w:t>
      </w:r>
      <w:r>
        <w:rPr>
          <w:b/>
        </w:rPr>
        <w:t xml:space="preserve">Pub date: </w:t>
      </w:r>
      <w:r>
        <w:t>2026-08-19 00:00:00+00:00</w:t>
      </w:r>
      <w:r>
        <w:t xml:space="preserve">    </w:t>
      </w:r>
      <w:r>
        <w:rPr>
          <w:b/>
        </w:rPr>
        <w:t xml:space="preserve">DOI: </w:t>
      </w:r>
      <w:hyperlink r:id="rId1502">
        <w:r>
          <w:rPr>
            <w:color w:val="1155CC"/>
            <w:u w:val="single"/>
          </w:rPr>
          <w:t>10.1038/s41558-026-02727-5</w:t>
        </w:r>
      </w:hyperlink>
    </w:p>
    <w:p>
      <w:pPr>
        <w:spacing w:before="0" w:after="120"/>
      </w:pPr>
      <w:r>
        <w:rPr>
          <w:b/>
        </w:rPr>
        <w:t xml:space="preserve">Notes: </w:t>
      </w:r>
      <w:r>
        <w:t>abstract_source=rss_nature</w:t>
      </w:r>
    </w:p>
    <w:p>
      <w:pPr>
        <w:spacing w:before="0" w:after="80" w:lineRule="auto" w:line="276"/>
      </w:pPr>
      <w:r>
        <w:rPr>
          <w:b/>
        </w:rPr>
        <w:t xml:space="preserve">摘要（ZH）: </w:t>
      </w:r>
      <w:r>
        <w:t>极端高温事件正在增加，人类和非人类迫切需要城市适应才能在高温下安全运作。在这里，我们提出了一个热正义框架，并强调了它的使用如何促进公平适应并最大限度地减少热风险迁移。</w:t>
      </w:r>
    </w:p>
    <w:p>
      <w:pPr>
        <w:spacing w:before="0" w:after="200" w:lineRule="auto" w:line="276"/>
      </w:pPr>
      <w:r>
        <w:rPr>
          <w:b/>
        </w:rPr>
        <w:t xml:space="preserve">Abstract (EN): </w:t>
      </w:r>
      <w:r>
        <w:t>Extreme heat events are increasing, and urban adaptation is urgently needed for humans and non-humans to function safely under heat. Here we present a thermal justice framework and highlight how its use facilitates equitable adaptation and minimizes heat-risk displacement.</w:t>
      </w:r>
    </w:p>
    <w:p>
      <w:pPr>
        <w:spacing w:before="120" w:after="120"/>
      </w:pPr>
      <w:r>
        <w:rPr>
          <w:sz w:val="18"/>
        </w:rPr>
        <w:t>——————————————————————————————————————————————————————————————————————</w:t>
      </w:r>
    </w:p>
    <w:p>
      <w:pPr>
        <w:spacing w:before="160" w:after="40" w:line="240" w:lineRule="auto"/>
      </w:pPr>
      <w:r>
        <w:rPr>
          <w:b/>
        </w:rPr>
        <w:t xml:space="preserve">[483] </w:t>
      </w:r>
      <w:hyperlink r:id="rId1503">
        <w:r>
          <w:rPr>
            <w:color w:val="1155CC"/>
            <w:u w:val="single"/>
          </w:rPr>
          <w:t>领导者-追随者动态的不对称前额叶表征</w:t>
        </w:r>
      </w:hyperlink>
    </w:p>
    <w:p>
      <w:pPr>
        <w:spacing w:before="0" w:after="80"/>
      </w:pPr>
      <w:r>
        <w:rPr>
          <w:i/>
          <w:sz w:val="20"/>
        </w:rPr>
        <w:t>EN: Asymmetric prefrontal representations for leader–follower dynamics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04">
        <w:r>
          <w:rPr>
            <w:color w:val="1155CC"/>
            <w:u w:val="single"/>
          </w:rPr>
          <w:t>10.1038/s41586-026-10900-1</w:t>
        </w:r>
      </w:hyperlink>
    </w:p>
    <w:p>
      <w:pPr>
        <w:spacing w:before="0" w:after="120"/>
      </w:pPr>
      <w:r>
        <w:rPr>
          <w:b/>
        </w:rPr>
        <w:t xml:space="preserve">Notes: </w:t>
      </w:r>
      <w:r>
        <w:t>abstract_source=pubmed</w:t>
      </w:r>
    </w:p>
    <w:p>
      <w:pPr>
        <w:spacing w:before="0" w:after="80" w:lineRule="auto" w:line="276"/>
      </w:pPr>
      <w:r>
        <w:rPr>
          <w:b/>
        </w:rPr>
        <w:t xml:space="preserve">摘要（ZH）: </w:t>
      </w:r>
      <w:r>
        <w:t>在物种之间，合作行为通常是由不同的社会角色（例如领导者和追随者）组织的，但支持这些新兴角色动态的神经机制仍不清楚。在这里，我们介绍了一种捕获合作期间领导者-追随者动态的鼠标范例。在这种范式中，稳定的社会角色通过交互作用出现并预测学习速度。扰乱内侧前额叶皮层（mPFC）的活动，尤其是追随者的内侧前额叶皮层（mPFC）的活动，会损害合作，并导致动物在决策过程中权衡自我和伙伴相关线索的互补性转变。钙成像显示，mPFC 代表领导者-追随者动态，并以角色依赖的方式计算合作伙伴位置的以自我为中心的社会价值图。通过将这些实证研究结果与多主体逆强化学习框架相结合，我们确定了指导合作决策并可从 mPFC 活动中解码的潜在价值函数。这些发现确定了领导者-追随者动态和合作伙伴信息的前额表征，揭示了社会角色如何构建对联合决策的不对称但互惠的影响。</w:t>
      </w:r>
    </w:p>
    <w:p>
      <w:pPr>
        <w:spacing w:before="0" w:after="200" w:lineRule="auto" w:line="276"/>
      </w:pPr>
      <w:r>
        <w:rPr>
          <w:b/>
        </w:rPr>
        <w:t xml:space="preserve">Abstract (EN): </w:t>
      </w:r>
      <w:r>
        <w:t>Across species, cooperative behaviour is often organized by distinct social roles such as leaders and followers1, yet the neural mechanisms that support these emergent role dynamics remain unclear. Here we introduce a mouse paradigm that captures leader-follower dynamics during cooperation. In this paradigm, stable social roles emerge through reciprocal interaction and predict learning speed. Disrupting the activity of the medial prefrontal cortex (mPFC), particularly in followers, impairs cooperation and induces complementary shifts in how animals weigh self- and partner-related cues during decision-making. Calcium imaging reveals that the mPFC represents leader-follower dynamics and computes an egocentric social value map of the partner's position in a role-dependent manner. By integrating these empirical findings with a multi-agent inverse reinforcement learning framework, we identify latent value functions that guide cooperative decisions and are decodable from mPFC activity. These findings identify prefrontal representations of leader-follower dynamics and partner information, revealing how social roles structure asymmetric yet reciprocal influence over joint decisions.</w:t>
      </w:r>
    </w:p>
    <w:p>
      <w:pPr>
        <w:spacing w:before="120" w:after="120"/>
      </w:pPr>
      <w:r>
        <w:rPr>
          <w:sz w:val="18"/>
        </w:rPr>
        <w:t>——————————————————————————————————————————————————————————————————————</w:t>
      </w:r>
    </w:p>
    <w:p>
      <w:pPr>
        <w:spacing w:before="160" w:after="40" w:line="240" w:lineRule="auto"/>
      </w:pPr>
      <w:r>
        <w:rPr>
          <w:b/>
        </w:rPr>
        <w:t xml:space="preserve">[484] </w:t>
      </w:r>
      <w:hyperlink r:id="rId1505">
        <w:r>
          <w:rPr>
            <w:color w:val="1155CC"/>
            <w:u w:val="single"/>
          </w:rPr>
          <w:t>鲁道夫·A·马库斯讣告：解释电子如何在分子之间跳跃的理论化学家</w:t>
        </w:r>
      </w:hyperlink>
    </w:p>
    <w:p>
      <w:pPr>
        <w:spacing w:before="0" w:after="80"/>
      </w:pPr>
      <w:r>
        <w:rPr>
          <w:i/>
          <w:sz w:val="20"/>
        </w:rPr>
        <w:t>EN: Rudolph A. Marcus obituary: theoretical chemist who explained how electrons jump between molecules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06">
        <w:r>
          <w:rPr>
            <w:color w:val="1155CC"/>
            <w:u w:val="single"/>
          </w:rPr>
          <w:t>10.1038/d41586-026-02610-5</w:t>
        </w:r>
      </w:hyperlink>
    </w:p>
    <w:p>
      <w:pPr>
        <w:spacing w:before="0" w:after="120"/>
      </w:pPr>
      <w:r>
        <w:rPr>
          <w:b/>
        </w:rPr>
        <w:t xml:space="preserve">Notes: </w:t>
      </w:r>
      <w:r>
        <w:t>abstract_source=nature_html</w:t>
      </w:r>
    </w:p>
    <w:p>
      <w:pPr>
        <w:spacing w:before="0" w:after="80" w:lineRule="auto" w:line="276"/>
      </w:pPr>
      <w:r>
        <w:rPr>
          <w:b/>
        </w:rPr>
        <w:t xml:space="preserve">摘要（ZH）: </w:t>
      </w:r>
      <w:r>
        <w:t>他的计算解释了电池和太阳能电池的效率。</w:t>
      </w:r>
    </w:p>
    <w:p>
      <w:pPr>
        <w:spacing w:before="0" w:after="200" w:lineRule="auto" w:line="276"/>
      </w:pPr>
      <w:r>
        <w:rPr>
          <w:b/>
        </w:rPr>
        <w:t xml:space="preserve">Abstract (EN): </w:t>
      </w:r>
      <w:r>
        <w:t>His calculations explain the efficiency of batteries and solar cells.</w:t>
      </w:r>
    </w:p>
    <w:p>
      <w:pPr>
        <w:spacing w:before="120" w:after="120"/>
      </w:pPr>
      <w:r>
        <w:rPr>
          <w:sz w:val="18"/>
        </w:rPr>
        <w:t>——————————————————————————————————————————————————————————————————————</w:t>
      </w:r>
    </w:p>
    <w:p>
      <w:pPr>
        <w:spacing w:before="160" w:after="40" w:line="240" w:lineRule="auto"/>
      </w:pPr>
      <w:r>
        <w:rPr>
          <w:b/>
        </w:rPr>
        <w:t xml:space="preserve">[485] </w:t>
      </w:r>
      <w:hyperlink r:id="rId1507">
        <w:r>
          <w:rPr>
            <w:color w:val="1155CC"/>
            <w:u w:val="single"/>
          </w:rPr>
          <w:t>用于高性能计算和人工智能的共同封装光学器件</w:t>
        </w:r>
      </w:hyperlink>
    </w:p>
    <w:p>
      <w:pPr>
        <w:spacing w:before="0" w:after="80"/>
      </w:pPr>
      <w:r>
        <w:rPr>
          <w:i/>
          <w:sz w:val="20"/>
        </w:rPr>
        <w:t>EN: Co-packaged optics for high-performance computing and artificial intelligence</w:t>
      </w:r>
    </w:p>
    <w:p>
      <w:pPr>
        <w:spacing w:before="0" w:after="120"/>
      </w:pPr>
      <w:r>
        <w:rPr>
          <w:b/>
        </w:rPr>
        <w:t xml:space="preserve">Source: </w:t>
      </w:r>
      <w:r>
        <w:t>Nature Electronics</w:t>
      </w:r>
      <w:r>
        <w:t xml:space="preserve">    </w:t>
      </w:r>
      <w:r>
        <w:rPr>
          <w:b/>
        </w:rPr>
        <w:t xml:space="preserve">Pub date: </w:t>
      </w:r>
      <w:r>
        <w:t>2026-08-19 00:00:00+00:00</w:t>
      </w:r>
      <w:r>
        <w:t xml:space="preserve">    </w:t>
      </w:r>
      <w:r>
        <w:rPr>
          <w:b/>
        </w:rPr>
        <w:t xml:space="preserve">DOI: </w:t>
      </w:r>
      <w:hyperlink r:id="rId1508">
        <w:r>
          <w:rPr>
            <w:color w:val="1155CC"/>
            <w:u w:val="single"/>
          </w:rPr>
          <w:t>10.1038/s41928-026-01681-6</w:t>
        </w:r>
      </w:hyperlink>
    </w:p>
    <w:p>
      <w:pPr>
        <w:spacing w:before="0" w:after="120"/>
      </w:pPr>
      <w:r>
        <w:rPr>
          <w:b/>
        </w:rPr>
        <w:t xml:space="preserve">Notes: </w:t>
      </w:r>
      <w:r>
        <w:t>abstract_source=rss_nature</w:t>
      </w:r>
    </w:p>
    <w:p>
      <w:pPr>
        <w:spacing w:before="0" w:after="80" w:lineRule="auto" w:line="276"/>
      </w:pPr>
      <w:r>
        <w:rPr>
          <w:b/>
        </w:rPr>
        <w:t xml:space="preserve">摘要（ZH）: </w:t>
      </w:r>
      <w:r>
        <w:t>本综述研究了用于高性能计算应用的光学芯片到芯片互连和共同封装光学器件，考虑了关键功能域、不同集成策略的性能以及广泛采用的关键挑战。</w:t>
      </w:r>
    </w:p>
    <w:p>
      <w:pPr>
        <w:spacing w:before="0" w:after="200" w:lineRule="auto" w:line="276"/>
      </w:pPr>
      <w:r>
        <w:rPr>
          <w:b/>
        </w:rPr>
        <w:t xml:space="preserve">Abstract (EN): </w:t>
      </w:r>
      <w:r>
        <w:t>This Review examines optical chip-to-chip interconnects and co-packaged optics for high-performance computing applications, considering key functional domains, the performance of different integration strategies and the critical challenges to widespread adoption.</w:t>
      </w:r>
    </w:p>
    <w:p>
      <w:pPr>
        <w:spacing w:before="120" w:after="120"/>
      </w:pPr>
      <w:r>
        <w:rPr>
          <w:sz w:val="18"/>
        </w:rPr>
        <w:t>——————————————————————————————————————————————————————————————————————</w:t>
      </w:r>
    </w:p>
    <w:p>
      <w:pPr>
        <w:spacing w:before="160" w:after="40" w:line="240" w:lineRule="auto"/>
      </w:pPr>
      <w:r>
        <w:rPr>
          <w:b/>
        </w:rPr>
        <w:t xml:space="preserve">[486] </w:t>
      </w:r>
      <w:hyperlink r:id="rId1509">
        <w:r>
          <w:rPr>
            <w:color w:val="1155CC"/>
            <w:u w:val="single"/>
          </w:rPr>
          <w:t>迷幻药使大脑适应环境</w:t>
        </w:r>
      </w:hyperlink>
    </w:p>
    <w:p>
      <w:pPr>
        <w:spacing w:before="0" w:after="80"/>
      </w:pPr>
      <w:r>
        <w:rPr>
          <w:i/>
          <w:sz w:val="20"/>
        </w:rPr>
        <w:t>EN: Psychedelics tune the brain to the environment</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10">
        <w:r>
          <w:rPr>
            <w:color w:val="1155CC"/>
            <w:u w:val="single"/>
          </w:rPr>
          <w:t>10.1038/d41586-026-02377-9</w:t>
        </w:r>
      </w:hyperlink>
    </w:p>
    <w:p>
      <w:pPr>
        <w:spacing w:before="0" w:after="120"/>
      </w:pPr>
      <w:r>
        <w:rPr>
          <w:b/>
        </w:rPr>
        <w:t xml:space="preserve">Notes: </w:t>
      </w:r>
      <w:r>
        <w:t>abstract_source=rss_nature</w:t>
      </w:r>
    </w:p>
    <w:p>
      <w:pPr>
        <w:spacing w:before="0" w:after="80" w:lineRule="auto" w:line="276"/>
      </w:pPr>
      <w:r>
        <w:rPr>
          <w:b/>
        </w:rPr>
        <w:t xml:space="preserve">摘要（ZH）: </w:t>
      </w:r>
      <w:r>
        <w:t>迷幻物质裸盖菇素不仅会扰乱神经活动，还能重组大脑动态，以便与人的环境和经历保持一致。</w:t>
      </w:r>
    </w:p>
    <w:p>
      <w:pPr>
        <w:spacing w:before="0" w:after="200" w:lineRule="auto" w:line="276"/>
      </w:pPr>
      <w:r>
        <w:rPr>
          <w:b/>
        </w:rPr>
        <w:t xml:space="preserve">Abstract (EN): </w:t>
      </w:r>
      <w:r>
        <w:t>Rather than just scrambling neural activity, the psychedelic substance psilocybin also reorganizes brain dynamics so as to align with a person’s context and experiences.</w:t>
      </w:r>
    </w:p>
    <w:p>
      <w:pPr>
        <w:spacing w:before="120" w:after="120"/>
      </w:pPr>
      <w:r>
        <w:rPr>
          <w:sz w:val="18"/>
        </w:rPr>
        <w:t>——————————————————————————————————————————————————————————————————————</w:t>
      </w:r>
    </w:p>
    <w:p>
      <w:pPr>
        <w:spacing w:before="160" w:after="40" w:line="240" w:lineRule="auto"/>
      </w:pPr>
      <w:r>
        <w:rPr>
          <w:b/>
        </w:rPr>
        <w:t xml:space="preserve">[487] </w:t>
      </w:r>
      <w:hyperlink r:id="rId1511">
        <w:r>
          <w:rPr>
            <w:color w:val="1155CC"/>
            <w:u w:val="single"/>
          </w:rPr>
          <w:t>分子天线增强偶氮苯光电开关的可见光灵敏度</w:t>
        </w:r>
      </w:hyperlink>
    </w:p>
    <w:p>
      <w:pPr>
        <w:spacing w:before="0" w:after="80"/>
      </w:pPr>
      <w:r>
        <w:rPr>
          <w:i/>
          <w:sz w:val="20"/>
        </w:rPr>
        <w:t>EN: Molecular Antennae Enhance Visible-Light Sensitivity of Azobenzene Photoswitches</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512">
        <w:r>
          <w:rPr>
            <w:color w:val="1155CC"/>
            <w:u w:val="single"/>
          </w:rPr>
          <w:t>10.1021/jacs.6c12118</w:t>
        </w:r>
      </w:hyperlink>
    </w:p>
    <w:p>
      <w:pPr>
        <w:spacing w:before="0" w:after="120"/>
      </w:pPr>
      <w:r>
        <w:rPr>
          <w:b/>
        </w:rPr>
        <w:t xml:space="preserve">Notes: </w:t>
      </w:r>
      <w:r>
        <w:t>abstract_source=crossref</w:t>
      </w:r>
    </w:p>
    <w:p>
      <w:pPr>
        <w:spacing w:before="0" w:after="80" w:lineRule="auto" w:line="276"/>
      </w:pPr>
      <w:r>
        <w:rPr>
          <w:b/>
        </w:rPr>
        <w:t xml:space="preserve">摘要（ZH）: </w:t>
      </w:r>
      <w:r>
        <w:t>摘要 分子光电开关将光能转化为分子运动，已广泛应用于各种功能材料和生物分子，提供精确的外部控制。为了追求增强的光敏度，人们开发了各种分子光开关来提高其光异构化量子产率（PIQY，Φ）。然而，为了实现高光敏度，不仅是 PIQY，利用更多光子的摩尔吸收系数 (ε) 也至关重要。在这里，我们合成了一种以 BODIPY 作为分子天线（AzoB）的偶氮苯光电开关。与传统的偶氮苯染料杂化不同，ε值的增加实现了505 nm照射下光敏性的增强。量子力学计算揭示了非辐射失活途径，该途径解释了 AzoB 中 BODIPY 单元弱光致发光的原因。控制光异构化动力学的激发态最小值和圆锥相交表明，与偶氮苯相比，异构化过程更有效，从而增强对低能光的响应并抑制光致发光。此外，通过用二吡啉锌纳米链代替BODIPY天线，随着纳米链的拉长，ε显着增加，同时纳米链天线中的有效激子转移防止了PIQY劣化。十核纳米链的 εΦ 值达到 8.1 × 103 M–1 cm–1，对偶氮苯驱动具有顶级的光敏性。这些发现证明了分子天线的合理设计策略并拓宽了分子天线的研究范围。</w:t>
      </w:r>
    </w:p>
    <w:p>
      <w:pPr>
        <w:spacing w:before="0" w:after="200" w:lineRule="auto" w:line="276"/>
      </w:pPr>
      <w:r>
        <w:rPr>
          <w:b/>
        </w:rPr>
        <w:t xml:space="preserve">Abstract (EN): </w:t>
      </w:r>
      <w:r>
        <w:t>Molecular photoswitches, which convert light energy into molecular motion, have been applied to a wide range of functional materials and biomolecules, offering precise external control. In pursuit of enhanced photosensitivity, various molecular photoswitches have been developed to increase their photoisomerization quantum yields (PIQY, Φ). However, not only PIQY but also the molar absorption coefficient (ε) for utilizing more photons is essential to achieve high photosensitivity. Here, we synthesized an azobenzene photoswitch featuring BODIPY as a molecular antenna (AzoB). Unlike the conventional azobenzene-dye hybrid, the increased ε value achieved the enhancement of photosensitivity upon 505 nm irradiation. Quantum mechanical calculations revealed a nonradiative deactivation pathway that accounts for the weak photoluminescence of the BODIPY unit in AzoB. Excited-state minima and conical intersections governing the photoisomerization dynamics suggest a more efficient isomerization process compared to azobenzene, leading to enhanced response to low-energy light and suppressed photoluminescence. Furthermore, by replacing the BODIPY antenna with dipyrrin-zinc nanochains, a significant increase in ε was achieved as the nanochain was elongated, while the efficient exciton transfer in the nanochain antennae prevented PIQY deterioration. The εΦ value reached 8.1 × 103 M–1 cm–1 for the decanuclear nanochain, leading to the top class of photosensitivity for azobenzene actuation. These findings demonstrate the rational design strategy for molecular antennae and broaden the scope of sensitive molecular photoswitches.</w:t>
      </w:r>
    </w:p>
    <w:p>
      <w:pPr>
        <w:spacing w:before="120" w:after="120"/>
      </w:pPr>
      <w:r>
        <w:rPr>
          <w:sz w:val="18"/>
        </w:rPr>
        <w:t>——————————————————————————————————————————————————————————————————————</w:t>
      </w:r>
    </w:p>
    <w:p>
      <w:pPr>
        <w:spacing w:before="160" w:after="40" w:line="240" w:lineRule="auto"/>
      </w:pPr>
      <w:r>
        <w:rPr>
          <w:b/>
        </w:rPr>
        <w:t xml:space="preserve">[488] </w:t>
      </w:r>
      <w:hyperlink r:id="rId1513">
        <w:r>
          <w:rPr>
            <w:color w:val="1155CC"/>
            <w:u w:val="single"/>
          </w:rPr>
          <w:t>σ3-Endo 1,4-氮杂膦嵌入的多环芳烃：P-超共轭调节的激发态对称性和热激活延迟荧光</w:t>
        </w:r>
      </w:hyperlink>
    </w:p>
    <w:p>
      <w:pPr>
        <w:spacing w:before="0" w:after="80"/>
      </w:pPr>
      <w:r>
        <w:rPr>
          <w:i/>
          <w:sz w:val="20"/>
        </w:rPr>
        <w:t>EN: σ3-Endo 1,4-Azaphosphinine-Embedded Polycyclic Aromatic Hydrocarbons: P-Hyperconjugation-Regulated Excited-State Symmetry and Thermally Activated Delayed Fluorescence</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514">
        <w:r>
          <w:rPr>
            <w:color w:val="1155CC"/>
            <w:u w:val="single"/>
          </w:rPr>
          <w:t>10.1021/jacs.6c14360</w:t>
        </w:r>
      </w:hyperlink>
    </w:p>
    <w:p>
      <w:pPr>
        <w:spacing w:before="0" w:after="120"/>
      </w:pPr>
      <w:r>
        <w:rPr>
          <w:b/>
        </w:rPr>
        <w:t xml:space="preserve">Notes: </w:t>
      </w:r>
      <w:r>
        <w:t>abstract_source=crossref</w:t>
      </w:r>
    </w:p>
    <w:p>
      <w:pPr>
        <w:spacing w:before="0" w:after="80" w:lineRule="auto" w:line="276"/>
      </w:pPr>
      <w:r>
        <w:rPr>
          <w:b/>
        </w:rPr>
        <w:t xml:space="preserve">摘要（ZH）: </w:t>
      </w:r>
      <w:r>
        <w:t>摘要 这项工作通过有效的串联磷酸化报道了一个新的 1,4-氮杂膦基多环芳烃 (AP-PAHs) 家族。作为第一个具有 σ3-endo、σn-exo P 中心的超共轭诱导多重共振 (MR) 发射器，AP-PAH 表现出窄带（半峰全宽：20 nm）的热激活延迟荧光（TADF）和高光致发光量子产率（PLQY：CH2Cl2 中为 72%，掺杂薄膜中为 99%）。在P-杂化和P-超共轭效应的驱动下，理论计算表明P(III)/PB-PAHs表现出激发态对称性破缺(ESSB)特征，从而引起强烈的结构弛豫或减少的跃迁重叠积分，从而降低PLQY。这种 EESB 与经典 BN MR 发射体的对称激发态结构不同。切换到强 PO/PMe 诱导的 π–σ(P–O/Me)* 耦合可以实现更对称的激发态结构以及大的跃迁重叠积分和 kRISC，从而将 PLQY 从 2% 提高到 72%（1% 掺杂薄膜中为 99%）。利用顺式/反式超共轭效应，双PO衍生物的发射范围有效地扩展到顺式异构体的477 nm和反式异构体的620 nm。尽管通过双 PO 诱导的主链扭曲抑制了 TADF，但顺式异构体在 CH2Cl2 中保持高达 73% 的 PLQY，在 1% 掺杂薄膜中保持高达 99% 的 PLQY。作为概念验证，两种窄发射 AP-PAH 被应用于有机发光二极管，显示出窄带蓝紫色和深蓝色</w:t>
      </w:r>
    </w:p>
    <w:p>
      <w:pPr>
        <w:spacing w:before="0" w:after="200" w:lineRule="auto" w:line="276"/>
      </w:pPr>
      <w:r>
        <w:rPr>
          <w:b/>
        </w:rPr>
        <w:t xml:space="preserve">Abstract (EN): </w:t>
      </w:r>
      <w:r>
        <w:t>This work reports a new family of 1,4-azaphosphinine-based polycyclic aromatic hydrocarbons (AP-PAHs) via efficient tandem phosphorylation. Being the first hyperconjugation-induced multiple-resonance (MR) emitters with the σ3-endo, σn-exo P-center, AP-PAHs exhibited thermally activated delayed fluorescence (TADF) with a narrow band (full width at half-maximum: 20 nm) and high photoluminescence quantum yields (PLQYs: 72% in CH2Cl2, 99% in doped films). Driven by the P-hybridization and P-hyperconjugation effects, the theoretical computations revealed that P(III)/PB-PAHs demonstrated excited-state symmetry breaking (ESSB) characters, which induced a strong structural relaxation or a reduced transition overlap integral, thus decreasing the PLQYs. Such EESB is distinct from the symmetrical excited-state structure of the classical BN MR emitters. Switching to the strong PO/PMe-induced π–σ(P–O/Me)* coupling enabled more symmetric excited-state structures and large transition overlap integrals and kRISCs, consequently boosting the PLQYs from 2% to 72% (99% in the 1% doped film). Leveraging on the cis-/trans-hyperconjugation effects, emission ranges of the double PO-derivatives were efficiently extended to 477 nm for the cis-isomer and 620 nm for the trans-isomer. Although having suppressed TADF via the double PO-induced backbone twisting, the cis-isomer maintained PLQYs as high as 73% in CH2Cl2 and 99% in the 1% doped film. As a proof of concept, two narrow-emitting AP-PAHs were applied in organic lighting-emitting diodes that showed narrow-band blue-violet and deep-blue emission with an EQE as high as 10%. This study revealed a new P-hyperconjugation-induced EESB mechanism for PN-type MR emitters, which opens an avenue for designing new efficient light-emitting materials.</w:t>
      </w:r>
    </w:p>
    <w:p>
      <w:pPr>
        <w:spacing w:before="120" w:after="120"/>
      </w:pPr>
      <w:r>
        <w:rPr>
          <w:sz w:val="18"/>
        </w:rPr>
        <w:t>——————————————————————————————————————————————————————————————————————</w:t>
      </w:r>
    </w:p>
    <w:p>
      <w:pPr>
        <w:spacing w:before="160" w:after="40" w:line="240" w:lineRule="auto"/>
      </w:pPr>
      <w:r>
        <w:rPr>
          <w:b/>
        </w:rPr>
        <w:t xml:space="preserve">[489] </w:t>
      </w:r>
      <w:hyperlink r:id="rId1515">
        <w:r>
          <w:rPr>
            <w:color w:val="1155CC"/>
            <w:u w:val="single"/>
          </w:rPr>
          <w:t>用于高电磁干扰屏蔽的透明导电银纳米线腔玻璃</w:t>
        </w:r>
      </w:hyperlink>
    </w:p>
    <w:p>
      <w:pPr>
        <w:spacing w:before="0" w:after="80"/>
      </w:pPr>
      <w:r>
        <w:rPr>
          <w:i/>
          <w:sz w:val="20"/>
        </w:rPr>
        <w:t>EN: Transparent and Conductive Silver Nanowire Cavity-Based Glass for High Electromagnetic Interference Shielding</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16">
        <w:r>
          <w:rPr>
            <w:color w:val="1155CC"/>
            <w:u w:val="single"/>
          </w:rPr>
          <w:t>10.1021/acsami.6c10696</w:t>
        </w:r>
      </w:hyperlink>
    </w:p>
    <w:p>
      <w:pPr>
        <w:spacing w:before="0" w:after="120"/>
      </w:pPr>
      <w:r>
        <w:rPr>
          <w:b/>
        </w:rPr>
        <w:t xml:space="preserve">Notes: </w:t>
      </w:r>
      <w:r>
        <w:t>abstract_source=crossref</w:t>
      </w:r>
    </w:p>
    <w:p>
      <w:pPr>
        <w:spacing w:before="0" w:after="80" w:lineRule="auto" w:line="276"/>
      </w:pPr>
      <w:r>
        <w:rPr>
          <w:b/>
        </w:rPr>
        <w:t xml:space="preserve">摘要（ZH）: </w:t>
      </w:r>
      <w:r>
        <w:t>摘要 具有高透光率和强电磁干扰（EMI）抑制能力的透明电磁屏蔽窗对于现代电子产品至关重要。在此，开发了基于空腔的银纳米线 (AgNW) 涂层玻璃，以增强 EMI 屏蔽，同时保持高透明度。采用改进的多元醇方法合成银纳米线，通过静电喷涂沉积到玻璃基板上，并与受控间隔物面对面组装形成空腔型结构。通过将空气层厚度从 1 变化到 10 毫米，与光学透射率相当的单层 AgNW 玻璃相比，腔体配置实现了两倍以上的 SE 增强，在 7-8 毫米处获得了最大 SE。在 8-12 GHz 范围内，腔体玻璃的平均 SE 高于 45 dB，在特定频率区域 SE 超过 50 dB。在 10 GHz 时，优化后的样品实现了 56 dB 的最大 SE，同时保持了 81% 的光透射率。仿真表明，空腔感应场干扰通过增加相对于 SER 的 SEA 来增强电磁能量耗散。这种 AgNW 腔体策略为高性能透明 EMI 屏蔽玻璃提供了一条可扩展的途径。</w:t>
      </w:r>
    </w:p>
    <w:p>
      <w:pPr>
        <w:spacing w:before="0" w:after="200" w:lineRule="auto" w:line="276"/>
      </w:pPr>
      <w:r>
        <w:rPr>
          <w:b/>
        </w:rPr>
        <w:t xml:space="preserve">Abstract (EN): </w:t>
      </w:r>
      <w:r>
        <w:t>Transparent electromagnetic shielding windows with high optical transmittance and strong electromagnetic interference (EMI) suppression are essential for modern electronics. Herein, cavity-based silver nanowire (AgNW)-coated glass was developed to enhance EMI shielding while maintaining high transparency. AgNWs were synthesized by a modified polyol method, deposited onto glass substrates by electrostatic spray coating, and assembled face-to-face with controlled spacers to form cavity-type structures. By varying the air-layer thickness from 1 to 10 mm, the cavity configuration achieved more than twofold SE enhancement compared with single-layer AgNW glass at comparable optical transmittance, with maximum SE obtained at 7–8 mm. Across 8–12 GHz, cavity-based glasses exhibited average SE above 45 dB and SE exceeding 50 dB in specific frequency regions. At 10 GHz, the optimized sample achieved maximum SE of 56 dB while maintaining optical transmittance of 81%. Simulations indicate that cavity-induced field interference enhances electromagnetic energy dissipation by increasing SEA relative to SER. This AgNW cavity strategy provides a scalable route to high-performance transparent EMI-shielding glass.</w:t>
      </w:r>
    </w:p>
    <w:p>
      <w:pPr>
        <w:spacing w:before="120" w:after="120"/>
      </w:pPr>
      <w:r>
        <w:rPr>
          <w:sz w:val="18"/>
        </w:rPr>
        <w:t>——————————————————————————————————————————————————————————————————————</w:t>
      </w:r>
    </w:p>
    <w:p>
      <w:pPr>
        <w:spacing w:before="160" w:after="40" w:line="240" w:lineRule="auto"/>
      </w:pPr>
      <w:r>
        <w:rPr>
          <w:b/>
        </w:rPr>
        <w:t xml:space="preserve">[490] </w:t>
      </w:r>
      <w:hyperlink r:id="rId1517">
        <w:r>
          <w:rPr>
            <w:color w:val="1155CC"/>
            <w:u w:val="single"/>
          </w:rPr>
          <w:t>咔唑基取代的苯甲酸酐作为高亮度蓝色有机发光二极管的高效三线态收集器</w:t>
        </w:r>
      </w:hyperlink>
    </w:p>
    <w:p>
      <w:pPr>
        <w:spacing w:before="0" w:after="80"/>
      </w:pPr>
      <w:r>
        <w:rPr>
          <w:i/>
          <w:sz w:val="20"/>
        </w:rPr>
        <w:t>EN: Carbazolyl-Substituted Benzoic Anhydrides as Efficient Triplet Harvesters for High-Brightness Blue Organic Light-Emitting Diodes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18">
        <w:r>
          <w:rPr>
            <w:color w:val="1155CC"/>
            <w:u w:val="single"/>
          </w:rPr>
          <w:t>10.1021/acsami.6c11053</w:t>
        </w:r>
      </w:hyperlink>
    </w:p>
    <w:p>
      <w:pPr>
        <w:spacing w:before="0" w:after="120"/>
      </w:pPr>
      <w:r>
        <w:rPr>
          <w:b/>
        </w:rPr>
        <w:t xml:space="preserve">Notes: </w:t>
      </w:r>
      <w:r>
        <w:t>abstract_source=crossref</w:t>
      </w:r>
    </w:p>
    <w:p>
      <w:pPr>
        <w:spacing w:before="0" w:after="80" w:lineRule="auto" w:line="276"/>
      </w:pPr>
      <w:r>
        <w:rPr>
          <w:b/>
        </w:rPr>
        <w:t xml:space="preserve">摘要（ZH）: </w:t>
      </w:r>
      <w:r>
        <w:t>摘要 提出了一种简单有效的合成策略，用于制备具有供体-受体-供体 (D−A−D) 结构的咔唑基 C2 对称酸酐。合理设计、合成并系统研究了四种苯甲酸酐，其中包含咔唑或 3,6-二叔丁基咔唑供体单元，通过对位或邻位与酸酐受体部分连接。光物理研究揭示了光物理性质对连接拓扑的强烈依赖性。虽然对位联衍生物既不表现出延迟荧光也不表现出磷光，但邻位取代的酸酐显示出较小的单重态-三重态能隙，因此表现出热激活延迟荧光（TADF）以及意想不到的室温磷光（RTP）。因此，带有邻位咔唑供体部分的化合物成功地用作天蓝色有机发光二极管（OLED）中的三线态捕获发射体，在475和481 nm处提供最大电致发光、高达21.0%的最大外量子效率、超过62 000 cd/m2的高亮度和低效率滚降。这些结果表明，由供体取代的芳香酸形成酸酐代表了高发射TADF/RTP材料的通用且有效的设计策略，并为通过合理的分子工程开发高效的多色OLED发射器提供了有前景的平台。</w:t>
      </w:r>
    </w:p>
    <w:p>
      <w:pPr>
        <w:spacing w:before="0" w:after="200" w:lineRule="auto" w:line="276"/>
      </w:pPr>
      <w:r>
        <w:rPr>
          <w:b/>
        </w:rPr>
        <w:t xml:space="preserve">Abstract (EN): </w:t>
      </w:r>
      <w:r>
        <w:t>A simple and efficient synthetic strategy for the preparation of carbazole-basedC2-symmetric anhydrides with donor−acceptor−donor (D−A−D) architecture is presented. Four benzoic anhydrides incorporating carbazole or 3,6-di-tert-butylcarbazole donor units, linked to the anhydride acceptor moiety through either para- or ortho-positions, are rationally designed, synthesized, and systematically investigated. Photophysical studies reveal a strong dependence of photophysical properties on the linkage topology. While para-linked derivatives exhibit neither delayed fluorescence nor phosphorescence, ortho-substituted anhydrides display small singlet−triplet energy gaps and consequently show thermally activated delayed fluorescence (TADF), as well as unexpected room-temperature phosphorescence (RTP). Therefore, compounds bearing ortho-linked carbazole donor moieties are successfully employed as triplet-harvesting emitters in sky-blue organic light-emitting diodes (OLEDs), delivering electroluminescence maxima at 475 and 481 nm, maximum external quantum efficiencies of up to 21.0%, high luminance exceeding 62 000 cd/m2, and low efficiency roll-off. These results demonstrate that the formation of anhydrides from donor-substituted aromatic acids represents a versatile and effective design strategy for highly emissive TADF/RTP materials and provides a promising platform for the development of efficient multicolor OLED emitters through rational molecular engineering.</w:t>
      </w:r>
    </w:p>
    <w:p>
      <w:pPr>
        <w:spacing w:before="120" w:after="120"/>
      </w:pPr>
      <w:r>
        <w:rPr>
          <w:sz w:val="18"/>
        </w:rPr>
        <w:t>——————————————————————————————————————————————————————————————————————</w:t>
      </w:r>
    </w:p>
    <w:p>
      <w:pPr>
        <w:spacing w:before="160" w:after="40" w:line="240" w:lineRule="auto"/>
      </w:pPr>
      <w:r>
        <w:rPr>
          <w:b/>
        </w:rPr>
        <w:t xml:space="preserve">[491] </w:t>
      </w:r>
      <w:hyperlink r:id="rId1519">
        <w:r>
          <w:rPr>
            <w:color w:val="1155CC"/>
            <w:u w:val="single"/>
          </w:rPr>
          <w:t>PVA 介导的 MoS2 和 Au 电极转移：用于高性能电子和光电子的超洁净范德华界面的免光刻途径</w:t>
        </w:r>
      </w:hyperlink>
    </w:p>
    <w:p>
      <w:pPr>
        <w:spacing w:before="0" w:after="80"/>
      </w:pPr>
      <w:r>
        <w:rPr>
          <w:i/>
          <w:sz w:val="20"/>
        </w:rPr>
        <w:t>EN: PVA-Mediated Transfer of MoS2 and Au Electrodes: A Lithography-Free Route to Ultraclean van der Waals Interfaces for High-Performance Electronics and Optoelectronics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20">
        <w:r>
          <w:rPr>
            <w:color w:val="1155CC"/>
            <w:u w:val="single"/>
          </w:rPr>
          <w:t>10.1021/acsami.6c05536</w:t>
        </w:r>
      </w:hyperlink>
    </w:p>
    <w:p>
      <w:pPr>
        <w:spacing w:before="0" w:after="120"/>
      </w:pPr>
      <w:r>
        <w:rPr>
          <w:b/>
        </w:rPr>
        <w:t xml:space="preserve">Notes: </w:t>
      </w:r>
      <w:r>
        <w:t>abstract_source=crossref</w:t>
      </w:r>
    </w:p>
    <w:p>
      <w:pPr>
        <w:spacing w:before="0" w:after="80" w:lineRule="auto" w:line="276"/>
      </w:pPr>
      <w:r>
        <w:rPr>
          <w:b/>
        </w:rPr>
        <w:t xml:space="preserve">摘要（ZH）: </w:t>
      </w:r>
      <w:r>
        <w:t>摘要 可扩展的二维半导体器件集成一直受到转移过程中引入的聚合物残留、皱纹和界面空隙以及光刻接触制造过程中发生的表面损伤的阻碍，共同降低金属/半导体界面并限制器件的再现性。在这里，我们报告了一种水性聚（乙烯醇）（PVA）平台，它可以在单个工作流程中解决这两个挑战。通过在 PVA 溶液中加入一定比例的异丙醇 (IPA)，可以改善润湿一致性，并抑制薄膜分层过程中的界面空隙捕获，从而产生无皱纹、光学均匀的单层 MoS2，并保留表面形态。同一平台能够通过范德华接触转移将预图案化的 Au 电极免光刻集成到 MoS2 上，从而避免直接光刻曝光和对 MoS2 通道/接触界面的金属沉积损坏。我们进一步证明，PVA 处理提供了一种通过去除外来吸附物和降低纳米级粗糙度来更新老化 MoS2 表面的低温途径。至关重要的是，只有当免光刻接触与足够干净的半导体通道配对时，才能实现最佳光电探测器性能，从而在传输质量和接触行为之间建立定量联系。具有转移 Au 触点的 PVA 转移 MoS2 器件表现出 6.27 ± 2.74 cm2 V–1 s–1 的载流子迁移率，响应度和探测率超过传统 PMMA 器件两个数量级以上</w:t>
      </w:r>
    </w:p>
    <w:p>
      <w:pPr>
        <w:spacing w:before="0" w:after="200" w:lineRule="auto" w:line="276"/>
      </w:pPr>
      <w:r>
        <w:rPr>
          <w:b/>
        </w:rPr>
        <w:t xml:space="preserve">Abstract (EN): </w:t>
      </w:r>
      <w:r>
        <w:t>Scalable 2D semiconductor device integration is persistently hindered by polymer residues, wrinkles, and interfacial voids introduced during transfer, as well as by surface damage incurred during photolithographic contact fabrication, collectively degrading metal/semiconductor interfaces and limiting device reproducibility. Here, we report an aqueous poly(vinyl alcohol) (PVA) platform that resolves both challenges within a single workflow. By incorporating a controlled fraction of isopropyl alcohol (IPA) into the PVA solution, wetting conformity is improved and interfacial void trapping during film delamination is suppressed, yielding wrinkle-free, optically uniform monolayer MoS2 with preserved surface morphology. The same platform enables lithography-free integration of prepatterned Au electrodes onto MoS2 via van der Waals contact transfer, avoiding direct photolithographic exposure and metal-deposition damage to the MoS2 channel/contact interface. We further demonstrate that PVA treatment provides a low-temperature route to refresh aged MoS2 surfaces by removing adventitious adsorbates and reducing nanoscale roughness. Critically, optimal photodetector performance is achieved only when lithography-free contacts are paired with a sufficiently clean semiconductor channel, establishing a quantitative link between transfer quality and contact behavior. PVA-transferred MoS2 devices with transferred Au contacts exhibit carrier mobility of 6.27 ± 2.74 cm2 V–1 s–1 and responsivity and detectivity exceeding conventional PMMA-based devices by over two orders of magnitude under weak illumination.</w:t>
      </w:r>
    </w:p>
    <w:p>
      <w:pPr>
        <w:spacing w:before="120" w:after="120"/>
      </w:pPr>
      <w:r>
        <w:rPr>
          <w:sz w:val="18"/>
        </w:rPr>
        <w:t>——————————————————————————————————————————————————————————————————————</w:t>
      </w:r>
    </w:p>
    <w:p>
      <w:pPr>
        <w:spacing w:before="160" w:after="40" w:line="240" w:lineRule="auto"/>
      </w:pPr>
      <w:r>
        <w:rPr>
          <w:b/>
        </w:rPr>
        <w:t xml:space="preserve">[492] </w:t>
      </w:r>
      <w:hyperlink r:id="rId1521">
        <w:r>
          <w:rPr>
            <w:color w:val="1155CC"/>
            <w:u w:val="single"/>
          </w:rPr>
          <w:t>ErbB2 跨膜肽-离子液体纳米载体制剂选择性协同靶向 ErbB2 阳性癌细胞</w:t>
        </w:r>
      </w:hyperlink>
    </w:p>
    <w:p>
      <w:pPr>
        <w:spacing w:before="0" w:after="80"/>
      </w:pPr>
      <w:r>
        <w:rPr>
          <w:i/>
          <w:sz w:val="20"/>
        </w:rPr>
        <w:t>EN: Selective and Synergistic Targeting of ErbB2-Positive Cancer Cells with ErbB2 Transmembrane Peptide-Ionic Liquid Nanocarrier Formulation</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22">
        <w:r>
          <w:rPr>
            <w:color w:val="1155CC"/>
            <w:u w:val="single"/>
          </w:rPr>
          <w:t>10.1021/acsami.6c08450</w:t>
        </w:r>
      </w:hyperlink>
    </w:p>
    <w:p>
      <w:pPr>
        <w:spacing w:before="0" w:after="120"/>
      </w:pPr>
      <w:r>
        <w:rPr>
          <w:b/>
        </w:rPr>
        <w:t xml:space="preserve">Notes: </w:t>
      </w:r>
      <w:r>
        <w:t>abstract_source=crossref</w:t>
      </w:r>
    </w:p>
    <w:p>
      <w:pPr>
        <w:spacing w:before="0" w:after="80" w:lineRule="auto" w:line="276"/>
      </w:pPr>
      <w:r>
        <w:rPr>
          <w:b/>
        </w:rPr>
        <w:t xml:space="preserve">摘要（ZH）: </w:t>
      </w:r>
      <w:r>
        <w:t>摘要 ErbB2 阳性癌症具有高度侵袭性，并且由于当前疗法的局限性，例如选择性差、递送不足以及对健康组织的毒性等，仍然难以治疗。在此，我们开发了一种双作用纳米制剂，将基于脯氨酸的表面活性离子液体（SAIL）纳米载体与ErbB2衍生的跨膜（TM）肽相结合，用于选择性靶向ErbB2阳性癌细胞。合成并表征了两种新的 SAIL，它们在生理条件下自组装成稳定的胶束/囊泡，以及一系列疏水性 TM 肽。在所得纳米制剂中，V3-BAIL在ErbB2阳性乳腺癌、肺癌和胰腺癌细胞系中显示出最强的抗增殖活性，而在低ErbB2 NCl-H23细胞中的活性最小。该响应与 ErbB2 表达水平相关，证明了靶点相关的选择性。 Chou-Talalay 分析揭示了 SAIL 纳米载体和 TM 肽之间的协同作用。机制研究表明，V3-BAIL 在细胞中逐渐积累，在不快速膜裂解的情况下降低细胞适应性，并强烈抑制 PI3K/Akt 和 MAPK/ERK 信号传导。相对于阿霉素和顺铂，V3-BAIL 对 ErbB2 阳性细胞表现出更高的选择性，并且在测试条件下比曲妥珠单抗作用更快、更强。这些发现确立了 TM 肽修饰的 SAIL 纳米载体作为选择性和协同 ErbB2 靶向癌症治疗的一种有前途的策略。</w:t>
      </w:r>
    </w:p>
    <w:p>
      <w:pPr>
        <w:spacing w:before="0" w:after="200" w:lineRule="auto" w:line="276"/>
      </w:pPr>
      <w:r>
        <w:rPr>
          <w:b/>
        </w:rPr>
        <w:t xml:space="preserve">Abstract (EN): </w:t>
      </w:r>
      <w:r>
        <w:t>ErbB2-positive cancers are highly aggressive and remain difficult to treat due to limitations of current therapies, such as poor selectivity, insufficient delivery, and toxicity toward healthy tissues. Herein, we developed a dual-action nanoformulation combining prolinium-based surface-active ionic liquid (SAIL) nanocarriers with ErbB2-derived transmembrane (TM) peptide for selective targeting of ErbB2-positive cancer cells. Two new SAILs, which self-assemble into stable micelles/vesicles under physiological conditions, and a series of hydrophobic TM-peptides were synthesized and characterized. Among the resulting nanoformulations, V3-BAIL showed the strongest antiproliferative activity in ErbB2-positive breast, lung, and pancreatic cancer cell lines, whereas activity in low-ErbB2 NCl-H23 cells was minimal. The response correlated with ErbB2 expression level, demonstrating target-related selectivity. Chou-Talalay analysis revealed synergy between the SAIL nanocarrier and TM peptide. Mechanistic studies showed that V3-BAIL progressively accumulated in cells, reduced cellular fitness without rapid membrane lysis, and strongly suppressed PI3K/Akt and MAPK/ERK signaling. Relative to doxorubicin and cisplatin, V3-BAIL displayed greater selectivity toward ErbB2-positive cells, and it acted more rapidly and more strongly than trastuzumab under the tested conditions. These findings establish TM peptide-decorated SAIL nanocarriers as a promising strategy for selective and synergistic ErbB2-targeted cancer therapy.</w:t>
      </w:r>
    </w:p>
    <w:p>
      <w:pPr>
        <w:spacing w:before="120" w:after="120"/>
      </w:pPr>
      <w:r>
        <w:rPr>
          <w:sz w:val="18"/>
        </w:rPr>
        <w:t>——————————————————————————————————————————————————————————————————————</w:t>
      </w:r>
    </w:p>
    <w:p>
      <w:pPr>
        <w:spacing w:before="160" w:after="40" w:line="240" w:lineRule="auto"/>
      </w:pPr>
      <w:r>
        <w:rPr>
          <w:b/>
        </w:rPr>
        <w:t xml:space="preserve">[493] </w:t>
      </w:r>
      <w:hyperlink r:id="rId1523">
        <w:r>
          <w:rPr>
            <w:color w:val="1155CC"/>
            <w:u w:val="single"/>
          </w:rPr>
          <w:t>使用生物可吸收光电晶体管进行可编程多相刺激</w:t>
        </w:r>
      </w:hyperlink>
    </w:p>
    <w:p>
      <w:pPr>
        <w:spacing w:before="0" w:after="80"/>
      </w:pPr>
      <w:r>
        <w:rPr>
          <w:i/>
          <w:sz w:val="20"/>
        </w:rPr>
        <w:t>EN: Programmable polyphasic stimulation with bioresorbable phototransistors</w:t>
      </w:r>
    </w:p>
    <w:p>
      <w:pPr>
        <w:spacing w:before="0" w:after="120"/>
      </w:pPr>
      <w:r>
        <w:rPr>
          <w:b/>
        </w:rPr>
        <w:t xml:space="preserve">Source: </w:t>
      </w:r>
      <w:r>
        <w:t>Nature Electronics</w:t>
      </w:r>
      <w:r>
        <w:t xml:space="preserve">    </w:t>
      </w:r>
      <w:r>
        <w:rPr>
          <w:b/>
        </w:rPr>
        <w:t xml:space="preserve">Pub date: </w:t>
      </w:r>
      <w:r>
        <w:t>2026-08-19 00:00:00+00:00</w:t>
      </w:r>
      <w:r>
        <w:t xml:space="preserve">    </w:t>
      </w:r>
      <w:r>
        <w:rPr>
          <w:b/>
        </w:rPr>
        <w:t xml:space="preserve">DOI: </w:t>
      </w:r>
      <w:hyperlink r:id="rId1524">
        <w:r>
          <w:rPr>
            <w:color w:val="1155CC"/>
            <w:u w:val="single"/>
          </w:rPr>
          <w:t>10.1038/s41928-026-01682-5</w:t>
        </w:r>
      </w:hyperlink>
    </w:p>
    <w:p>
      <w:pPr>
        <w:spacing w:before="0" w:after="120"/>
      </w:pPr>
      <w:r>
        <w:rPr>
          <w:b/>
        </w:rPr>
        <w:t xml:space="preserve">Notes: </w:t>
      </w:r>
      <w:r>
        <w:t>abstract_source=rss_nature</w:t>
      </w:r>
    </w:p>
    <w:p>
      <w:pPr>
        <w:spacing w:before="0" w:after="80" w:lineRule="auto" w:line="276"/>
      </w:pPr>
      <w:r>
        <w:rPr>
          <w:b/>
        </w:rPr>
        <w:t xml:space="preserve">摘要（ZH）: </w:t>
      </w:r>
      <w:r>
        <w:t>基于生物可吸收光电晶体管的无线刺激平台可以通过组织穿透光调制提供精确、可编程和多部位的电疗。</w:t>
      </w:r>
    </w:p>
    <w:p>
      <w:pPr>
        <w:spacing w:before="0" w:after="200" w:lineRule="auto" w:line="276"/>
      </w:pPr>
      <w:r>
        <w:rPr>
          <w:b/>
        </w:rPr>
        <w:t xml:space="preserve">Abstract (EN): </w:t>
      </w:r>
      <w:r>
        <w:t>A wireless stimulation platform that is based on a bioresorbable phototransistor can provide precise, programmable and multi-site electrotherapy through tissue-penetrating optical modulation.</w:t>
      </w:r>
    </w:p>
    <w:p>
      <w:pPr>
        <w:spacing w:before="120" w:after="120"/>
      </w:pPr>
      <w:r>
        <w:rPr>
          <w:sz w:val="18"/>
        </w:rPr>
        <w:t>——————————————————————————————————————————————————————————————————————</w:t>
      </w:r>
    </w:p>
    <w:p>
      <w:pPr>
        <w:spacing w:before="160" w:after="40" w:line="240" w:lineRule="auto"/>
      </w:pPr>
      <w:r>
        <w:rPr>
          <w:b/>
        </w:rPr>
        <w:t xml:space="preserve">[494] </w:t>
      </w:r>
      <w:hyperlink r:id="rId1525">
        <w:r>
          <w:rPr>
            <w:color w:val="1155CC"/>
            <w:u w:val="single"/>
          </w:rPr>
          <w:t>使用 4-MBA 功能化电极上的 SERS 光谱探测船尾层中的阳离子诱导离子门控和表面 pKa</w:t>
        </w:r>
      </w:hyperlink>
    </w:p>
    <w:p>
      <w:pPr>
        <w:spacing w:before="0" w:after="80"/>
      </w:pPr>
      <w:r>
        <w:rPr>
          <w:i/>
          <w:sz w:val="20"/>
        </w:rPr>
        <w:t>EN: Probing Cation-Induced Ion Gating and Surface p K a in the Stern Layer Using SERS Spectroscopy on 4-MBA-Functionalized Electrodes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26">
        <w:r>
          <w:rPr>
            <w:color w:val="1155CC"/>
            <w:u w:val="single"/>
          </w:rPr>
          <w:t>10.1021/acsami.6c09423</w:t>
        </w:r>
      </w:hyperlink>
    </w:p>
    <w:p>
      <w:pPr>
        <w:spacing w:before="0" w:after="120"/>
      </w:pPr>
      <w:r>
        <w:rPr>
          <w:b/>
        </w:rPr>
        <w:t xml:space="preserve">Notes: </w:t>
      </w:r>
      <w:r>
        <w:t>abstract_source=crossref</w:t>
      </w:r>
    </w:p>
    <w:p>
      <w:pPr>
        <w:spacing w:before="0" w:after="80" w:lineRule="auto" w:line="276"/>
      </w:pPr>
      <w:r>
        <w:rPr>
          <w:b/>
        </w:rPr>
        <w:t xml:space="preserve">摘要（ZH）: </w:t>
      </w:r>
      <w:r>
        <w:t>摘要 了解带电界面的质子活性对于电化学能量转换、催化和界面化学至关重要。然而，直接测量局部 pH 值、表面酸碱平衡和双电层 (EDL) 结构仍然具有挑战性。在这里，我们报告了使用表面增强拉曼散射（SERS）光谱对表面结合的 4-巯基苯甲酸（4-MBA）进行原位光谱测定电极-电解质界面的表面 pKa。通过监测质子化 (COOH)、去质子化 (COO−) 和金属结合 (COO−) 振动模式相对于 pH 不敏感的芳环参考的电位依赖性演化，我们定量提取表面质子化分数和相应的界面酸碱平衡，同时推断电化学控制下阳离子依赖性 EDL 重组。此外，我们表明界面质子化行为很大程度上取决于电解质成分。在无阳离子系统中，4-MBA 单层在所研究的电势窗口内主要保持质子化，导致表面 pKa 增加，并且施加的负电势越来越大。相比之下，在相同 pH 值下引入 K+ 离子会产生明显不同的响应，其特征是部分质子化和表面 pKa 对电位的相反依赖性。这些观察结果提供了直接的实验证据，表明碱金属阳离子重组 EDL，抑制负电势下的质子进入，并改变电极处的表面酸碱平衡</w:t>
      </w:r>
    </w:p>
    <w:p>
      <w:pPr>
        <w:spacing w:before="0" w:after="200" w:lineRule="auto" w:line="276"/>
      </w:pPr>
      <w:r>
        <w:rPr>
          <w:b/>
        </w:rPr>
        <w:t xml:space="preserve">Abstract (EN): </w:t>
      </w:r>
      <w:r>
        <w:t>Understanding proton activity at electrified interfaces is central to electrochemical energy conversion, catalysis, and interfacial chemistry; however, direct measurements of local pH, surface acid-base equilibria, and the structure of the electrical double layer (EDL) remain challenging. Here, we report an in situ spectroscopic determination of the surface pKa at electrode–electrolyte interfaces using surface-enhanced Raman scattering (SERS) spectroscopy of the surface-bound 4-mercaptobenzoic acid (4-MBA). By monitoring the potential-dependent evolution of protonated (COOH), deprotonated (COO−), and metallic-bound (COO−) vibrational modes relative to a pH-insensitive aromatic-ring reference, we quantitatively extract surface protonation fractions and the corresponding interfacial acid–base equilibrium, while inferring cation-dependent EDL restructuring under electrochemical control. Furthermore, we show that interfacial protonation behavior depends strongly on electrolyte composition. In cation-free systems, the 4-MBA monolayer remains predominantly protonated across the investigated potential window, leading to an increase in surface pKa with increasingly negative applied potential. In contrast, introducing K+ ions at the same pH produces a markedly different response, characterized by partial protonation and an opposite dependence of surface pKa on potential. These observations provide direct experimental evidence that alkali cations reorganize the EDL, suppress proton access at negative potentials, and shift the surface acid-base equilibrium at the electrode surface. The observed cation-dependent shift in surface pKa reflects an ion-gating mechanism in which nanoscale ionic organization within the EDL modulates interfacial electric fields and ion availability, thereby directly controlling surface protonation and interfacial chemistry. This behavior is analogous to electrostatic gating in electric-double-layer transistors, where ionic structuring at the interface enables substantial carrier modulation. Overall, this work establishes a molecular-scale framework for probing surface acid-base equilibrium and EDL structure using 4-MBA as a surface reporter, providing insights into electrolyte-dependent regulation in electrochemical systems.</w:t>
      </w:r>
    </w:p>
    <w:p>
      <w:pPr>
        <w:spacing w:before="120" w:after="120"/>
      </w:pPr>
      <w:r>
        <w:rPr>
          <w:sz w:val="18"/>
        </w:rPr>
        <w:t>——————————————————————————————————————————————————————————————————————</w:t>
      </w:r>
    </w:p>
    <w:p>
      <w:pPr>
        <w:spacing w:before="160" w:after="40" w:line="240" w:lineRule="auto"/>
      </w:pPr>
      <w:r>
        <w:rPr>
          <w:b/>
        </w:rPr>
        <w:t xml:space="preserve">[495] </w:t>
      </w:r>
      <w:hyperlink r:id="rId1527">
        <w:r>
          <w:rPr>
            <w:color w:val="1155CC"/>
            <w:u w:val="single"/>
          </w:rPr>
          <w:t>相关微波磁振子极化子对的室温腔-磁振源</w:t>
        </w:r>
      </w:hyperlink>
    </w:p>
    <w:p>
      <w:pPr>
        <w:spacing w:before="0" w:after="80"/>
      </w:pPr>
      <w:r>
        <w:rPr>
          <w:i/>
          <w:sz w:val="20"/>
        </w:rPr>
        <w:t>EN: A room-temperature cavity–magnonic source of correlated microwave magnon polariton pairs</w:t>
      </w:r>
    </w:p>
    <w:p>
      <w:pPr>
        <w:spacing w:before="0" w:after="120"/>
      </w:pPr>
      <w:r>
        <w:rPr>
          <w:b/>
        </w:rPr>
        <w:t xml:space="preserve">Source: </w:t>
      </w:r>
      <w:r>
        <w:t>Nature Electronics</w:t>
      </w:r>
      <w:r>
        <w:t xml:space="preserve">    </w:t>
      </w:r>
      <w:r>
        <w:rPr>
          <w:b/>
        </w:rPr>
        <w:t xml:space="preserve">Pub date: </w:t>
      </w:r>
      <w:r>
        <w:t>2026-08-19 00:00:00+00:00</w:t>
      </w:r>
      <w:r>
        <w:t xml:space="preserve">    </w:t>
      </w:r>
      <w:r>
        <w:rPr>
          <w:b/>
        </w:rPr>
        <w:t xml:space="preserve">DOI: </w:t>
      </w:r>
      <w:hyperlink r:id="rId1528">
        <w:r>
          <w:rPr>
            <w:color w:val="1155CC"/>
            <w:u w:val="single"/>
          </w:rPr>
          <w:t>10.1038/s41928-026-01689-y</w:t>
        </w:r>
      </w:hyperlink>
    </w:p>
    <w:p>
      <w:pPr>
        <w:spacing w:before="0" w:after="120"/>
      </w:pPr>
      <w:r>
        <w:rPr>
          <w:b/>
        </w:rPr>
        <w:t xml:space="preserve">Notes: </w:t>
      </w:r>
      <w:r>
        <w:t>abstract_source=rss_nature</w:t>
      </w:r>
    </w:p>
    <w:p>
      <w:pPr>
        <w:spacing w:before="0" w:after="80" w:lineRule="auto" w:line="276"/>
      </w:pPr>
      <w:r>
        <w:rPr>
          <w:b/>
        </w:rPr>
        <w:t xml:space="preserve">摘要（ZH）: </w:t>
      </w:r>
      <w:r>
        <w:t>基于与钇铁石榴石薄膜耦合的印刷电路板微带谐振器的混合磁振子-光子平台可以将微波光子分裂成一对具有不同频率和强模间相关性的磁振子极化子。</w:t>
      </w:r>
    </w:p>
    <w:p>
      <w:pPr>
        <w:spacing w:before="0" w:after="200" w:lineRule="auto" w:line="276"/>
      </w:pPr>
      <w:r>
        <w:rPr>
          <w:b/>
        </w:rPr>
        <w:t xml:space="preserve">Abstract (EN): </w:t>
      </w:r>
      <w:r>
        <w:t>A hybrid magnon–photon platform based on a printed-circuit-board microstrip resonator coupled to an yttrium iron garnet film can split a microwave photon into a pair of magnon polaritons with distinct frequencies and strong intermode correlations.</w:t>
      </w:r>
    </w:p>
    <w:p>
      <w:pPr>
        <w:spacing w:before="120" w:after="120"/>
      </w:pPr>
      <w:r>
        <w:rPr>
          <w:sz w:val="18"/>
        </w:rPr>
        <w:t>——————————————————————————————————————————————————————————————————————</w:t>
      </w:r>
    </w:p>
    <w:p>
      <w:pPr>
        <w:spacing w:before="160" w:after="40" w:line="240" w:lineRule="auto"/>
      </w:pPr>
      <w:r>
        <w:rPr>
          <w:b/>
        </w:rPr>
        <w:t xml:space="preserve">[496] </w:t>
      </w:r>
      <w:hyperlink r:id="rId1529">
        <w:r>
          <w:rPr>
            <w:color w:val="1155CC"/>
            <w:u w:val="single"/>
          </w:rPr>
          <w:t>筛查婴儿基因组可以挽救生命。这是它的工作原理</w:t>
        </w:r>
      </w:hyperlink>
    </w:p>
    <w:p>
      <w:pPr>
        <w:spacing w:before="0" w:after="80"/>
      </w:pPr>
      <w:r>
        <w:rPr>
          <w:i/>
          <w:sz w:val="20"/>
        </w:rPr>
        <w:t>EN: Screening babies’ genomes could save lives. Here’s how it would work</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30">
        <w:r>
          <w:rPr>
            <w:color w:val="1155CC"/>
            <w:u w:val="single"/>
          </w:rPr>
          <w:t>10.1038/d41586-026-02528-y</w:t>
        </w:r>
      </w:hyperlink>
    </w:p>
    <w:p>
      <w:pPr>
        <w:spacing w:before="0" w:after="120"/>
      </w:pPr>
      <w:r>
        <w:rPr>
          <w:b/>
        </w:rPr>
        <w:t xml:space="preserve">Notes: </w:t>
      </w:r>
      <w:r>
        <w:t>abstract_source=rss_nature</w:t>
      </w:r>
    </w:p>
    <w:p>
      <w:pPr>
        <w:spacing w:before="0" w:after="80" w:lineRule="auto" w:line="276"/>
      </w:pPr>
      <w:r>
        <w:rPr>
          <w:b/>
        </w:rPr>
        <w:t xml:space="preserve">摘要（ZH）: </w:t>
      </w:r>
      <w:r>
        <w:t>全球范围内正在进行大规模的新生儿基因组筛查研究。但有关可扩展性、可行性和净收益的问题仍然存在。</w:t>
      </w:r>
    </w:p>
    <w:p>
      <w:pPr>
        <w:spacing w:before="0" w:after="200" w:lineRule="auto" w:line="276"/>
      </w:pPr>
      <w:r>
        <w:rPr>
          <w:b/>
        </w:rPr>
        <w:t xml:space="preserve">Abstract (EN): </w:t>
      </w:r>
      <w:r>
        <w:t>Massive genomic newborn-screening studies are under way all over the globe. But questions about scalability, feasibility and net benefit remain.</w:t>
      </w:r>
    </w:p>
    <w:p>
      <w:pPr>
        <w:spacing w:before="120" w:after="120"/>
      </w:pPr>
      <w:r>
        <w:rPr>
          <w:sz w:val="18"/>
        </w:rPr>
        <w:t>——————————————————————————————————————————————————————————————————————</w:t>
      </w:r>
    </w:p>
    <w:p>
      <w:pPr>
        <w:spacing w:before="160" w:after="40" w:line="240" w:lineRule="auto"/>
      </w:pPr>
      <w:r>
        <w:rPr>
          <w:b/>
        </w:rPr>
        <w:t xml:space="preserve">[497] </w:t>
      </w:r>
      <w:hyperlink r:id="rId1531">
        <w:r>
          <w:rPr>
            <w:color w:val="1155CC"/>
            <w:u w:val="single"/>
          </w:rPr>
          <w:t>每日简报：3D 打印机如何改变实验室工作</w:t>
        </w:r>
      </w:hyperlink>
    </w:p>
    <w:p>
      <w:pPr>
        <w:spacing w:before="0" w:after="80"/>
      </w:pPr>
      <w:r>
        <w:rPr>
          <w:i/>
          <w:sz w:val="20"/>
        </w:rPr>
        <w:t>EN: Daily briefing: How 3D printers are changing lab work</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32">
        <w:r>
          <w:rPr>
            <w:color w:val="1155CC"/>
            <w:u w:val="single"/>
          </w:rPr>
          <w:t>10.1038/d41586-026-02614-1</w:t>
        </w:r>
      </w:hyperlink>
    </w:p>
    <w:p>
      <w:pPr>
        <w:spacing w:before="0" w:after="120"/>
      </w:pPr>
      <w:r>
        <w:rPr>
          <w:b/>
        </w:rPr>
        <w:t xml:space="preserve">Notes: </w:t>
      </w:r>
      <w:r>
        <w:t>abstract_source=rss_nature</w:t>
      </w:r>
    </w:p>
    <w:p>
      <w:pPr>
        <w:spacing w:before="0" w:after="80" w:lineRule="auto" w:line="276"/>
      </w:pPr>
      <w:r>
        <w:rPr>
          <w:b/>
        </w:rPr>
        <w:t xml:space="preserve">摘要（ZH）: </w:t>
      </w:r>
      <w:r>
        <w:t>打印定制实验室工具可能比购买便宜。此外，南非科学家可能很快就必须向监管机构注册，了解外骨骼驱动的未来可能是什么样子。</w:t>
      </w:r>
    </w:p>
    <w:p>
      <w:pPr>
        <w:spacing w:before="0" w:after="200" w:lineRule="auto" w:line="276"/>
      </w:pPr>
      <w:r>
        <w:rPr>
          <w:b/>
        </w:rPr>
        <w:t xml:space="preserve">Abstract (EN): </w:t>
      </w:r>
      <w:r>
        <w:t>Printing custom lab tools can be cheaper than buying them. Plus, South African scientists might soon have to register with a regulatory body and what an exoskeleton-powered future might look like.</w:t>
      </w:r>
    </w:p>
    <w:p>
      <w:pPr>
        <w:spacing w:before="120" w:after="120"/>
      </w:pPr>
      <w:r>
        <w:rPr>
          <w:sz w:val="18"/>
        </w:rPr>
        <w:t>——————————————————————————————————————————————————————————————————————</w:t>
      </w:r>
    </w:p>
    <w:p>
      <w:pPr>
        <w:spacing w:before="160" w:after="40" w:line="240" w:lineRule="auto"/>
      </w:pPr>
      <w:r>
        <w:rPr>
          <w:b/>
        </w:rPr>
        <w:t xml:space="preserve">[498] </w:t>
      </w:r>
      <w:hyperlink r:id="rId1533">
        <w:r>
          <w:rPr>
            <w:color w:val="1155CC"/>
            <w:u w:val="single"/>
          </w:rPr>
          <w:t>近红外触发锰铁掺杂多金属氧酸盐纳米酶联合乳酸菌用于念珠菌性阴道炎的化学动力学/光热治疗</w:t>
        </w:r>
      </w:hyperlink>
    </w:p>
    <w:p>
      <w:pPr>
        <w:spacing w:before="0" w:after="80"/>
      </w:pPr>
      <w:r>
        <w:rPr>
          <w:i/>
          <w:sz w:val="20"/>
        </w:rPr>
        <w:t>EN: A Near-Infrared-Triggered Mn,Fe-Doped Polyoxometalate Nanozyme Combined with Lactobacillus for the Chemodynamic/Photothermal Therapy of Candida Vaginitis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34">
        <w:r>
          <w:rPr>
            <w:color w:val="1155CC"/>
            <w:u w:val="single"/>
          </w:rPr>
          <w:t>10.1021/acsami.6c15938</w:t>
        </w:r>
      </w:hyperlink>
    </w:p>
    <w:p>
      <w:pPr>
        <w:spacing w:before="0" w:after="120"/>
      </w:pPr>
      <w:r>
        <w:rPr>
          <w:b/>
        </w:rPr>
        <w:t xml:space="preserve">Notes: </w:t>
      </w:r>
      <w:r>
        <w:t>abstract_source=crossref</w:t>
      </w:r>
    </w:p>
    <w:p>
      <w:pPr>
        <w:spacing w:before="0" w:after="80" w:lineRule="auto" w:line="276"/>
      </w:pPr>
      <w:r>
        <w:rPr>
          <w:b/>
        </w:rPr>
        <w:t xml:space="preserve">摘要（ZH）: </w:t>
      </w:r>
      <w:r>
        <w:t>摘要 外阴阴道念珠菌病（VVC）是一种常见的真菌感染，严重影响全世界女性的健康。抗真菌药物治疗对 VVC 并不是特别有效，并且会进一步促进阴道微生物群失衡，增加复发率。由于纳米酶具有广谱抗菌活性和可忽略的生物毒性，目前正在将其作为替代疗法进行评估。然而，它们固有的低催化活性限制了它们的抗菌性能。在本研究中，通过化学动力学疗法（CDT）和光热疗法（PTT）之间的协同作用，成功构建了Mn，Fe掺杂多金属氧酸盐（Mn，Fe-POM）纳米酶作为VVC的潜在治疗方法。所开发的方法基于阴道中的乳酸菌，它为促进 Mn,Fe-POM 的过氧化物酶（POD）样活性提供了合适的微环境。 Mn,Fe-POM 结合的乳杆菌在 CDT 中表现出优异的近红外触发 POD 样活性，在 PTT 中表现出值得注意的光热性能。 Fe2+/Fe3+和Mn3+/Mn4+之间的电子转移提供了丰富的活性位点，增加了基于类芬顿机制的类POD催化活性，并放大了CDT电位。在体外，Mn,Fe-POM 在杀死白色念珠菌 (C. albicans) 和破坏生物膜方面表现出显着的协同效应，同时还保留了乳酸菌种类。这种杰出的抗C.白色念珠菌的活性是在不对阴道粘膜细胞造成明显损害的情况下实现的，从而减少了体内 VVC 小鼠模型中的阴道炎症。钍</w:t>
      </w:r>
    </w:p>
    <w:p>
      <w:pPr>
        <w:spacing w:before="0" w:after="200" w:lineRule="auto" w:line="276"/>
      </w:pPr>
      <w:r>
        <w:rPr>
          <w:b/>
        </w:rPr>
        <w:t xml:space="preserve">Abstract (EN): </w:t>
      </w:r>
      <w:r>
        <w:t>Vulvovaginal candidiasis (VVC) is a common fungal infection that significantly affects women’s health worldwide. Antifungal agent therapies are not particularly effective for VVC and can further promote an imbalance in the vaginal microbiota, increasing recurrence. Nanozymes are currently being evaluated as an alternative therapy owing to their broad-spectrum antibacterial activity and negligible biological toxicity. However, their inherently low catalytic activity limits their antibacterial properties. In this study, an Mn,Fe-doped polyoxometalate (Mn,Fe-POM) nanozyme was successfully constructed as a potential treatment for VVC through the synergy between chemodynamic therapy (CDT) and photothermal therapy (PTT). The developed approach was based on Lactobacillus in the vagina, which provides a suitable microenvironment for promoting the peroxidase (POD)-like activity of Mn,Fe-POM. Mn,Fe-POM-bound Lactobacillus exhibited excellent near-infrared-triggered POD-like activity for CDT and noteworthy photothermal performance for PTT. Electron transfer between Fe2+/Fe3+ and Mn3+/Mn4+ provided abundant active sites, increasing POD-like catalytic activity based on Fenton-like mechanisms and amplifying the CDT potential. In vitro, Mn,Fe-POM demonstrated a remarkable synergistic effect in killing Candida albicans (C. albicans) and disrupting the biofilm, while also preserving the Lactobacillus species. This outstanding anti-C. albicans activity was achieved without significant damage to the vaginal mucosa cells, reducing vaginal inflammation in an in vivo VVC mouse model. The increased Lactobacillus proportions and reduced C. albicans numbers allowed the reconstruction of healthy vaginal microbiota to decrease infection recurrence. This study presents an innovative and promising therapeutic approach for VVC.</w:t>
      </w:r>
    </w:p>
    <w:p>
      <w:pPr>
        <w:spacing w:before="120" w:after="120"/>
      </w:pPr>
      <w:r>
        <w:rPr>
          <w:sz w:val="18"/>
        </w:rPr>
        <w:t>——————————————————————————————————————————————————————————————————————</w:t>
      </w:r>
    </w:p>
    <w:p>
      <w:pPr>
        <w:spacing w:before="160" w:after="40" w:line="240" w:lineRule="auto"/>
      </w:pPr>
      <w:r>
        <w:rPr>
          <w:b/>
        </w:rPr>
        <w:t xml:space="preserve">[499] </w:t>
      </w:r>
      <w:hyperlink r:id="rId1535">
        <w:r>
          <w:rPr>
            <w:color w:val="1155CC"/>
            <w:u w:val="single"/>
          </w:rPr>
          <w:t>Collodaria光共生全生物的光合作用和渗透营养之间的代谢分配</w:t>
        </w:r>
      </w:hyperlink>
    </w:p>
    <w:p>
      <w:pPr>
        <w:spacing w:before="0" w:after="80"/>
      </w:pPr>
      <w:r>
        <w:rPr>
          <w:i/>
          <w:sz w:val="20"/>
        </w:rPr>
        <w:t>EN: Metabolic partitioning between photosynthesis and osmotrophy in Collodaria photosymbiotic holobionts</w:t>
      </w:r>
    </w:p>
    <w:p>
      <w:pPr>
        <w:spacing w:before="0" w:after="120"/>
      </w:pPr>
      <w:r>
        <w:rPr>
          <w:b/>
        </w:rPr>
        <w:t xml:space="preserve">Source: </w:t>
      </w:r>
      <w:r>
        <w:t>Earth and environmental sciences : Nature Communications subject feeds</w:t>
      </w:r>
      <w:r>
        <w:t xml:space="preserve">    </w:t>
      </w:r>
      <w:r>
        <w:rPr>
          <w:b/>
        </w:rPr>
        <w:t xml:space="preserve">Pub date: </w:t>
      </w:r>
      <w:r>
        <w:t>2026-08-19 00:00:00+00:00</w:t>
      </w:r>
    </w:p>
    <w:p>
      <w:pPr>
        <w:spacing w:before="0" w:after="120"/>
      </w:pPr>
      <w:r>
        <w:rPr>
          <w:b/>
        </w:rPr>
        <w:t xml:space="preserve">Notes: </w:t>
      </w:r>
      <w:r>
        <w:t>abstract_source=nature_html</w:t>
      </w:r>
    </w:p>
    <w:p>
      <w:pPr>
        <w:spacing w:before="0" w:after="80" w:lineRule="auto" w:line="276"/>
      </w:pPr>
      <w:r>
        <w:rPr>
          <w:b/>
        </w:rPr>
        <w:t xml:space="preserve">摘要（ZH）: </w:t>
      </w:r>
      <w:r>
        <w:t>Collodaria (Radiolaria) 是广泛分布的海洋浮游原生生物，是光合微藻共生体的宿主。在这种光共生中，它们可以为初级生产做出重大贡献，特别是在寡营养海洋区域。尽管光共生的生态重要性，但人们对光共生形成和维持的机制知之甚少。为了揭示这个光共生系统内的代谢依赖性，我们开发了一种稳定同位素标记策略，使我们能够研究 Collodaria holobiont 中无机和有机碳的同化。通过将代谢组学分析与同位素标记分析相结合，我们证明藻类光合作用对全生物碳水化合物库做出了重大贡献。特别是，我们观察到无机碳掺入葡萄糖和果糖中，然后富集包括核糖在内的其他代谢物。相比之下，渗透营养吸收来自标记藻类裂解物的溶解有机化合物不会导致任何这些碳水化合物的掺入，这表明渗透营养对全生物的碳水化合物池没有显着贡献。相比之下，特殊的代谢物，例如二甲基磺基丙酸酯（DMSP）和甜菜碱，主要是通过渗透营养获得的，这意味着光共生生物的贡献较小。因此，我们的研究结果揭示了全生物中光养代谢和渗透营养代谢的明确作用，这对我们对浮游生物元素通量的理解产生了影响。</w:t>
      </w:r>
    </w:p>
    <w:p>
      <w:pPr>
        <w:spacing w:before="0" w:after="200" w:lineRule="auto" w:line="276"/>
      </w:pPr>
      <w:r>
        <w:rPr>
          <w:b/>
        </w:rPr>
        <w:t xml:space="preserve">Abstract (EN): </w:t>
      </w:r>
      <w:r>
        <w:t>Collodaria (Radiolaria) are widespread marine planktonic protists that host photosynthetic microalgal symbionts. Within this photosymbiosis, they can contribute substantially to primary production, particularly in oligotrophic ocean regions. Despite their ecological importance, the mechanisms underlying the formation and maintenance of photosymbiosis are poorly understood. To uncover the metabolic dependencies within this photosymbiotic system, we develop a stable isotope labeling strategy that allows us to investigate the assimilation of inorganic and organic carbon in the Collodaria holobiont. By integrating metabolomic profiling with isotopic labeling analyses, we demonstrate that algal photosynthesis makes a substantial contribution to the holobiont carbohydrate pool. In particular, we observe the incorporation of inorganic carbon into glucose and fructose, followed by the enrichment of other metabolites including ribose. In contrast, osmotrophic uptake of dissolved organic compounds derived from labeled algal lysate does not lead to the incorporation of any of these carbohydrates, suggesting no significant contribution of osmotrophy to the holobiont’s carbohydrate pool. In contrast, specialized metabolites, such as dimethylsulfoniopropionate (DMSP) and betaines, are primarily acquired through osmotrophy implying a minor contribution of photosymbionts. Our findings thus reveal defined roles of phototrophic and osmotrophic metabolism in the Collodaria holobiont with consequences for our understanding of element fluxes in plankton.</w:t>
      </w:r>
    </w:p>
    <w:p>
      <w:pPr>
        <w:spacing w:before="120" w:after="120"/>
      </w:pPr>
      <w:r>
        <w:rPr>
          <w:sz w:val="18"/>
        </w:rPr>
        <w:t>——————————————————————————————————————————————————————————————————————</w:t>
      </w:r>
    </w:p>
    <w:p>
      <w:pPr>
        <w:spacing w:before="160" w:after="40" w:line="240" w:lineRule="auto"/>
      </w:pPr>
      <w:r>
        <w:rPr>
          <w:b/>
        </w:rPr>
        <w:t xml:space="preserve">[500] </w:t>
      </w:r>
      <w:hyperlink r:id="rId1536">
        <w:r>
          <w:rPr>
            <w:color w:val="1155CC"/>
            <w:u w:val="single"/>
          </w:rPr>
          <w:t>具有主被动协同抗菌作用的超支化有机硅聚合物透明杂化防污涂料</w:t>
        </w:r>
      </w:hyperlink>
    </w:p>
    <w:p>
      <w:pPr>
        <w:spacing w:before="0" w:after="80"/>
      </w:pPr>
      <w:r>
        <w:rPr>
          <w:i/>
          <w:sz w:val="20"/>
        </w:rPr>
        <w:t>EN: Hyperbranched Organosilicon Polymer-Based Transparent Hybrid Antifouling Coating with Active–Passive Synergistic Antibacterial Action</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37">
        <w:r>
          <w:rPr>
            <w:color w:val="1155CC"/>
            <w:u w:val="single"/>
          </w:rPr>
          <w:t>10.1021/acsami.6c11766</w:t>
        </w:r>
      </w:hyperlink>
    </w:p>
    <w:p>
      <w:pPr>
        <w:spacing w:before="0" w:after="120"/>
      </w:pPr>
      <w:r>
        <w:rPr>
          <w:b/>
        </w:rPr>
        <w:t xml:space="preserve">Notes: </w:t>
      </w:r>
      <w:r>
        <w:t>abstract_source=crossref</w:t>
      </w:r>
    </w:p>
    <w:p>
      <w:pPr>
        <w:spacing w:before="0" w:after="80" w:lineRule="auto" w:line="276"/>
      </w:pPr>
      <w:r>
        <w:rPr>
          <w:b/>
        </w:rPr>
        <w:t xml:space="preserve">摘要（ZH）: </w:t>
      </w:r>
      <w:r>
        <w:t>摘要 基于聚二甲基硅氧烷（PDMS）的除垢涂料由于缺乏杀菌活性或表面排斥性等防污机制，在静态条件下表现不佳。高熔体粘度、有限的链端官能团以及线性 PDMS 链缺乏分子间相互作用导致了加工性能受损、对基材的粘附力降低以及韧性和抗撕裂性降低等挑战。为了克服这些缺点，本研究通过溶胶-凝胶工艺将具有相对较长支链和刚性金刚烷骨架的超支化聚合物战略性地整合到混合网络中，成功开发了一系列兼具柔性和刚性特性的协同两亲有机硅复合涂层（x-HSiN+-Ad）。该材料的合成涉及富含聚乙二醇（PEG）和季铵盐（QAS）基团（HSiN+）的超支化预聚物、异氰酸酯改性金刚烷单体和硅烷偶联剂的共水解缩合，然后通过引入聚醚胺（PEA）进行二次交联。实验结果表明，该涂层具有极低的表面自由能（29.34 mJ·m–2）和高透明度（&gt; 90％），并且机械性能显着提高。这种性能的增强归因于超支化有机硅和PEG软链段的柔性缓冲和能量耗散以及金刚烷硬链段的刚性增强所产生的协同应变能量耗散效应。钴</w:t>
      </w:r>
    </w:p>
    <w:p>
      <w:pPr>
        <w:spacing w:before="0" w:after="200" w:lineRule="auto" w:line="276"/>
      </w:pPr>
      <w:r>
        <w:rPr>
          <w:b/>
        </w:rPr>
        <w:t xml:space="preserve">Abstract (EN): </w:t>
      </w:r>
      <w:r>
        <w:t>Polydimethylsiloxane (PDMS)-based fouling-release coatings perform poorly in static conditions due to their lack of antifouling mechanisms like biocidal activity or surface repellence. The high melt viscosity, limited chain-end functional groups, and lack of intermolecular interactions of linear PDMS chains lead to challenges such as impaired processability, reduced adhesion to substrates, and diminished toughness and tear resistance. To overcome these drawbacks, this study strategically integrates hyperbranched polymers with relatively long branches and rigid adamantane skeletons into a hybrid network via a sol–gel process, successfully developing a series of synergistic amphiphilic silicone composite coatings (x-HSiN+-Ad) that combine both flexible and rigid characteristics. The material synthesis involves co-hydrolysis condensation of hyperbranched prepolymers rich in polyethylene glycol (PEG) and quaternary ammonium salt (QAS) groups (HSiN+), isocyanate-modified adamantane monomers, and silane coupling agents, followed by secondary crosslinking through the introduction of polyether amine (PEA). Experimental results show that the coatings exhibit an extremely low surface free energy of 29.34 mJ·m–2 and high transparency (&amp;gt;90%), along with substantially improved mechanical properties. This performance enhancement is attributed to the synergistic strain energy dissipation effect arising from the flexible buffering and energy dissipation of the hyperbranched silicone and PEG soft segments, combined with the rigid reinforcement of the adamantane hard segments. Consequently, the optimized coating achieves a hardness of 68 MPa, an elastic modulus of 1.63 GPa, and a substrate adhesion strength as high as 2.97 MPa, while also demonstrating excellent bending fatigue resistance. Furthermore, the coating surface provides multiple action mechanisms, including contact inhibition and hydration barrier formation, which significantly enhance resistance against static bacterial colonization: bacterial anti-adhesion rates reach 94.9% against Pseudomonas aeruginosa, 96.4% against Escherichia coli, and 92.5% against Staphylococcus aureus. After 14 days of static immersion, the Chlorella attachment on the coating remains at an extremely low level of 0.20%; in a 60-day marine field test, the coating exhibits outstanding antifouling performance with negligible fouling adhesion. Zone of inhibition tests further confirm that the material belongs to the category of structurally non-leaching antibacterial materials. This study elucidates how topological network regulation synergistically enhances the mechanical strength of silicone coatings and constructs interfacial amphiphilicity, providing an innovative design strategy for developing durable and environmentally friendly marine antifouling materials.</w:t>
      </w:r>
    </w:p>
    <w:p>
      <w:pPr>
        <w:spacing w:before="120" w:after="120"/>
      </w:pPr>
      <w:r>
        <w:rPr>
          <w:sz w:val="18"/>
        </w:rPr>
        <w:t>——————————————————————————————————————————————————————————————————————</w:t>
      </w:r>
    </w:p>
    <w:p>
      <w:pPr>
        <w:spacing w:before="160" w:after="40" w:line="240" w:lineRule="auto"/>
      </w:pPr>
      <w:r>
        <w:rPr>
          <w:b/>
        </w:rPr>
        <w:t xml:space="preserve">[501] </w:t>
      </w:r>
      <w:hyperlink r:id="rId1538">
        <w:r>
          <w:rPr>
            <w:color w:val="1155CC"/>
            <w:u w:val="single"/>
          </w:rPr>
          <w:t>基岩岩性决定森林人口对干旱的反应</w:t>
        </w:r>
      </w:hyperlink>
    </w:p>
    <w:p>
      <w:pPr>
        <w:spacing w:before="0" w:after="80"/>
      </w:pPr>
      <w:r>
        <w:rPr>
          <w:i/>
          <w:sz w:val="20"/>
        </w:rPr>
        <w:t>EN: Bedrock lithology determines forest demographic responses to drought</w:t>
      </w:r>
    </w:p>
    <w:p>
      <w:pPr>
        <w:spacing w:before="0" w:after="120"/>
      </w:pPr>
      <w:r>
        <w:rPr>
          <w:b/>
        </w:rPr>
        <w:t xml:space="preserve">Source: </w:t>
      </w:r>
      <w:r>
        <w:t>Earth and environmental sciences : Nature Communications subject feeds</w:t>
      </w:r>
      <w:r>
        <w:t xml:space="preserve">    </w:t>
      </w:r>
      <w:r>
        <w:rPr>
          <w:b/>
        </w:rPr>
        <w:t xml:space="preserve">Pub date: </w:t>
      </w:r>
      <w:r>
        <w:t>2026-08-19 00:00:00+00:00</w:t>
      </w:r>
    </w:p>
    <w:p>
      <w:pPr>
        <w:spacing w:before="0" w:after="120"/>
      </w:pPr>
      <w:r>
        <w:rPr>
          <w:b/>
        </w:rPr>
        <w:t xml:space="preserve">Notes: </w:t>
      </w:r>
      <w:r>
        <w:t>abstract_source=nature_html</w:t>
      </w:r>
    </w:p>
    <w:p>
      <w:pPr>
        <w:spacing w:before="0" w:after="80" w:lineRule="auto" w:line="276"/>
      </w:pPr>
      <w:r>
        <w:rPr>
          <w:b/>
        </w:rPr>
        <w:t xml:space="preserve">摘要（ZH）: </w:t>
      </w:r>
      <w:r>
        <w:t>森林对干旱的脆弱性不仅取决于气候和性状，还取决于基岩对水动态的控制，而这一问题仍未得到很好的解决。在这里，我们将卫星获得的风化层水流失率（近地表保水能力的代表）与 40 个地点 849 棵树的年轮记录、碳同位素测量和死亡率观测结果结合起来，以研究中国西南部喀斯特和非喀斯特森林的森林人口干旱反应。基岩岩性与气候、土壤和性状变量一样，成为干旱脆弱性空间变化的关键结构性约束。值得注意的是，我们发现了岩性介导的人口脆弱性反转：在喀斯特森林中，较年轻和较小的树木比较老和较大的树木表现出较低的抵抗力和恢复能力，特别是在长期干旱的情况下，而非喀斯特森林则表现出相反的模式。现场同位素和死亡率证据表明，生理压力和生长下降与这种对比一致，突出了基岩岩性作为森林人口干旱脆弱性的地球物理限制。</w:t>
      </w:r>
    </w:p>
    <w:p>
      <w:pPr>
        <w:spacing w:before="0" w:after="200" w:lineRule="auto" w:line="276"/>
      </w:pPr>
      <w:r>
        <w:rPr>
          <w:b/>
        </w:rPr>
        <w:t xml:space="preserve">Abstract (EN): </w:t>
      </w:r>
      <w:r>
        <w:t>Forest vulnerability to drought depends not only on climate and traits, but also on bedrock controls on water dynamics, which remain poorly resolved. Here we integrate satellite-derived regolith water loss rate, a proxy for near-surface water retention capacity, with tree-ring records from 849 trees across 40 sites, carbon isotope measurements and mortality observations to examine forest demographic drought responses across karst and non-karst forests in southwest China. Bedrock lithology emerged as a key structural constraint on spatial variation in drought vulnerability, alongside climate, soil and trait variables. Notably, we identify a lithology-mediated inversion of demographic vulnerability: in karst forests, younger and smaller trees showed lower resistance and recovery than older and larger trees, especially under prolonged drought, whereas non-karst forests showed contrasting patterns. Site-level isotope and mortality evidence indicated physiological stress and growth decline consistent with this contrast, highlighting bedrock lithology as a geophysical constraint on forest demographic drought vulnerability.</w:t>
      </w:r>
    </w:p>
    <w:p>
      <w:pPr>
        <w:spacing w:before="120" w:after="120"/>
      </w:pPr>
      <w:r>
        <w:rPr>
          <w:sz w:val="18"/>
        </w:rPr>
        <w:t>——————————————————————————————————————————————————————————————————————</w:t>
      </w:r>
    </w:p>
    <w:p>
      <w:pPr>
        <w:spacing w:before="160" w:after="40" w:line="240" w:lineRule="auto"/>
      </w:pPr>
      <w:r>
        <w:rPr>
          <w:b/>
        </w:rPr>
        <w:t xml:space="preserve">[502] </w:t>
      </w:r>
      <w:hyperlink r:id="rId1539">
        <w:r>
          <w:rPr>
            <w:color w:val="1155CC"/>
            <w:u w:val="single"/>
          </w:rPr>
          <w:t>根据法律草案，南非科学家必须向官方机构注册，否则将面临入狱风险</w:t>
        </w:r>
      </w:hyperlink>
    </w:p>
    <w:p>
      <w:pPr>
        <w:spacing w:before="0" w:after="80"/>
      </w:pPr>
      <w:r>
        <w:rPr>
          <w:i/>
          <w:sz w:val="20"/>
        </w:rPr>
        <w:t>EN: South Africa’s scientists must register with official body or risk prison, according to draft law</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40">
        <w:r>
          <w:rPr>
            <w:color w:val="1155CC"/>
            <w:u w:val="single"/>
          </w:rPr>
          <w:t>10.1038/d41586-026-02516-2</w:t>
        </w:r>
      </w:hyperlink>
    </w:p>
    <w:p>
      <w:pPr>
        <w:spacing w:before="0" w:after="120"/>
      </w:pPr>
      <w:r>
        <w:rPr>
          <w:b/>
        </w:rPr>
        <w:t xml:space="preserve">Notes: </w:t>
      </w:r>
      <w:r>
        <w:t>abstract_source=rss_nature</w:t>
      </w:r>
    </w:p>
    <w:p>
      <w:pPr>
        <w:spacing w:before="0" w:after="80" w:lineRule="auto" w:line="276"/>
      </w:pPr>
      <w:r>
        <w:rPr>
          <w:b/>
        </w:rPr>
        <w:t xml:space="preserve">摘要（ZH）: </w:t>
      </w:r>
      <w:r>
        <w:t>许多研究人员并不知道即将出台的法律将要求他们向监管机构注册，工程师和医疗保健专业人员也是如此。</w:t>
      </w:r>
    </w:p>
    <w:p>
      <w:pPr>
        <w:spacing w:before="0" w:after="200" w:lineRule="auto" w:line="276"/>
      </w:pPr>
      <w:r>
        <w:rPr>
          <w:b/>
        </w:rPr>
        <w:t xml:space="preserve">Abstract (EN): </w:t>
      </w:r>
      <w:r>
        <w:t>Many researchers are unaware of an upcoming law that will require them to register with a regulatory body, as is the case for engineers and health-care professionals.</w:t>
      </w:r>
    </w:p>
    <w:p>
      <w:pPr>
        <w:spacing w:before="120" w:after="120"/>
      </w:pPr>
      <w:r>
        <w:rPr>
          <w:sz w:val="18"/>
        </w:rPr>
        <w:t>——————————————————————————————————————————————————————————————————————</w:t>
      </w:r>
    </w:p>
    <w:p>
      <w:pPr>
        <w:spacing w:before="160" w:after="40" w:line="240" w:lineRule="auto"/>
      </w:pPr>
      <w:r>
        <w:rPr>
          <w:b/>
        </w:rPr>
        <w:t xml:space="preserve">[503] </w:t>
      </w:r>
      <w:hyperlink r:id="rId1541">
        <w:r>
          <w:rPr>
            <w:color w:val="1155CC"/>
            <w:u w:val="single"/>
          </w:rPr>
          <w:t>病毒利用“松散的大炮”酶来压倒细菌的防御</w:t>
        </w:r>
      </w:hyperlink>
    </w:p>
    <w:p>
      <w:pPr>
        <w:spacing w:before="0" w:after="80"/>
      </w:pPr>
      <w:r>
        <w:rPr>
          <w:i/>
          <w:sz w:val="20"/>
        </w:rPr>
        <w:t>EN: Virus deploys a ‘loose cannon’ enzyme to overpower bacterial defences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42">
        <w:r>
          <w:rPr>
            <w:color w:val="1155CC"/>
            <w:u w:val="single"/>
          </w:rPr>
          <w:t>10.1038/d41586-026-02537-x</w:t>
        </w:r>
      </w:hyperlink>
    </w:p>
    <w:p>
      <w:pPr>
        <w:spacing w:before="0" w:after="120"/>
      </w:pPr>
      <w:r>
        <w:rPr>
          <w:b/>
        </w:rPr>
        <w:t xml:space="preserve">Notes: </w:t>
      </w:r>
      <w:r>
        <w:t>abstract_source=rss_nature</w:t>
      </w:r>
    </w:p>
    <w:p>
      <w:pPr>
        <w:spacing w:before="0" w:after="80" w:lineRule="auto" w:line="276"/>
      </w:pPr>
      <w:r>
        <w:rPr>
          <w:b/>
        </w:rPr>
        <w:t xml:space="preserve">摘要（ZH）: </w:t>
      </w:r>
      <w:r>
        <w:t>感染细菌的病毒必须逃避或对抗宿主的防御系统。人们发现病毒激酶 T7K 可以磷酸化几乎所有细菌蛋白，但其对 DNA 结合蛋白的特异性使其能够禁用针对核酸的防御系统。</w:t>
      </w:r>
    </w:p>
    <w:p>
      <w:pPr>
        <w:spacing w:before="0" w:after="200" w:lineRule="auto" w:line="276"/>
      </w:pPr>
      <w:r>
        <w:rPr>
          <w:b/>
        </w:rPr>
        <w:t xml:space="preserve">Abstract (EN): </w:t>
      </w:r>
      <w:r>
        <w:t>Viruses that infect bacteria must either evade or counter the defence systems of their host. The viral kinase enzyme T7K has been found to phosphorylate nearly all bacterial proteins, but its specificity for DNA-binding proteins enables it to disable defence systems that target nucleic acids.</w:t>
      </w:r>
    </w:p>
    <w:p>
      <w:pPr>
        <w:spacing w:before="120" w:after="120"/>
      </w:pPr>
      <w:r>
        <w:rPr>
          <w:sz w:val="18"/>
        </w:rPr>
        <w:t>——————————————————————————————————————————————————————————————————————</w:t>
      </w:r>
    </w:p>
    <w:p>
      <w:pPr>
        <w:spacing w:before="160" w:after="40" w:line="240" w:lineRule="auto"/>
      </w:pPr>
      <w:r>
        <w:rPr>
          <w:b/>
        </w:rPr>
        <w:t xml:space="preserve">[504] </w:t>
      </w:r>
      <w:hyperlink r:id="rId1543">
        <w:r>
          <w:rPr>
            <w:color w:val="1155CC"/>
            <w:u w:val="single"/>
          </w:rPr>
          <w:t>启动实验室会议的二十二种简单方法</w:t>
        </w:r>
      </w:hyperlink>
    </w:p>
    <w:p>
      <w:pPr>
        <w:spacing w:before="0" w:after="80"/>
      </w:pPr>
      <w:r>
        <w:rPr>
          <w:i/>
          <w:sz w:val="20"/>
        </w:rPr>
        <w:t>EN: Twenty-two easy ways to power up your lab meetings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44">
        <w:r>
          <w:rPr>
            <w:color w:val="1155CC"/>
            <w:u w:val="single"/>
          </w:rPr>
          <w:t>10.1038/d41586-026-02037-y</w:t>
        </w:r>
      </w:hyperlink>
    </w:p>
    <w:p>
      <w:pPr>
        <w:spacing w:before="0" w:after="120"/>
      </w:pPr>
      <w:r>
        <w:rPr>
          <w:b/>
        </w:rPr>
        <w:t xml:space="preserve">Notes: </w:t>
      </w:r>
      <w:r>
        <w:t>abstract_source=rss_nature</w:t>
      </w:r>
    </w:p>
    <w:p>
      <w:pPr>
        <w:spacing w:before="0" w:after="80" w:lineRule="auto" w:line="276"/>
      </w:pPr>
      <w:r>
        <w:rPr>
          <w:b/>
        </w:rPr>
        <w:t xml:space="preserve">摘要（ZH）: </w:t>
      </w:r>
      <w:r>
        <w:t>科学家们分享关于如何开展研究讨论的帮助和建议。</w:t>
      </w:r>
    </w:p>
    <w:p>
      <w:pPr>
        <w:spacing w:before="0" w:after="200" w:lineRule="auto" w:line="276"/>
      </w:pPr>
      <w:r>
        <w:rPr>
          <w:b/>
        </w:rPr>
        <w:t xml:space="preserve">Abstract (EN): </w:t>
      </w:r>
      <w:r>
        <w:t>Scientists share help and advice on how they got their research discussions flowing.</w:t>
      </w:r>
    </w:p>
    <w:p>
      <w:pPr>
        <w:spacing w:before="120" w:after="120"/>
      </w:pPr>
      <w:r>
        <w:rPr>
          <w:sz w:val="18"/>
        </w:rPr>
        <w:t>——————————————————————————————————————————————————————————————————————</w:t>
      </w:r>
    </w:p>
    <w:p>
      <w:pPr>
        <w:spacing w:before="160" w:after="40" w:line="240" w:lineRule="auto"/>
      </w:pPr>
      <w:r>
        <w:rPr>
          <w:b/>
        </w:rPr>
        <w:t xml:space="preserve">[505] </w:t>
      </w:r>
      <w:hyperlink r:id="rId1545">
        <w:r>
          <w:rPr>
            <w:color w:val="1155CC"/>
            <w:u w:val="single"/>
          </w:rPr>
          <w:t>噬菌体 T7 激酶的普遍磷酸化解除了细菌的防御</w:t>
        </w:r>
      </w:hyperlink>
    </w:p>
    <w:p>
      <w:pPr>
        <w:spacing w:before="0" w:after="80"/>
      </w:pPr>
      <w:r>
        <w:rPr>
          <w:i/>
          <w:sz w:val="20"/>
        </w:rPr>
        <w:t>EN: Pervasive phosphorylation by phage T7 kinase disarms bacterial defences</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46">
        <w:r>
          <w:rPr>
            <w:color w:val="1155CC"/>
            <w:u w:val="single"/>
          </w:rPr>
          <w:t>10.1038/s41586-026-10934-5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细菌和噬菌体分别处于不断的军备竞赛中，以开发防御和反防御系统。目前已知的噬菌体编码的抗防御系统特定于目标细菌防御系统的活性。在这里，我们确定了 T7 噬菌体利用蛋白质磷酸化广泛抵消细菌防御的机制。它的激酶 (T7K)，据报道可以重定向一些宿主蛋白的功能</w:t>
      </w:r>
      <w:r>
        <w:t xml:space="preserve"> </w:t>
      </w:r>
      <w:r>
        <w:t>1–5</w:t>
      </w:r>
      <w:r>
        <w:t xml:space="preserve"> </w:t>
      </w:r>
      <w:r>
        <w:t>，实际上是一种高度混杂的双特异性激酶，可在感染过程中磷酸化几乎所有宿主和噬菌体蛋白。磷酸化的规模远远超过已知的磷酸位点</w:t>
      </w:r>
      <w:r>
        <w:t xml:space="preserve"> </w:t>
      </w:r>
      <w:r>
        <w:t>大肠杆菌</w:t>
      </w:r>
      <w:r>
        <w:t xml:space="preserve"> </w:t>
      </w:r>
      <w:r>
        <w:t>，没有序列基序特异性，导致比具有约 500 个激酶的哺乳动物细胞更高的蛋白质组范围磷酸化密度。磷酸化位点的化学计量分析揭示了 T7K 活性对由其 C 端 DNA 结合结构域介导的核酸结合底物的强烈偏向。这种高度化学计量的磷酸化能够使 DNA 靶向或含 DNA 的细菌防御系统失活。我们提供了关于 T7K 如何通过特定磷酸化事件削弱含有 DNA 的 Retron-Eco9 的机制见解，以及在毒素废除防御的关键位点中的单一磷酸模拟突变。此外，通过筛选大量</w:t>
      </w:r>
      <w:r>
        <w:t xml:space="preserve"> </w:t>
      </w:r>
      <w:r>
        <w:t>大肠杆菌</w:t>
      </w:r>
      <w:r>
        <w:t xml:space="preserve"> </w:t>
      </w:r>
      <w:r>
        <w:t>菌株，我们提供了广泛的反防御能力的证据</w:t>
      </w:r>
    </w:p>
    <w:p>
      <w:pPr>
        <w:spacing w:before="0" w:after="200" w:lineRule="auto" w:line="276"/>
      </w:pPr>
      <w:r>
        <w:rPr>
          <w:b/>
        </w:rPr>
        <w:t xml:space="preserve">Abstract (EN): </w:t>
      </w:r>
      <w:r>
        <w:t>Bacteria and bacteriophages are in a constant arms race to develop defence and anti-defence systems, respectively. Currently known phage-encoded anti-defence systems are specific to the activity of the targeted bacterial defence system. Here we identify a mechanism by which the T7 bacteriophage broadly counteracts bacterial defences using protein phosphorylation. Its kinase (T7K), which has been reported to redirect the function of a few host proteins</w:t>
      </w:r>
      <w:r>
        <w:t xml:space="preserve"> </w:t>
      </w:r>
      <w:r>
        <w:t>1–5</w:t>
      </w:r>
      <w:r>
        <w:t xml:space="preserve"> </w:t>
      </w:r>
      <w:r>
        <w:t>, is actually a hyperpromiscuous dual-specificity kinase that phosphorylates nearly all host and phage proteins during infection. The scale of phosphorylation vastly exceeds known phosphosites in</w:t>
      </w:r>
      <w:r>
        <w:t xml:space="preserve"> </w:t>
      </w:r>
      <w:r>
        <w:t>Escherichia coli</w:t>
      </w:r>
      <w:r>
        <w:t xml:space="preserve"> </w:t>
      </w:r>
      <w:r>
        <w:t>, has no sequence motif specificity and results in a higher proteome-wide phosphorylation density than mammalian cells with around 500 kinases. Stoichiometry analysis of phosphorylation sites revealed strong bias in T7K activity towards nucleic-acid-binding substrates mediated by its C-terminal DNA-binding domain. This highly stoichiometric phosphorylation enables the deactivation of DNA-targeting or DNA-containing bacterial defence systems. We provide mechanistic insights into how T7K weakens DNA-containing Retron-Eco9 through specific phosphorylation events, with single phosphomimetic mutations in key sites of the toxin abolishing defence. Moreover, by screening a large collection of</w:t>
      </w:r>
      <w:r>
        <w:t xml:space="preserve"> </w:t>
      </w:r>
      <w:r>
        <w:t>E. coli</w:t>
      </w:r>
      <w:r>
        <w:t xml:space="preserve"> </w:t>
      </w:r>
      <w:r>
        <w:t>strains, we provide evidence of broad anti-defence abilities of T7K in nature, as counteracted strains contain diverse bacterial defence systems. T7K homologues are found almost exclusively in phages, with hyperpromiscuous kinase activity probably being enabled by a divergent DFG-like motif in the catalytic centre.</w:t>
      </w:r>
    </w:p>
    <w:p>
      <w:pPr>
        <w:spacing w:before="120" w:after="120"/>
      </w:pPr>
      <w:r>
        <w:rPr>
          <w:sz w:val="18"/>
        </w:rPr>
        <w:t>——————————————————————————————————————————————————————————————————————</w:t>
      </w:r>
    </w:p>
    <w:p>
      <w:pPr>
        <w:spacing w:before="160" w:after="40" w:line="240" w:lineRule="auto"/>
      </w:pPr>
      <w:r>
        <w:rPr>
          <w:b/>
        </w:rPr>
        <w:t xml:space="preserve">[506] </w:t>
      </w:r>
      <w:hyperlink r:id="rId1547">
        <w:r>
          <w:rPr>
            <w:color w:val="1155CC"/>
            <w:u w:val="single"/>
          </w:rPr>
          <w:t>医疗保健中大型语言模型的安全性</w:t>
        </w:r>
      </w:hyperlink>
    </w:p>
    <w:p>
      <w:pPr>
        <w:spacing w:before="0" w:after="80"/>
      </w:pPr>
      <w:r>
        <w:rPr>
          <w:i/>
          <w:sz w:val="20"/>
        </w:rPr>
        <w:t>EN: Safety and security of large language models in healthcare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48">
        <w:r>
          <w:rPr>
            <w:color w:val="1155CC"/>
            <w:u w:val="single"/>
          </w:rPr>
          <w:t>10.1038/s41586-026-10687-1</w:t>
        </w:r>
      </w:hyperlink>
    </w:p>
    <w:p>
      <w:pPr>
        <w:spacing w:before="0" w:after="120"/>
      </w:pPr>
      <w:r>
        <w:rPr>
          <w:b/>
        </w:rPr>
        <w:t xml:space="preserve">Notes: </w:t>
      </w:r>
      <w:r>
        <w:t>abstract_source=pubmed</w:t>
      </w:r>
    </w:p>
    <w:p>
      <w:pPr>
        <w:spacing w:before="0" w:after="80" w:lineRule="auto" w:line="276"/>
      </w:pPr>
      <w:r>
        <w:rPr>
          <w:b/>
        </w:rPr>
        <w:t xml:space="preserve">摘要（ZH）: </w:t>
      </w:r>
      <w:r>
        <w:t>在生成人工智能（尤其是大型语言模型）进步的推动下，人工智能方法与临床护理的整合正在迅速进行。经过大量文本训练的大型语言模型在医疗保健的几乎每个领域都显示出了潜力。然而，它们的广泛适用性也带来了新的责任、漏洞和威胁。在广泛临床采用之前，需要对这些问题进行评估和缓解。在这里，我们回顾了有关大型语言模型本身的安全性和安全性以及它们与医院工作流程的集成以及与人类医疗保健提供者交互的现有文献。我们系统地将安全隐患映射到临床人工智能系统的开发阶段（设计、数据、模型、推理和环境），识别安全层，从核心优化目标、知识完整性和一致性，到与人类和系统的交互，并根据当前的临床相关性对威胁进行分类。最后，我们提供了对当前缓解技术的看法，说明了各个利益相关者的责任。</w:t>
      </w:r>
    </w:p>
    <w:p>
      <w:pPr>
        <w:spacing w:before="0" w:after="200" w:lineRule="auto" w:line="276"/>
      </w:pPr>
      <w:r>
        <w:rPr>
          <w:b/>
        </w:rPr>
        <w:t xml:space="preserve">Abstract (EN): </w:t>
      </w:r>
      <w:r>
        <w:t>Integration of artificial intelligence methods into clinical care is proceeding rapidly, driven by advances in generative artificial intelligence, most notably large language models. Large language models trained on large amounts of text have shown potential across nearly every domain of healthcare. However, their broad applicability also comes with new responsibilities, vulnerabilities and threats. These need to be assessed and mitigated before widespread clinical adoption. Here we review the available literature on security and safety of large language models themselves as well as their integration with hospital workflows and interactions with human healthcare providers. We systematically map security hazards to development stages of clinical artificial intelligence systems (design, data, model, inference and environment), identify safety layers, from core optimization objectives, knowledge integrity and alignment, to interaction with humans and systems, and classify threats by their current clinical relevance. Finally, we provide a perspective on current mitigation techniques, illustrating respective stakeholders' responsibilities.</w:t>
      </w:r>
    </w:p>
    <w:p>
      <w:pPr>
        <w:spacing w:before="120" w:after="120"/>
      </w:pPr>
      <w:r>
        <w:rPr>
          <w:sz w:val="18"/>
        </w:rPr>
        <w:t>——————————————————————————————————————————————————————————————————————</w:t>
      </w:r>
    </w:p>
    <w:p>
      <w:pPr>
        <w:spacing w:before="160" w:after="40" w:line="240" w:lineRule="auto"/>
      </w:pPr>
      <w:r>
        <w:rPr>
          <w:b/>
        </w:rPr>
        <w:t xml:space="preserve">[507] </w:t>
      </w:r>
      <w:hyperlink r:id="rId1549">
        <w:r>
          <w:rPr>
            <w:color w:val="1155CC"/>
            <w:u w:val="single"/>
          </w:rPr>
          <w:t>迷幻药使大脑活动与环境保持一致</w:t>
        </w:r>
      </w:hyperlink>
    </w:p>
    <w:p>
      <w:pPr>
        <w:spacing w:before="0" w:after="80"/>
      </w:pPr>
      <w:r>
        <w:rPr>
          <w:i/>
          <w:sz w:val="20"/>
        </w:rPr>
        <w:t>EN: Psychedelics align brain activity with context</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50">
        <w:r>
          <w:rPr>
            <w:color w:val="1155CC"/>
            <w:u w:val="single"/>
          </w:rPr>
          <w:t>10.1038/s41586-026-10910-z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迷幻药可以通过重组大脑连接来深刻改变意识</w:t>
      </w:r>
      <w:r>
        <w:t xml:space="preserve"> </w:t>
      </w:r>
      <w:r>
        <w:t>1,2</w:t>
      </w:r>
      <w:r>
        <w:t xml:space="preserve"> </w:t>
      </w:r>
      <w:r>
        <w:t>，产生塑造持久心理变化的敏锐体验</w:t>
      </w:r>
      <w:r>
        <w:t xml:space="preserve"> </w:t>
      </w:r>
      <w:r>
        <w:t>3,4</w:t>
      </w:r>
      <w:r>
        <w:t xml:space="preserve"> </w:t>
      </w:r>
      <w:r>
        <w:t>。迷幻动力学通常被描述为不同步或熵无序</w:t>
      </w:r>
      <w:r>
        <w:t xml:space="preserve"> </w:t>
      </w:r>
      <w:r>
        <w:t>5,6</w:t>
      </w:r>
      <w:r>
        <w:t xml:space="preserve"> </w:t>
      </w:r>
      <w:r>
        <w:t>，然而参与者经常报告的自我消解和边界消解体验背后的大脑组织</w:t>
      </w:r>
      <w:r>
        <w:rPr>
          <w:vertAlign w:val="subscript"/>
        </w:rPr>
        <w:t>7</w:t>
      </w:r>
      <w:r>
        <w:t>，以及环境如何塑造该组织</w:t>
      </w:r>
      <w:r>
        <w:rPr>
          <w:vertAlign w:val="subscript"/>
        </w:rPr>
        <w:t>8</w:t>
      </w:r>
      <w:r>
        <w:t>，仍悬而未决。为了解决这个问题，我们获得了迄今为止最大的单点迷幻神经影像数据集。 62 名成年人在休息和自然刺激（冥想、音乐和电影）期间、服用裸盖菇素之前和当天接受了功能性磁共振成像 (fMRI) 和脑电图 (EEG)（fMRI 给药后约 80 分钟；脑电图给药后约 150 分钟）。一半人认为这次经历是他们一生中最有意义的经历</w:t>
      </w:r>
      <w:r>
        <w:rPr>
          <w:vertAlign w:val="subscript"/>
        </w:rPr>
        <w:t>7</w:t>
      </w:r>
      <w:r>
        <w:t>。在这里，我们使用机器学习将每个人的大脑动态表示为低维轨迹，结果表明裸盖菇素将大脑活动重新组织成结构化的、上下文敏感的模式，这些模式与主观体验的质量共同变化，揭示了时间平均测量所遗漏的潜在顺序。通常将内部和外部处理分离的网络集成起来，产生有凝聚力的</w:t>
      </w:r>
    </w:p>
    <w:p>
      <w:pPr>
        <w:spacing w:before="0" w:after="200" w:lineRule="auto" w:line="276"/>
      </w:pPr>
      <w:r>
        <w:rPr>
          <w:b/>
        </w:rPr>
        <w:t xml:space="preserve">Abstract (EN): </w:t>
      </w:r>
      <w:r>
        <w:t>Psychedelics can profoundly alter consciousness by reorganizing brain connectivity</w:t>
      </w:r>
      <w:r>
        <w:t xml:space="preserve"> </w:t>
      </w:r>
      <w:r>
        <w:t>1,2</w:t>
      </w:r>
      <w:r>
        <w:t xml:space="preserve"> </w:t>
      </w:r>
      <w:r>
        <w:t>, producing acute experiences that shape lasting psychological change</w:t>
      </w:r>
      <w:r>
        <w:t xml:space="preserve"> </w:t>
      </w:r>
      <w:r>
        <w:t>3,4</w:t>
      </w:r>
      <w:r>
        <w:t xml:space="preserve"> </w:t>
      </w:r>
      <w:r>
        <w:t>. Psychedelic dynamics are commonly described as desynchronized or entropically disordered</w:t>
      </w:r>
      <w:r>
        <w:t xml:space="preserve"> </w:t>
      </w:r>
      <w:r>
        <w:t>5,6</w:t>
      </w:r>
      <w:r>
        <w:t xml:space="preserve"> </w:t>
      </w:r>
      <w:r>
        <w:t>, yet the brain organization underlying self-dissolving and boundary-dissolving experiences that participants often report</w:t>
      </w:r>
      <w:r>
        <w:rPr>
          <w:vertAlign w:val="subscript"/>
        </w:rPr>
        <w:t>7</w:t>
      </w:r>
      <w:r>
        <w:t>, and how context shapes that organization</w:t>
      </w:r>
      <w:r>
        <w:rPr>
          <w:vertAlign w:val="subscript"/>
        </w:rPr>
        <w:t>8</w:t>
      </w:r>
      <w:r>
        <w:t>, remain unresolved. To address this, we acquired the largest single-site psychedelic neuroimaging dataset to date. Sixty-two adults underwent functional magnetic resonance imaging (fMRI) and electroencephalography (EEG) during rest and naturalistic stimuli (meditation, music and movie), before and on the day of psilocybin administration (fMRI ~ 80 min post-dose; EEG ~ 150 min post-dose). Half ranked the experience among the most meaningful of their lives</w:t>
      </w:r>
      <w:r>
        <w:rPr>
          <w:vertAlign w:val="subscript"/>
        </w:rPr>
        <w:t>7</w:t>
      </w:r>
      <w:r>
        <w:t>. Here, using machine learning to represent the brain dynamics of each individual as low-dimensional trajectories, we show that psilocybin reorganizes brain activity into structured, context-sensitive patterns that co-vary with the quality of subjective experience, revealing a latent order missed by time-averaged measures. Networks that ordinarily segregate internal and external processing integrated, producing cohesive context-aligned trajectories in participants reporting the felt experience of being continuous with, rather than separate from, the environment, a state we refer to as embeddedness. The strength of this context alignment scaled with both the depth of self-dissolving and boundary-dissolving experience and the next-day mindset change. Our findings recast apparent disorder as latent organization aligned with context, linking neurobiology to subjective experience and behavioural change.</w:t>
      </w:r>
    </w:p>
    <w:p>
      <w:pPr>
        <w:spacing w:before="120" w:after="120"/>
      </w:pPr>
      <w:r>
        <w:rPr>
          <w:sz w:val="18"/>
        </w:rPr>
        <w:t>——————————————————————————————————————————————————————————————————————</w:t>
      </w:r>
    </w:p>
    <w:p>
      <w:pPr>
        <w:spacing w:before="160" w:after="40" w:line="240" w:lineRule="auto"/>
      </w:pPr>
      <w:r>
        <w:rPr>
          <w:b/>
        </w:rPr>
        <w:t xml:space="preserve">[508] </w:t>
      </w:r>
      <w:hyperlink r:id="rId1551">
        <w:r>
          <w:rPr>
            <w:color w:val="1155CC"/>
            <w:u w:val="single"/>
          </w:rPr>
          <w:t>冰岛全基因组参考</w:t>
        </w:r>
      </w:hyperlink>
    </w:p>
    <w:p>
      <w:pPr>
        <w:spacing w:before="0" w:after="80"/>
      </w:pPr>
      <w:r>
        <w:rPr>
          <w:i/>
          <w:sz w:val="20"/>
        </w:rPr>
        <w:t>EN: An Icelandic pangenome reference</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52">
        <w:r>
          <w:rPr>
            <w:color w:val="1155CC"/>
            <w:u w:val="single"/>
          </w:rPr>
          <w:t>10.1038/s41586-026-10924-7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参考偏差是影响大多数分析映射到参考基因组的短读长的基因组研究的一个问题</w:t>
      </w:r>
      <w:r>
        <w:t xml:space="preserve"> </w:t>
      </w:r>
      <w:r>
        <w:t>1,2</w:t>
      </w:r>
      <w:r>
        <w:t xml:space="preserve"> </w:t>
      </w:r>
      <w:r>
        <w:t>。它可以通过映射到泛基因组中代表的多个单倍型来缓解</w:t>
      </w:r>
      <w:r>
        <w:t xml:space="preserve"> </w:t>
      </w:r>
      <w:r>
        <w:t>3–5</w:t>
      </w:r>
      <w:r>
        <w:t xml:space="preserve"> </w:t>
      </w:r>
      <w:r>
        <w:t>。在这里，我们介绍两种解决参考偏差的新方法：用于构建泛基因组的 Emblask 和用于大规模映射泛基因组的 Weaver。 Emblask 是一种混合长读和短读单倍型解析的双组装管道，用于亲子三重奏数据。使用 Emblask，我们组装了 698 个冰岛单倍型，并将它们添加到人类泛基因组参考联盟 (HPRC) 泛基因组中</w:t>
      </w:r>
      <w:r>
        <w:rPr>
          <w:vertAlign w:val="subscript"/>
        </w:rPr>
        <w:t>4</w:t>
      </w:r>
      <w:r>
        <w:t>构建冰岛全基因组参考（HPRC-ICE），包括 5141 万个小变异。我们使用 Wea​​ver 将 57,630 名冰岛人的短读映射到 HPRC-ICE，并调用了 9896 万个变体，这比映射到线性参考增加了 6.17%。我们在低可映射性区域发现了新的变异，包括致病性单核苷酸多态性（SNP）</w:t>
      </w:r>
      <w:r>
        <w:t xml:space="preserve"> </w:t>
      </w:r>
      <w:r>
        <w:t>GBA1</w:t>
      </w:r>
      <w:r>
        <w:t xml:space="preserve"> </w:t>
      </w:r>
      <w:r>
        <w:t>与早发型帕金森病和错义 SNP 相关</w:t>
      </w:r>
      <w:r>
        <w:t xml:space="preserve"> </w:t>
      </w:r>
      <w:r>
        <w:t>哥伦比亚广播公司</w:t>
      </w:r>
      <w:r>
        <w:t xml:space="preserve"> </w:t>
      </w:r>
      <w:r>
        <w:t>这是高胱氨酸尿症的致病因素。我们复制了</w:t>
      </w:r>
      <w:r>
        <w:t xml:space="preserve"> </w:t>
      </w:r>
      <w:r>
        <w:t>GBA1</w:t>
      </w:r>
      <w:r>
        <w:t xml:space="preserve"> </w:t>
      </w:r>
      <w:r>
        <w:t>英国生物银行协会</w:t>
      </w:r>
      <w:r>
        <w:rPr>
          <w:vertAlign w:val="subscript"/>
        </w:rPr>
        <w:t>6</w:t>
      </w:r>
      <w:r>
        <w:t>有针对性地重新绘制了 429,193 名英国和爱尔兰参与者。</w:t>
      </w:r>
    </w:p>
    <w:p>
      <w:pPr>
        <w:spacing w:before="0" w:after="200" w:lineRule="auto" w:line="276"/>
      </w:pPr>
      <w:r>
        <w:rPr>
          <w:b/>
        </w:rPr>
        <w:t xml:space="preserve">Abstract (EN): </w:t>
      </w:r>
      <w:r>
        <w:t>Reference bias is an issue that affects most genomic studies analysing short reads mapped to a reference genome</w:t>
      </w:r>
      <w:r>
        <w:t xml:space="preserve"> </w:t>
      </w:r>
      <w:r>
        <w:t>1,2</w:t>
      </w:r>
      <w:r>
        <w:t xml:space="preserve"> </w:t>
      </w:r>
      <w:r>
        <w:t>. It can be mitigated by mapping to multiple haplotypes represented in a pangenome</w:t>
      </w:r>
      <w:r>
        <w:t xml:space="preserve"> </w:t>
      </w:r>
      <w:r>
        <w:t>3–5</w:t>
      </w:r>
      <w:r>
        <w:t xml:space="preserve"> </w:t>
      </w:r>
      <w:r>
        <w:t>. Here we introduce two new methods to address reference bias: Emblask for pangenome construction and Weaver for mapping to pangenomes at scale. Emblask is a hybrid long- and short-read haplotype-resolved dual assembly pipeline for parent–offspring trio data. Using Emblask, we assembled 698 Icelandic haplotypes and added them to the Human Pangenome Reference Consortium (HPRC) pangenome</w:t>
      </w:r>
      <w:r>
        <w:rPr>
          <w:vertAlign w:val="subscript"/>
        </w:rPr>
        <w:t>4</w:t>
      </w:r>
      <w:r>
        <w:t>to construct an Icelandic pangenome reference (HPRC-ICE) including 51.41 million small variants. We mapped the short reads of 57,630 Icelanders to HPRC-ICE with Weaver and called 98.96 million variants, representing a 6.17% increase over mapping to a linear reference. We uncovered new variants in low-mappability regions, including a pathogenic single nucleotide polymorphism (SNP) in</w:t>
      </w:r>
      <w:r>
        <w:t xml:space="preserve"> </w:t>
      </w:r>
      <w:r>
        <w:t>GBA1</w:t>
      </w:r>
      <w:r>
        <w:t xml:space="preserve"> </w:t>
      </w:r>
      <w:r>
        <w:t>that associates with early onset Parkinson’s disease and a missense SNP in</w:t>
      </w:r>
      <w:r>
        <w:t xml:space="preserve"> </w:t>
      </w:r>
      <w:r>
        <w:t>CBS</w:t>
      </w:r>
      <w:r>
        <w:t xml:space="preserve"> </w:t>
      </w:r>
      <w:r>
        <w:t>that is pathogenic for homocystinuria. We replicated the</w:t>
      </w:r>
      <w:r>
        <w:t xml:space="preserve"> </w:t>
      </w:r>
      <w:r>
        <w:t>GBA1</w:t>
      </w:r>
      <w:r>
        <w:t xml:space="preserve"> </w:t>
      </w:r>
      <w:r>
        <w:t>association in the UK Biobank</w:t>
      </w:r>
      <w:r>
        <w:rPr>
          <w:vertAlign w:val="subscript"/>
        </w:rPr>
        <w:t>6</w:t>
      </w:r>
      <w:r>
        <w:t>with a targeted remapping of 429,193 British and Irish participants.</w:t>
      </w:r>
    </w:p>
    <w:p>
      <w:pPr>
        <w:spacing w:before="120" w:after="120"/>
      </w:pPr>
      <w:r>
        <w:rPr>
          <w:sz w:val="18"/>
        </w:rPr>
        <w:t>——————————————————————————————————————————————————————————————————————</w:t>
      </w:r>
    </w:p>
    <w:p>
      <w:pPr>
        <w:spacing w:before="160" w:after="40" w:line="240" w:lineRule="auto"/>
      </w:pPr>
      <w:r>
        <w:rPr>
          <w:b/>
        </w:rPr>
        <w:t xml:space="preserve">[509] </w:t>
      </w:r>
      <w:hyperlink r:id="rId1553">
        <w:r>
          <w:rPr>
            <w:color w:val="1155CC"/>
            <w:u w:val="single"/>
          </w:rPr>
          <w:t>钠钾竞争控制葫芦脲中的氙吸收</w:t>
        </w:r>
      </w:hyperlink>
    </w:p>
    <w:p>
      <w:pPr>
        <w:spacing w:before="0" w:after="80"/>
      </w:pPr>
      <w:r>
        <w:rPr>
          <w:i/>
          <w:sz w:val="20"/>
        </w:rPr>
        <w:t>EN: Sodium–Potassium Competition Controls Xenon Uptake in Cucurbiturils</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554">
        <w:r>
          <w:rPr>
            <w:color w:val="1155CC"/>
            <w:u w:val="single"/>
          </w:rPr>
          <w:t>10.1021/jacs.6c09510</w:t>
        </w:r>
      </w:hyperlink>
    </w:p>
    <w:p>
      <w:pPr>
        <w:spacing w:before="0" w:after="120"/>
      </w:pPr>
      <w:r>
        <w:rPr>
          <w:b/>
        </w:rPr>
        <w:t xml:space="preserve">Notes: </w:t>
      </w:r>
      <w:r>
        <w:t>abstract_source=crossref</w:t>
      </w:r>
    </w:p>
    <w:p>
      <w:pPr>
        <w:spacing w:before="0" w:after="80" w:lineRule="auto" w:line="276"/>
      </w:pPr>
      <w:r>
        <w:rPr>
          <w:b/>
        </w:rPr>
        <w:t xml:space="preserve">摘要（ZH）: </w:t>
      </w:r>
      <w:r>
        <w:t>摘要 129Xe 磁共振的显着特异性促使人们努力将其应用扩展到医学诊断并开发与体内条件兼容的 Xe-cage 客体复合物。葫芦[n]脲（CB[n]）是最有希望用于直接生物相容性氙封装的宿主分子之一。基于早期观察结果，即碱金属阳离子影响 Xe 与 CB[n] 的结合，本研究对溶液中 Na+ 与 K+ 的比率如何控制 CB[6] 和 CB[5] 对 Xe 的吸收进行了全面的实验和计算分析。利用一维和二维 129Xe NMR 以及量子力学模型，我们阐明了碱金属阳离子调节笼 Xe 吸收的分子机制。我们的计算表明，Na+可以在CB[6]内占据接近中心的位置，直接与Xe竞争疏水核，从而抑制封装。相比之下，K+ 仍然局限于外围入口位点，使中央腔可进入，并使 Xe 能够取代阳离子并稳定在笼内。气温升高和笼与笼之间的竞争进一步放大了这些影响。通过结合实验和理论结果，我们首次对 Xe-CB[n] 系统中 Na+/K+ 竞争提供了详细的机制解释，并建立了明确的设计原则来优化 Xe 宿主以用于未来的体内应用。</w:t>
      </w:r>
    </w:p>
    <w:p>
      <w:pPr>
        <w:spacing w:before="0" w:after="200" w:lineRule="auto" w:line="276"/>
      </w:pPr>
      <w:r>
        <w:rPr>
          <w:b/>
        </w:rPr>
        <w:t xml:space="preserve">Abstract (EN): </w:t>
      </w:r>
      <w:r>
        <w:t>The remarkable specificity of 129Xe magnetic resonance has motivated efforts to expand its application to medical diagnostics and to develop Xe-cage guest–host complexes compatible with in vivo conditions. Cucurbit[n]urils (CB[n]) are among the most promising host molecules for direct biocompatible Xe encapsulation. Building on earlier observations that alkali cations influence the binding of Xe to CB[n], this study provides a comprehensive experimental and computational analysis of how the ratio of Na+ to K+ in the solution governs Xe uptake by CB[6] and CB[5]. Using one- and two-dimensional 129Xe NMR together with quantum-mechanical modeling, we elucidate the molecular mechanism by which alkali cations modulate cage Xe uptake. Our calculations reveal that Na+ can adopt a near-central position inside CB[6], directly competing with Xe for the hydrophobic core, thereby suppressing encapsulation. In contrast, K+ remains confined to peripheral portal sites, leaving the central cavity accessible, and enabling Xe to displace the cation and stabilize inside the cage. Elevated temperatures and cage–cage competition further amplify these effects. By combining experimental and theoretical results, we thus provide the first detailed mechanistic explanation of Na+/K+ competition in Xe-CB[n] systems, and establish clear design principles to optimize Xe hosts for future in vivo applications.</w:t>
      </w:r>
    </w:p>
    <w:p>
      <w:pPr>
        <w:spacing w:before="120" w:after="120"/>
      </w:pPr>
      <w:r>
        <w:rPr>
          <w:sz w:val="18"/>
        </w:rPr>
        <w:t>——————————————————————————————————————————————————————————————————————</w:t>
      </w:r>
    </w:p>
    <w:p>
      <w:pPr>
        <w:spacing w:before="160" w:after="40" w:line="240" w:lineRule="auto"/>
      </w:pPr>
      <w:r>
        <w:rPr>
          <w:b/>
        </w:rPr>
        <w:t xml:space="preserve">[510] </w:t>
      </w:r>
      <w:hyperlink r:id="rId1555">
        <w:r>
          <w:rPr>
            <w:color w:val="1155CC"/>
            <w:u w:val="single"/>
          </w:rPr>
          <w:t>110岁以上的人如何生活？大量的抗癌细胞可能是关键</w:t>
        </w:r>
      </w:hyperlink>
    </w:p>
    <w:p>
      <w:pPr>
        <w:spacing w:before="0" w:after="80"/>
      </w:pPr>
      <w:r>
        <w:rPr>
          <w:i/>
          <w:sz w:val="20"/>
        </w:rPr>
        <w:t>EN: How do people live beyond 110? Abundance of cancer-killing cells might be key</w:t>
      </w:r>
    </w:p>
    <w:p>
      <w:pPr>
        <w:spacing w:before="0" w:after="120"/>
      </w:pPr>
      <w:r>
        <w:rPr>
          <w:b/>
        </w:rPr>
        <w:t xml:space="preserve">Source: </w:t>
      </w:r>
      <w:r>
        <w:t>Nature</w:t>
      </w:r>
      <w:r>
        <w:t xml:space="preserve">    </w:t>
      </w:r>
      <w:r>
        <w:rPr>
          <w:b/>
        </w:rPr>
        <w:t xml:space="preserve">Pub date: </w:t>
      </w:r>
      <w:r>
        <w:t>2026-08-19 00:00:00+00:00</w:t>
      </w:r>
      <w:r>
        <w:t xml:space="preserve">    </w:t>
      </w:r>
      <w:r>
        <w:rPr>
          <w:b/>
        </w:rPr>
        <w:t xml:space="preserve">DOI: </w:t>
      </w:r>
      <w:hyperlink r:id="rId1556">
        <w:r>
          <w:rPr>
            <w:color w:val="1155CC"/>
            <w:u w:val="single"/>
          </w:rPr>
          <w:t>10.1038/d41586-026-02587-1</w:t>
        </w:r>
      </w:hyperlink>
    </w:p>
    <w:p>
      <w:pPr>
        <w:spacing w:before="0" w:after="120"/>
      </w:pPr>
      <w:r>
        <w:rPr>
          <w:b/>
        </w:rPr>
        <w:t xml:space="preserve">Notes: </w:t>
      </w:r>
      <w:r>
        <w:t>abstract_source=rss_nature</w:t>
      </w:r>
    </w:p>
    <w:p>
      <w:pPr>
        <w:spacing w:before="0" w:after="80" w:lineRule="auto" w:line="276"/>
      </w:pPr>
      <w:r>
        <w:rPr>
          <w:b/>
        </w:rPr>
        <w:t xml:space="preserve">摘要（ZH）: </w:t>
      </w:r>
      <w:r>
        <w:t>对 110 岁及以上人群的研究表明，免疫系统会持续适应。</w:t>
      </w:r>
    </w:p>
    <w:p>
      <w:pPr>
        <w:spacing w:before="0" w:after="200" w:lineRule="auto" w:line="276"/>
      </w:pPr>
      <w:r>
        <w:rPr>
          <w:b/>
        </w:rPr>
        <w:t xml:space="preserve">Abstract (EN): </w:t>
      </w:r>
      <w:r>
        <w:t>Research on people 110 years and older reveals an immune system that continues to adapt.</w:t>
      </w:r>
    </w:p>
    <w:p>
      <w:pPr>
        <w:spacing w:before="120" w:after="120"/>
      </w:pPr>
      <w:r>
        <w:rPr>
          <w:sz w:val="18"/>
        </w:rPr>
        <w:t>——————————————————————————————————————————————————————————————————————</w:t>
      </w:r>
    </w:p>
    <w:p>
      <w:pPr>
        <w:spacing w:before="160" w:after="40" w:line="240" w:lineRule="auto"/>
      </w:pPr>
      <w:r>
        <w:rPr>
          <w:b/>
        </w:rPr>
        <w:t xml:space="preserve">[511] </w:t>
      </w:r>
      <w:hyperlink r:id="rId1557">
        <w:r>
          <w:rPr>
            <w:color w:val="1155CC"/>
            <w:u w:val="single"/>
          </w:rPr>
          <w:t>深空穴介导的硫醇选择性有氧氧化环化成环状二硫化物</w:t>
        </w:r>
      </w:hyperlink>
    </w:p>
    <w:p>
      <w:pPr>
        <w:spacing w:before="0" w:after="80"/>
      </w:pPr>
      <w:r>
        <w:rPr>
          <w:i/>
          <w:sz w:val="20"/>
        </w:rPr>
        <w:t>EN: Deep Cavitand Mediated Selective Aerobic Oxidative Cyclization of Thiols to Cyclic Disulfides</w:t>
      </w:r>
    </w:p>
    <w:p>
      <w:pPr>
        <w:spacing w:before="0" w:after="120"/>
      </w:pPr>
      <w:r>
        <w:rPr>
          <w:b/>
        </w:rPr>
        <w:t xml:space="preserve">Source: </w:t>
      </w:r>
      <w:r>
        <w:t>Journal of the American Chemical Society: Latest Articles (ACS Publications)</w:t>
      </w:r>
      <w:r>
        <w:t xml:space="preserve">    </w:t>
      </w:r>
      <w:r>
        <w:rPr>
          <w:b/>
        </w:rPr>
        <w:t xml:space="preserve">Pub date: </w:t>
      </w:r>
      <w:r>
        <w:t>2026-08-19 00:00:00+00:00</w:t>
      </w:r>
      <w:r>
        <w:t xml:space="preserve">    </w:t>
      </w:r>
      <w:r>
        <w:rPr>
          <w:b/>
        </w:rPr>
        <w:t xml:space="preserve">DOI: </w:t>
      </w:r>
      <w:hyperlink r:id="rId1558">
        <w:r>
          <w:rPr>
            <w:color w:val="1155CC"/>
            <w:u w:val="single"/>
          </w:rPr>
          <w:t>10.1021/jacs.6c15679</w:t>
        </w:r>
      </w:hyperlink>
    </w:p>
    <w:p>
      <w:pPr>
        <w:spacing w:before="0" w:after="120"/>
      </w:pPr>
      <w:r>
        <w:rPr>
          <w:b/>
        </w:rPr>
        <w:t xml:space="preserve">Notes: </w:t>
      </w:r>
      <w:r>
        <w:t>abstract_source=crossref</w:t>
      </w:r>
    </w:p>
    <w:p>
      <w:pPr>
        <w:spacing w:before="0" w:after="80" w:lineRule="auto" w:line="276"/>
      </w:pPr>
      <w:r>
        <w:rPr>
          <w:b/>
        </w:rPr>
        <w:t xml:space="preserve">摘要（ZH）: </w:t>
      </w:r>
      <w:r>
        <w:t>摘要 报道了一种温和的超分子模板策略，用于通过 α,ω-二硫醇在水介质中的有氧氧化环化选择性合成中环至大环二硫化物。水溶性深空腔CV-1作为一个多功能平台，可以协同解决水相大环化的挑战，包括底物溶解度差、环化选择性低和反应中间体的非生产性副反应。具体而言，CV-1 能够将疏水性线性 α,ω-二硫醇溶解在水中，将其预组织成有利于分子内偶联的折叠 J 形构象，并将反应性硫基自由基 (RS·) 中间体隔离在其有限的空腔内以抑制低聚。这种相互作用允许在温和、无金属的条件下以环境空气作为唯一氧化剂进行有效的有氧氧化环化，以 61-89% 的产率提供 8 至 14 元环状二硫化物。空穴对封装的二硫键提供持久的稳定性，使其对二硫苏糖醇 (DTT) 等强外部还原剂呈惰性。这项工作初步演示了水中超分子控制的大环化作用，为生物化学、制药和材料科学的未来应用提供了见解。</w:t>
      </w:r>
    </w:p>
    <w:p>
      <w:pPr>
        <w:spacing w:before="0" w:after="200" w:lineRule="auto" w:line="276"/>
      </w:pPr>
      <w:r>
        <w:rPr>
          <w:b/>
        </w:rPr>
        <w:t xml:space="preserve">Abstract (EN): </w:t>
      </w:r>
      <w:r>
        <w:t>A mild supramolecular template strategy is reported for the selective synthesis of medium- to macrocyclic disulfides via aerobic oxidative cyclization of α,ω-dithiols in aqueous media. The water-soluble deep cavitand CV-1 serves as a multifunctional platform that synergistically addresses challenges of aqueous-phase macrocyclization, including poor substrate solubility, low cyclization selectivity, and unproductive side reactions of reactive intermediates. Specifically, CV-1 enables solubilization of hydrophobic linear α,ω-dithiols in water, preorganizes them into folded J-shaped conformations favorable for intramolecular coupling, and sequesters reactive thiyl radical (RS·) intermediates within its confined cavity to suppress oligomerization. This interplay allows efficient aerobic oxidative cyclization under mild, metal-free conditions with ambient air as the sole oxidant, affording 8- to 14-membered cyclic disulfides in 61–89% yields. The cavitand cavity provides enduring stabilization of the encapsulated disulfide bonds, rendering them inert toward strong external reductants such as dithiothreitol (DTT). This work provides a preliminary demonstration of supramolecularly controlled macrocyclization in water, offering insights for future applications in biochemistry, pharmaceuticals, and materials science.</w:t>
      </w:r>
    </w:p>
    <w:p>
      <w:pPr>
        <w:spacing w:before="120" w:after="120"/>
      </w:pPr>
      <w:r>
        <w:rPr>
          <w:sz w:val="18"/>
        </w:rPr>
        <w:t>——————————————————————————————————————————————————————————————————————</w:t>
      </w:r>
    </w:p>
    <w:p>
      <w:pPr>
        <w:spacing w:before="160" w:after="40" w:line="240" w:lineRule="auto"/>
      </w:pPr>
      <w:r>
        <w:rPr>
          <w:b/>
        </w:rPr>
        <w:t xml:space="preserve">[512] </w:t>
      </w:r>
      <w:hyperlink r:id="rId1559">
        <w:r>
          <w:rPr>
            <w:color w:val="1155CC"/>
            <w:u w:val="single"/>
          </w:rPr>
          <w:t>真空诱导脱氧和脱羟基机制驱动激光辐照增透膜中点缺陷的演变</w:t>
        </w:r>
      </w:hyperlink>
    </w:p>
    <w:p>
      <w:pPr>
        <w:spacing w:before="0" w:after="80"/>
      </w:pPr>
      <w:r>
        <w:rPr>
          <w:i/>
          <w:sz w:val="20"/>
        </w:rPr>
        <w:t>EN: Vacuum-Induced Deoxygenation and Dehydroxylation Mechanisms Drive Point Defect Evolution in Laser-Irradiated AR Coatings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60">
        <w:r>
          <w:rPr>
            <w:color w:val="1155CC"/>
            <w:u w:val="single"/>
          </w:rPr>
          <w:t>10.1021/acsami.6c08272</w:t>
        </w:r>
      </w:hyperlink>
    </w:p>
    <w:p>
      <w:pPr>
        <w:spacing w:before="0" w:after="120"/>
      </w:pPr>
      <w:r>
        <w:rPr>
          <w:b/>
        </w:rPr>
        <w:t xml:space="preserve">Notes: </w:t>
      </w:r>
      <w:r>
        <w:t>abstract_source=crossref</w:t>
      </w:r>
    </w:p>
    <w:p>
      <w:pPr>
        <w:spacing w:before="0" w:after="80" w:lineRule="auto" w:line="276"/>
      </w:pPr>
      <w:r>
        <w:rPr>
          <w:b/>
        </w:rPr>
        <w:t xml:space="preserve">摘要（ZH）: </w:t>
      </w:r>
      <w:r>
        <w:t>摘要：由于潜在的原子级点缺陷演化机制尚不清楚，真空环境下光学涂层激光诱导损伤阈值（LIDT）的显着降低成为高功率空间激光系统的关键瓶颈。本研究将多尺度表征与反作用力场分子动力学 (ReaxFF-MD) 模拟相结合，以阐明点缺陷的环境依赖性及其对激光损伤行为的影响，系统地关注氧损失、脱羟基和非桥接氧空穴中心 (NBOHC) 的演化。结果表明，与空气相比，真空下的点缺陷传播显着增强，从而导致更严重的 LIDT 退化。激光照射会导致表面氧以 O2 分子的形式损失，同时形成以 ODC(I) 为主的与氧相关的缺陷，这些缺陷在真空下表现出更明显的浓度。同时，由相邻 Si-OH 缩合驱动的脱羟基主要释放 H2O 分子并引入缺陷前体，而不是直接传播 NBOHC。 NBOHC 的演化受到传播路径和还原路径之间相互作用的控制。在低功率辐照下，NBOHC的演化以多径还原为主，主要形成具有E'中心的缺陷前体，其次是Si5和E'中心的重组，而通过NBOHC耦合形成的过氧键（POL）很少。在高功率辐照下，以前驱体-d为主</w:t>
      </w:r>
    </w:p>
    <w:p>
      <w:pPr>
        <w:spacing w:before="0" w:after="200" w:lineRule="auto" w:line="276"/>
      </w:pPr>
      <w:r>
        <w:rPr>
          <w:b/>
        </w:rPr>
        <w:t xml:space="preserve">Abstract (EN): </w:t>
      </w:r>
      <w:r>
        <w:t>The significant degradation of the laser-induced damage threshold (LIDT) of optical coatings under vacuum environments poses a critical bottleneck for high-power space laser systems, as the underlying atomic-scale point defect evolution mechanisms remain unclear. This study integrates multi-scale characterization with reactive force field molecular dynamics (ReaxFF-MD) simulations to elucidate the environmental dependence of point defects and their impact on laser damage behavior, with a systematic focus on oxygen loss, dehydroxylation, and the evolution of the non-bridging oxygen hole center (NBOHC). The results show that point defect propagation is significantly enhanced under vacuum compared to air, leading to more severe LIDT degradation. Laser irradiation induces surface oxygen loss in the form of O2 molecules, accompanied by the formation of oxygen-related defects dominated by ODC(I), which exhibit more pronounced concentrations under vacuum. Meanwhile, dehydroxylation driven by the condensation of adjacent Si-OH predominantly releases H2O molecules and introduces defect precursors rather than directly propagating the NBOHC. The evolution of the NBOHC is governed by the interplay between propagation and reduction paths. Under low-power irradiation, the evolution of the NBOHC is dominated by multipath reduction, primarily forming defect precursors with an E’center, with a secondary contribution from Si5 and E’center recombination, whereas very few peroxy linkages (POLs) are formed via NBOHC coupling. Under high-power irradiation, it is dominated by precursor-driven propagation, with the propagation rate under vacuum being approximately 115% higher than that in air. This study provides the first insight into the evolution mechanisms of oxygen loss and dehydroxylation under vacuum, establishing a theoretical foundation for enhancing the laser damage resistance of optical components in extreme environments.</w:t>
      </w:r>
    </w:p>
    <w:p>
      <w:pPr>
        <w:spacing w:before="120" w:after="120"/>
      </w:pPr>
      <w:r>
        <w:rPr>
          <w:sz w:val="18"/>
        </w:rPr>
        <w:t>——————————————————————————————————————————————————————————————————————</w:t>
      </w:r>
    </w:p>
    <w:p>
      <w:pPr>
        <w:spacing w:before="160" w:after="40" w:line="240" w:lineRule="auto"/>
      </w:pPr>
      <w:r>
        <w:rPr>
          <w:b/>
        </w:rPr>
        <w:t xml:space="preserve">[513] </w:t>
      </w:r>
      <w:hyperlink r:id="rId1561">
        <w:r>
          <w:rPr>
            <w:color w:val="1155CC"/>
            <w:u w:val="single"/>
          </w:rPr>
          <w:t>用于软性和生物活性电子器件的胶原蛋白基底上的 PEDOT:PSS 电极增材制造</w:t>
        </w:r>
      </w:hyperlink>
    </w:p>
    <w:p>
      <w:pPr>
        <w:spacing w:before="0" w:after="80"/>
      </w:pPr>
      <w:r>
        <w:rPr>
          <w:i/>
          <w:sz w:val="20"/>
        </w:rPr>
        <w:t>EN: Additive Manufacturing of PEDOT:PSS Electrodes on Collagen Substrates for Soft and Bioactive Electronics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62">
        <w:r>
          <w:rPr>
            <w:color w:val="1155CC"/>
            <w:u w:val="single"/>
          </w:rPr>
          <w:t>10.1021/acsami.6c09421</w:t>
        </w:r>
      </w:hyperlink>
    </w:p>
    <w:p>
      <w:pPr>
        <w:spacing w:before="0" w:after="120"/>
      </w:pPr>
      <w:r>
        <w:rPr>
          <w:b/>
        </w:rPr>
        <w:t xml:space="preserve">Notes: </w:t>
      </w:r>
      <w:r>
        <w:t>abstract_source=crossref</w:t>
      </w:r>
    </w:p>
    <w:p>
      <w:pPr>
        <w:spacing w:before="0" w:after="80" w:lineRule="auto" w:line="276"/>
      </w:pPr>
      <w:r>
        <w:rPr>
          <w:b/>
        </w:rPr>
        <w:t xml:space="preserve">摘要（ZH）: </w:t>
      </w:r>
      <w:r>
        <w:t>摘要 传统的生物电子器件由于机械和生化特性严重不匹配而受到生物界面较差的限制。在组织工程中，柔软的生物活性材料通过利用或模仿天然细胞外基质（ECM）来支持生物整合。利用 ECM 构建生物电子设备应该可以改善其生物整合性，但由于当前的制造方法，制造它们的方法有限。本文提出了一种基于胶原蛋白的生物电子接口的增材制造策略，该策略将导电聚合物电极与基于 ECM 的基底或封装层集成在一起。将聚（乙二醇）二缩水甘油醚（PEGDE）添加到聚（3,4-乙撑二氧噻吩）：聚（苯乙烯磺酸）（PEDOT：PSS）胶体分散体中，可以在与胶原蛋白基材兼容的温和条件下进行直接挤出图案化，并形成水稳定且高导电性的印刷图案（2788 S m-1）。由此产生的界面在生理环境中保持稳定的电化学性能超过7天，并支持两个材料区域的原代人类细胞粘附、活力和增殖。使用 3D 打印可可脂的牺牲图案策略进一步实现了胶原蛋白封装的空间控制。这种方法建立了一个用于制造基于胶原蛋白的功能性生物电子设备的框架，以进一步增强组织模型和可植入系统的设备生物界面。</w:t>
      </w:r>
    </w:p>
    <w:p>
      <w:pPr>
        <w:spacing w:before="0" w:after="200" w:lineRule="auto" w:line="276"/>
      </w:pPr>
      <w:r>
        <w:rPr>
          <w:b/>
        </w:rPr>
        <w:t xml:space="preserve">Abstract (EN): </w:t>
      </w:r>
      <w:r>
        <w:t>Traditional bioelectronic devices are limited by poor biointerfacing due to their substantial mismatch in mechanical and biochemical properties. In tissue engineering, soft and bioactive materials support biointegration by harnessing or mimicking the natural extracellular matrix (ECM). Building bioelectronic devices from ECM should improve their biointegration, yet there are limited methods to fabricate them due to current manufacturing approaches. An additive manufacturing strategy is presented here for collagen-based bioelectronic interfaces that integrates conducting polymer electrodes with ECM-based substrates or encapsulation layers. Addition of poly(ethylene glycol) diglycidyl ether (PEGDE) to poly(3,4-ethylenedioxythiophene):poly(styrene sulfonate) (PEDOT:PSS) colloidal dispersions enables direct extrusion-based patterning under mild conditions compatible with collagen substrates and forms aqueous stable and highly conducting printed patterns (2788 S m–1). The resulting interfaces maintain stable electrochemical performance over 7 days in physiological environments, and support primary human cell adhesion, viability, and proliferation across both material regions. A sacrificial patterning strategy using 3D printed cacao butter further enables spatial control of collagen encapsulation. This approach establishes a framework for fabricating functional bioelectronic devices based on collagen to further enhance device biointerfaces for tissue models and implantable systems.</w:t>
      </w:r>
    </w:p>
    <w:p>
      <w:pPr>
        <w:spacing w:before="120" w:after="120"/>
      </w:pPr>
      <w:r>
        <w:rPr>
          <w:sz w:val="18"/>
        </w:rPr>
        <w:t>——————————————————————————————————————————————————————————————————————</w:t>
      </w:r>
    </w:p>
    <w:p>
      <w:pPr>
        <w:spacing w:before="160" w:after="40" w:line="240" w:lineRule="auto"/>
      </w:pPr>
      <w:r>
        <w:rPr>
          <w:b/>
        </w:rPr>
        <w:t xml:space="preserve">[514] </w:t>
      </w:r>
      <w:hyperlink r:id="rId1563">
        <w:r>
          <w:rPr>
            <w:color w:val="1155CC"/>
            <w:u w:val="single"/>
          </w:rPr>
          <w:t>二氧化碳生理强迫减轻了气候驱动的水对植被生长和碳吸收的限制</w:t>
        </w:r>
      </w:hyperlink>
    </w:p>
    <w:p>
      <w:pPr>
        <w:spacing w:before="0" w:after="80"/>
      </w:pPr>
      <w:r>
        <w:rPr>
          <w:i/>
          <w:sz w:val="20"/>
        </w:rPr>
        <w:t>EN: CO2 physiological forcing mitigates climate-driven water limitation on vegetation growth and carbon uptake</w:t>
      </w:r>
    </w:p>
    <w:p>
      <w:pPr>
        <w:spacing w:before="0" w:after="120"/>
      </w:pPr>
      <w:r>
        <w:rPr>
          <w:b/>
        </w:rPr>
        <w:t xml:space="preserve">Source: </w:t>
      </w:r>
      <w:r>
        <w:t>Earth and environmental sciences : Nature Communications subject feeds</w:t>
      </w:r>
      <w:r>
        <w:t xml:space="preserve">    </w:t>
      </w:r>
      <w:r>
        <w:rPr>
          <w:b/>
        </w:rPr>
        <w:t xml:space="preserve">Pub date: </w:t>
      </w:r>
      <w:r>
        <w:t>2026-08-19 00:00:00+00:00</w:t>
      </w:r>
    </w:p>
    <w:p>
      <w:pPr>
        <w:spacing w:before="0" w:after="120"/>
      </w:pPr>
      <w:r>
        <w:rPr>
          <w:b/>
        </w:rPr>
        <w:t xml:space="preserve">Notes: </w:t>
      </w:r>
      <w:r>
        <w:t>abstract_source=nature_html</w:t>
      </w:r>
    </w:p>
    <w:p>
      <w:pPr>
        <w:spacing w:before="0" w:after="80" w:lineRule="auto" w:line="276"/>
      </w:pPr>
      <w:r>
        <w:rPr>
          <w:b/>
        </w:rPr>
        <w:t xml:space="preserve">摘要（ZH）: </w:t>
      </w:r>
      <w:r>
        <w:t>气候驱动的水资源限制增加预计将威胁生态系统的功能和服务。然而，由于外部二氧化碳生理强迫和内部适应机制的相互作用，生态系统受水限制的程度仍然不确定。在这里，我们开发了一个统一的生态系统限制指数，量化了水和能量对关键生态系统功能的相对限制，并表明气候驱动的水对植被生长和碳吸收的限制可以通过二氧化碳的生理效应有效缓解。因此，与 1980-2099 年基于蒸散量的估计 (10%) 相比，预计水资源有限地区的扩张是适度的 (评估土地面积的 4-5%)。虽然气候变化推动所有生态系统功能从能源限制转向水限制，但二氧化碳的生理效应减轻了对光合作用和生长的限制，但没有减轻蒸散量的限制。因此，以前对蒸散量的唯一依赖系统地高估了生态系统的水限制。我们的研究结果调和了干旱悖论——尽管气候干旱加剧但绿化却广泛存在——并强调了多功能评估对于气候变化下生态系统动态的稳健预测的重要性。</w:t>
      </w:r>
    </w:p>
    <w:p>
      <w:pPr>
        <w:spacing w:before="0" w:after="200" w:lineRule="auto" w:line="276"/>
      </w:pPr>
      <w:r>
        <w:rPr>
          <w:b/>
        </w:rPr>
        <w:t xml:space="preserve">Abstract (EN): </w:t>
      </w:r>
      <w:r>
        <w:t>Climate-driven increases in water limitation are expected to threaten ecosystem functioning and services. However, the extent to which ecosystems are water-limited remains uncertain due to the interplay of external CO2 physiological forcing and internal adaptation mechanisms. Here, we develop a unified ecosystem limitation index that quantifies the relative limitation of water and energy on key ecosystem functions and show that climate-driven water limitation on vegetation growth and carbon uptake is effectively mitigated by CO2 physiological effects. Consequently, projected expansion of water-limited areas is moderate (4–5% of assessed land area) compared to estimates based on evapotranspiration (10%) during 1980–2099. While climate change drives widespread shifts from energy to water limitation across all ecosystem functions, CO2 physiological effects alleviate constraints on photosynthesis and growth but not on evapotranspiration. Previous sole reliance on evapotranspiration has therefore systematically overestimated ecosystem water limitation. Our findings reconcile the aridity paradox—widespread greening despite intensifying climate aridity—and underscore the importance of multifunctional assessments for robust projections of ecosystem dynamics under climate change.</w:t>
      </w:r>
    </w:p>
    <w:p>
      <w:pPr>
        <w:spacing w:before="120" w:after="120"/>
      </w:pPr>
      <w:r>
        <w:rPr>
          <w:sz w:val="18"/>
        </w:rPr>
        <w:t>——————————————————————————————————————————————————————————————————————</w:t>
      </w:r>
    </w:p>
    <w:p>
      <w:pPr>
        <w:spacing w:before="160" w:after="40" w:line="240" w:lineRule="auto"/>
      </w:pPr>
      <w:r>
        <w:rPr>
          <w:b/>
        </w:rPr>
        <w:t xml:space="preserve">[515] </w:t>
      </w:r>
      <w:hyperlink r:id="rId1564">
        <w:r>
          <w:rPr>
            <w:color w:val="1155CC"/>
            <w:u w:val="single"/>
          </w:rPr>
          <w:t>用于神经形态学习和伤害感受器仿真的固体聚合物电解质离子电子忆阻器中的界面离子调制</w:t>
        </w:r>
      </w:hyperlink>
    </w:p>
    <w:p>
      <w:pPr>
        <w:spacing w:before="0" w:after="80"/>
      </w:pPr>
      <w:r>
        <w:rPr>
          <w:i/>
          <w:sz w:val="20"/>
        </w:rPr>
        <w:t>EN: Interfacial Ionic Modulation in a Solid Polymer Electrolyte-Based Ionotronic Memristor for Neuromorphic Learning and Nociceptor Emulation</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65">
        <w:r>
          <w:rPr>
            <w:color w:val="1155CC"/>
            <w:u w:val="single"/>
          </w:rPr>
          <w:t>10.1021/acsami.6c12298</w:t>
        </w:r>
      </w:hyperlink>
    </w:p>
    <w:p>
      <w:pPr>
        <w:spacing w:before="0" w:after="120"/>
      </w:pPr>
      <w:r>
        <w:rPr>
          <w:b/>
        </w:rPr>
        <w:t xml:space="preserve">Notes: </w:t>
      </w:r>
      <w:r>
        <w:t>abstract_source=crossref</w:t>
      </w:r>
    </w:p>
    <w:p>
      <w:pPr>
        <w:spacing w:before="0" w:after="80" w:lineRule="auto" w:line="276"/>
      </w:pPr>
      <w:r>
        <w:rPr>
          <w:b/>
        </w:rPr>
        <w:t xml:space="preserve">摘要（ZH）: </w:t>
      </w:r>
      <w:r>
        <w:t>摘要基于固体聚合物电解质（SPE）的忆阻器通常表现出可预测的数字非易失性开关，电导可调性有限，限制了它们在神经形态系统中的使用。出现这种行为的原因是 SPE 中的移动阳离子和阴离子通过正反馈过程快速形成坚固的导电丝，从而产生急剧的设置/重置转换。在这里，我们证明，通过采用合适的脉冲方案，可以通过界面离子调制访问非丝状通路，从而导致与神经形态计算相关的渐进电导调制。我们制造了基于 CuBr 溶解聚环氧乙烷 (Cu-SPE) 的忆阻器，该忆阻器在直流偏置扫描模式下显示传统的数字丝状开关。优化后的器件（2 wt% CuBr）实现了 &gt;103 的开/关比，平均置位电压和复位电压分别为 +0.65 V 和 –0.7 V，并提高了均匀性。电化学表征显示低 Cu+ 传输数 (tCu+ ∼ 5%)，大部分离子电流由阴离子携带，导致偏置条件下发生浓差极化。通过利用这种极化效应并通过定制的脉冲方案调制 Cu+ 离子注入，Cu-SPE 忆阻器可重复​​地模拟跨时间尺度的突触行为，包括成对脉冲促进和抑制 (PPF/PPD)、脉冲幅度和脉冲宽度依赖的突触权重调制以及赫布学习规则。该设备还可以重现关键的伤害性反应，包括阈值放电、不适应和敏化。它可以</w:t>
      </w:r>
    </w:p>
    <w:p>
      <w:pPr>
        <w:spacing w:before="0" w:after="200" w:lineRule="auto" w:line="276"/>
      </w:pPr>
      <w:r>
        <w:rPr>
          <w:b/>
        </w:rPr>
        <w:t xml:space="preserve">Abstract (EN): </w:t>
      </w:r>
      <w:r>
        <w:t>Solid polymer electrolyte (SPE)-based memristors usually exhibit predictable digital nonvolatile switching with limited conductance tunability, restricting their use in neuromorphic systems. This behavior arises because of mobile cations and anions in SPEs that rapidly form robust conductive filaments via a positive-feedback process, producing sharp set/reset transitions. Here, we demonstrate that by employing a suitable pulse scheme, a nonfilamentary pathway can be accessed through interfacial ionic modulation, leading to gradual conductance modulation relevant for neuromorphic computing. We fabricated CuBr-dissolved polyethylene oxide (Cu-SPE) based memristors that show conventional digital filamentary switching on DC bias sweep mode. The optimized device (2 wt % CuBr) achieved an ON/OFF ratio of &amp;gt;103 with average set and reset voltages of +0.65 V and –0.7 V, respectively, and improved uniformity. The electrochemical characterization reveals a low Cu+ transport number (tCu+ ∼ 5%), with the majority of ionic current carried by anions, leading to concentration polarization during the biasing conditions. By harnessing this polarization effect and modulating Cu+ ion injection via tailored pulse schemes, the Cu-SPE memristor reproducibly emulates synaptic behaviors across temporal scales, including paired-pulse facilitation and depression (PPF/PPD), pulse-amplitude and pulse-width dependent synaptic weight modulation, and Hebbian learning rules. The device also reproduces key nociceptive responses including threshold firing, no-adaptation, and sensitization. It can, further, follow Pavlov's classical conditioning and act as a Morse code generator. A control experiment replacing the copper electrode with gold confirms that interfacial ionic modulation drives the neuromorphic behavior. These results establish that SPE-based memristors can simultaneously support digital filamentary memory and operate in a nonfilamentary, ionically mediated regime similar to fluidic memristors, thereby broadening their applicability in neuromorphic hardware.</w:t>
      </w:r>
    </w:p>
    <w:p>
      <w:pPr>
        <w:spacing w:before="120" w:after="120"/>
      </w:pPr>
      <w:r>
        <w:rPr>
          <w:sz w:val="18"/>
        </w:rPr>
        <w:t>——————————————————————————————————————————————————————————————————————</w:t>
      </w:r>
    </w:p>
    <w:p>
      <w:pPr>
        <w:spacing w:before="160" w:after="40" w:line="240" w:lineRule="auto"/>
      </w:pPr>
      <w:r>
        <w:rPr>
          <w:b/>
        </w:rPr>
        <w:t xml:space="preserve">[516] </w:t>
      </w:r>
      <w:hyperlink r:id="rId1566">
        <w:r>
          <w:rPr>
            <w:color w:val="1155CC"/>
            <w:u w:val="single"/>
          </w:rPr>
          <w:t>Sr基高熵钙钛矿氧化物薄膜中氧介导的电子重构和元素选择磁性</w:t>
        </w:r>
      </w:hyperlink>
    </w:p>
    <w:p>
      <w:pPr>
        <w:spacing w:before="0" w:after="80"/>
      </w:pPr>
      <w:r>
        <w:rPr>
          <w:i/>
          <w:sz w:val="20"/>
        </w:rPr>
        <w:t>EN: Oxygen-Mediated Electronic Reconstruction and Element-Selective Magnetism in Sr-Based High-Entropy Perovskite Oxide Thin Films</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67">
        <w:r>
          <w:rPr>
            <w:color w:val="1155CC"/>
            <w:u w:val="single"/>
          </w:rPr>
          <w:t>10.1021/acsami.6c08923</w:t>
        </w:r>
      </w:hyperlink>
    </w:p>
    <w:p>
      <w:pPr>
        <w:spacing w:before="0" w:after="120"/>
      </w:pPr>
      <w:r>
        <w:rPr>
          <w:b/>
        </w:rPr>
        <w:t xml:space="preserve">Notes: </w:t>
      </w:r>
      <w:r>
        <w:t>abstract_source=crossref</w:t>
      </w:r>
    </w:p>
    <w:p>
      <w:pPr>
        <w:spacing w:before="0" w:after="80" w:lineRule="auto" w:line="276"/>
      </w:pPr>
      <w:r>
        <w:rPr>
          <w:b/>
        </w:rPr>
        <w:t xml:space="preserve">摘要（ZH）: </w:t>
      </w:r>
      <w:r>
        <w:t>摘要 高熵钙钛矿氧化物为通过成分复杂性定制磁性功能提供了一个有前途的平台。然而，目前尚不清楚 4d 过渡金属的定向取代如何改变氧介导的电子结构和元素特异性磁相互作用。为了解决这个问题，我们利用 O K 边和过渡金属 L 边 X 射线吸收光谱、X 射线磁圆二色性 (XMCD) 和 X 射线线性二色性研究了 Mo 和 Ru 取代对高熵钙钛矿氧化物薄膜的电子结构和磁性的影响。 O K 边光谱表明，Ru 增强了 O 2p-金属 d 杂化，而 Mo 改变了过渡金属亚晶格内的电荷分布和局部交换路径。多重分析表明，Mn 和 Ni 保持稳定的 Mn4+ 和 Ni2+ 态，而 Co 通过改变 Co2+/Co3+ 比率充当主要电荷补偿库。温度相关的 XMCD 表明，这些取代选择性地重塑磁交换网络，重新分布组成元素之间的自旋极化。定量 XMCD 总和规则分析表明，Mo 取代在测量的温度范围内产生最高的重建总磁矩，在低温下达到的值比在含 Ru 成分中观察到的值大了近一个数量级。这些结果建立了一种成分驱动的策略，用于调整共价、电荷重新分布以及局部磁性和巡回磁性之间的平衡</w:t>
      </w:r>
    </w:p>
    <w:p>
      <w:pPr>
        <w:spacing w:before="0" w:after="200" w:lineRule="auto" w:line="276"/>
      </w:pPr>
      <w:r>
        <w:rPr>
          <w:b/>
        </w:rPr>
        <w:t xml:space="preserve">Abstract (EN): </w:t>
      </w:r>
      <w:r>
        <w:t>High-entropy perovskite oxides offer a promising platform for tailoring magnetic functionality through compositional complexity; however, it remains unclear how targeted substitution of 4d transition metals modifies oxygen-mediated electronic structure and element-specific magnetic interactions. To address this question, we investigate the effect of Mo and Ru substitution on the electronic structure and magnetism of high-entropy perovskite oxide thin films using O K-edge and transition-metal L-edge X-ray absorption spectroscopy, X-ray magnetic circular dichroism (XMCD), and X-ray linear dichroism. O K-edge spectra reveal that Ru enhances O 2p–metal d hybridization, whereas Mo modifies charge distribution and local exchange pathways within the transition-metal sublattice. Multiplet analysis shows that Mn and Ni retain stable Mn4+ and Ni2+ states, while Co acts as the primary charge-compensation reservoir through changes in the Co2+/Co3+ ratio. Temperature-dependent XMCD demonstrates that these substitutions selectively reshape the magnetic exchange network, redistributing spin polarization among the constituent elements. Quantitative XMCD sum-rule analysis reveals that Mo substitution produces the highest reconstructed total magnetic moment across the measured temperature range, reaching values at low temperature that are nearly an order of magnitude larger than those observed in the Ru-containing compositions. These results establish a composition-driven strategy for tuning covalency, charge redistribution, and the balance between localized and itinerant magnetism in high-entropy oxide thin films, providing a pathway toward the design of tunable spintronic and multifunctional oxide materials.</w:t>
      </w:r>
    </w:p>
    <w:p>
      <w:pPr>
        <w:spacing w:before="120" w:after="120"/>
      </w:pPr>
      <w:r>
        <w:rPr>
          <w:sz w:val="18"/>
        </w:rPr>
        <w:t>——————————————————————————————————————————————————————————————————————</w:t>
      </w:r>
    </w:p>
    <w:p>
      <w:pPr>
        <w:spacing w:before="160" w:after="40" w:line="240" w:lineRule="auto"/>
      </w:pPr>
      <w:r>
        <w:rPr>
          <w:b/>
        </w:rPr>
        <w:t xml:space="preserve">[517] </w:t>
      </w:r>
      <w:hyperlink r:id="rId1568">
        <w:r>
          <w:rPr>
            <w:color w:val="1155CC"/>
            <w:u w:val="single"/>
          </w:rPr>
          <w:t>石墨炔的工程联苯封端：制定评估聚合度和增强光催化性能的策略</w:t>
        </w:r>
      </w:hyperlink>
    </w:p>
    <w:p>
      <w:pPr>
        <w:spacing w:before="0" w:after="80"/>
      </w:pPr>
      <w:r>
        <w:rPr>
          <w:i/>
          <w:sz w:val="20"/>
        </w:rPr>
        <w:t>EN: Engineering Biphenyl-Group Capping of Graphdiyne: Developing a Strategy for Assessing Polymerization Degree and Enhancing Photocatalytic Performance</w:t>
      </w:r>
    </w:p>
    <w:p>
      <w:pPr>
        <w:spacing w:before="0" w:after="120"/>
      </w:pPr>
      <w:r>
        <w:rPr>
          <w:b/>
        </w:rPr>
        <w:t xml:space="preserve">Source: </w:t>
      </w:r>
      <w:r>
        <w:t>ACS Applied Materials &amp; Interfaces: Latest Articles (ACS Publications)</w:t>
      </w:r>
      <w:r>
        <w:t xml:space="preserve">    </w:t>
      </w:r>
      <w:r>
        <w:rPr>
          <w:b/>
        </w:rPr>
        <w:t xml:space="preserve">Pub date: </w:t>
      </w:r>
      <w:r>
        <w:t>2026-08-19 00:00:00+00:00</w:t>
      </w:r>
      <w:r>
        <w:t xml:space="preserve">    </w:t>
      </w:r>
      <w:r>
        <w:rPr>
          <w:b/>
        </w:rPr>
        <w:t xml:space="preserve">DOI: </w:t>
      </w:r>
      <w:hyperlink r:id="rId1569">
        <w:r>
          <w:rPr>
            <w:color w:val="1155CC"/>
            <w:u w:val="single"/>
          </w:rPr>
          <w:t>10.1021/acsami.6c10245</w:t>
        </w:r>
      </w:hyperlink>
    </w:p>
    <w:p>
      <w:pPr>
        <w:spacing w:before="0" w:after="120"/>
      </w:pPr>
      <w:r>
        <w:rPr>
          <w:b/>
        </w:rPr>
        <w:t xml:space="preserve">Notes: </w:t>
      </w:r>
      <w:r>
        <w:t>abstract_source=crossref</w:t>
      </w:r>
    </w:p>
    <w:p>
      <w:pPr>
        <w:spacing w:before="0" w:after="80" w:lineRule="auto" w:line="276"/>
      </w:pPr>
      <w:r>
        <w:rPr>
          <w:b/>
        </w:rPr>
        <w:t xml:space="preserve">摘要（ZH）: </w:t>
      </w:r>
      <w:r>
        <w:t>摘要 石墨炔作为碳同素异形体的新兴成员，无论在性能还是应用方面都具有重要的研究价值。性能方面，目前缺乏评估石墨二炔聚合度的方法，这对于建立石墨二炔产品标准化评价体系至关重要；就应用而言，低聚合度石墨二炔材料的应用潜力尚未得到充分挖掘。在此，通过在氢取代石墨二炔（GDY）的合成过程中引入4-乙炔基-1,1'-联苯（4-Eb）设计了联苯基封端方法。 4-Eb可以作为交叉偶联反应中的“封端剂”，调节GDY的聚合度。因此，通过精确分析傅里叶变换红外光谱（FTIR）相对定量评估GDY聚合度的策略已经被开发并通过各种表征方法进行验证。此外，联苯基封端可以提高光生载流子的分离效率并引入中间能级，有助于扩大低聚合度石墨二炔材料在光催化中的实际应用。具体而言，最佳样品的光催化降解率相对于GDY提高了13.0倍，对罗丹明B（RhB）的光催化降解率提高了13.0倍，对盐酸四环素（TCH）的光催化降解率提高了4.9倍。</w:t>
      </w:r>
    </w:p>
    <w:p>
      <w:pPr>
        <w:spacing w:before="0" w:after="200" w:lineRule="auto" w:line="276"/>
      </w:pPr>
      <w:r>
        <w:rPr>
          <w:b/>
        </w:rPr>
        <w:t xml:space="preserve">Abstract (EN): </w:t>
      </w:r>
      <w:r>
        <w:t>As a rising member of carbon allotropes, graphdiyne holds significant research value in terms of both its properties and applications. For properties, there is currently a lack of methods to assess the polymerization degree of graphdiyne, which is crucial to establish a standardized evaluation system for graphdiyne products; for applications, the application potential of graphdiyne materials with a low polymerization degree has not been fully explored. Herein, a biphenyl-group capping method has been engineered through the introduction of 4-ethynyl-1,1′-biphenyl (4-Eb) during the synthesis of hydrogen-substituted graphdiyne (GDY). 4-Eb could operate as a “capping agent” in the cross-coupling reaction, which tuned the polymerization degree of GDY. Accordingly, a strategy for relatively quantitatively assessing the polymerization degree of GDY via the precise analysis of Fourier transform infrared spectra (FTIR) has been developed and verified by various characterization methods. Moreover, the biphenyl-group capping could improve the separation efficiency of photogenerated carriers and introduce an intermediate energy level, which was helpful to expand the practical applicability of low-polymerization-degree graphdiyne materials in photocatalysis. Specifically, the photocatalytic degradation rate of the optimal sample for rhodamine B (RhB) was enhanced by 13.0-fold relative to GDY, and that for tetracycline hydrochloride (TCH) was increased by 4.9-fold.</w:t>
      </w:r>
    </w:p>
    <w:p>
      <w:pPr>
        <w:spacing w:before="120" w:after="120"/>
      </w:pPr>
      <w:r>
        <w:rPr>
          <w:sz w:val="18"/>
        </w:rPr>
        <w:t>——————————————————————————————————————————————————————————————————————</w:t>
      </w:r>
    </w:p>
    <w:p>
      <w:pPr>
        <w:spacing w:before="160" w:after="40" w:line="240" w:lineRule="auto"/>
      </w:pPr>
      <w:r>
        <w:rPr>
          <w:b/>
        </w:rPr>
        <w:t xml:space="preserve">[518] </w:t>
      </w:r>
      <w:hyperlink r:id="rId1570">
        <w:r>
          <w:rPr>
            <w:color w:val="1155CC"/>
            <w:u w:val="single"/>
          </w:rPr>
          <w:t>重新考虑冰架崩塌的驱动因素</w:t>
        </w:r>
      </w:hyperlink>
    </w:p>
    <w:p>
      <w:pPr>
        <w:spacing w:before="0" w:after="80"/>
      </w:pPr>
      <w:r>
        <w:rPr>
          <w:i/>
          <w:sz w:val="20"/>
        </w:rPr>
        <w:t>EN: Reconsidering the drivers of ice-shelf collapse</w:t>
      </w:r>
    </w:p>
    <w:p>
      <w:pPr>
        <w:spacing w:before="0" w:after="120"/>
      </w:pPr>
      <w:r>
        <w:rPr>
          <w:b/>
        </w:rPr>
        <w:t xml:space="preserve">Source: </w:t>
      </w:r>
      <w:r>
        <w:t>Earth and environmental sciences : Nature Communications subject feeds</w:t>
      </w:r>
      <w:r>
        <w:t xml:space="preserve">    </w:t>
      </w:r>
      <w:r>
        <w:rPr>
          <w:b/>
        </w:rPr>
        <w:t xml:space="preserve">Pub date: </w:t>
      </w:r>
      <w:r>
        <w:t>2026-08-19 00:00:00+00:00</w:t>
      </w:r>
    </w:p>
    <w:p>
      <w:pPr>
        <w:spacing w:before="0" w:after="120"/>
      </w:pPr>
      <w:r>
        <w:rPr>
          <w:b/>
        </w:rPr>
        <w:t xml:space="preserve">Notes: </w:t>
      </w:r>
      <w:r>
        <w:t>abstract_source=nature_html</w:t>
      </w:r>
    </w:p>
    <w:p>
      <w:pPr>
        <w:spacing w:before="0" w:after="80" w:lineRule="auto" w:line="276"/>
      </w:pPr>
      <w:r>
        <w:rPr>
          <w:b/>
        </w:rPr>
        <w:t xml:space="preserve">摘要（ZH）: </w:t>
      </w:r>
      <w:r>
        <w:t>随着环境压力的加剧，南极冰架面临着越来越大的崩塌风险。长期减弱、海洋引起的变薄和稳定海冰的丧失可能会导致崩解，但在仅考虑表面融化驱动的压裂的模型中大多缺失，从而限制了预测的准确性。</w:t>
      </w:r>
    </w:p>
    <w:p>
      <w:pPr>
        <w:spacing w:before="0" w:after="200" w:lineRule="auto" w:line="276"/>
      </w:pPr>
      <w:r>
        <w:rPr>
          <w:b/>
        </w:rPr>
        <w:t xml:space="preserve">Abstract (EN): </w:t>
      </w:r>
      <w:r>
        <w:t>Antarctic ice shelves face increasing collapse risk as environmental stresses intensify. Long-term weakening, ocean-induced thinning, and loss of stabilizing sea ice can drive disintegration yet are mostly missing from models which only consider surface melt-driven fracturing, limiting accuracy of projections.</w:t>
      </w:r>
    </w:p>
    <w:p>
      <w:pPr>
        <w:spacing w:before="120" w:after="120"/>
      </w:pPr>
      <w:r>
        <w:rPr>
          <w:sz w:val="18"/>
        </w:rPr>
        <w:t>——————————————————————————————————————————————————————————————————————</w:t>
      </w:r>
    </w:p>
    <w:p>
      <w:pPr>
        <w:spacing w:before="160" w:after="40" w:line="240" w:lineRule="auto"/>
      </w:pPr>
      <w:r>
        <w:rPr>
          <w:b/>
        </w:rPr>
        <w:t xml:space="preserve">[519] </w:t>
      </w:r>
      <w:hyperlink r:id="rId1571">
        <w:r>
          <w:rPr>
            <w:color w:val="1155CC"/>
            <w:u w:val="single"/>
          </w:rPr>
          <w:t>抗氧化脯氨酸碳点复合聚（L-蛋氨酸）水凝胶可恢复线粒体自噬，减轻椎间盘退变中的细胞衰老（Adv. Mater. 46/2026）</w:t>
        </w:r>
      </w:hyperlink>
    </w:p>
    <w:p>
      <w:pPr>
        <w:spacing w:before="0" w:after="80"/>
      </w:pPr>
      <w:r>
        <w:rPr>
          <w:i/>
          <w:sz w:val="20"/>
        </w:rPr>
        <w:t>EN: Antioxidant Proline Carbon Dot‐Composited Poly(L‐methionine) Hydrogel Restores Mitophagy to Alleviate Cellular Senescence in Intervertebral Disc Degeneration (Adv. Mater. 46/2026)</w:t>
      </w:r>
    </w:p>
    <w:p>
      <w:pPr>
        <w:spacing w:before="0" w:after="120"/>
      </w:pPr>
      <w:r>
        <w:rPr>
          <w:b/>
        </w:rPr>
        <w:t xml:space="preserve">Source: </w:t>
      </w:r>
      <w:r>
        <w:t>Wiley: Advanced Materials: Table of Contents</w:t>
      </w:r>
      <w:r>
        <w:t xml:space="preserve">    </w:t>
      </w:r>
      <w:r>
        <w:rPr>
          <w:b/>
        </w:rPr>
        <w:t xml:space="preserve">Pub date: </w:t>
      </w:r>
      <w:r>
        <w:t>2026-08-19 02:51:35+00:00</w:t>
      </w:r>
      <w:r>
        <w:t xml:space="preserve">    </w:t>
      </w:r>
      <w:r>
        <w:rPr>
          <w:b/>
        </w:rPr>
        <w:t xml:space="preserve">DOI: </w:t>
      </w:r>
      <w:hyperlink r:id="rId1572">
        <w:r>
          <w:rPr>
            <w:color w:val="1155CC"/>
            <w:u w:val="single"/>
          </w:rPr>
          <w:t>10.1002/adma.74557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[520] </w:t>
      </w:r>
      <w:hyperlink r:id="rId1573">
        <w:r>
          <w:rPr>
            <w:color w:val="1155CC"/>
            <w:u w:val="single"/>
          </w:rPr>
          <w:t>将不可预测的生物分子吸附转化为受控电晕形成：关注碳纳米材料（Adv. Mater. 46/2026）</w:t>
        </w:r>
      </w:hyperlink>
    </w:p>
    <w:p>
      <w:pPr>
        <w:spacing w:before="0" w:after="80"/>
      </w:pPr>
      <w:r>
        <w:rPr>
          <w:i/>
          <w:sz w:val="20"/>
        </w:rPr>
        <w:t>EN: Turning Unpredictable Biomolecule Adsorption to Controlled Corona Formation: Focus on Carbon Nanomaterials (Adv. Mater. 46/2026)</w:t>
      </w:r>
    </w:p>
    <w:p>
      <w:pPr>
        <w:spacing w:before="0" w:after="120"/>
      </w:pPr>
      <w:r>
        <w:rPr>
          <w:b/>
        </w:rPr>
        <w:t xml:space="preserve">Source: </w:t>
      </w:r>
      <w:r>
        <w:t>Wiley: Advanced Materials: Table of Contents</w:t>
      </w:r>
      <w:r>
        <w:t xml:space="preserve">    </w:t>
      </w:r>
      <w:r>
        <w:rPr>
          <w:b/>
        </w:rPr>
        <w:t xml:space="preserve">Pub date: </w:t>
      </w:r>
      <w:r>
        <w:t>2026-08-19 02:51:35+00:00</w:t>
      </w:r>
      <w:r>
        <w:t xml:space="preserve">    </w:t>
      </w:r>
      <w:r>
        <w:rPr>
          <w:b/>
        </w:rPr>
        <w:t xml:space="preserve">DOI: </w:t>
      </w:r>
      <w:hyperlink r:id="rId1574">
        <w:r>
          <w:rPr>
            <w:color w:val="1155CC"/>
            <w:u w:val="single"/>
          </w:rPr>
          <w:t>10.1002/adma.74555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[521] </w:t>
      </w:r>
      <w:hyperlink r:id="rId1575">
        <w:r>
          <w:rPr>
            <w:color w:val="1155CC"/>
            <w:u w:val="single"/>
          </w:rPr>
          <w:t>Peter H. Raven：植物学家、进化生物学家和生物多样性倡导者</w:t>
        </w:r>
      </w:hyperlink>
    </w:p>
    <w:p>
      <w:pPr>
        <w:spacing w:before="0" w:after="80"/>
      </w:pPr>
      <w:r>
        <w:rPr>
          <w:i/>
          <w:sz w:val="20"/>
        </w:rPr>
        <w:t>EN: Peter H. Raven: Botanist, evolutionary biologist, and biodiversity champion</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76">
        <w:r>
          <w:rPr>
            <w:color w:val="1155CC"/>
            <w:u w:val="single"/>
          </w:rPr>
          <w:t>10.1073/pnas.2624553123</w:t>
        </w:r>
      </w:hyperlink>
    </w:p>
    <w:p>
      <w:pPr>
        <w:spacing w:before="0" w:after="120"/>
      </w:pPr>
      <w:r>
        <w:rPr>
          <w:b/>
        </w:rPr>
        <w:t xml:space="preserve">Notes: </w:t>
      </w:r>
      <w:r>
        <w:t>abstract_source=crossref</w:t>
      </w:r>
    </w:p>
    <w:p>
      <w:pPr>
        <w:spacing w:before="0" w:after="80" w:lineRule="auto" w:line="276"/>
      </w:pPr>
      <w:r>
        <w:rPr>
          <w:b/>
        </w:rPr>
        <w:t xml:space="preserve">摘要（ZH）: </w:t>
      </w:r>
      <w:r>
        <w:t>彼得·H·雷文 (Peter H. Raven) 是一位变革型领导者，其影响力远远超出了他自己的研究范围。从儿时对自然历史的早熟热情，到对共同进化、生态物种形成、生物地理学和植物系统学的里程碑式贡献，他的职业生涯重塑了现代植物科学。他也是一位杰出的导师、合作者和机构建设者，其职业生涯的大部分时间担任密苏里植物园主任和圣路易斯华盛顿大学教授，同时在国家科学院、国家地理学会和许多其他组织中担任领导职务。雷文推进了全球生物多样性保护和科学基础设施的发展，并不懈努力为世界各地的新兴学者提供机会。他的遗产不仅在于他的学术和公共服务的广度，还在于他对联系人们、促进合作和帮助他人发挥潜力的持久承诺。</w:t>
      </w:r>
    </w:p>
    <w:p>
      <w:pPr>
        <w:spacing w:before="0" w:after="200" w:lineRule="auto" w:line="276"/>
      </w:pPr>
      <w:r>
        <w:rPr>
          <w:b/>
        </w:rPr>
        <w:t xml:space="preserve">Abstract (EN): </w:t>
      </w:r>
      <w:r>
        <w:t>Peter H. Raven was a transformative leader whose influence extended far beyond his own research. From a precocious childhood passion for natural history to landmark contributions to coevolution, ecological speciation, biogeography, and botanical systematics, his career reshaped modern plant science. He was also an extraordinary mentor, collaborator, and institution builder spending most of his career as Director of the Missouri Botanical Garden and professor at Washington University in Saint Louis, while taking leadership roles at the National Academy of Sciences, the National Geographic Society, and many other organizations. Raven advanced global biodiversity conservation and scientific infrastructure and worked tirelessly to provide opportunities for emerging scholars worldwide. His legacy lies not only in the breadth of his scholarship and public service but also in his enduring commitment to connecting people, fostering collaboration, and helping others realize their potential.</w:t>
      </w:r>
    </w:p>
    <w:p>
      <w:pPr>
        <w:spacing w:before="120" w:after="120"/>
      </w:pPr>
      <w:r>
        <w:rPr>
          <w:sz w:val="18"/>
        </w:rPr>
        <w:t>——————————————————————————————————————————————————————————————————————</w:t>
      </w:r>
    </w:p>
    <w:p>
      <w:pPr>
        <w:spacing w:before="160" w:after="40" w:line="240" w:lineRule="auto"/>
      </w:pPr>
      <w:r>
        <w:rPr>
          <w:b/>
        </w:rPr>
        <w:t xml:space="preserve">[522] </w:t>
      </w:r>
      <w:hyperlink r:id="rId1577">
        <w:r>
          <w:rPr>
            <w:color w:val="1155CC"/>
            <w:u w:val="single"/>
          </w:rPr>
          <w:t>A53T α-突触核蛋白小鼠神经元过度表达 Kcnn1 可抑制磷酸丝氨酸 129 α-突触核蛋白形成并使生存时间加倍</w:t>
        </w:r>
      </w:hyperlink>
    </w:p>
    <w:p>
      <w:pPr>
        <w:spacing w:before="0" w:after="80"/>
      </w:pPr>
      <w:r>
        <w:rPr>
          <w:i/>
          <w:sz w:val="20"/>
        </w:rPr>
        <w:t>EN: Neuronal overexpression of Kcnn1 in A53T α-synuclein mice suppresses phospho-serine 129 α-synuclein formation and doubles survival time</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78">
        <w:r>
          <w:rPr>
            <w:color w:val="1155CC"/>
            <w:u w:val="single"/>
          </w:rPr>
          <w:t>10.1073/pnas.2622262123</w:t>
        </w:r>
      </w:hyperlink>
    </w:p>
    <w:p>
      <w:pPr>
        <w:spacing w:before="0" w:after="120"/>
      </w:pPr>
      <w:r>
        <w:rPr>
          <w:b/>
        </w:rPr>
        <w:t xml:space="preserve">Notes: </w:t>
      </w:r>
      <w:r>
        <w:t>abstract_source=crossref</w:t>
      </w:r>
    </w:p>
    <w:p>
      <w:pPr>
        <w:spacing w:before="0" w:after="80" w:lineRule="auto" w:line="276"/>
      </w:pPr>
      <w:r>
        <w:rPr>
          <w:b/>
        </w:rPr>
        <w:t xml:space="preserve">摘要（ZH）: </w:t>
      </w:r>
      <w:r>
        <w:t>突触核蛋白病，包括特发性帕金森病，是由 140 个残基 α-突触核蛋白的错误折叠和聚集引起的，该蛋白在突触前囊泡调节中发挥作用。我们描述了修饰剂（小鼠钙激活钾通道亚基 Kcnn1 的神经元过度表达）对小鼠模型的影响，其中转基因 Thy1.2 驱动的人 A53T α-突触核蛋白指导完全渗透性致死性运动疾病。 Kcnn1 过度表达使这些小鼠的中位生存期从 8.5 个月增加到 18 个月，这与从快速进展的四肢肌张力障碍样行为到迟发（12 至 16 个月）和缓慢进展的下肢被尾巴抬起时的紧握行为的改变有关。在组织水平上，许多脑区/脊髓中 Thy1.2 驱动的 Kcnn1 过度表达可阻止疾病相关的磷酸丝氨酸 129 α-突触核蛋白的积累，其中磷酸丝氨酸 129 α-突触核蛋白在 A53T 小鼠的末期大量积累。在症状前将 AAV9 scCMV-Kcnn1 病毒注射到右上丘的成年 A53T 小鼠中，也观察到阻断磷酸丝氨酸 129 α-突触核蛋白产生的作用。在约 2 个月后的末期，右上丘表现出 Kcnn1 过度表达，并且基本上不显示磷酸丝氨酸 129 α-突触核蛋白，而未注射的左上丘则表现出大量磷酸丝氨酸 129 α-突触核蛋白。 Kcnn1 过度表达的神经保护作用仍有待完全解决，但针对 ER 膜的通道蛋白亚基已被证明可诱导 ER 应激反应</w:t>
      </w:r>
    </w:p>
    <w:p>
      <w:pPr>
        <w:spacing w:before="0" w:after="200" w:lineRule="auto" w:line="276"/>
      </w:pPr>
      <w:r>
        <w:rPr>
          <w:b/>
        </w:rPr>
        <w:t xml:space="preserve">Abstract (EN): </w:t>
      </w:r>
      <w:r>
        <w:t>Synucleinopathies, including idiopathic Parkinson’s Disease, are driven by misfolding and aggregation of the 140 residue α-synuclein protein that plays a role in presynaptic vesicle regulation. We describe effects of a modifier, neuronal overexpression of the mouse calcium-activated potassium channel subunit Kcnn1, on a mouse model in which transgenic Thy1.2-driven human A53T α-synuclein directs fully penetrant lethal motor disease. Kcnn1 overexpression increased median survival of these mice from 8.5 to 18 mo, associated with an altered presentation from rapidly progressive dystonic-like behavior of the limbs to a later-onset (12 to 16 mo) and slowly progressive lower limb clasping when lifted by the tail. At the tissue level, accretion of disease-associated phospho-serine 129 α-synuclein was prevented by overexpression of Thy1.2-driven Kcnn1 in many brain regions/spinal cord, where phospho-serine 129 α-synuclein copiously accreted in A53T mice at endstage. The action of blocking production of phospho-serine 129 α-synuclein was also observed in adult A53T mice injected presymptomatically with an AAV9 scCMV-Kcnn1 virus into the right superior colliculus. At endstage ~2 mo later, the right superior colliculus exhibited overexpression of Kcnn1 and showed essentially no phospho-serine 129 α-synuclein, whereas the uninjected left superior colliculus exhibited copious phospho-serine 129 α-synuclein. The neuroprotective action of Kcnn1 overexpression remains to be fully resolved, but the channel protein subunit, targeted to the ER membrane, has been shown to induce an ER stress response. This response, which may activate autophagy, along with potential channel formation, may diminish the rate of formation or lifetime of neurotoxic forms of A53T α-synuclein.</w:t>
      </w:r>
    </w:p>
    <w:p>
      <w:pPr>
        <w:spacing w:before="120" w:after="120"/>
      </w:pPr>
      <w:r>
        <w:rPr>
          <w:sz w:val="18"/>
        </w:rPr>
        <w:t>——————————————————————————————————————————————————————————————————————</w:t>
      </w:r>
    </w:p>
    <w:p>
      <w:pPr>
        <w:spacing w:before="160" w:after="40" w:line="240" w:lineRule="auto"/>
      </w:pPr>
      <w:r>
        <w:rPr>
          <w:b/>
        </w:rPr>
        <w:t xml:space="preserve">[523] </w:t>
      </w:r>
      <w:hyperlink r:id="rId1579">
        <w:r>
          <w:rPr>
            <w:color w:val="1155CC"/>
            <w:u w:val="single"/>
          </w:rPr>
          <w:t>一种隐蔽的谷氨酸脱羧酶维持结核分枝杆菌中的 GABA 分流</w:t>
        </w:r>
      </w:hyperlink>
    </w:p>
    <w:p>
      <w:pPr>
        <w:spacing w:before="0" w:after="80"/>
      </w:pPr>
      <w:r>
        <w:rPr>
          <w:i/>
          <w:sz w:val="20"/>
        </w:rPr>
        <w:t>EN: A cloaked glutamate decarboxylase sustains the GABA shunt in Mycobacterium tuberculosis</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80">
        <w:r>
          <w:rPr>
            <w:color w:val="1155CC"/>
            <w:u w:val="single"/>
          </w:rPr>
          <w:t>10.1073/pnas.2619778123</w:t>
        </w:r>
      </w:hyperlink>
    </w:p>
    <w:p>
      <w:pPr>
        <w:spacing w:before="0" w:after="120"/>
      </w:pPr>
      <w:r>
        <w:rPr>
          <w:b/>
        </w:rPr>
        <w:t xml:space="preserve">Notes: </w:t>
      </w:r>
      <w:r>
        <w:t>abstract_source=crossref</w:t>
      </w:r>
    </w:p>
    <w:p>
      <w:pPr>
        <w:spacing w:before="0" w:after="80" w:lineRule="auto" w:line="276"/>
      </w:pPr>
      <w:r>
        <w:rPr>
          <w:b/>
        </w:rPr>
        <w:t xml:space="preserve">摘要（ZH）: </w:t>
      </w:r>
      <w:r>
        <w:t>尽管基因组测序呈指数增长，但基因的功能注释，特别是新酶活性的发现，仍然是一个艰巨的挑战。这种差距因注释偏差而加剧，注释偏差在同源序列中传播有关酶功能的假设。在这里，我们报告了在假定的充分表征的酶家族中鉴定出未注释的酶活性。基因</w:t>
      </w:r>
      <w:r>
        <w:t xml:space="preserve"> </w:t>
      </w:r>
      <w:r>
        <w:t>RV2531</w:t>
      </w:r>
      <w:r>
        <w:t xml:space="preserve"> </w:t>
      </w:r>
      <w:r>
        <w:t>c、在强净化选择下</w:t>
      </w:r>
      <w:r>
        <w:t xml:space="preserve"> </w:t>
      </w:r>
      <w:r>
        <w:t>结核分枝杆菌</w:t>
      </w:r>
      <w:r>
        <w:t xml:space="preserve"> </w:t>
      </w:r>
      <w:r>
        <w:t>菌株，已被注释为赖氨酸-鸟氨酸-精氨酸 (KOR) 脱羧酶超家族的成员，该家族包括超过 26,000 个序列。与此注释相反，我们表明 Rv2531c 不会使 KOR 底物脱羧。相反，我们采用生物信息学、微生物学、代谢组学和酶学相结合的综合方法，证明 Rv2531c 是一种 L-谷氨酸脱羧酶，可通过 γ-氨基丁酸分流维持碳通量</w:t>
      </w:r>
      <w:r>
        <w:t xml:space="preserve"> </w:t>
      </w:r>
      <w:r>
        <w:t>结核分枝杆菌</w:t>
      </w:r>
      <w:r>
        <w:t xml:space="preserve"> </w:t>
      </w:r>
      <w:r>
        <w:t>。这个新发现的酶亚家族在细菌、古细菌和真核生物中是保守的，并表现出独特的结构和动力学特征，包括额外的结构域、滞后和强正协同性。这些特征使其有别于典型的肠细菌 KOR 脱羧酶。更广泛地说，我们的研究结果挑战了传统上分配给 KOR-DC 超家族的狭窄底物和功能范围。我们建议许多成员</w:t>
      </w:r>
    </w:p>
    <w:p>
      <w:pPr>
        <w:spacing w:before="0" w:after="200" w:lineRule="auto" w:line="276"/>
      </w:pPr>
      <w:r>
        <w:rPr>
          <w:b/>
        </w:rPr>
        <w:t xml:space="preserve">Abstract (EN): </w:t>
      </w:r>
      <w:r>
        <w:t>Despite the exponential growth in genome sequencing, the functional annotation of genes, particularly the discovery of novel enzymatic activities, remains a formidable challenge. This gap is exacerbated by annotation biases that propagate assumptions about enzyme function across homologous sequences. Here, we report the identification of an unannotated enzymatic activity within a presumed well-characterized enzyme family. The gene</w:t>
      </w:r>
      <w:r>
        <w:t xml:space="preserve"> </w:t>
      </w:r>
      <w:r>
        <w:t>rv2531</w:t>
      </w:r>
      <w:r>
        <w:t xml:space="preserve"> </w:t>
      </w:r>
      <w:r>
        <w:t>c, under strong purifying selection across</w:t>
      </w:r>
      <w:r>
        <w:t xml:space="preserve"> </w:t>
      </w:r>
      <w:r>
        <w:t>Mycobacterium tuberculosis</w:t>
      </w:r>
      <w:r>
        <w:t xml:space="preserve"> </w:t>
      </w:r>
      <w:r>
        <w:t>strains, has been annotated as a member of the lysine-ornithine-arginine (KOR) decarboxylase superfamily, which includes over 26,000 sequences. Contrary to this annotation, we show that Rv2531c does not decarboxylate KOR substrates. Instead, using an integrative approach combining bioinformatics, microbiology, metabolomics, and enzymology, we demonstrate that Rv2531c is a L-glutamate decarboxylase that sustains carbon flux through the γ-aminobutyric acid shunt in</w:t>
      </w:r>
      <w:r>
        <w:t xml:space="preserve"> </w:t>
      </w:r>
      <w:r>
        <w:t>M. tuberculosis</w:t>
      </w:r>
      <w:r>
        <w:t xml:space="preserve"> </w:t>
      </w:r>
      <w:r>
        <w:t>. This newly identified subfamily of enzymes is conserved across Bacteria, Archaea, and Eukarya and exhibits distinct structural and kinetic features, including an additional domain, hysteresis, and strong positive cooperativity. These characteristics differentiate it from canonical, enterobacterial KOR decarboxylases. More broadly, our findings challenge the narrow substrate and functional scope traditionally assigned to the KOR-DC superfamily. We propose that many members of this large and diverse enzyme family catalyze distinct reactions and participate in previously unrecognized metabolic pathways, revealing a broader and more nuanced role for pyridoxal 5′-phosphate-dependent enzymes in microbial physiology and evolution.</w:t>
      </w:r>
    </w:p>
    <w:p>
      <w:pPr>
        <w:spacing w:before="120" w:after="120"/>
      </w:pPr>
      <w:r>
        <w:rPr>
          <w:sz w:val="18"/>
        </w:rPr>
        <w:t>——————————————————————————————————————————————————————————————————————</w:t>
      </w:r>
    </w:p>
    <w:p>
      <w:pPr>
        <w:spacing w:before="160" w:after="40" w:line="240" w:lineRule="auto"/>
      </w:pPr>
      <w:r>
        <w:rPr>
          <w:b/>
        </w:rPr>
        <w:t xml:space="preserve">[524] </w:t>
      </w:r>
      <w:hyperlink r:id="rId1581">
        <w:r>
          <w:rPr>
            <w:color w:val="1155CC"/>
            <w:u w:val="single"/>
          </w:rPr>
          <w:t>生态毒理学中环境相关浓度的概率定义</w:t>
        </w:r>
      </w:hyperlink>
    </w:p>
    <w:p>
      <w:pPr>
        <w:spacing w:before="0" w:after="80"/>
      </w:pPr>
      <w:r>
        <w:rPr>
          <w:i/>
          <w:sz w:val="20"/>
        </w:rPr>
        <w:t>EN: Probabilistically defining environmentally relevant concentrations in ecotoxicology</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82">
        <w:r>
          <w:rPr>
            <w:color w:val="1155CC"/>
            <w:u w:val="single"/>
          </w:rPr>
          <w:t>10.1073/pnas.2617990123</w:t>
        </w:r>
      </w:hyperlink>
    </w:p>
    <w:p>
      <w:pPr>
        <w:spacing w:before="0" w:after="120"/>
      </w:pPr>
      <w:r>
        <w:rPr>
          <w:b/>
        </w:rPr>
        <w:t xml:space="preserve">Notes: </w:t>
      </w:r>
      <w:r>
        <w:t>abstract_source=crossref</w:t>
      </w:r>
    </w:p>
    <w:p>
      <w:pPr>
        <w:spacing w:before="0" w:after="80" w:lineRule="auto" w:line="276"/>
      </w:pPr>
      <w:r>
        <w:rPr>
          <w:b/>
        </w:rPr>
        <w:t xml:space="preserve">摘要（ZH）: </w:t>
      </w:r>
      <w:r>
        <w:t>生态毒理学中一个长期存在的问题是“环境相关”浓度的任意选择和模糊定义，这破坏了研究的可比性并阻碍了风险表征。在这里，我们提出了一个概率框架，将暴露水平锚定于环境浓度分布的百分位数，定义低（&lt;5%）、典型（5%至95%）和高（&gt;95%）浓度，以及特定情况下的最坏情况（例如，第99%）。该框架将测试浓度选择从主观断言转变为统计上合理的实践，其中每个浓度对应于明确的发生概率。使用全球监测数据，我们证明环境浓度可靠地遵循累积概率分布，验证了基本假设。至关重要的是，该框架为设计相关性证明和概念证明研究提供了统计解决方案。总的来说，这项工作提供了一个基于经验的、立即可用的模板，用于设计连接环境监测、实验室测试和监管决策的生态毒理学实验。</w:t>
      </w:r>
    </w:p>
    <w:p>
      <w:pPr>
        <w:spacing w:before="0" w:after="200" w:lineRule="auto" w:line="276"/>
      </w:pPr>
      <w:r>
        <w:rPr>
          <w:b/>
        </w:rPr>
        <w:t xml:space="preserve">Abstract (EN): </w:t>
      </w:r>
      <w:r>
        <w:t>A long-standing issue in ecotoxicology is the arbitrarily chosen and ambiguous definition of “environmentally relevant” concentrations, which undermines research comparability and hampers risk characterization. Here, we propose a probabilistic framework that anchors exposure levels to percentiles of environmental concentration distributions, defining low (&amp;lt;5th percentile), typical (5th to 95th percentiles), and high (&amp;gt;95th percentile) concentrations, as well as worst-case scenarios (e.g., the 99th percentile) for specific contexts. This framework transforms test concentration selection from a subjective assertion into a statistically justified practice, where each concentration corresponds to an explicit occurrence probability. Using global monitoring data, we demonstrate that environmental concentrations reliably follow cumulative probability distributions, validating the fundamental assumption. Crucially, the framework offers a statistical solution for designing proof-of-relevance and proof-of-concept studies. Collectively, this work provides an empirically grounded, immediately usable template for designing ecotoxicological experiments that bridge environmental monitoring, laboratory testing, and regulatory decision-making.</w:t>
      </w:r>
    </w:p>
    <w:p>
      <w:pPr>
        <w:spacing w:before="120" w:after="120"/>
      </w:pPr>
      <w:r>
        <w:rPr>
          <w:sz w:val="18"/>
        </w:rPr>
        <w:t>——————————————————————————————————————————————————————————————————————</w:t>
      </w:r>
    </w:p>
    <w:p>
      <w:pPr>
        <w:spacing w:before="160" w:after="40" w:line="240" w:lineRule="auto"/>
      </w:pPr>
      <w:r>
        <w:rPr>
          <w:b/>
        </w:rPr>
        <w:t xml:space="preserve">[525] </w:t>
      </w:r>
      <w:hyperlink r:id="rId1583">
        <w:r>
          <w:rPr>
            <w:color w:val="1155CC"/>
            <w:u w:val="single"/>
          </w:rPr>
          <w:t>果蝇视觉系统神经元分化的调节逻辑</w:t>
        </w:r>
      </w:hyperlink>
    </w:p>
    <w:p>
      <w:pPr>
        <w:spacing w:before="0" w:after="80"/>
      </w:pPr>
      <w:r>
        <w:rPr>
          <w:i/>
          <w:sz w:val="20"/>
        </w:rPr>
        <w:t>EN: Regulatory logic of neuronal differentiation in the Drosophila visual system</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84">
        <w:r>
          <w:rPr>
            <w:color w:val="1155CC"/>
            <w:u w:val="single"/>
          </w:rPr>
          <w:t>10.1073/pnas.2614314123</w:t>
        </w:r>
      </w:hyperlink>
    </w:p>
    <w:p>
      <w:pPr>
        <w:spacing w:before="0" w:after="120"/>
      </w:pPr>
      <w:r>
        <w:rPr>
          <w:b/>
        </w:rPr>
        <w:t xml:space="preserve">Notes: </w:t>
      </w:r>
      <w:r>
        <w:t>abstract_source=crossref</w:t>
      </w:r>
    </w:p>
    <w:p>
      <w:pPr>
        <w:spacing w:before="0" w:after="80" w:lineRule="auto" w:line="276"/>
      </w:pPr>
      <w:r>
        <w:rPr>
          <w:b/>
        </w:rPr>
        <w:t xml:space="preserve">摘要（ZH）: </w:t>
      </w:r>
      <w:r>
        <w:t>末端选择转录因子 (tsTF) 的组合被认为可以建立和维持神经系统中发现的多种细胞类型的独特身份。然而，目前仍不清楚 tsTF 组合在发育过程中是如何指定的，以及它们随后如何协调每个神经元的类型特异性分化程序。为了研究这些调节机制，我们对</w:t>
      </w:r>
      <w:r>
        <w:t xml:space="preserve"> </w:t>
      </w:r>
      <w:r>
        <w:t>果蝇</w:t>
      </w:r>
      <w:r>
        <w:t xml:space="preserve"> </w:t>
      </w:r>
      <w:r>
        <w:t>研究人员对视叶发育的四个阶段进行了研究，并鉴定了超过 250 种不同的细胞类型。我们表征了神经元增强子的常见顺式调控特征，并对跨细胞类型和阶段的基因调控网络进行了全面的推断。我们的结果揭示了许多神经元基因的细胞类型和阶段特异性增强子以及 tsTF、泛神经元和蜕皮激素反应性 TF 对这些增强子的协同作用。我们发现，相同的效应基因通常受到不同 tsTF 组合的调节，这些组合通过不同神经元中的不同增强子发挥作用。在神经发生过程中，tsTF 代码是在新生神经元的短暂关键时期内建立的，通常是通过其祖细胞无法访问的细胞类型特异性增强子。因此，当神经母细胞时间模式转录因子在神经元中被重新利用为 tsTF 时，它们通过单独的增强子进行独立调节。因此，神经元身份规范和分化是一个多步骤的调节程序，其中</w:t>
      </w:r>
    </w:p>
    <w:p>
      <w:pPr>
        <w:spacing w:before="0" w:after="200" w:lineRule="auto" w:line="276"/>
      </w:pPr>
      <w:r>
        <w:rPr>
          <w:b/>
        </w:rPr>
        <w:t xml:space="preserve">Abstract (EN): </w:t>
      </w:r>
      <w:r>
        <w:t>Combinations of terminal selector transcription factors (tsTFs) are thought to establish and maintain the unique identities of the numerous cell types found in nervous systems. However, it remains largely unclear how tsTF combinations are specified during development and how they then coordinate the type-specific differentiation programs of each neuron. To investigate these regulatory mechanisms, we performed simultaneous single-cell RNA and ATAC (assay for transposase-accessible chromatin) sequencing on the</w:t>
      </w:r>
      <w:r>
        <w:t xml:space="preserve"> </w:t>
      </w:r>
      <w:r>
        <w:t>Drosophila</w:t>
      </w:r>
      <w:r>
        <w:t xml:space="preserve"> </w:t>
      </w:r>
      <w:r>
        <w:t>optic lobes at four stages of their development and identified over 250 distinct cell types. We characterized the common cis-regulatory features of neuronal enhancers and performed comprehensive inference of gene regulatory networks across cell types and stages. Our results reveal cell type– and stage-specific enhancers of many neuronal genes and the cooperative actions of tsTFs, pan-neuronal and ecdysone-responsive TFs on these enhancers. We show that the same effector genes are often regulated by different tsTF combinations acting through distinct enhancers in different neurons. During neurogenesis, tsTF codes are established within a brief critical period in newborn neurons, often through cell type–specific enhancers that are not accessible in their progenitors. Accordingly, when neuroblast temporal patterning TFs are reutilized as tsTFs in neurons, they are regulated independently through separate enhancers. Therefore, neuronal identity specification and differentiation is a multistep regulatory program, wherein the same TFs enact distinct regulatory codes at different steps and across cell types.</w:t>
      </w:r>
    </w:p>
    <w:p>
      <w:pPr>
        <w:spacing w:before="120" w:after="120"/>
      </w:pPr>
      <w:r>
        <w:rPr>
          <w:sz w:val="18"/>
        </w:rPr>
        <w:t>——————————————————————————————————————————————————————————————————————</w:t>
      </w:r>
    </w:p>
    <w:p>
      <w:pPr>
        <w:spacing w:before="160" w:after="40" w:line="240" w:lineRule="auto"/>
      </w:pPr>
      <w:r>
        <w:rPr>
          <w:b/>
        </w:rPr>
        <w:t xml:space="preserve">[526] </w:t>
      </w:r>
      <w:hyperlink r:id="rId1585">
        <w:r>
          <w:rPr>
            <w:color w:val="1155CC"/>
            <w:u w:val="single"/>
          </w:rPr>
          <w:t>动态多相流引发多孔介质中的混沌混合</w:t>
        </w:r>
      </w:hyperlink>
    </w:p>
    <w:p>
      <w:pPr>
        <w:spacing w:before="0" w:after="80"/>
      </w:pPr>
      <w:r>
        <w:rPr>
          <w:i/>
          <w:sz w:val="20"/>
        </w:rPr>
        <w:t>EN: Dynamic multiphase flow triggers chaotic mixing in porous media</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86">
        <w:r>
          <w:rPr>
            <w:color w:val="1155CC"/>
            <w:u w:val="single"/>
          </w:rPr>
          <w:t>10.1073/pnas.2612884123</w:t>
        </w:r>
      </w:hyperlink>
    </w:p>
    <w:p>
      <w:pPr>
        <w:spacing w:before="0" w:after="120"/>
      </w:pPr>
      <w:r>
        <w:rPr>
          <w:b/>
        </w:rPr>
        <w:t xml:space="preserve">Notes: </w:t>
      </w:r>
      <w:r>
        <w:t>abstract_source=crossref</w:t>
      </w:r>
    </w:p>
    <w:p>
      <w:pPr>
        <w:spacing w:before="0" w:after="80" w:lineRule="auto" w:line="276"/>
      </w:pPr>
      <w:r>
        <w:rPr>
          <w:b/>
        </w:rPr>
        <w:t xml:space="preserve">摘要（ZH）: </w:t>
      </w:r>
      <w:r>
        <w:t>溶质混合在天然和工程多孔介质的广泛化学和生物过程中发挥着关键作用。然而，目前对混合动力学的理解仍然很大程度上局限于完全或部分水饱和环境中的稳定流动。多相流系统通常是不稳定的，具有随时间变化的移动流体界面和流动路径。尽管动态多相流广泛存在，但它们对溶质混合的影响在很大程度上是未知的。在这里，我们使用实验和数值模拟来研究动态两相流对流体元素拉伸和折叠的影响，这是驱动多孔介质中溶质混合和反应的基本机制。我们发现动态两相流会引起混沌混合，其特征是流体元素呈指数拉伸，与稳定单相流相比，导致混合强烈增强。通过广泛的数值多相流模拟，我们建立了动态​​稳态，可靠地测量平均流体拉伸速率作为流量的函数。我们表明，拉伸在最佳流速下最大化，该最佳流速平衡了流体剪切变形与流体界面间歇运动引起的流动重新定向的频率。通过将基本多相流特征与拉伸速率联系起来的机械模型合理化了这些发现，为理解和控制各种多相流系统中的混合和反应开辟了新的视角。</w:t>
      </w:r>
    </w:p>
    <w:p>
      <w:pPr>
        <w:spacing w:before="0" w:after="200" w:lineRule="auto" w:line="276"/>
      </w:pPr>
      <w:r>
        <w:rPr>
          <w:b/>
        </w:rPr>
        <w:t xml:space="preserve">Abstract (EN): </w:t>
      </w:r>
      <w:r>
        <w:t>Solute mixing plays a pivotal role in a broad spectrum of chemical and biological processes across natural and engineered porous media. However, current understanding of mixing dynamics remains largely constrained to steady flows in fully or partially water-saturated environments. Multiphase flow systems are generally unsteady, with moving fluid interfaces and flow paths that change in time. Despite the widespread occurrence of dynamic multiphase flows, their impacts on solute mixing are largely unknown. Here, we use experiments and numerical simulations to investigate the effect of dynamic two-phase flow on the stretching and folding of fluid elements, a fundamental mechanism driving solute mixing and reactions in porous media. We find that dynamic two-phase flows induce chaotic mixing, characterized by exponential stretching of fluid elements, leading to strongly enhanced mixing compared to steady single-phase flows. By extensive numerical multiphase flow simulations, we establish dynamic steady states where we reliably measure the mean fluid stretching rate as a function of flow rate. We show that stretching is maximized at an optimum flow rate which balances fluid shear deformation against the frequency of flow reorientation by the intermittent motion of the fluid interface. The findings are rationalized by a mechanistic model linking basic multiphase flow characteristics to the stretching rate, opening perspectives to understand and control mixing and reactions in a wide range of multiphase flow systems.</w:t>
      </w:r>
    </w:p>
    <w:p>
      <w:pPr>
        <w:spacing w:before="120" w:after="120"/>
      </w:pPr>
      <w:r>
        <w:rPr>
          <w:sz w:val="18"/>
        </w:rPr>
        <w:t>——————————————————————————————————————————————————————————————————————</w:t>
      </w:r>
    </w:p>
    <w:p>
      <w:pPr>
        <w:spacing w:before="160" w:after="40" w:line="240" w:lineRule="auto"/>
      </w:pPr>
      <w:r>
        <w:rPr>
          <w:b/>
        </w:rPr>
        <w:t xml:space="preserve">[527] </w:t>
      </w:r>
      <w:hyperlink r:id="rId1587">
        <w:r>
          <w:rPr>
            <w:color w:val="1155CC"/>
            <w:u w:val="single"/>
          </w:rPr>
          <w:t>二维原子玻璃中平衡考兹曼跃迁的数值研究</w:t>
        </w:r>
      </w:hyperlink>
    </w:p>
    <w:p>
      <w:pPr>
        <w:spacing w:before="0" w:after="80"/>
      </w:pPr>
      <w:r>
        <w:rPr>
          <w:i/>
          <w:sz w:val="20"/>
        </w:rPr>
        <w:t>EN: Numerical investigation of the equilibrium Kauzmann transition in a two-dimensional atomistic glass</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88">
        <w:r>
          <w:rPr>
            <w:color w:val="1155CC"/>
            <w:u w:val="single"/>
          </w:rPr>
          <w:t>10.1073/pnas.2612355123</w:t>
        </w:r>
      </w:hyperlink>
    </w:p>
    <w:p>
      <w:pPr>
        <w:spacing w:before="0" w:after="120"/>
      </w:pPr>
      <w:r>
        <w:rPr>
          <w:b/>
        </w:rPr>
        <w:t xml:space="preserve">Notes: </w:t>
      </w:r>
      <w:r>
        <w:t>abstract_source=crossref</w:t>
      </w:r>
    </w:p>
    <w:p>
      <w:pPr>
        <w:spacing w:before="0" w:after="80" w:lineRule="auto" w:line="276"/>
      </w:pPr>
      <w:r>
        <w:rPr>
          <w:b/>
        </w:rPr>
        <w:t xml:space="preserve">摘要（ZH）: </w:t>
      </w:r>
      <w:r>
        <w:t>当稠密液体经历实验玻璃化转变时，它们逐渐转变为非平衡无定形固体。在实验上，由于测量是在有限的时间窗口内进行的，因此遍历性会丢失。七十多年前，考兹曼提出了一个基本问题：如果实验可以无限期地进行，是否存在发生遍历性破坏相变的临界温度？随机一阶跃迁代表了这一想法的现代理论框架。然而，有限维度的理论计算具有挑战性，而可达到的时间尺度上的实验和数值限制阻碍了对假定的考兹曼转变的直接观察。在这里，我们通过开发一种计算策略克服了这一长期存在的障碍，该策略正确地结合了三种蒙特卡罗方法，以在多达 77 个粒子的系统尺寸范围内获得二维原子玻璃形成体在低至零温度时所需的平衡热力学性质。这使我们能够直接测量热力学和结构可观测量，这些可观测量提供了明确的证据，证明系统在远低于其他能量尺度的温度下经历了有限尺寸版本的考兹曼转变，并且随着系统尺寸的变化而迅速减小，从而表明二维玻璃存在零温度考兹曼转变。这种转变是朝着理想的玻璃态转变，其特征是复杂的能源格局和低洼态的等级组织。</w:t>
      </w:r>
    </w:p>
    <w:p>
      <w:pPr>
        <w:spacing w:before="0" w:after="200" w:lineRule="auto" w:line="276"/>
      </w:pPr>
      <w:r>
        <w:rPr>
          <w:b/>
        </w:rPr>
        <w:t xml:space="preserve">Abstract (EN): </w:t>
      </w:r>
      <w:r>
        <w:t>Dense liquids gradually transform into nonequilibrium amorphous solids as they pass through the experimental glass transition. Experimentally, ergodicity is lost because measurements are conducted within a finite time window. More than seventy years ago, Kauzmann posed a fundamental question: If experiments could run indefinitely, would there exist a critical temperature at which an ergodicity-breaking phase transition occurs? Random first-order transitions represent the modern theoretical framework for this idea. However, theoretical calculations in finite dimensions are challenging, whereas experimental and numerical limitations on accessible timescales hinder direct observation of the putative Kauzmann transition. Here, we overcome this longstanding barrier by developing a computational strategy that properly combines three Monte Carlo methods to access the desired equilibrium thermodynamic properties of a two-dimensional atomistic glass-former down to zero temperature across a range of system sizes up to 77 particles. This enables us to directly measure thermodynamic and structural observables that provide unambiguous evidence that the system undergoes a finite-size version of the Kauzmann transition at a temperature that is much lower than other energy scales and decreases rapidly with system size, thus suggesting the existence of a zero-temperature Kauzmann transition for two-dimensional glasses. The transition is toward an ideal glass state characterized by a complex energy landscape and a hierarchical organization of low-lying states.</w:t>
      </w:r>
    </w:p>
    <w:p>
      <w:pPr>
        <w:spacing w:before="120" w:after="120"/>
      </w:pPr>
      <w:r>
        <w:rPr>
          <w:sz w:val="18"/>
        </w:rPr>
        <w:t>——————————————————————————————————————————————————————————————————————</w:t>
      </w:r>
    </w:p>
    <w:p>
      <w:pPr>
        <w:spacing w:before="160" w:after="40" w:line="240" w:lineRule="auto"/>
      </w:pPr>
      <w:r>
        <w:rPr>
          <w:b/>
        </w:rPr>
        <w:t xml:space="preserve">[528] </w:t>
      </w:r>
      <w:hyperlink r:id="rId1589">
        <w:r>
          <w:rPr>
            <w:color w:val="1155CC"/>
            <w:u w:val="single"/>
          </w:rPr>
          <w:t>中性粒细胞固有的 Vgll4 通过阻止 STAT3/STAT5 驱动的免疫抑制开关来限制肿瘤发生</w:t>
        </w:r>
      </w:hyperlink>
    </w:p>
    <w:p>
      <w:pPr>
        <w:spacing w:before="0" w:after="80"/>
      </w:pPr>
      <w:r>
        <w:rPr>
          <w:i/>
          <w:sz w:val="20"/>
        </w:rPr>
        <w:t>EN: Neutrophil-intrinsic Vgll4 constrains tumorigenesis by preventing a STAT3/STAT5-driven immunosuppressive switch</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90">
        <w:r>
          <w:rPr>
            <w:color w:val="1155CC"/>
            <w:u w:val="single"/>
          </w:rPr>
          <w:t>10.1073/pnas.2606983123</w:t>
        </w:r>
      </w:hyperlink>
    </w:p>
    <w:p>
      <w:pPr>
        <w:spacing w:before="0" w:after="120"/>
      </w:pPr>
      <w:r>
        <w:rPr>
          <w:b/>
        </w:rPr>
        <w:t xml:space="preserve">Notes: </w:t>
      </w:r>
      <w:r>
        <w:t>abstract_source=crossref</w:t>
      </w:r>
    </w:p>
    <w:p>
      <w:pPr>
        <w:spacing w:before="0" w:after="80" w:lineRule="auto" w:line="276"/>
      </w:pPr>
      <w:r>
        <w:rPr>
          <w:b/>
        </w:rPr>
        <w:t xml:space="preserve">摘要（ZH）: </w:t>
      </w:r>
      <w:r>
        <w:t>中性粒细胞在肿瘤微环境（TME）中表现出深刻的功能可塑性，这是癌症进展的关键决定因素；然而，保护其抗肿瘤特性的内在机制仍然难以捉摸。在这里，我们将 Hippo 通路组件 Vgll4 确定为 TME 中中性粒细胞功能命运的关键守护者。虽然中性粒细胞中的 Vgll4 对于稳态粒细胞生成是可有可无的，但它对于抑制肿瘤生长至关重要。 Vgll4 的中性粒细胞特异性消融触发表型向免疫抑制状态转变，加速肿瘤进展。从机制上讲，Vgll4 以 JAK 依赖性方式结合 STAT3 和 STAT5； Vgll4 的缺失会降低 SOCS3（STAT3 的负调节因子）的表达，从而释放 STAT3 过度激活，同时抑制 STAT5，导致转录重编程，从而建立免疫抑制谱。该调节轴专门在肿瘤相关中性粒细胞中发挥作用，因为 Vgll4 对于稳态发育来说是可有可无的，但在 TME 中却是必不可少的。因此，Vgll4 缺陷的中性粒细胞通过促进调节性 T 细胞 (Treg) 分化和损害 CD8 来重塑 TME</w:t>
      </w:r>
      <w:r>
        <w:t xml:space="preserve"> </w:t>
      </w:r>
      <w:r>
        <w:t>+</w:t>
      </w:r>
      <w:r>
        <w:t xml:space="preserve"> </w:t>
      </w:r>
      <w:r>
        <w:t>T 细胞效应功能。我们的研究结果揭示了 Vgll4 在先天免疫调节中的非典型作用，并将 Vgll4-STAT3/STAT5 轴确立为中性粒细胞极化的关键检查点，为癌症免疫治疗提供了治疗靶点。</w:t>
      </w:r>
    </w:p>
    <w:p>
      <w:pPr>
        <w:spacing w:before="0" w:after="200" w:lineRule="auto" w:line="276"/>
      </w:pPr>
      <w:r>
        <w:rPr>
          <w:b/>
        </w:rPr>
        <w:t xml:space="preserve">Abstract (EN): </w:t>
      </w:r>
      <w:r>
        <w:t>Neutrophils display profound functional plasticity within the tumor microenvironment (TME), a key determinant of cancer progression; however, the intrinsic mechanisms safeguarding their antitumor identity remain elusive. Here, we identify the Hippo pathway component Vgll4 as a pivotal guardian of neutrophil functional fate in the TME. While dispensable for homeostatic granulopoiesis, Vgll4 in neutrophils is crucial for restraining tumor growth. Neutrophil-specific ablation of Vgll4 triggers a phenotypic shift toward an immunosuppressive state, accelerating tumor progression. Mechanistically, Vgll4 binds STAT3 and STAT5 in a JAK-dependent manner; loss of Vgll4 reduces SOCS3 expression, a negative regulator of STAT3, thereby unleashing STAT3 hyperactivation while suppressing STAT5, leading to transcriptional reprogramming that establishes an immunosuppressive profile. This regulatory axis operates specifically in tumor-associated neutrophils, as Vgll4 is dispensable for steady-state development but essential within the TME. Consequently, Vgll4-deficient neutrophils remodel the TME by promoting regulatory T cell (Treg) differentiation and impairing CD8</w:t>
      </w:r>
      <w:r>
        <w:t xml:space="preserve"> </w:t>
      </w:r>
      <w:r>
        <w:t>+</w:t>
      </w:r>
      <w:r>
        <w:t xml:space="preserve"> </w:t>
      </w:r>
      <w:r>
        <w:t>T cell effector function. Our findings unveil a noncanonical role for Vgll4 in innate immune regulation and establish the Vgll4-STAT3/STAT5 axis as a crucial checkpoint in neutrophil polarization, presenting a therapeutic target for cancer immunotherapy.</w:t>
      </w:r>
    </w:p>
    <w:p>
      <w:pPr>
        <w:spacing w:before="120" w:after="120"/>
      </w:pPr>
      <w:r>
        <w:rPr>
          <w:sz w:val="18"/>
        </w:rPr>
        <w:t>——————————————————————————————————————————————————————————————————————</w:t>
      </w:r>
    </w:p>
    <w:p>
      <w:pPr>
        <w:spacing w:before="160" w:after="40" w:line="240" w:lineRule="auto"/>
      </w:pPr>
      <w:r>
        <w:rPr>
          <w:b/>
        </w:rPr>
        <w:t xml:space="preserve">[529] </w:t>
      </w:r>
      <w:hyperlink r:id="rId1591">
        <w:r>
          <w:rPr>
            <w:color w:val="1155CC"/>
            <w:u w:val="single"/>
          </w:rPr>
          <w:t>异色亮度光度测量的感知和神经约束</w:t>
        </w:r>
      </w:hyperlink>
    </w:p>
    <w:p>
      <w:pPr>
        <w:spacing w:before="0" w:after="80"/>
      </w:pPr>
      <w:r>
        <w:rPr>
          <w:i/>
          <w:sz w:val="20"/>
        </w:rPr>
        <w:t>EN: Perceptual and neural constraints on photometric measures of heterochromatic brightness</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92">
        <w:r>
          <w:rPr>
            <w:color w:val="1155CC"/>
            <w:u w:val="single"/>
          </w:rPr>
          <w:t>10.1073/pnas.2610398123</w:t>
        </w:r>
      </w:hyperlink>
    </w:p>
    <w:p>
      <w:pPr>
        <w:spacing w:before="0" w:after="120"/>
      </w:pPr>
      <w:r>
        <w:rPr>
          <w:b/>
        </w:rPr>
        <w:t xml:space="preserve">Notes: </w:t>
      </w:r>
      <w:r>
        <w:t>abstract_source=crossref</w:t>
      </w:r>
    </w:p>
    <w:p>
      <w:pPr>
        <w:spacing w:before="0" w:after="80" w:lineRule="auto" w:line="276"/>
      </w:pPr>
      <w:r>
        <w:rPr>
          <w:b/>
        </w:rPr>
        <w:t xml:space="preserve">摘要（ZH）: </w:t>
      </w:r>
      <w:r>
        <w:t>亮度和坎德拉提供了光度测定的基础，并定义了光视觉影响的标准测量。它们是通过经典的光度测量方法来定义的，这些方法无法捕获空间扩展的真实世界场景中不同颜色的亮度判断的关键方面：高度饱和的颜色显得更亮，混合物相对于亮度而言是次加性的，短波长的贡献比预期更强。尽管存在这些长期存在的差异，但由于缺乏可扩展的方法来测量稳定观看下的异色亮度，进展受到限制。在这里，我们引入了一种基于排名的范例，可以可靠地测量大型刺激集的亮度。观察者对涵盖色调和强度的 144 种彩色刺激进行了排名，在不同会话、观察者和显示环境（包括大规模在线研究）中产生了高度一致的结果。这种方法揭示了跨设备和观看环境保留的异色亮度的稳定全局结构。使用这些数据，我们评估了广泛的候选模型。亮度、辐射度和已建立的颜色外观模型使关键的系统模式无法解释。相比之下，简单的非线性池化规则，特别是取红色、绿色和蓝色通道值的加权最大值，提供了观察到的排名的接近上限的解释。神经记录揭示了相应的时间分离：高频响应跟踪亮度，而低频响应与非线性预测一致。光谱调谐实验</w:t>
      </w:r>
    </w:p>
    <w:p>
      <w:pPr>
        <w:spacing w:before="0" w:after="200" w:lineRule="auto" w:line="276"/>
      </w:pPr>
      <w:r>
        <w:rPr>
          <w:b/>
        </w:rPr>
        <w:t xml:space="preserve">Abstract (EN): </w:t>
      </w:r>
      <w:r>
        <w:t>Luminance and the candela provide the foundation of photometry and define standard measures of the visual impact of light. They are defined by classical photometric methods that fail to capture key aspects of brightness judgments across different colors in spatially extended, real-world scenes: Highly saturated colors appear brighter, mixtures are subadditive relative to luminance, and short wavelengths contribute more strongly than expected. Despite these long-standing discrepancies, progress has been limited by the lack of scalable methods to measure heterochromatic brightness under steady viewing. Here, we introduce a ranking-based paradigm that enables reliable measurement of brightness across large stimulus sets. Observers ranked 144 colored stimuli spanning hue and intensity, yielding highly consistent results across sessions, observers, and display environments, including large-scale online studies. This approach reveals a stable global structure of heterochromatic brightness preserved across devices and viewing contexts. Using these data, we evaluate a broad range of candidate models. Luminance, radiance, and established color appearance models leave key systematic patterns unexplained. In contrast, simple nonlinear pooling rules, specifically taking the weighted maximum of the red, green, and blue channel values, provide a near-ceiling account of observed rankings. Neural recordings reveal a corresponding temporal dissociation: High-frequency responses track luminance, whereas low-frequency responses align with nonlinear predictions. Experiments with spectrally tunable illumination confirm the same pattern in spatially extended scenes. Together, these results establish a scalable framework for measuring heterochromatic brightness and identify a simple computational rule governing brightness under steady viewing.</w:t>
      </w:r>
    </w:p>
    <w:p>
      <w:pPr>
        <w:spacing w:before="120" w:after="120"/>
      </w:pPr>
      <w:r>
        <w:rPr>
          <w:sz w:val="18"/>
        </w:rPr>
        <w:t>——————————————————————————————————————————————————————————————————————</w:t>
      </w:r>
    </w:p>
    <w:p>
      <w:pPr>
        <w:spacing w:before="160" w:after="40" w:line="240" w:lineRule="auto"/>
      </w:pPr>
      <w:r>
        <w:rPr>
          <w:b/>
        </w:rPr>
        <w:t xml:space="preserve">[530] </w:t>
      </w:r>
      <w:hyperlink r:id="rId1593">
        <w:r>
          <w:rPr>
            <w:color w:val="1155CC"/>
            <w:u w:val="single"/>
          </w:rPr>
          <w:t>六方密排晶体超高剪切原子孪晶过程</w:t>
        </w:r>
      </w:hyperlink>
    </w:p>
    <w:p>
      <w:pPr>
        <w:spacing w:before="0" w:after="80"/>
      </w:pPr>
      <w:r>
        <w:rPr>
          <w:i/>
          <w:sz w:val="20"/>
        </w:rPr>
        <w:t>EN: Atomistic twinning process with ultra-high shear in hexagonal close-packed crystals</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594">
        <w:r>
          <w:rPr>
            <w:color w:val="1155CC"/>
            <w:u w:val="single"/>
          </w:rPr>
          <w:t>10.1073/pnas.2607072123</w:t>
        </w:r>
      </w:hyperlink>
    </w:p>
    <w:p>
      <w:pPr>
        <w:spacing w:before="0" w:after="120"/>
      </w:pPr>
      <w:r>
        <w:rPr>
          <w:b/>
        </w:rPr>
        <w:t xml:space="preserve">Notes: </w:t>
      </w:r>
      <w:r>
        <w:t>abstract_source=crossref</w:t>
      </w:r>
    </w:p>
    <w:p>
      <w:pPr>
        <w:spacing w:before="0" w:after="80" w:lineRule="auto" w:line="276"/>
      </w:pPr>
      <w:r>
        <w:rPr>
          <w:b/>
        </w:rPr>
        <w:t xml:space="preserve">摘要（ZH）: </w:t>
      </w:r>
      <w:r>
        <w:t>孪生是一种关键的变形机制，可以显着提高材料的机械性能。预测主动孪生模式长期以来一直是一个基本挑战。人们普遍认为，主动孪晶模式应表现出低至中等的剪切应变，以最大限度地减少相关的应变能。在这里，利用原位原子级应变实验，我们确定了六方密堆积 (HCP) 铼纳米晶体中的非常规孪生模式，其特征是 ~1.2 的超大剪切应变，这是迄今为止报道的 HCP 晶体的最高剪切应变。值得注意的是，这种孪生过程通过纯晶格剪切进行，无需传统 HCP 孪生通常所需的原子改组。我们的结果表明，纳米晶体中可达到的高应力状态以及有利的能量学使得这种模式得以激活。这种超高剪切孪晶机制在增强 HCP 金属的成形性和延展性方面具有巨大的潜力。</w:t>
      </w:r>
    </w:p>
    <w:p>
      <w:pPr>
        <w:spacing w:before="0" w:after="200" w:lineRule="auto" w:line="276"/>
      </w:pPr>
      <w:r>
        <w:rPr>
          <w:b/>
        </w:rPr>
        <w:t xml:space="preserve">Abstract (EN): </w:t>
      </w:r>
      <w:r>
        <w:t>Twinning is a critical deformation mechanism that can significantly enhance the mechanical performance of materials. Predicting active twinning modes has long been a fundamental challenge. It is generally believed that active twinning modes should exhibit low to moderate shear strains to minimize the associated strain energy. Here, using in situ atomic-scale straining experiments, we identify an unconventional twinning mode in hexagonal close-packed (HCP) rhenium nanocrystals, characterized by an extraordinarily large shear strain of ~1.2, the highest reported for HCP crystals to date. Remarkably, this twinning process proceeds via pure lattice shear without the atomic shuffling typically required for conventional HCP twinning. Our results indicate that high stress states attainable in nanocrystals, together with favorable energetics, enable activation of this mode. This ultra-high-shear twinning mechanism holds significant potential for enhancing the formability and ductility of HCP metals.</w:t>
      </w:r>
    </w:p>
    <w:p>
      <w:pPr>
        <w:spacing w:before="120" w:after="120"/>
      </w:pPr>
      <w:r>
        <w:rPr>
          <w:sz w:val="18"/>
        </w:rPr>
        <w:t>——————————————————————————————————————————————————————————————————————</w:t>
      </w:r>
    </w:p>
    <w:p>
      <w:pPr>
        <w:spacing w:before="160" w:after="40" w:line="240" w:lineRule="auto"/>
      </w:pPr>
      <w:r>
        <w:rPr>
          <w:b/>
        </w:rPr>
        <w:t xml:space="preserve">[531] </w:t>
      </w:r>
      <w:hyperlink r:id="rId1595">
        <w:r>
          <w:rPr>
            <w:color w:val="1155CC"/>
            <w:u w:val="single"/>
          </w:rPr>
          <w:t>具有声学遥测功能的耐压微型海洋传感标签，用于实时 CTD 监测</w:t>
        </w:r>
      </w:hyperlink>
    </w:p>
    <w:p>
      <w:pPr>
        <w:spacing w:before="0" w:after="80"/>
      </w:pPr>
      <w:r>
        <w:rPr>
          <w:i/>
          <w:sz w:val="20"/>
        </w:rPr>
        <w:t>EN: A pressure-tolerant, miniature ocean-sensing tag with acoustic telemetry for real-time CTD monitoring</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596">
        <w:r>
          <w:rPr>
            <w:color w:val="1155CC"/>
            <w:u w:val="single"/>
          </w:rPr>
          <w:t>10.1126/sciadv.aee9809</w:t>
        </w:r>
      </w:hyperlink>
    </w:p>
    <w:p>
      <w:pPr>
        <w:spacing w:before="0" w:after="120"/>
      </w:pPr>
      <w:r>
        <w:rPr>
          <w:b/>
        </w:rPr>
        <w:t xml:space="preserve">Notes: </w:t>
      </w:r>
      <w:r>
        <w:t>abstract_source=crossref</w:t>
      </w:r>
    </w:p>
    <w:p>
      <w:pPr>
        <w:spacing w:before="0" w:after="80" w:lineRule="auto" w:line="276"/>
      </w:pPr>
      <w:r>
        <w:rPr>
          <w:b/>
        </w:rPr>
        <w:t xml:space="preserve">摘要（ZH）: </w:t>
      </w:r>
      <w:r>
        <w:t>实时海洋监测可实现即时海洋学分析并支持海上作业。然而，传统传感器需要金属外壳来承受高静水压力，从而增加了传感器的重量和功率需求。软电子技术提供了一种有前途的替代方案，但它们的功能和常用的电磁通信在水下无效。在这里，我们提出了一种耐压、微型海洋传感标签，它将软电导率、温度和深度 (CTD) 传感器与声学传感器无缝集成，用于原位监测和水下数据传输。该标签尺寸为 17 mm x 20 mm x 7.5 mm，重 4.90 g，在高达 15 MPa 的静水压力（相当于约 1,500 m 的深度）下仍能保持可靠的性能，水下传输范围可达 492.7 m。在萨利什海的现场测试表明，无线实时 CTD 监测的测量精度可与商用传感器和可靠的声学遥测技术相媲美（在评估的传输距离内检测效率为 87.34%，准确度为 100%）。该海洋传感平台可在不同平台上实现节能部署，并显着推进下一代海洋观测和深海探索。</w:t>
      </w:r>
    </w:p>
    <w:p>
      <w:pPr>
        <w:spacing w:before="0" w:after="200" w:lineRule="auto" w:line="276"/>
      </w:pPr>
      <w:r>
        <w:rPr>
          <w:b/>
        </w:rPr>
        <w:t xml:space="preserve">Abstract (EN): </w:t>
      </w:r>
      <w:r>
        <w:t>Real-time ocean monitoring enables instantaneous oceanographic analysis and supports maritime operations. However, conventional sensors require metallic housings to withstand high hydrostatic pressure, increasing their weight and power demand. Soft electronics offer a promising alternative, but their functionality and commonly used electromagnetic communication are ineffective underwater. Here, we present a pressure-tolerant, miniaturized ocean-sensing tag that seamlessly integrates soft conductivity, temperature, and depth (CTD) sensors with acoustic transducers for in situ monitoring and underwater data transmission. Measuring 17 mm by 20 mm by 7.5 mm and weighing 4.90 g, the tag maintains reliable performance under hydrostatic pressures of up to 15 MPa, corresponding to a depth of approximately 1,500 m, and achieves underwater transmission ranges of up to 492.7 m. Field testing in the Salish Sea demonstrates wireless, real-time CTD monitoring with measurement accuracy comparable to commercial sensors and reliable acoustic telemetry (87.34% detection efficiency and 100% accuracy over evaluated transmission distances). This ocean sensing platform enables energy-efficient deployment on diverse platforms and significantly advances next-generation ocean observation and deep-sea exploration.</w:t>
      </w:r>
    </w:p>
    <w:p>
      <w:pPr>
        <w:spacing w:before="120" w:after="120"/>
      </w:pPr>
      <w:r>
        <w:rPr>
          <w:sz w:val="18"/>
        </w:rPr>
        <w:t>——————————————————————————————————————————————————————————————————————</w:t>
      </w:r>
    </w:p>
    <w:p>
      <w:pPr>
        <w:spacing w:before="160" w:after="40" w:line="240" w:lineRule="auto"/>
      </w:pPr>
      <w:r>
        <w:rPr>
          <w:b/>
        </w:rPr>
        <w:t xml:space="preserve">[532] </w:t>
      </w:r>
      <w:hyperlink r:id="rId1597">
        <w:r>
          <w:rPr>
            <w:color w:val="1155CC"/>
            <w:u w:val="single"/>
          </w:rPr>
          <w:t>从低脂饮食到西方高脂饮食的等热量转换会引发转录组重编程和异位嗅觉受体反应</w:t>
        </w:r>
      </w:hyperlink>
    </w:p>
    <w:p>
      <w:pPr>
        <w:spacing w:before="0" w:after="80"/>
      </w:pPr>
      <w:r>
        <w:rPr>
          <w:i/>
          <w:sz w:val="20"/>
        </w:rPr>
        <w:t>EN: Isocaloric switch from low-fat to Western high-fat diet triggers transcriptomic reprogramming and ectopic olfactory receptor responses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598">
        <w:r>
          <w:rPr>
            <w:color w:val="1155CC"/>
            <w:u w:val="single"/>
          </w:rPr>
          <w:t>10.1126/sciadv.aef5698</w:t>
        </w:r>
      </w:hyperlink>
    </w:p>
    <w:p>
      <w:pPr>
        <w:spacing w:before="0" w:after="120"/>
      </w:pPr>
      <w:r>
        <w:rPr>
          <w:b/>
        </w:rPr>
        <w:t xml:space="preserve">Notes: </w:t>
      </w:r>
      <w:r>
        <w:t>abstract_source=crossref</w:t>
      </w:r>
    </w:p>
    <w:p>
      <w:pPr>
        <w:spacing w:before="0" w:after="80" w:lineRule="auto" w:line="276"/>
      </w:pPr>
      <w:r>
        <w:rPr>
          <w:b/>
        </w:rPr>
        <w:t xml:space="preserve">摘要（ZH）: </w:t>
      </w:r>
      <w:r>
        <w:t>尽管富含饱和脂肪的西方饮食（WD）被认为是代谢疾病和炎症的触发因素，但这种饮食在不肥胖的情况下的作用尚不清楚。我们研究了 92 名双胞胎在进行 6 周健康低脂饮食并保持体重稳定后，在 6 周 WD 后的代谢、炎症、人体测量和脂肪组织转录组反应。 WD 增加了总胆固醇、低密度脂蛋白和高密度脂蛋白胆固醇，但没有增加甘油三酯或游离脂肪酸，并在 1 周后诱导胰岛素抵抗和一些炎症标志物短暂和中度增加，6 周后消失。广泛的转录组变化反映了皮下腹部脂肪组织的重组。嗅觉受体 (OR) mRNA 的增加与胰岛素抵抗、肝脏和内脏脂肪、IL-18 和 VEGF 等细胞因子相关，但与脂联素和细胞外 NAMPT 呈负相关。总之，WD 触发与异位 OR 反应密切相关的代谢和转录组重编程。</w:t>
      </w:r>
    </w:p>
    <w:p>
      <w:pPr>
        <w:spacing w:before="0" w:after="200" w:lineRule="auto" w:line="276"/>
      </w:pPr>
      <w:r>
        <w:rPr>
          <w:b/>
        </w:rPr>
        <w:t xml:space="preserve">Abstract (EN): </w:t>
      </w:r>
      <w:r>
        <w:t>Although Western diet (WD) rich in saturated fat is regarded as a trigger of metabolic disease and inflammation, the role of this diet in the absence of obesity is unclear. We studied the metabolic, inflammatory, anthropometric, and adipose tissue transcriptomic responses of 92 twins to 6 weeks of WD following 6 weeks of a healthy low-fat diet while maintaining stable body weight. The WD increased total, LDL and HDL cholesterol but not triglycerides or free fatty acids and induced transient and moderate increases of insulin resistance and some inflammatory markers after 1 week, which disappeared after 6 weeks. Extensive transcriptomic changes reflected restructuring of subcutaneous abdominal adipose tissue. Olfactory receptor (OR) mRNAs were increased in correlation with insulin resistance, liver, and visceral fat, cytokines like IL-18 and VEGF, but inversely related to adiponectin and extracellular NAMPT. In conclusion, WD triggers metabolic and transcriptomic reprogramming closely linked to ectopic OR responses.</w:t>
      </w:r>
    </w:p>
    <w:p>
      <w:pPr>
        <w:spacing w:before="120" w:after="120"/>
      </w:pPr>
      <w:r>
        <w:rPr>
          <w:sz w:val="18"/>
        </w:rPr>
        <w:t>——————————————————————————————————————————————————————————————————————</w:t>
      </w:r>
    </w:p>
    <w:p>
      <w:pPr>
        <w:spacing w:before="160" w:after="40" w:line="240" w:lineRule="auto"/>
      </w:pPr>
      <w:r>
        <w:rPr>
          <w:b/>
        </w:rPr>
        <w:t xml:space="preserve">[533] </w:t>
      </w:r>
      <w:hyperlink r:id="rId1599">
        <w:r>
          <w:rPr>
            <w:color w:val="1155CC"/>
            <w:u w:val="single"/>
          </w:rPr>
          <w:t>脊髓网状通路介导对有害机械刺激的伤害反应</w:t>
        </w:r>
      </w:hyperlink>
    </w:p>
    <w:p>
      <w:pPr>
        <w:spacing w:before="0" w:after="80"/>
      </w:pPr>
      <w:r>
        <w:rPr>
          <w:i/>
          <w:sz w:val="20"/>
        </w:rPr>
        <w:t>EN: A spinoreticular pathway mediates nocifensive responses to noxious mechanical stimuli</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00">
        <w:r>
          <w:rPr>
            <w:color w:val="1155CC"/>
            <w:u w:val="single"/>
          </w:rPr>
          <w:t>10.1073/pnas.2604642123</w:t>
        </w:r>
      </w:hyperlink>
    </w:p>
    <w:p>
      <w:pPr>
        <w:spacing w:before="0" w:after="120"/>
      </w:pPr>
      <w:r>
        <w:rPr>
          <w:b/>
        </w:rPr>
        <w:t xml:space="preserve">Notes: </w:t>
      </w:r>
      <w:r>
        <w:t>abstract_source=crossref</w:t>
      </w:r>
    </w:p>
    <w:p>
      <w:pPr>
        <w:spacing w:before="0" w:after="80" w:lineRule="auto" w:line="276"/>
      </w:pPr>
      <w:r>
        <w:rPr>
          <w:b/>
        </w:rPr>
        <w:t xml:space="preserve">摘要（ZH）: </w:t>
      </w:r>
      <w:r>
        <w:t>脊髓投射神经元 (SPN) 将体感信息传递给大脑，但分子定义的 SPN 子集如何传递有害机械信号以驱动伤害行为仍不清楚。在这里，我们确定</w:t>
      </w:r>
      <w:r>
        <w:t xml:space="preserve"> </w:t>
      </w:r>
      <w:r>
        <w:t>斯卡格</w:t>
      </w:r>
      <w:r>
        <w:t xml:space="preserve"> </w:t>
      </w:r>
      <w:r>
        <w:t>-表达 SPN（</w:t>
      </w:r>
      <w:r>
        <w:t xml:space="preserve"> </w:t>
      </w:r>
      <w:r>
        <w:t>斯卡格</w:t>
      </w:r>
      <w:r>
        <w:t xml:space="preserve"> </w:t>
      </w:r>
      <w:r>
        <w:t>+</w:t>
      </w:r>
      <w:r>
        <w:t xml:space="preserve"> </w:t>
      </w:r>
      <w:r>
        <w:t>SPN）通过棘网状上升通路传递有害的机械信号。通过对小鼠进行交叉遗传学、解剖追踪和特定通路操作，我们发现</w:t>
      </w:r>
      <w:r>
        <w:t xml:space="preserve"> </w:t>
      </w:r>
      <w:r>
        <w:t>斯卡格</w:t>
      </w:r>
      <w:r>
        <w:t xml:space="preserve"> </w:t>
      </w:r>
      <w:r>
        <w:t>+</w:t>
      </w:r>
      <w:r>
        <w:t xml:space="preserve"> </w:t>
      </w:r>
      <w:r>
        <w:t>SPN 主要投射到臂旁核和外侧网状核 (LRN)。功能分析表明</w:t>
      </w:r>
      <w:r>
        <w:t xml:space="preserve"> </w:t>
      </w:r>
      <w:r>
        <w:t>斯卡格</w:t>
      </w:r>
      <w:r>
        <w:t xml:space="preserve"> </w:t>
      </w:r>
      <w:r>
        <w:t>+</w:t>
      </w:r>
      <w:r>
        <w:t xml:space="preserve"> </w:t>
      </w:r>
      <w:r>
        <w:t>脊髓网状通路传递有害的机械信息。 LRN 神经元接收</w:t>
      </w:r>
      <w:r>
        <w:t xml:space="preserve"> </w:t>
      </w:r>
      <w:r>
        <w:t>斯卡格</w:t>
      </w:r>
      <w:r>
        <w:t xml:space="preserve"> </w:t>
      </w:r>
      <w:r>
        <w:t>+</w:t>
      </w:r>
      <w:r>
        <w:t xml:space="preserve"> </w:t>
      </w:r>
      <w:r>
        <w:t>有害机械刺激引起的伤害行为需要脊髓输入，并导致神经性疼痛的机械异常性疼痛。单突触追踪识别局部中间神经元的神经支配</w:t>
      </w:r>
      <w:r>
        <w:t xml:space="preserve"> </w:t>
      </w:r>
      <w:r>
        <w:t>斯卡格</w:t>
      </w:r>
      <w:r>
        <w:t xml:space="preserve"> </w:t>
      </w:r>
      <w:r>
        <w:t>+</w:t>
      </w:r>
      <w:r>
        <w:t xml:space="preserve"> </w:t>
      </w:r>
      <w:r>
        <w:t>SPN，为上升机械信号的脊髓门控提供了基础。这些发现强调了涉及 LRN 的脊髓网状回路，该回路对于有害机械的伤害行为至关重要</w:t>
      </w:r>
    </w:p>
    <w:p>
      <w:pPr>
        <w:spacing w:before="0" w:after="200" w:lineRule="auto" w:line="276"/>
      </w:pPr>
      <w:r>
        <w:rPr>
          <w:b/>
        </w:rPr>
        <w:t xml:space="preserve">Abstract (EN): </w:t>
      </w:r>
      <w:r>
        <w:t>Spinal projection neurons (SPNs) relay somatosensory information to the brain, yet how molecularly defined SPN subsets transmit noxious mechanical signals to drive nocifensive behaviors remains unclear. Here, we identify</w:t>
      </w:r>
      <w:r>
        <w:t xml:space="preserve"> </w:t>
      </w:r>
      <w:r>
        <w:t>Sncg</w:t>
      </w:r>
      <w:r>
        <w:t xml:space="preserve"> </w:t>
      </w:r>
      <w:r>
        <w:t>-expressing SPNs (</w:t>
      </w:r>
      <w:r>
        <w:t xml:space="preserve"> </w:t>
      </w:r>
      <w:r>
        <w:t>Sncg</w:t>
      </w:r>
      <w:r>
        <w:t xml:space="preserve"> </w:t>
      </w:r>
      <w:r>
        <w:t>+</w:t>
      </w:r>
      <w:r>
        <w:t xml:space="preserve"> </w:t>
      </w:r>
      <w:r>
        <w:t>SPNs) that convey noxious mechanical signals through a spinoreticular ascending pathway. Using intersectional genetics, anatomical tracing, and pathway-specific manipulations in mice, we show that</w:t>
      </w:r>
      <w:r>
        <w:t xml:space="preserve"> </w:t>
      </w:r>
      <w:r>
        <w:t>Sncg</w:t>
      </w:r>
      <w:r>
        <w:t xml:space="preserve"> </w:t>
      </w:r>
      <w:r>
        <w:t>+</w:t>
      </w:r>
      <w:r>
        <w:t xml:space="preserve"> </w:t>
      </w:r>
      <w:r>
        <w:t>SPNs project predominantly to the parabrachial nucleus and the lateral reticular nucleus (LRN). Functional analyses reveal that</w:t>
      </w:r>
      <w:r>
        <w:t xml:space="preserve"> </w:t>
      </w:r>
      <w:r>
        <w:t>Sncg</w:t>
      </w:r>
      <w:r>
        <w:t xml:space="preserve"> </w:t>
      </w:r>
      <w:r>
        <w:t>+</w:t>
      </w:r>
      <w:r>
        <w:t xml:space="preserve"> </w:t>
      </w:r>
      <w:r>
        <w:t>spinoreticular pathway transmits noxious mechanical information. LRN neurons receiving</w:t>
      </w:r>
      <w:r>
        <w:t xml:space="preserve"> </w:t>
      </w:r>
      <w:r>
        <w:t>Sncg</w:t>
      </w:r>
      <w:r>
        <w:t xml:space="preserve"> </w:t>
      </w:r>
      <w:r>
        <w:t>+</w:t>
      </w:r>
      <w:r>
        <w:t xml:space="preserve"> </w:t>
      </w:r>
      <w:r>
        <w:t>spinal input are required for nocifensive behaviors elicited by noxious mechanical stimulation and contribute to mechanical allodynia of neuropathic pain. Monosynaptic tracing identifies local interneurons innervating</w:t>
      </w:r>
      <w:r>
        <w:t xml:space="preserve"> </w:t>
      </w:r>
      <w:r>
        <w:t>Sncg</w:t>
      </w:r>
      <w:r>
        <w:t xml:space="preserve"> </w:t>
      </w:r>
      <w:r>
        <w:t>+</w:t>
      </w:r>
      <w:r>
        <w:t xml:space="preserve"> </w:t>
      </w:r>
      <w:r>
        <w:t>SPNs, providing a substrate for spinal gating of ascending mechanical signals. These findings highlight a spinoreticular circuit involving the LRN that is essential for nocifensive behaviors to noxious mechanical stimuli.</w:t>
      </w:r>
    </w:p>
    <w:p>
      <w:pPr>
        <w:spacing w:before="120" w:after="120"/>
      </w:pPr>
      <w:r>
        <w:rPr>
          <w:sz w:val="18"/>
        </w:rPr>
        <w:t>——————————————————————————————————————————————————————————————————————</w:t>
      </w:r>
    </w:p>
    <w:p>
      <w:pPr>
        <w:spacing w:before="160" w:after="40" w:line="240" w:lineRule="auto"/>
      </w:pPr>
      <w:r>
        <w:rPr>
          <w:b/>
        </w:rPr>
        <w:t xml:space="preserve">[534] </w:t>
      </w:r>
      <w:hyperlink r:id="rId1601">
        <w:r>
          <w:rPr>
            <w:color w:val="1155CC"/>
            <w:u w:val="single"/>
          </w:rPr>
          <w:t>软物质，硬规则：乳液遵循颗粒悬浮液流变学规律</w:t>
        </w:r>
      </w:hyperlink>
    </w:p>
    <w:p>
      <w:pPr>
        <w:spacing w:before="0" w:after="80"/>
      </w:pPr>
      <w:r>
        <w:rPr>
          <w:i/>
          <w:sz w:val="20"/>
        </w:rPr>
        <w:t>EN: Soft matter, hard rules: Emulsions follow the laws of granular suspension rheology</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02">
        <w:r>
          <w:rPr>
            <w:color w:val="1155CC"/>
            <w:u w:val="single"/>
          </w:rPr>
          <w:t>10.1073/pnas.2611013123</w:t>
        </w:r>
      </w:hyperlink>
    </w:p>
    <w:p>
      <w:pPr>
        <w:spacing w:before="0" w:after="120"/>
      </w:pPr>
      <w:r>
        <w:rPr>
          <w:b/>
        </w:rPr>
        <w:t xml:space="preserve">Notes: </w:t>
      </w:r>
      <w:r>
        <w:t>abstract_source=crossref</w:t>
      </w:r>
    </w:p>
    <w:p>
      <w:pPr>
        <w:spacing w:before="0" w:after="80" w:lineRule="auto" w:line="276"/>
      </w:pPr>
      <w:r>
        <w:rPr>
          <w:b/>
        </w:rPr>
        <w:t xml:space="preserve">摘要（ZH）: </w:t>
      </w:r>
      <w:r>
        <w:t>致密乳液的流动是从食品和制药加工到生物工程的应用的基础，但它们的流变学在传统的体积施加条件下仍然难以解释。在这里，我们使用最近开发的仪器 Capillarytron 将控制变量更改为渗透压。这种方法揭示了统一的流变结构，其中渗透压</w:t>
      </w:r>
      <w:r>
        <w:t xml:space="preserve"> </w:t>
      </w:r>
      <w:r>
        <w:t>Π</w:t>
      </w:r>
      <w:r>
        <w:t xml:space="preserve"> </w:t>
      </w:r>
      <w:r>
        <w:t>，通过控制液滴变形，设置</w:t>
      </w:r>
      <w:r>
        <w:t xml:space="preserve"> </w:t>
      </w:r>
      <w:r>
        <w:t>压力相关</w:t>
      </w:r>
      <w:r>
        <w:t xml:space="preserve"> </w:t>
      </w:r>
      <w:r>
        <w:t>干扰体积分数。当以到干扰点的距离表示时，所有流变数据（跨越两个区域）</w:t>
      </w:r>
      <w:r>
        <w:t xml:space="preserve"> </w:t>
      </w:r>
      <w:r>
        <w:t>Π</w:t>
      </w:r>
      <w:r>
        <w:t xml:space="preserve"> </w:t>
      </w:r>
      <w:r>
        <w:t>- 和</w:t>
      </w:r>
      <w:r>
        <w:t xml:space="preserve"> </w:t>
      </w:r>
      <w:r>
        <w:t>φ</w:t>
      </w:r>
      <w:r>
        <w:t xml:space="preserve"> </w:t>
      </w:r>
      <w:r>
        <w:t>-强加的测量——坍缩成单一幂律散度，类似于粒状悬浮液。由此产生的本构关系提供了对牛顿、屈服和剪切稀化状态下乳液流变学的预测性、无参数描述。结合最近关于软球的研究结果，我们的研究结果指出了一个统一的范式：软无定形材料——从软球到乳液和可能的泡沫——遵循相同的规律</w:t>
      </w:r>
      <w:r>
        <w:t xml:space="preserve"> </w:t>
      </w:r>
      <w:r>
        <w:t>硬性规定</w:t>
      </w:r>
      <w:r>
        <w:t xml:space="preserve"> </w:t>
      </w:r>
      <w:r>
        <w:t>作为颗粒悬浮液，通过压力依赖性的柔软度进入</w:t>
      </w:r>
    </w:p>
    <w:p>
      <w:pPr>
        <w:spacing w:before="0" w:after="200" w:lineRule="auto" w:line="276"/>
      </w:pPr>
      <w:r>
        <w:rPr>
          <w:b/>
        </w:rPr>
        <w:t xml:space="preserve">Abstract (EN): </w:t>
      </w:r>
      <w:r>
        <w:t>The flow of dense emulsions underlies applications from food and pharmaceutical processing to bioengineering, yet their rheology remains difficult to interpret under conventional volume-imposed conditions. Here, we change the control variable to osmotic-pressure using a recently developed instrument—the Capillarytron. This approach reveals a unified rheological structure where the osmotic pressure</w:t>
      </w:r>
      <w:r>
        <w:t xml:space="preserve"> </w:t>
      </w:r>
      <w:r>
        <w:t>Π</w:t>
      </w:r>
      <w:r>
        <w:t xml:space="preserve"> </w:t>
      </w:r>
      <w:r>
        <w:t>, by controlling droplet deformation, sets a</w:t>
      </w:r>
      <w:r>
        <w:t xml:space="preserve"> </w:t>
      </w:r>
      <w:r>
        <w:t>pressure-dependent</w:t>
      </w:r>
      <w:r>
        <w:t xml:space="preserve"> </w:t>
      </w:r>
      <w:r>
        <w:t>jamming volume fraction. When expressed in terms of the distance to this jamming point, all rheological data—spanning both</w:t>
      </w:r>
      <w:r>
        <w:t xml:space="preserve"> </w:t>
      </w:r>
      <w:r>
        <w:t>Π</w:t>
      </w:r>
      <w:r>
        <w:t xml:space="preserve"> </w:t>
      </w:r>
      <w:r>
        <w:t>- and</w:t>
      </w:r>
      <w:r>
        <w:t xml:space="preserve"> </w:t>
      </w:r>
      <w:r>
        <w:t>ϕ</w:t>
      </w:r>
      <w:r>
        <w:t xml:space="preserve"> </w:t>
      </w:r>
      <w:r>
        <w:t>-imposed measurements—collapse onto a single power-law divergence, akin to granular suspensions. The resulting constitutive relations provide a predictive, parameter-free description of emulsion rheology across Newtonian, yielding, and shear-thinning regimes. Together with recent results on soft spheres, our findings point to a unifying paradigm: Soft amorphous materials—from soft spheres to emulsions and likely foams—obey the same</w:t>
      </w:r>
      <w:r>
        <w:t xml:space="preserve"> </w:t>
      </w:r>
      <w:r>
        <w:t>hard rules</w:t>
      </w:r>
      <w:r>
        <w:t xml:space="preserve"> </w:t>
      </w:r>
      <w:r>
        <w:t>as granular suspensions, with softness entering through a pressure-dependent jamming point. This framework rationalizes Herschel–Bulkley rheology, assigns its parameters microscopic meaning, and opens perspectives on rigidity transitions in soft, deformable systems, including biological tissues.</w:t>
      </w:r>
    </w:p>
    <w:p>
      <w:pPr>
        <w:spacing w:before="120" w:after="120"/>
      </w:pPr>
      <w:r>
        <w:rPr>
          <w:sz w:val="18"/>
        </w:rPr>
        <w:t>——————————————————————————————————————————————————————————————————————</w:t>
      </w:r>
    </w:p>
    <w:p>
      <w:pPr>
        <w:spacing w:before="160" w:after="40" w:line="240" w:lineRule="auto"/>
      </w:pPr>
      <w:r>
        <w:rPr>
          <w:b/>
        </w:rPr>
        <w:t xml:space="preserve">[535] </w:t>
      </w:r>
      <w:hyperlink r:id="rId1603">
        <w:r>
          <w:rPr>
            <w:color w:val="1155CC"/>
            <w:u w:val="single"/>
          </w:rPr>
          <w:t>理查德·奥斯特菲尔德 (Richard Ostfeld) 的 QnAs</w:t>
        </w:r>
      </w:hyperlink>
    </w:p>
    <w:p>
      <w:pPr>
        <w:spacing w:before="0" w:after="80"/>
      </w:pPr>
      <w:r>
        <w:rPr>
          <w:i/>
          <w:sz w:val="20"/>
        </w:rPr>
        <w:t>EN: QnAs with Richard Ostfeld</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04">
        <w:r>
          <w:rPr>
            <w:color w:val="1155CC"/>
            <w:u w:val="single"/>
          </w:rPr>
          <w:t>10.1073/pnas.2626100123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1605">
        <w:r>
          <w:rPr>
            <w:color w:val="1155CC"/>
            <w:u w:val="single"/>
          </w:rPr>
          <w:t>汗水蒸气使接近皮肤的空气变亮，但在干旱炎热的情况下阻碍人体蒸发冷却</w:t>
        </w:r>
      </w:hyperlink>
    </w:p>
    <w:p>
      <w:pPr>
        <w:spacing w:before="0" w:after="80"/>
      </w:pPr>
      <w:r>
        <w:rPr>
          <w:i/>
          <w:sz w:val="20"/>
        </w:rPr>
        <w:t>EN: Perspiration vapor lightens near-skin air, but hinders human evaporative cooling in arid heat</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06">
        <w:r>
          <w:rPr>
            <w:color w:val="1155CC"/>
            <w:u w:val="single"/>
          </w:rPr>
          <w:t>10.1126/sciadv.aee4703</w:t>
        </w:r>
      </w:hyperlink>
    </w:p>
    <w:p>
      <w:pPr>
        <w:spacing w:before="0" w:after="120"/>
      </w:pPr>
      <w:r>
        <w:rPr>
          <w:b/>
        </w:rPr>
        <w:t xml:space="preserve">Notes: </w:t>
      </w:r>
      <w:r>
        <w:t>abstract_source=crossref</w:t>
      </w:r>
    </w:p>
    <w:p>
      <w:pPr>
        <w:spacing w:before="0" w:after="80" w:lineRule="auto" w:line="276"/>
      </w:pPr>
      <w:r>
        <w:rPr>
          <w:b/>
        </w:rPr>
        <w:t xml:space="preserve">摘要（ZH）: </w:t>
      </w:r>
      <w:r>
        <w:t>汗水蒸发是身体的主要冷却机制，但控制它的物理因素尚未完全了解。我们在人体中发现了一种“决斗浮力”效应，即汗水蒸汽降低了靠近皮肤的空气密度，抵消了与皮肤接触时热空气冷却所驱动的向下流动。在炎热、干旱、停滞的环境中，这种相反的浮力会抑制自由对流，并使汗水蒸发减少一半以上。因此，常用的体温调节模型可能会大大低估体温（例如，在典型的亚利桑那州夏季条件下暴露 2 小时后，体温会降低 1°C）。我们开发了紧凑的、基于物理的模型，用于在较宽的温度和湿度范围内实现自由对流传热系数，从而改进温度调节建模和热审核。这些结果增强了对人类热平衡的理解，并支持更准确的热应激评估，为极端高温适应的行为、基础设施和政策决策提供信息。</w:t>
      </w:r>
    </w:p>
    <w:p>
      <w:pPr>
        <w:spacing w:before="0" w:after="200" w:lineRule="auto" w:line="276"/>
      </w:pPr>
      <w:r>
        <w:rPr>
          <w:b/>
        </w:rPr>
        <w:t xml:space="preserve">Abstract (EN): </w:t>
      </w:r>
      <w:r>
        <w:t>Sweat evaporation is the body’s primary cooling mechanism, yet the physical factors governing it are not fully understood. We identify a “dueling buoyancy” effect in the context of the human body, in which perspiration vapor reduces the near-skin air density, counteracting the downward flow driven by cooling of warm air upon contact with the skin. In hot, arid, stagnant environments, this opposing buoyancy suppresses free convection and can reduce sweat evaporation by more than half. As a result, commonly used thermoregulation models can substantially underpredict body temperature (e.g., by 1°C after 2 hours of exposure to typical Arizona summer conditions). We develop compact, physics-informed models for free-convective heat transfer coefficients across wide temperature and humidity ranges, enabling improved thermoregulation modeling and thermal audits. These results enhance understanding of human heat balance and support more accurate heat-stress assessment to inform behavioral, infrastructural, and policy decisions for extreme-heat adaptations.</w:t>
      </w:r>
    </w:p>
    <w:p>
      <w:pPr>
        <w:spacing w:before="120" w:after="120"/>
      </w:pPr>
      <w:r>
        <w:rPr>
          <w:sz w:val="18"/>
        </w:rPr>
        <w:t>——————————————————————————————————————————————————————————————————————</w:t>
      </w:r>
    </w:p>
    <w:p>
      <w:pPr>
        <w:spacing w:before="160" w:after="40" w:line="240" w:lineRule="auto"/>
      </w:pPr>
      <w:r>
        <w:rPr>
          <w:b/>
        </w:rPr>
        <w:t xml:space="preserve">[537] </w:t>
      </w:r>
      <w:hyperlink r:id="rId1607">
        <w:r>
          <w:rPr>
            <w:color w:val="1155CC"/>
            <w:u w:val="single"/>
          </w:rPr>
          <w:t>动物染色体进化中的拓扑混合和不可逆性</w:t>
        </w:r>
      </w:hyperlink>
    </w:p>
    <w:p>
      <w:pPr>
        <w:spacing w:before="0" w:after="80"/>
      </w:pPr>
      <w:r>
        <w:rPr>
          <w:i/>
          <w:sz w:val="20"/>
        </w:rPr>
        <w:t>EN: Topological mixing and irreversibility in animal chromosome evolution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08">
        <w:r>
          <w:rPr>
            <w:color w:val="1155CC"/>
            <w:u w:val="single"/>
          </w:rPr>
          <w:t>10.1126/sciadv.adz5561</w:t>
        </w:r>
      </w:hyperlink>
    </w:p>
    <w:p>
      <w:pPr>
        <w:spacing w:before="0" w:after="120"/>
      </w:pPr>
      <w:r>
        <w:rPr>
          <w:b/>
        </w:rPr>
        <w:t xml:space="preserve">Notes: </w:t>
      </w:r>
      <w:r>
        <w:t>abstract_source=crossref</w:t>
      </w:r>
    </w:p>
    <w:p>
      <w:pPr>
        <w:spacing w:before="0" w:after="80" w:lineRule="auto" w:line="276"/>
      </w:pPr>
      <w:r>
        <w:rPr>
          <w:b/>
        </w:rPr>
        <w:t xml:space="preserve">摘要（ZH）: </w:t>
      </w:r>
      <w:r>
        <w:t>尽管存在融合和易位，动物染色体同源性仍可持续数亿年。这些变化的频率、速度和影响仍不清楚。我们开发了泛动物基因组同源性的多尺度流形表示，以比较 19 个门和 4454 个物种的 5821 个染色体尺度基因组。这种“进化基因组拓扑”方法同时捕获染色体和亚染色体组织。我们发现，虽然 29 个祖先动物连锁群的所有 406 个配对融合都已通过后生动物基因组多样性进行了采样，但染色体内的完整组合潜力仍远未得到探索。我们的方法表明，不可逆的基因组变化，特别是由染色体整合、解离和融合与混合引起的变化，将进化枝置于基因组结构空间的不同区域。这些混合状态在基因组尺度上的逐步积累有助于动物基因组进化的不同路径，并对包括关键发育位点在内的广泛基因产生长期影响。</w:t>
      </w:r>
    </w:p>
    <w:p>
      <w:pPr>
        <w:spacing w:before="0" w:after="200" w:lineRule="auto" w:line="276"/>
      </w:pPr>
      <w:r>
        <w:rPr>
          <w:b/>
        </w:rPr>
        <w:t xml:space="preserve">Abstract (EN): </w:t>
      </w:r>
      <w:r>
        <w:t>Animal chromosome homology can persist over hundreds of millions of years, despite fusions and translocations. The frequency, pace, and impact of these changes remain unclear. We develop a multiscale manifold representation of pan-animal genome homology to compare 5821 chromosome-scale genomes across 19 phyla and 4454 species. This “evolutionary genome topology” approach simultaneously captures chromosomal and subchromosomal organization. We find that while all 406 pairwise fusions of 29 ancestral animal linkage groups have been sampled by metazoan genome diversity, the full combinatorial potential within chromosomes remains far from explored. Our approach shows that irreversible genomic changes, caused in particular by chromosomal consolidation, dissociation, and fusion-with-mixing, place clades in distinct regions of genome architecture space. Progressive accumulation of these mixed states across genomic scales contributes to the diverging paths of animal genome evolution and has a long-lasting impact on a broad range of genes, including key developmental loci.</w:t>
      </w:r>
    </w:p>
    <w:p>
      <w:pPr>
        <w:spacing w:before="120" w:after="120"/>
      </w:pPr>
      <w:r>
        <w:rPr>
          <w:sz w:val="18"/>
        </w:rPr>
        <w:t>——————————————————————————————————————————————————————————————————————</w:t>
      </w:r>
    </w:p>
    <w:p>
      <w:pPr>
        <w:spacing w:before="160" w:after="40" w:line="240" w:lineRule="auto"/>
      </w:pPr>
      <w:r>
        <w:rPr>
          <w:b/>
        </w:rPr>
        <w:t xml:space="preserve">[538] </w:t>
      </w:r>
      <w:hyperlink r:id="rId1609">
        <w:r>
          <w:rPr>
            <w:color w:val="1155CC"/>
            <w:u w:val="single"/>
          </w:rPr>
          <w:t>城市绿化中的树木选择影响着全球城市的空气质量</w:t>
        </w:r>
      </w:hyperlink>
    </w:p>
    <w:p>
      <w:pPr>
        <w:spacing w:before="0" w:after="80"/>
      </w:pPr>
      <w:r>
        <w:rPr>
          <w:i/>
          <w:sz w:val="20"/>
        </w:rPr>
        <w:t>EN: Tree selection in urban greening shapes air quality for global cities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10">
        <w:r>
          <w:rPr>
            <w:color w:val="1155CC"/>
            <w:u w:val="single"/>
          </w:rPr>
          <w:t>10.1126/sciadv.aee5583</w:t>
        </w:r>
      </w:hyperlink>
    </w:p>
    <w:p>
      <w:pPr>
        <w:spacing w:before="0" w:after="120"/>
      </w:pPr>
      <w:r>
        <w:rPr>
          <w:b/>
        </w:rPr>
        <w:t xml:space="preserve">Notes: </w:t>
      </w:r>
      <w:r>
        <w:t>abstract_source=crossref</w:t>
      </w:r>
    </w:p>
    <w:p>
      <w:pPr>
        <w:spacing w:before="0" w:after="80" w:lineRule="auto" w:line="276"/>
      </w:pPr>
      <w:r>
        <w:rPr>
          <w:b/>
        </w:rPr>
        <w:t xml:space="preserve">摘要（ZH）: </w:t>
      </w:r>
      <w:r>
        <w:t>减轻臭氧污染仍然是全球大城市面临的紧迫挑战。生物挥发性有机化合物（VOC）被认为是城市臭氧形成的关键前体。然而，直接观察证据很少，而且这种影响在城市中的程度尚不清楚。在这里，通过将北京前所未有的涡协方差通量数据集与模型分析相结合，我们发现城市植被贡献了臭氧产生所必需的有机反应的一半以上，主要推动了炎热时期的臭氧超标。出乎意料的高生物影响归因于城市内大量的城市树木，这些树木具有很强的挥发性有机化合物排放潜力。模型推断表明，亚洲和大洋洲的其他城市也存在类似甚至更大的挑战，这些城市的城市绿化策略往往倾向于高排放树木。我们的研究结果强调了在绿化计划中进行选择性城市规划以应对气候变暖的迫切需要。</w:t>
      </w:r>
    </w:p>
    <w:p>
      <w:pPr>
        <w:spacing w:before="0" w:after="200" w:lineRule="auto" w:line="276"/>
      </w:pPr>
      <w:r>
        <w:rPr>
          <w:b/>
        </w:rPr>
        <w:t xml:space="preserve">Abstract (EN): </w:t>
      </w:r>
      <w:r>
        <w:t>Mitigating ozone pollution remains a pressing challenge for megacities worldwide. Biogenic volatile organic compounds (VOCs) are proposed as pivotal precursors to urban ozone formation. However, direct observational evidence is scarce and the extent of this effect across cities is unclear. Here, by combining an unprecedented eddy covariance flux dataset from Beijing with modeling analysis, we find that urban vegetation contributes over half of organic reactivity essential for ozone production, predominantly driving ozone exceedances during hot periods. The unexpectedly high biogenic influences are attributed to the abundance of urban trees with strong emission potentials of VOCs within the city. Model extrapolations reveal that similar or even greater challenges exist for other cities across Asia and Oceania, where urban greening strategies often favor highly emitting trees. Our findings underscore the critical need for selective urban planning in greening programs to counteract a warming climate.</w:t>
      </w:r>
    </w:p>
    <w:p>
      <w:pPr>
        <w:spacing w:before="120" w:after="120"/>
      </w:pPr>
      <w:r>
        <w:rPr>
          <w:sz w:val="18"/>
        </w:rPr>
        <w:t>——————————————————————————————————————————————————————————————————————</w:t>
      </w:r>
    </w:p>
    <w:p>
      <w:pPr>
        <w:spacing w:before="160" w:after="40" w:line="240" w:lineRule="auto"/>
      </w:pPr>
      <w:r>
        <w:rPr>
          <w:b/>
        </w:rPr>
        <w:t xml:space="preserve">[539] </w:t>
      </w:r>
      <w:hyperlink r:id="rId1611">
        <w:r>
          <w:rPr>
            <w:color w:val="1155CC"/>
            <w:u w:val="single"/>
          </w:rPr>
          <w:t>大语言模型增强了宏基因组中酶的注释</w:t>
        </w:r>
      </w:hyperlink>
    </w:p>
    <w:p>
      <w:pPr>
        <w:spacing w:before="0" w:after="80"/>
      </w:pPr>
      <w:r>
        <w:rPr>
          <w:i/>
          <w:sz w:val="20"/>
        </w:rPr>
        <w:t>EN: Large language models enhance annotation of enzymes in metagenomes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12">
        <w:r>
          <w:rPr>
            <w:color w:val="1155CC"/>
            <w:u w:val="single"/>
          </w:rPr>
          <w:t>10.1126/sciadv.aee4389</w:t>
        </w:r>
      </w:hyperlink>
    </w:p>
    <w:p>
      <w:pPr>
        <w:spacing w:before="0" w:after="120"/>
      </w:pPr>
      <w:r>
        <w:rPr>
          <w:b/>
        </w:rPr>
        <w:t xml:space="preserve">Notes: </w:t>
      </w:r>
      <w:r>
        <w:t>abstract_source=crossref</w:t>
      </w:r>
    </w:p>
    <w:p>
      <w:pPr>
        <w:spacing w:before="0" w:after="80" w:lineRule="auto" w:line="276"/>
      </w:pPr>
      <w:r>
        <w:rPr>
          <w:b/>
        </w:rPr>
        <w:t xml:space="preserve">摘要（ZH）: </w:t>
      </w:r>
      <w:r>
        <w:t>宏基因组数据具有显着的生物学潜力，但其功能解释经常受到不完整的蛋白质功能注释的阻碍。准确的酶注释对于阐明宏基因组数据集中微生物群落的代谢能力至关重要。为了应对这一挑战，我们开发了 FEDKEA，一种利用蛋白质语言模型的酶注释工具，并为其使用提供了一个网络平台。此外，我们设计了一个用户友好的、基于 FEDKEA 的宏基因组管道 MEnzMap，它涵盖了整个分析工作流程——从原始数据质量控制到功能预测和下游分析。将 MEnzMap 应用到 iHMP2 项目的人类肠道宏基因组数据中，我们为健康个体和炎症性肠病患者生成了全面的酶谱图谱。这些工具为微生物暗物质的功能注释提供了一种有效的方法，并有助于识别与疾病相关的酶。</w:t>
      </w:r>
    </w:p>
    <w:p>
      <w:pPr>
        <w:spacing w:before="0" w:after="200" w:lineRule="auto" w:line="276"/>
      </w:pPr>
      <w:r>
        <w:rPr>
          <w:b/>
        </w:rPr>
        <w:t xml:space="preserve">Abstract (EN): </w:t>
      </w:r>
      <w:r>
        <w:t>Metagenomic data have notable biological potential, but their functional interpretation is frequently impeded by incomplete protein function annotations. Accurate enzyme annotation is essential for elucidating the metabolic capabilities of microbial communities within metagenomic datasets. To address this challenge, we developed FEDKEA, an enzyme annotation tool leveraging protein language models, and provided a web platform for its use. In addition, we designed a user-friendly, FEDKEA-based metagenomic pipeline, MEnzMap, which encompasses the entire analysis workflow—from raw data quality control to function prediction and downstream analyses. Applying MEnzMap to human gut metagenomic data from the iHMP2 project, we generated a comprehensive enzyme profile landscape for both healthy individuals and patients with inflammatory bowel diseases. These tools provide an efficient method for the functional annotation of microbial dark matter and facilitate the identification of disease-associated enzymes.</w:t>
      </w:r>
    </w:p>
    <w:p>
      <w:pPr>
        <w:spacing w:before="120" w:after="120"/>
      </w:pPr>
      <w:r>
        <w:rPr>
          <w:sz w:val="18"/>
        </w:rPr>
        <w:t>——————————————————————————————————————————————————————————————————————</w:t>
      </w:r>
    </w:p>
    <w:p>
      <w:pPr>
        <w:spacing w:before="160" w:after="40" w:line="240" w:lineRule="auto"/>
      </w:pPr>
      <w:r>
        <w:rPr>
          <w:b/>
        </w:rPr>
        <w:t xml:space="preserve">[540] </w:t>
      </w:r>
      <w:hyperlink r:id="rId1613">
        <w:r>
          <w:rPr>
            <w:color w:val="1155CC"/>
            <w:u w:val="single"/>
          </w:rPr>
          <w:t>羟甲基戊二酰辅酶A合酶1在驱动致病性TH17细胞免疫和自身免疫性疾病中的非常规作用</w:t>
        </w:r>
      </w:hyperlink>
    </w:p>
    <w:p>
      <w:pPr>
        <w:spacing w:before="0" w:after="80"/>
      </w:pPr>
      <w:r>
        <w:rPr>
          <w:i/>
          <w:sz w:val="20"/>
        </w:rPr>
        <w:t>EN: Unconventional role of hydroxymethylglutaryl-CoA synthase 1 in driving pathogenic TH17 cell immunity and autoimmune diseases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14">
        <w:r>
          <w:rPr>
            <w:color w:val="1155CC"/>
            <w:u w:val="single"/>
          </w:rPr>
          <w:t>10.1126/sciadv.aee4337</w:t>
        </w:r>
      </w:hyperlink>
    </w:p>
    <w:p>
      <w:pPr>
        <w:spacing w:before="0" w:after="120"/>
      </w:pPr>
      <w:r>
        <w:rPr>
          <w:b/>
        </w:rPr>
        <w:t xml:space="preserve">Notes: </w:t>
      </w:r>
      <w:r>
        <w:t>abstract_source=crossref</w:t>
      </w:r>
    </w:p>
    <w:p>
      <w:pPr>
        <w:spacing w:before="0" w:after="80" w:lineRule="auto" w:line="276"/>
      </w:pPr>
      <w:r>
        <w:rPr>
          <w:b/>
        </w:rPr>
        <w:t xml:space="preserve">摘要（ZH）: </w:t>
      </w:r>
      <w:r>
        <w:t>T 助手 17 (T</w:t>
      </w:r>
      <w:r>
        <w:t xml:space="preserve"> </w:t>
      </w:r>
      <w:r>
        <w:t>H</w:t>
      </w:r>
      <w:r>
        <w:t xml:space="preserve"> </w:t>
      </w:r>
      <w:r>
        <w:t>17) 细胞是异质的，能够采用致病性和非致病性表型。确定控制致病性 T 的因素</w:t>
      </w:r>
      <w:r>
        <w:t xml:space="preserve"> </w:t>
      </w:r>
      <w:r>
        <w:t>H</w:t>
      </w:r>
      <w:r>
        <w:t xml:space="preserve"> </w:t>
      </w:r>
      <w:r>
        <w:t>17 细胞因其在炎症和免疫病理学中的重要作用而具有重要意义。在这里，我们证明了 HMGCS1（一种胆固醇生物合成前体酶）受到炎症细胞因子的高度诱导，并优先由致病性 T 表达。</w:t>
      </w:r>
      <w:r>
        <w:t xml:space="preserve"> </w:t>
      </w:r>
      <w:r>
        <w:t>H</w:t>
      </w:r>
      <w:r>
        <w:t xml:space="preserve"> </w:t>
      </w:r>
      <w:r>
        <w:t>17 细胞体外和体内。 HMGCS1 专门决定致病性 T</w:t>
      </w:r>
      <w:r>
        <w:t xml:space="preserve"> </w:t>
      </w:r>
      <w:r>
        <w:t>H</w:t>
      </w:r>
      <w:r>
        <w:t xml:space="preserve"> </w:t>
      </w:r>
      <w:r>
        <w:t>17 细胞分化和增强自身免疫性疾病，但对非致病性 T 细胞没有明显影响</w:t>
      </w:r>
      <w:r>
        <w:t xml:space="preserve"> </w:t>
      </w:r>
      <w:r>
        <w:t>H</w:t>
      </w:r>
      <w:r>
        <w:t xml:space="preserve"> </w:t>
      </w:r>
      <w:r>
        <w:t>17 个细胞。出乎意料的是，这种作用与其在胆固醇代谢中的典型功能无关，但需要其催化的半胱氨酸</w:t>
      </w:r>
      <w:r>
        <w:rPr>
          <w:vertAlign w:val="subscript"/>
        </w:rPr>
        <w:t>129</w:t>
      </w:r>
      <w:r>
        <w:t>残留物。值得注意的是，HMGCS1 控制 pT</w:t>
      </w:r>
      <w:r>
        <w:t xml:space="preserve"> </w:t>
      </w:r>
      <w:r>
        <w:t>H</w:t>
      </w:r>
      <w:r>
        <w:t xml:space="preserve"> </w:t>
      </w:r>
      <w:r>
        <w:t>通过利用 IRE1α-XBP1s 依赖的 ER 应激反应来调节 17 细胞的生成和致病性，进而转录激活谱系定义因子 RORγt（由</w:t>
      </w:r>
      <w:r>
        <w:t xml:space="preserve"> </w:t>
      </w:r>
      <w:r>
        <w:t>罗克</w:t>
      </w:r>
      <w:r>
        <w:t xml:space="preserve"> </w:t>
      </w:r>
      <w:r>
        <w:t>）。从机制上讲，HMGCS1 位于内质网膜上，结合并稳定 IRE1α 蛋白。这种稳定性是通过阻止 IRE1α 与 E3 泛素连接酶 MARCH5 的相互作用来实现的，从而抑制其 K48 连接的泛素化和随后的降解。此外，干扰 HMGCS1 或 t</w:t>
      </w:r>
    </w:p>
    <w:p>
      <w:pPr>
        <w:spacing w:before="0" w:after="200" w:lineRule="auto" w:line="276"/>
      </w:pPr>
      <w:r>
        <w:rPr>
          <w:b/>
        </w:rPr>
        <w:t xml:space="preserve">Abstract (EN): </w:t>
      </w:r>
      <w:r>
        <w:t>T helper 17 (T</w:t>
      </w:r>
      <w:r>
        <w:t xml:space="preserve"> </w:t>
      </w:r>
      <w:r>
        <w:t>H</w:t>
      </w:r>
      <w:r>
        <w:t xml:space="preserve"> </w:t>
      </w:r>
      <w:r>
        <w:t>17) cells are heterogeneous and able to adopt pathogenic and non-pathogenic phenotypes. Identifying factors controlling pathogenic T</w:t>
      </w:r>
      <w:r>
        <w:t xml:space="preserve"> </w:t>
      </w:r>
      <w:r>
        <w:t>H</w:t>
      </w:r>
      <w:r>
        <w:t xml:space="preserve"> </w:t>
      </w:r>
      <w:r>
        <w:t>17 cells is of importance for their vital role in inflammation and immune-pathology. Here, we demonstrated that HMGCS1, a cholesterol biosynthesis precursor enzyme, was highly induced by inflammatory cytokines and preferentially expressed by pathogenic T</w:t>
      </w:r>
      <w:r>
        <w:t xml:space="preserve"> </w:t>
      </w:r>
      <w:r>
        <w:t>H</w:t>
      </w:r>
      <w:r>
        <w:t xml:space="preserve"> </w:t>
      </w:r>
      <w:r>
        <w:t>17 cells in vitro and in vivo. HMGCS1 specifically dictated pathogenic T</w:t>
      </w:r>
      <w:r>
        <w:t xml:space="preserve"> </w:t>
      </w:r>
      <w:r>
        <w:t>H</w:t>
      </w:r>
      <w:r>
        <w:t xml:space="preserve"> </w:t>
      </w:r>
      <w:r>
        <w:t>17 cell differentiation and augmented autoimmune diseases, yet it has no discernible effect on nonpathogenic T</w:t>
      </w:r>
      <w:r>
        <w:t xml:space="preserve"> </w:t>
      </w:r>
      <w:r>
        <w:t>H</w:t>
      </w:r>
      <w:r>
        <w:t xml:space="preserve"> </w:t>
      </w:r>
      <w:r>
        <w:t>17 cells. Unexpectedly, this role is independent of its canonical function in cholesterol metabolism but requires its catalytic Cys</w:t>
      </w:r>
      <w:r>
        <w:rPr>
          <w:vertAlign w:val="subscript"/>
        </w:rPr>
        <w:t>129</w:t>
      </w:r>
      <w:r>
        <w:t>residue. Notably, HMGCS1 governs pT</w:t>
      </w:r>
      <w:r>
        <w:t xml:space="preserve"> </w:t>
      </w:r>
      <w:r>
        <w:t>H</w:t>
      </w:r>
      <w:r>
        <w:t xml:space="preserve"> </w:t>
      </w:r>
      <w:r>
        <w:t>17 cell generation and pathogenicity by leveraging an IRE1α-XBP1s–dependent ER stress response, which in turn transcriptionally activates the lineage-defining factor RORγt (encoded by</w:t>
      </w:r>
      <w:r>
        <w:t xml:space="preserve"> </w:t>
      </w:r>
      <w:r>
        <w:t>Rorc</w:t>
      </w:r>
      <w:r>
        <w:t xml:space="preserve"> </w:t>
      </w:r>
      <w:r>
        <w:t>). Mechanistically, HMGCS1 is located to the ER membrane, where it bound and stabilized IRE1α protein. This stabilization is achieved by preventing IRE1α’s interaction with the E3 ubiquitin ligase MARCH5, thereby inhibiting its K48-linked ubiquitination and subsequent degradation. Moreover, interfering with HMGCS1 or the ER stress response in T cells impedes pT</w:t>
      </w:r>
      <w:r>
        <w:t xml:space="preserve"> </w:t>
      </w:r>
      <w:r>
        <w:t>H</w:t>
      </w:r>
      <w:r>
        <w:t xml:space="preserve"> </w:t>
      </w:r>
      <w:r>
        <w:t>17 immunity and mitigates autoimmune disease in vivo. Therefore, our work unveils a noncanonical axis in which HMGCS1 sustains ER stress to license pT</w:t>
      </w:r>
      <w:r>
        <w:t xml:space="preserve"> </w:t>
      </w:r>
      <w:r>
        <w:t>H</w:t>
      </w:r>
      <w:r>
        <w:t xml:space="preserve"> </w:t>
      </w:r>
      <w:r>
        <w:t>17 differentiation during autoimmune responses.</w:t>
      </w:r>
    </w:p>
    <w:p>
      <w:pPr>
        <w:spacing w:before="120" w:after="120"/>
      </w:pPr>
      <w:r>
        <w:rPr>
          <w:sz w:val="18"/>
        </w:rPr>
        <w:t>——————————————————————————————————————————————————————————————————————</w:t>
      </w:r>
    </w:p>
    <w:p>
      <w:pPr>
        <w:spacing w:before="160" w:after="40" w:line="240" w:lineRule="auto"/>
      </w:pPr>
      <w:r>
        <w:rPr>
          <w:b/>
        </w:rPr>
        <w:t xml:space="preserve">[541] </w:t>
      </w:r>
      <w:hyperlink r:id="rId1615">
        <w:r>
          <w:rPr>
            <w:color w:val="1155CC"/>
            <w:u w:val="single"/>
          </w:rPr>
          <w:t>人工智能驱动的光学机器人</w:t>
        </w:r>
      </w:hyperlink>
    </w:p>
    <w:p>
      <w:pPr>
        <w:spacing w:before="0" w:after="80"/>
      </w:pPr>
      <w:r>
        <w:rPr>
          <w:i/>
          <w:sz w:val="20"/>
        </w:rPr>
        <w:t>EN: AI-driven robotics for optics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16">
        <w:r>
          <w:rPr>
            <w:color w:val="1155CC"/>
            <w:u w:val="single"/>
          </w:rPr>
          <w:t>10.1126/sciadv.aee1381</w:t>
        </w:r>
      </w:hyperlink>
    </w:p>
    <w:p>
      <w:pPr>
        <w:spacing w:before="0" w:after="120"/>
      </w:pPr>
      <w:r>
        <w:rPr>
          <w:b/>
        </w:rPr>
        <w:t xml:space="preserve">Notes: </w:t>
      </w:r>
      <w:r>
        <w:t>abstract_source=crossref</w:t>
      </w:r>
    </w:p>
    <w:p>
      <w:pPr>
        <w:spacing w:before="0" w:after="80" w:lineRule="auto" w:line="276"/>
      </w:pPr>
      <w:r>
        <w:rPr>
          <w:b/>
        </w:rPr>
        <w:t xml:space="preserve">摘要（ZH）: </w:t>
      </w:r>
      <w:r>
        <w:t>光学实验在整个科学和技术中至关重要，但它们的设计、组装和对准仍然主要是手动的，限制了吞吐量、再现性和可扩展性。由于严格的精度要求以及典型的现实光学实验室环境中设置的多样性，自动化此类实验具有挑战性。在这里，我们介绍一个集成生成人工智能、计算机视觉和精密机器人技术的平台，以实现自由空间光学实验的自动化。该系统将用户定义的目标转换为有效的光学配置，以亚毫米精度组装它们，并使用机器人工具执行微米级的精细对准。然后，它执行一系列精确测量，包括光束表征、偏振映射和光谱学。这项工作建立了一个可重构光学自动化平台，有可能实现可编程和自适应实验工作流程。</w:t>
      </w:r>
    </w:p>
    <w:p>
      <w:pPr>
        <w:spacing w:before="0" w:after="200" w:lineRule="auto" w:line="276"/>
      </w:pPr>
      <w:r>
        <w:rPr>
          <w:b/>
        </w:rPr>
        <w:t xml:space="preserve">Abstract (EN): </w:t>
      </w:r>
      <w:r>
        <w:t>Optical experiments are essential across science and technology, yet their design, assembly, and alignment remain predominantly manual, limiting throughput, reproducibility, and scalability. Automating such experiments is challenging because of stringent precision requirements and the diversity of setups in typical real-world optical laboratory environments. Here, we introduce a platform that integrates generative artificial intelligence, computer vision, and precision robotics to automate free-space optical experiments. The system translates user-defined goals into valid optical configurations, assembles them with submillimeter accuracy, and performs micrometer-scale fine alignment using a robotic tool. It then executes a range of accurate measurements, including beam characterization, polarization mapping, and spectroscopy. This work establishes a platform for reconfigurable optics automation, potentially enabling programmable and adaptive experimental workflows.</w:t>
      </w:r>
    </w:p>
    <w:p>
      <w:pPr>
        <w:spacing w:before="120" w:after="120"/>
      </w:pPr>
      <w:r>
        <w:rPr>
          <w:sz w:val="18"/>
        </w:rPr>
        <w:t>——————————————————————————————————————————————————————————————————————</w:t>
      </w:r>
    </w:p>
    <w:p>
      <w:pPr>
        <w:spacing w:before="160" w:after="40" w:line="240" w:lineRule="auto"/>
      </w:pPr>
      <w:r>
        <w:rPr>
          <w:b/>
        </w:rPr>
        <w:t xml:space="preserve">[542] </w:t>
      </w:r>
      <w:hyperlink r:id="rId1617">
        <w:r>
          <w:rPr>
            <w:color w:val="1155CC"/>
            <w:u w:val="single"/>
          </w:rPr>
          <w:t>修正 Dervishi 等人的观点，真核生物界的甾醇差异决定了膜对皂苷（一类植物防御化合物）的敏感性</w:t>
        </w:r>
      </w:hyperlink>
    </w:p>
    <w:p>
      <w:pPr>
        <w:spacing w:before="0" w:after="80"/>
      </w:pPr>
      <w:r>
        <w:rPr>
          <w:i/>
          <w:sz w:val="20"/>
        </w:rPr>
        <w:t>EN: Correction for Dervishi et al., Sterol divergence across eukaryotic kingdoms determines membrane susceptibility to saponins, a class of plant defense compounds</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18">
        <w:r>
          <w:rPr>
            <w:color w:val="1155CC"/>
            <w:u w:val="single"/>
          </w:rPr>
          <w:t>10.1073/pnas.2627895123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[543] </w:t>
      </w:r>
      <w:hyperlink r:id="rId1619">
        <w:r>
          <w:rPr>
            <w:color w:val="1155CC"/>
            <w:u w:val="single"/>
          </w:rPr>
          <w:t>17 艘航天器穿过内日球层揭示了复杂、不对称的日冕物质抛射结构</w:t>
        </w:r>
      </w:hyperlink>
    </w:p>
    <w:p>
      <w:pPr>
        <w:spacing w:before="0" w:after="80"/>
      </w:pPr>
      <w:r>
        <w:rPr>
          <w:i/>
          <w:sz w:val="20"/>
        </w:rPr>
        <w:t>EN: The structure of a complex, asymmetric coronal mass ejection revealed by 17 spacecraft across the inner heliosphere</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20">
        <w:r>
          <w:rPr>
            <w:color w:val="1155CC"/>
            <w:u w:val="single"/>
          </w:rPr>
          <w:t>10.1126/sciadv.aed9960</w:t>
        </w:r>
      </w:hyperlink>
    </w:p>
    <w:p>
      <w:pPr>
        <w:spacing w:before="0" w:after="120"/>
      </w:pPr>
      <w:r>
        <w:rPr>
          <w:b/>
        </w:rPr>
        <w:t xml:space="preserve">Notes: </w:t>
      </w:r>
      <w:r>
        <w:t>abstract_source=crossref</w:t>
      </w:r>
    </w:p>
    <w:p>
      <w:pPr>
        <w:spacing w:before="0" w:after="80" w:lineRule="auto" w:line="276"/>
      </w:pPr>
      <w:r>
        <w:rPr>
          <w:b/>
        </w:rPr>
        <w:t xml:space="preserve">摘要（ZH）: </w:t>
      </w:r>
      <w:r>
        <w:t>日冕物质抛射（CME）是来自太阳的等离子体和磁场的巨大爆发，在太阳系中爆炸性传播。日冕物质抛射是最严重的太空天气事件的主要驱动因素，对人类在地球磁层以外的探索（包括月球和火星任务）构成重大辐射危害。在木卫二快船在地球和火星之间航行期间，其等离子磁探仪（PIMS）记录了不寻常的太阳风条件，后来被确定为复杂的日冕物质抛射的尾流。来自内太阳系 17 艘航天器组成的史无前例的网络的数据揭示了一个隐藏的面向地球的组件，该组件以不对称方式传播，如果没有日地线外观测就无法预测。该组件还影响了欧罗巴快艇和火星，这表明此类预报失误可能会危及载人任务。这些发现强调了多点观测的必要性，包括巡航中的行星任务，以改进空间天气预报、任务规划和操作。</w:t>
      </w:r>
    </w:p>
    <w:p>
      <w:pPr>
        <w:spacing w:before="0" w:after="200" w:lineRule="auto" w:line="276"/>
      </w:pPr>
      <w:r>
        <w:rPr>
          <w:b/>
        </w:rPr>
        <w:t xml:space="preserve">Abstract (EN): </w:t>
      </w:r>
      <w:r>
        <w:t>Coronal mass ejections (CMEs) are enormous bursts of plasma and magnetic field from the Sun that propagate explosively through the Solar System. CMEs are the primary drivers of the most severe space-weather events, posing major radiation hazards for human exploration beyond Earth’s magnetosphere, including missions to the Moon and Mars. During Europa Clipper’s cruise between Earth and Mars, its Plasma Instrument for Magnetic Sounding (PIMS) recorded unusual solar-wind conditions later identified as the wake of a complex CME. Data from an unprecedented network of 17 spacecraft across the inner Solar System revealed a hidden Earth-directed component that propagated asymmetrically and could not have been predicted without off-Sun-Earth-line observations. This component also affected Europa Clipper and Mars, demonstrating how a missed forecast of this kind could endanger a crewed mission. These findings highlight the need for multipoint observations, including planetary missions in cruise, to improve space-weather forecasting, mission planning, and operations.</w:t>
      </w:r>
    </w:p>
    <w:p>
      <w:pPr>
        <w:spacing w:before="120" w:after="120"/>
      </w:pPr>
      <w:r>
        <w:rPr>
          <w:sz w:val="18"/>
        </w:rPr>
        <w:t>——————————————————————————————————————————————————————————————————————</w:t>
      </w:r>
    </w:p>
    <w:p>
      <w:pPr>
        <w:spacing w:before="160" w:after="40" w:line="240" w:lineRule="auto"/>
      </w:pPr>
      <w:r>
        <w:rPr>
          <w:b/>
        </w:rPr>
        <w:t xml:space="preserve">[544] </w:t>
      </w:r>
      <w:hyperlink r:id="rId1621">
        <w:r>
          <w:rPr>
            <w:color w:val="1155CC"/>
            <w:u w:val="single"/>
          </w:rPr>
          <w:t>靶向 PKGIα Cys42 可减轻心力衰竭中的心功能障碍并保留射血分数</w:t>
        </w:r>
      </w:hyperlink>
    </w:p>
    <w:p>
      <w:pPr>
        <w:spacing w:before="0" w:after="80"/>
      </w:pPr>
      <w:r>
        <w:rPr>
          <w:i/>
          <w:sz w:val="20"/>
        </w:rPr>
        <w:t>EN: Targeting PKGIα Cys42 attenuates cardiac dysfunction in heart failure with preserved ejection fraction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22">
        <w:r>
          <w:rPr>
            <w:color w:val="1155CC"/>
            <w:u w:val="single"/>
          </w:rPr>
          <w:t>10.1126/sciadv.aec8088</w:t>
        </w:r>
      </w:hyperlink>
    </w:p>
    <w:p>
      <w:pPr>
        <w:spacing w:before="0" w:after="120"/>
      </w:pPr>
      <w:r>
        <w:rPr>
          <w:b/>
        </w:rPr>
        <w:t xml:space="preserve">Notes: </w:t>
      </w:r>
      <w:r>
        <w:t>abstract_source=crossref</w:t>
      </w:r>
    </w:p>
    <w:p>
      <w:pPr>
        <w:spacing w:before="0" w:after="80" w:lineRule="auto" w:line="276"/>
      </w:pPr>
      <w:r>
        <w:rPr>
          <w:b/>
        </w:rPr>
        <w:t xml:space="preserve">摘要（ZH）: </w:t>
      </w:r>
      <w:r>
        <w:t>射血分数保留的心力衰竭（HFpEF）是一种非常普遍的疾病，发病率和死亡率很高，但有效的治疗选择仍然有限。由于Cys的氧化</w:t>
      </w:r>
      <w:r>
        <w:rPr>
          <w:vertAlign w:val="subscript"/>
        </w:rPr>
        <w:t>42</w:t>
      </w:r>
      <w:r>
        <w:t>由于环鸟苷 (cGMP) 依赖性蛋白激酶 Iα (PKGIα) 可以增强 HFpEF 中受损的血管和舒张期过程，我们试图使用具有预测硫醇反应性的天然化合物来靶向这一机制。其中，尿石素 A 作为一种化合物出现，其作用模式先前未被识别且违反直觉，可直接修饰 Cys</w:t>
      </w:r>
      <w:r>
        <w:rPr>
          <w:vertAlign w:val="subscript"/>
        </w:rPr>
        <w:t>42</w:t>
      </w:r>
      <w:r>
        <w:t>在 PKGIα 中。在高度模拟人类状况的多重打击 HFpEF 模型中，尿石素 A 通过半胱氨酸 42 依赖性激活 PKGIα 改善舒张功能并减弱心脏重塑。这些发现在人体工程心脏组织中得到了进一步验证，其中尿石素 A 增强了舒张和收缩动力学。这些发现共同强调了半胱氨酸</w:t>
      </w:r>
      <w:r>
        <w:rPr>
          <w:vertAlign w:val="subscript"/>
        </w:rPr>
        <w:t>42</w:t>
      </w:r>
      <w:r>
        <w:t>PKGIα 被认为是 HFpEF 的一个有前途的治疗靶点，并确定尿石素 A 是一种先前未识别的这种保护机制的激活剂。</w:t>
      </w:r>
    </w:p>
    <w:p>
      <w:pPr>
        <w:spacing w:before="0" w:after="200" w:lineRule="auto" w:line="276"/>
      </w:pPr>
      <w:r>
        <w:rPr>
          <w:b/>
        </w:rPr>
        <w:t xml:space="preserve">Abstract (EN): </w:t>
      </w:r>
      <w:r>
        <w:t>Heart failure with preserved ejection fraction (HFpEF) is a highly prevalent condition associated with substantial morbidity and mortality, yet effective therapeutic options remain limited. As oxidation of Cys</w:t>
      </w:r>
      <w:r>
        <w:rPr>
          <w:vertAlign w:val="subscript"/>
        </w:rPr>
        <w:t>42</w:t>
      </w:r>
      <w:r>
        <w:t>in cyclic guanosine monophosphate (cGMP)-dependent protein kinase Iα (PKGIα) can enhance vessel and diastolic relaxation, processes impaired in HFpEF, we sought to target this mechanism using natural compounds with predicted thiol reactivity. Among these, urolithin A emerged as a compound with a previously unidentified and counterintuitive mode of action, directly modifying Cys</w:t>
      </w:r>
      <w:r>
        <w:rPr>
          <w:vertAlign w:val="subscript"/>
        </w:rPr>
        <w:t>42</w:t>
      </w:r>
      <w:r>
        <w:t>in PKGIα. In a multihit HFpEF model that closely mimics the human condition, urolithin A improved diastolic function and attenuated cardiac remodeling through cysteine 42–dependent activation of PKGIα. These findings were further validated in human engineered heart tissue, where urolithin A enhanced both relaxation and contraction kinetics. These findings collectively highlight Cys</w:t>
      </w:r>
      <w:r>
        <w:rPr>
          <w:vertAlign w:val="subscript"/>
        </w:rPr>
        <w:t>42</w:t>
      </w:r>
      <w:r>
        <w:t>in PKGIα as a promising therapeutic target for HFpEF and identify urolithin A as a previously unidentified activator of this protective mechanism.</w:t>
      </w:r>
    </w:p>
    <w:p>
      <w:pPr>
        <w:spacing w:before="120" w:after="120"/>
      </w:pPr>
      <w:r>
        <w:rPr>
          <w:sz w:val="18"/>
        </w:rPr>
        <w:t>——————————————————————————————————————————————————————————————————————</w:t>
      </w:r>
    </w:p>
    <w:p>
      <w:pPr>
        <w:spacing w:before="160" w:after="40" w:line="240" w:lineRule="auto"/>
      </w:pPr>
      <w:r>
        <w:rPr>
          <w:b/>
        </w:rPr>
        <w:t xml:space="preserve">[545] </w:t>
      </w:r>
      <w:hyperlink r:id="rId1623">
        <w:r>
          <w:rPr>
            <w:color w:val="1155CC"/>
            <w:u w:val="single"/>
          </w:rPr>
          <w:t>从蛋白质组规模的肽库中重建病原体特异性抗体结合表位和年龄依赖性免疫特征</w:t>
        </w:r>
      </w:hyperlink>
    </w:p>
    <w:p>
      <w:pPr>
        <w:spacing w:before="0" w:after="80"/>
      </w:pPr>
      <w:r>
        <w:rPr>
          <w:i/>
          <w:sz w:val="20"/>
        </w:rPr>
        <w:t>EN: Reconstructing pathogen-specific antibody binding epitopes and age-dependent immune signatures from proteomic-scale peptide libraries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24">
        <w:r>
          <w:rPr>
            <w:color w:val="1155CC"/>
            <w:u w:val="single"/>
          </w:rPr>
          <w:t>10.1126/sciadv.aec5478</w:t>
        </w:r>
      </w:hyperlink>
    </w:p>
    <w:p>
      <w:pPr>
        <w:spacing w:before="0" w:after="120"/>
      </w:pPr>
      <w:r>
        <w:rPr>
          <w:b/>
        </w:rPr>
        <w:t xml:space="preserve">Notes: </w:t>
      </w:r>
      <w:r>
        <w:t>abstract_source=crossref</w:t>
      </w:r>
    </w:p>
    <w:p>
      <w:pPr>
        <w:spacing w:before="0" w:after="80" w:lineRule="auto" w:line="276"/>
      </w:pPr>
      <w:r>
        <w:rPr>
          <w:b/>
        </w:rPr>
        <w:t xml:space="preserve">摘要（ZH）: </w:t>
      </w:r>
      <w:r>
        <w:t>高密度肽阵列可用于在单次测定平台中绘制线性抗体表位和解析抗体特异性。在这里，我们使用肽库筛选来评估公共卫生干预背景下对肠道病原体的体液反应的程度和广度。我们对几种病毒、细菌和寄生虫的已知免疫原性蛋白的表位景观进行了表征，并用它来推断 3、14 和 28 个月大时的免疫学特征。与细菌和寄生虫相比，肽库可以更好地检测病毒的免疫特征，并捕获免疫特征随时间变化的蛋白质水平变化的独特动态。我们发现对细菌和原生动物病原体的敏感性有限，其体液反应可能更多地依赖于构象或天然修饰的表位，而不是线性肽结合。无偏见的肽库对于综合血清监测中抗体反应的广泛分析具有潜在的实用性，但我们的结果揭示了病原体特异性的局限性，其中基于肽的血清学对真实感染状态的预测较差，并且它将提供更大的监测价值。除了检测性能之外，肽阵列还可用于研究表位结构，实际意义是需要在互补混合方法中使用替代抗原形式（全蛋白或折叠抗原）进行增强。</w:t>
      </w:r>
    </w:p>
    <w:p>
      <w:pPr>
        <w:spacing w:before="0" w:after="200" w:lineRule="auto" w:line="276"/>
      </w:pPr>
      <w:r>
        <w:rPr>
          <w:b/>
        </w:rPr>
        <w:t xml:space="preserve">Abstract (EN): </w:t>
      </w:r>
      <w:r>
        <w:t>High-density peptide arrays are useful for mapping linear antibody epitopes and resolution of antibody specificity in a single-assay platform. Here, we used peptide library screening to evaluate magnitude and breadth of humoral responses to enteric pathogens in the context of public health interventions. We characterized the epitope landscape to known immunogenic proteins to several viruses, bacteria, and parasites and used that to infer immunological profiles at age 3, 14, and 28 months. The peptide libraries detected immune signatures better for viruses compared with bacteria and parasites and captured distinct dynamics of protein-level variation in immune signatures over time. We found limited sensitivity for bacterial and protozoan pathogens whose humoral responses may depend more on conformational or natively modified epitopes than linear-peptide binding. Unbiased peptide libraries have potential utility for broad analysis of antibody responses in integrated serosurveillance, but our results reveal pathogen-specific limitations where peptide-based serology would be less predictive of true infection status and where it would provide greater surveillance value. Beyond assay performance, peptide arrays are useful for studying epitope architecture, and a practical implication would require augmentation with alternative antigen formats (whole-protein or folded antigens) in a complementary hybrid approach.</w:t>
      </w:r>
    </w:p>
    <w:p>
      <w:pPr>
        <w:spacing w:before="120" w:after="120"/>
      </w:pPr>
      <w:r>
        <w:rPr>
          <w:sz w:val="18"/>
        </w:rPr>
        <w:t>——————————————————————————————————————————————————————————————————————</w:t>
      </w:r>
    </w:p>
    <w:p>
      <w:pPr>
        <w:spacing w:before="160" w:after="40" w:line="240" w:lineRule="auto"/>
      </w:pPr>
      <w:r>
        <w:rPr>
          <w:b/>
        </w:rPr>
        <w:t xml:space="preserve">[546] </w:t>
      </w:r>
      <w:hyperlink r:id="rId1625">
        <w:r>
          <w:rPr>
            <w:color w:val="1155CC"/>
            <w:u w:val="single"/>
          </w:rPr>
          <w:t>Cas13d 目标识别和激活的结构基础</w:t>
        </w:r>
      </w:hyperlink>
    </w:p>
    <w:p>
      <w:pPr>
        <w:spacing w:before="0" w:after="80"/>
      </w:pPr>
      <w:r>
        <w:rPr>
          <w:i/>
          <w:sz w:val="20"/>
        </w:rPr>
        <w:t>EN: Structural basis for target discrimination and activation by Cas13d</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26">
        <w:r>
          <w:rPr>
            <w:color w:val="1155CC"/>
            <w:u w:val="single"/>
          </w:rPr>
          <w:t>10.1126/sciadv.aec4221</w:t>
        </w:r>
      </w:hyperlink>
    </w:p>
    <w:p>
      <w:pPr>
        <w:spacing w:before="0" w:after="120"/>
      </w:pPr>
      <w:r>
        <w:rPr>
          <w:b/>
        </w:rPr>
        <w:t xml:space="preserve">Notes: </w:t>
      </w:r>
      <w:r>
        <w:t>abstract_source=crossref</w:t>
      </w:r>
    </w:p>
    <w:p>
      <w:pPr>
        <w:spacing w:before="0" w:after="80" w:lineRule="auto" w:line="276"/>
      </w:pPr>
      <w:r>
        <w:rPr>
          <w:b/>
        </w:rPr>
        <w:t xml:space="preserve">摘要（ZH）: </w:t>
      </w:r>
      <w:r>
        <w:t>CRISPR-Cas13d 越来越多地用于 RNA 敲低，但近同源 RNA 的脱靶切割阻碍了其更广泛的采用。在这里，我们解析了野生型 Cas13d 与匹配和不匹配靶标复合物的七个冷冻电子显微镜结构。这些结构揭示了活性、中间和非活性状态，说明了详细的激活机制。与靶标 RNA 结合后，CRISPR RNA 会发生明显的构象变化。 Helical-1 结构域从与氨基末端结构域的对接状态转变为稳定 RNA 双链体的变构转换构象。定量动力学表明，单个近端错配保持了结合率恒定，但通过将 Cas13d 捕获在非活性状态而消除了核酸酶活性。我们还在高等真核生物和原核生物核苷酸结合（HEPN）结构域中发现了一个活性位点环，它调节底物可及性，并且可以突变以产生低激活和高激活变体。这些发现为 Cas13d 错配监测奠定了结构基础，并为改造 HEPN 核酸酶特异性和活性提供了框架。</w:t>
      </w:r>
    </w:p>
    <w:p>
      <w:pPr>
        <w:spacing w:before="0" w:after="200" w:lineRule="auto" w:line="276"/>
      </w:pPr>
      <w:r>
        <w:rPr>
          <w:b/>
        </w:rPr>
        <w:t xml:space="preserve">Abstract (EN): </w:t>
      </w:r>
      <w:r>
        <w:t>CRISPR-Cas13d is increasingly used for RNA knockdowns, but off-target cleavage of near-cognate RNAs hinders its broader adoption. Here, we solve seven cryo–electron microscopy structures of wild-type Cas13d in complex with matched and mismatched targets. These structures reveal active, intermediate, and inactive states that illustrate a detailed activation mechanism. Upon target RNA binding, the CRISPR RNA undergoes marked conformational changes. The Helical-1 domain transitions from a docked state with the amino-terminal domain to an allosterically switched conformation that stabilizes the RNA duplex. Quantitative kinetics show that a single proximal mismatch preserves the binding rate constant but abolishes nuclease activity by trapping Cas13d in an inactive state. We also identify an active site loop in the higher eukaryotes and prokaryotes nucleotide-binding (HEPN) domains that regulates substrate accessibility and can be mutated to generate both hypo- and hyperactivated variants. These findings establish the structural basis for Cas13d mismatch surveillance and provide a framework for engineering HEPN nuclease specificity and activity.</w:t>
      </w:r>
    </w:p>
    <w:p>
      <w:pPr>
        <w:spacing w:before="120" w:after="120"/>
      </w:pPr>
      <w:r>
        <w:rPr>
          <w:sz w:val="18"/>
        </w:rPr>
        <w:t>——————————————————————————————————————————————————————————————————————</w:t>
      </w:r>
    </w:p>
    <w:p>
      <w:pPr>
        <w:spacing w:before="160" w:after="40" w:line="240" w:lineRule="auto"/>
      </w:pPr>
      <w:r>
        <w:rPr>
          <w:b/>
        </w:rPr>
        <w:t xml:space="preserve">[547] </w:t>
      </w:r>
      <w:hyperlink r:id="rId1627">
        <w:r>
          <w:rPr>
            <w:color w:val="1155CC"/>
            <w:u w:val="single"/>
          </w:rPr>
          <w:t>Ptpn2 通过整合 B 细胞受体和 IFN-γ 信号来限制浆细胞命运和抗病毒免疫</w:t>
        </w:r>
      </w:hyperlink>
    </w:p>
    <w:p>
      <w:pPr>
        <w:spacing w:before="0" w:after="80"/>
      </w:pPr>
      <w:r>
        <w:rPr>
          <w:i/>
          <w:sz w:val="20"/>
        </w:rPr>
        <w:t>EN: Ptpn2 limits plasma cell fate and antiviral immunity by integrating B cell receptor and IFN-γ signals in B cells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28">
        <w:r>
          <w:rPr>
            <w:color w:val="1155CC"/>
            <w:u w:val="single"/>
          </w:rPr>
          <w:t>10.1126/sciadv.aec0162</w:t>
        </w:r>
      </w:hyperlink>
    </w:p>
    <w:p>
      <w:pPr>
        <w:spacing w:before="0" w:after="120"/>
      </w:pPr>
      <w:r>
        <w:rPr>
          <w:b/>
        </w:rPr>
        <w:t xml:space="preserve">Notes: </w:t>
      </w:r>
      <w:r>
        <w:t>abstract_source=crossref</w:t>
      </w:r>
    </w:p>
    <w:p>
      <w:pPr>
        <w:spacing w:before="0" w:after="80" w:lineRule="auto" w:line="276"/>
      </w:pPr>
      <w:r>
        <w:rPr>
          <w:b/>
        </w:rPr>
        <w:t xml:space="preserve">摘要（ZH）: </w:t>
      </w:r>
      <w:r>
        <w:t>抗原特异性体液反应对于长期预防传染病至关重要，但调节 B 细胞分化和抗体产生的机制仍未完全明确。在这里，我们将蛋白酪氨酸磷酸酶非受体 2 型 (Ptpn2) 确定为 B 细胞浆细胞命运和同种型转换的内在调节因子。使用 B 细胞特异性 Ptpn2 敲除小鼠模型，我们发现 Ptpn2 通过直接去磷酸化 Lyn、STAT1 和 STAT3 来抑制 B 细胞受体和干扰素-γ (IFN-γ) 信号传导。 Ptpn2 的缺失会导致这两条信号通路过度激活，从而导致转录重编程，从而促进浆细胞分化并增加 IFN-γ 驱动的抗体产生。从功能上讲，Ptpn2缺陷小鼠在流感感染后产生增强的初级抗病毒抗体反应，并在回忆时升高病毒特异性和中和滴度，而不会影响亲和力。这些发现确定 Ptpn2 是一个关键的细胞内检查点，它整合抗原和炎症信号来调节体液免疫，对增强疫苗诱导的保护性免疫具有潜在影响。</w:t>
      </w:r>
    </w:p>
    <w:p>
      <w:pPr>
        <w:spacing w:before="0" w:after="200" w:lineRule="auto" w:line="276"/>
      </w:pPr>
      <w:r>
        <w:rPr>
          <w:b/>
        </w:rPr>
        <w:t xml:space="preserve">Abstract (EN): </w:t>
      </w:r>
      <w:r>
        <w:t>Antigen-specific humoral responses are critical for long-term protection against infectious diseases, yet the mechanisms that regulate B cell differentiation and antibody production remain incompletely defined. Here, we identify the Protein Tyrosine Phosphatase Nonreceptor Type 2 (Ptpn2) as a B cell–intrinsic regulator of plasma cell fate and isotype switching. Using a B cell–specific Ptpn2 knockout mouse model, we show that Ptpn2 restrains both B cell receptor and interferon-γ (IFN-γ) signaling by directly dephosphorylating Lyn, STAT1, and STAT3. Loss of Ptpn2 leads to hyperactivation of these two signaling pathways, resulting in transcriptional reprogramming that promotes plasma cell differentiation and increased IFN-γ–driven antibody production. Functionally, Ptpn2-deficient mice generated enhanced primary antiviral antibody responses following influenza infection and elevated virus-specific and neutralizing titers upon recall without compromising affinity. These findings identify Ptpn2 as a key intracellular checkpoint that integrates antigenic and inflammatory cues to regulate humoral immunity, with potential implications for enhancing vaccine-induced protective immunity.</w:t>
      </w:r>
    </w:p>
    <w:p>
      <w:pPr>
        <w:spacing w:before="120" w:after="120"/>
      </w:pPr>
      <w:r>
        <w:rPr>
          <w:sz w:val="18"/>
        </w:rPr>
        <w:t>——————————————————————————————————————————————————————————————————————</w:t>
      </w:r>
    </w:p>
    <w:p>
      <w:pPr>
        <w:spacing w:before="160" w:after="40" w:line="240" w:lineRule="auto"/>
      </w:pPr>
      <w:r>
        <w:rPr>
          <w:b/>
        </w:rPr>
        <w:t xml:space="preserve">[548] </w:t>
      </w:r>
      <w:hyperlink r:id="rId1629">
        <w:r>
          <w:rPr>
            <w:color w:val="1155CC"/>
            <w:u w:val="single"/>
          </w:rPr>
          <w:t>SKI 对于对抗 TGF-β 信号传导以促进 T 细胞功能和自身免疫至关重要</w:t>
        </w:r>
      </w:hyperlink>
    </w:p>
    <w:p>
      <w:pPr>
        <w:spacing w:before="0" w:after="80"/>
      </w:pPr>
      <w:r>
        <w:rPr>
          <w:i/>
          <w:sz w:val="20"/>
        </w:rPr>
        <w:t>EN: SKI is critical to counter TGF-β signaling to promote T cell function and autoimmunity</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30">
        <w:r>
          <w:rPr>
            <w:color w:val="1155CC"/>
            <w:u w:val="single"/>
          </w:rPr>
          <w:t>10.1126/sciadv.aeb7051</w:t>
        </w:r>
      </w:hyperlink>
    </w:p>
    <w:p>
      <w:pPr>
        <w:spacing w:before="0" w:after="120"/>
      </w:pPr>
      <w:r>
        <w:rPr>
          <w:b/>
        </w:rPr>
        <w:t xml:space="preserve">Notes: </w:t>
      </w:r>
      <w:r>
        <w:t>abstract_source=crossref</w:t>
      </w:r>
    </w:p>
    <w:p>
      <w:pPr>
        <w:spacing w:before="0" w:after="80" w:lineRule="auto" w:line="276"/>
      </w:pPr>
      <w:r>
        <w:rPr>
          <w:b/>
        </w:rPr>
        <w:t xml:space="preserve">摘要（ZH）: </w:t>
      </w:r>
      <w:r>
        <w:t>转化生长因子-β (TGF-β) 对于抑制 T 细胞功能以维持耐受性和免疫稳态至关重要。然而，当前的 TGF-β 信号传导范式不足以解释 TGF-β 如何控制 T 细胞功能。在这里，我们发现了一种先前未被重视的 SKI 依赖性 TGF-β 信号转导机制，以更好地解释 TGF-β 如何限制 T 细胞功能以增强耐受性。我们发现，SKI 蛋白在活化的 T 细胞中上调，而在 TGF-β 的作用下下调，表明 SKI 和 TGF-β 在控制 T 细胞功能方面存在相互关系。 T 细胞特异性 SKI 缺失改善了由于 T 细胞特异性 TGFβRII 缺失引起的自发致死性自身免疫，并减轻了 MOG/CFA 诱导的实验性自身免疫性脑脊髓炎。 SKI 是激活诱导 T 细胞功能和相关分子程序所必需的。因此，抑制 TGFβR 不仅会导致 Smad 依赖性功能的丧失，更重要的是，会导致 SKI 依赖性活性的获得，这对于 T 细胞介导的自身免疫至关重要。 TGF-β 介导的 T 细胞功能抑制的一个关键机制是克服 SKI 活性。</w:t>
      </w:r>
    </w:p>
    <w:p>
      <w:pPr>
        <w:spacing w:before="0" w:after="200" w:lineRule="auto" w:line="276"/>
      </w:pPr>
      <w:r>
        <w:rPr>
          <w:b/>
        </w:rPr>
        <w:t xml:space="preserve">Abstract (EN): </w:t>
      </w:r>
      <w:r>
        <w:t>Transforming growth factor–β (TGF-β) is central to suppressing T cell function to maintain tolerance and immune homeostasis. The current TGF-β signaling paradigm is however inadequate in explaining how TGF-β controls T cell function. Here, we found a previously unappreciated, SKI-dependent mechanism of TGF-β signaling to better explain how TGF-β restricts T cell function to bolster tolerance. We found that SKI protein was up-regulated in activated T cells and down-regulated in response to TGF-β, indicating a reciprocal relationship between SKI and TGF-β in controlling T cell function. T cell–specific SKI deletion ameliorated spontaneous lethal autoimmunity due to T cell–specific TGFβRII deletion and mitigated MOG/CFA-induced experimental autoimmune encephalomyelitis. SKI was required for activation-induced T cell function and related molecular programs. Therefore, inhibition of TGFβR not only results in the loss of Smad-dependent function but, more importantly, leads to the gain of SKI-dependent activity, which is essential for T cell–mediated autoimmunity. A critical mechanism underlying TGF-β–mediated suppression of T cell function is overcoming SKI activity.</w:t>
      </w:r>
    </w:p>
    <w:p>
      <w:pPr>
        <w:spacing w:before="120" w:after="120"/>
      </w:pPr>
      <w:r>
        <w:rPr>
          <w:sz w:val="18"/>
        </w:rPr>
        <w:t>——————————————————————————————————————————————————————————————————————</w:t>
      </w:r>
    </w:p>
    <w:p>
      <w:pPr>
        <w:spacing w:before="160" w:after="40" w:line="240" w:lineRule="auto"/>
      </w:pPr>
      <w:r>
        <w:rPr>
          <w:b/>
        </w:rPr>
        <w:t xml:space="preserve">[549] </w:t>
      </w:r>
      <w:hyperlink r:id="rId1631">
        <w:r>
          <w:rPr>
            <w:color w:val="1155CC"/>
            <w:u w:val="single"/>
          </w:rPr>
          <w:t>子宫内膜异位症衍生的 iPSC 揭示了保守的基质成熟和内分泌反应性</w:t>
        </w:r>
      </w:hyperlink>
    </w:p>
    <w:p>
      <w:pPr>
        <w:spacing w:before="0" w:after="80"/>
      </w:pPr>
      <w:r>
        <w:rPr>
          <w:i/>
          <w:sz w:val="20"/>
        </w:rPr>
        <w:t>EN: Endometriosis-derived iPSCs reveal conserved stromal maturation and endocrine responsiveness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32">
        <w:r>
          <w:rPr>
            <w:color w:val="1155CC"/>
            <w:u w:val="single"/>
          </w:rPr>
          <w:t>10.1126/sciadv.aeg2362</w:t>
        </w:r>
      </w:hyperlink>
    </w:p>
    <w:p>
      <w:pPr>
        <w:spacing w:before="0" w:after="120"/>
      </w:pPr>
      <w:r>
        <w:rPr>
          <w:b/>
        </w:rPr>
        <w:t xml:space="preserve">Notes: </w:t>
      </w:r>
      <w:r>
        <w:t>abstract_source=crossref</w:t>
      </w:r>
    </w:p>
    <w:p>
      <w:pPr>
        <w:spacing w:before="0" w:after="80" w:lineRule="auto" w:line="276"/>
      </w:pPr>
      <w:r>
        <w:rPr>
          <w:b/>
        </w:rPr>
        <w:t xml:space="preserve">摘要（ZH）: </w:t>
      </w:r>
      <w:r>
        <w:t>子宫内膜异位症是一种慢性、激素依赖性疾病，其特征是子宫内膜基质功能改变，但由于缺乏易处理的人类模型，机制和转化研究受到阻碍。在这里，我们建立了一个基于诱导多能干细胞（iPSC）的平台，该平台源自子宫内膜异位症患者，以在受控的人类环境中模拟子宫内膜基质分化。使用明确的分化方案，子宫内膜异位症衍生的 iPSC 从多能性通过间充质向基质样状态转变，并获得转录激素反应性。转录组分析揭示了多能性和增殖程序的协调抑制与基质谱系特征的诱导。与独立转录组数据集的比较表明，体外衍生的基质细胞逐渐获得类似于子宫内膜异位症中在位子宫内膜基质程序的基因表达谱。来自 iPSC 衍生基质细胞的条件培养基也在 THP-1 巨噬细胞样细胞中诱导转录重编程。总之，这些发现建立了一个源自患者的平台，用于研究子宫内膜异位症的基质分化和基质免疫相互作用。</w:t>
      </w:r>
    </w:p>
    <w:p>
      <w:pPr>
        <w:spacing w:before="0" w:after="200" w:lineRule="auto" w:line="276"/>
      </w:pPr>
      <w:r>
        <w:rPr>
          <w:b/>
        </w:rPr>
        <w:t xml:space="preserve">Abstract (EN): </w:t>
      </w:r>
      <w:r>
        <w:t>Endometriosis is a chronic, hormone-dependent disease characterized by altered endometrial stromal function, but mechanistic and translational studies have been hindered by the lack of tractable human models. Here, we establish an induced pluripotent stem cell (iPSC)–based platform derived from patients with endometriosis to model endometrial stromal differentiation in a controlled human context. Using a defined differentiation protocol, endometriosis-derived iPSCs transition from pluripotency through mesenchymal commitment toward stromal-like states and acquire transcriptional hormone responsiveness. Transcriptomic analyses reveal coordinated repression of pluripotency and proliferative programs with induction of stromal lineage signatures. Comparison with independent transcriptomic datasets demonstrated that in vitro–derived stromal cells progressively acquired gene expression profiles resembling eutopic endometrial stromal programs in endometriosis. Conditioned media from iPSC-derived stromal cells also induced transcriptional reprogramming in THP-1 macrophage-like cells. Together, these findings establish a patient-derived platform for investigating stromal differentiation and stromal-immune interactions in endometriosis.</w:t>
      </w:r>
    </w:p>
    <w:p>
      <w:pPr>
        <w:spacing w:before="120" w:after="120"/>
      </w:pPr>
      <w:r>
        <w:rPr>
          <w:sz w:val="18"/>
        </w:rPr>
        <w:t>——————————————————————————————————————————————————————————————————————</w:t>
      </w:r>
    </w:p>
    <w:p>
      <w:pPr>
        <w:spacing w:before="160" w:after="40" w:line="240" w:lineRule="auto"/>
      </w:pPr>
      <w:r>
        <w:rPr>
          <w:b/>
        </w:rPr>
        <w:t xml:space="preserve">[550] </w:t>
      </w:r>
      <w:hyperlink r:id="rId1633">
        <w:r>
          <w:rPr>
            <w:color w:val="1155CC"/>
            <w:u w:val="single"/>
          </w:rPr>
          <w:t>晚更新世地球能量失衡变化的重建与归因</w:t>
        </w:r>
      </w:hyperlink>
    </w:p>
    <w:p>
      <w:pPr>
        <w:spacing w:before="0" w:after="80"/>
      </w:pPr>
      <w:r>
        <w:rPr>
          <w:i/>
          <w:sz w:val="20"/>
        </w:rPr>
        <w:t>EN: Reconstruction and attribution of Late-Pleistocene changes in the Earth’s energy imbalance</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34">
        <w:r>
          <w:rPr>
            <w:color w:val="1155CC"/>
            <w:u w:val="single"/>
          </w:rPr>
          <w:t>10.1126/sciadv.aec9034</w:t>
        </w:r>
      </w:hyperlink>
    </w:p>
    <w:p>
      <w:pPr>
        <w:spacing w:before="0" w:after="120"/>
      </w:pPr>
      <w:r>
        <w:rPr>
          <w:b/>
        </w:rPr>
        <w:t xml:space="preserve">Notes: </w:t>
      </w:r>
      <w:r>
        <w:t>abstract_source=crossref</w:t>
      </w:r>
    </w:p>
    <w:p>
      <w:pPr>
        <w:spacing w:before="0" w:after="80" w:lineRule="auto" w:line="276"/>
      </w:pPr>
      <w:r>
        <w:rPr>
          <w:b/>
        </w:rPr>
        <w:t xml:space="preserve">摘要（ZH）: </w:t>
      </w:r>
      <w:r>
        <w:t>在大气层顶部形成的地球能量失衡（EEI）是通过地球热库中能量的增加或损失来调节的，从而导致温度和海平面的变化。全球海洋储存了约90%来自人为强迫的EEI，但EEI过去变化的归因在很大程度上仍然未知，从而模糊了我们对过去气候变化的理解。在这里，我们重建了过去 15 万年平均海洋温度的变化，通过重建冰盖体积的变化，使我们能够分离出主要海洋和冰盖热库对全球能源库存的贡献，并得出它们对 EEI 的相关贡献。我们将轨道尺度 EEI 的变化归因于联合进动和 CO</w:t>
      </w:r>
      <w:r>
        <w:rPr>
          <w:vertAlign w:val="subscript"/>
        </w:rPr>
        <w:t>2</w:t>
      </w:r>
      <w:r>
        <w:t>强迫导致了冰盖能量储存率的变化。相比之下，千禧年尺度的 EEI 变化可归因于对大西洋经向翻转环流减少和 CO 增加的辐射响应</w:t>
      </w:r>
      <w:r>
        <w:rPr>
          <w:vertAlign w:val="subscript"/>
        </w:rPr>
        <w:t>2</w:t>
      </w:r>
      <w:r>
        <w:t>在海因里希体育场期间，导致海洋能源储存率发生变化。</w:t>
      </w:r>
    </w:p>
    <w:p>
      <w:pPr>
        <w:spacing w:before="0" w:after="200" w:lineRule="auto" w:line="276"/>
      </w:pPr>
      <w:r>
        <w:rPr>
          <w:b/>
        </w:rPr>
        <w:t xml:space="preserve">Abstract (EN): </w:t>
      </w:r>
      <w:r>
        <w:t>The Earth’s energy imbalance (EEI) that develops at the top of the atmosphere is accommodated by gains or losses of energy in Earth’s heat reservoirs, leading to temperature and sea level change. The global ocean has stored about 90% of the EEI from anthropogenic forcing, but the attribution of past changes of EEI remains largely unknown, thus obscuring our understanding of past climate change. Here, we reconstruct changes in mean ocean temperature over the past 150,000 years that, with a reconstruction of ice sheet–volume changes, allow us to isolate the contributions of the dominant ocean and ice sheet heat reservoirs to the global energy inventory as well as to derive their associated contributions to EEI. We attribute orbital-scale EEI variability to joint precessional and CO</w:t>
      </w:r>
      <w:r>
        <w:rPr>
          <w:vertAlign w:val="subscript"/>
        </w:rPr>
        <w:t>2</w:t>
      </w:r>
      <w:r>
        <w:t>forcing that caused changes in rates of ice sheet energy storage. In contrast, millennial-scale EEI variability can be attributed to radiative responses to decreases in the Atlantic meridional overturning circulation and increasing CO</w:t>
      </w:r>
      <w:r>
        <w:rPr>
          <w:vertAlign w:val="subscript"/>
        </w:rPr>
        <w:t>2</w:t>
      </w:r>
      <w:r>
        <w:t>during Heinrich stadials that caused changes in rates of ocean energy storage.</w:t>
      </w:r>
    </w:p>
    <w:p>
      <w:pPr>
        <w:spacing w:before="120" w:after="120"/>
      </w:pPr>
      <w:r>
        <w:rPr>
          <w:sz w:val="18"/>
        </w:rPr>
        <w:t>——————————————————————————————————————————————————————————————————————</w:t>
      </w:r>
    </w:p>
    <w:p>
      <w:pPr>
        <w:spacing w:before="160" w:after="40" w:line="240" w:lineRule="auto"/>
      </w:pPr>
      <w:r>
        <w:rPr>
          <w:b/>
        </w:rPr>
        <w:t xml:space="preserve">[551] </w:t>
      </w:r>
      <w:hyperlink r:id="rId1635">
        <w:r>
          <w:rPr>
            <w:color w:val="1155CC"/>
            <w:u w:val="single"/>
          </w:rPr>
          <w:t>希望射血分数保留的心力衰竭？</w:t>
        </w:r>
      </w:hyperlink>
    </w:p>
    <w:p>
      <w:pPr>
        <w:spacing w:before="0" w:after="80"/>
      </w:pPr>
      <w:r>
        <w:rPr>
          <w:i/>
          <w:sz w:val="20"/>
        </w:rPr>
        <w:t>EN: Hope for heart failure with preserved ejection fraction?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36">
        <w:r>
          <w:rPr>
            <w:color w:val="1155CC"/>
            <w:u w:val="single"/>
          </w:rPr>
          <w:t>10.1126/sciadv.aek5991</w:t>
        </w:r>
      </w:hyperlink>
    </w:p>
    <w:p>
      <w:pPr>
        <w:spacing w:before="0" w:after="120"/>
      </w:pPr>
      <w:r>
        <w:rPr>
          <w:b/>
        </w:rPr>
        <w:t xml:space="preserve">Notes: </w:t>
      </w:r>
      <w:r>
        <w:t>abstract_source=crossref</w:t>
      </w:r>
    </w:p>
    <w:p>
      <w:pPr>
        <w:spacing w:before="0" w:after="80" w:lineRule="auto" w:line="276"/>
      </w:pPr>
      <w:r>
        <w:rPr>
          <w:b/>
        </w:rPr>
        <w:t xml:space="preserve">摘要（ZH）: </w:t>
      </w:r>
      <w:r>
        <w:t>当环鸟苷单磷酸依赖性蛋白激酶被促进半胱氨酸 42 氧化的新型药物激活时，一种常见的心力衰竭会得到改善。</w:t>
      </w:r>
    </w:p>
    <w:p>
      <w:pPr>
        <w:spacing w:before="0" w:after="200" w:lineRule="auto" w:line="276"/>
      </w:pPr>
      <w:r>
        <w:rPr>
          <w:b/>
        </w:rPr>
        <w:t xml:space="preserve">Abstract (EN): </w:t>
      </w:r>
      <w:r>
        <w:t>A common form of heart failure improves when cyclic guanosine monophosphate-dependent protein kinase is activated with a novel agent that promotes cysteine-42 oxidation.</w:t>
      </w:r>
    </w:p>
    <w:p>
      <w:pPr>
        <w:spacing w:before="120" w:after="120"/>
      </w:pPr>
      <w:r>
        <w:rPr>
          <w:sz w:val="18"/>
        </w:rPr>
        <w:t>——————————————————————————————————————————————————————————————————————</w:t>
      </w:r>
    </w:p>
    <w:p>
      <w:pPr>
        <w:spacing w:before="160" w:after="40" w:line="240" w:lineRule="auto"/>
      </w:pPr>
      <w:r>
        <w:rPr>
          <w:b/>
        </w:rPr>
        <w:t xml:space="preserve">[552] </w:t>
      </w:r>
      <w:hyperlink r:id="rId1637">
        <w:r>
          <w:rPr>
            <w:color w:val="1155CC"/>
            <w:u w:val="single"/>
          </w:rPr>
          <w:t>中国湖泊仍然是碳源：内在固碳与排放平衡的见解</w:t>
        </w:r>
      </w:hyperlink>
    </w:p>
    <w:p>
      <w:pPr>
        <w:spacing w:before="0" w:after="80"/>
      </w:pPr>
      <w:r>
        <w:rPr>
          <w:i/>
          <w:sz w:val="20"/>
        </w:rPr>
        <w:t>EN: China’s lakes remain carbon sources: Insights from the balance between intrinsic carbon sequestration and emissions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38">
        <w:r>
          <w:rPr>
            <w:color w:val="1155CC"/>
            <w:u w:val="single"/>
          </w:rPr>
          <w:t>10.1126/sciadv.aed7393</w:t>
        </w:r>
      </w:hyperlink>
    </w:p>
    <w:p>
      <w:pPr>
        <w:spacing w:before="0" w:after="120"/>
      </w:pPr>
      <w:r>
        <w:rPr>
          <w:b/>
        </w:rPr>
        <w:t xml:space="preserve">Notes: </w:t>
      </w:r>
      <w:r>
        <w:t>abstract_source=crossref</w:t>
      </w:r>
    </w:p>
    <w:p>
      <w:pPr>
        <w:spacing w:before="0" w:after="80" w:lineRule="auto" w:line="276"/>
      </w:pPr>
      <w:r>
        <w:rPr>
          <w:b/>
        </w:rPr>
        <w:t xml:space="preserve">摘要（ZH）: </w:t>
      </w:r>
      <w:r>
        <w:t>准确评估湖泊碳平衡对于填补全球碳预算缺口和应对气候变化至关重要。然而，由于对内在碳封存及其与排放影响的平衡的不完全理解，导致了持续的不确定性。在这里，使用来源指纹技术，我们分离出了原生有机碳（OC</w:t>
      </w:r>
      <w:r>
        <w:t xml:space="preserve"> </w:t>
      </w:r>
      <w:r>
        <w:t>汽车</w:t>
      </w:r>
      <w:r>
        <w:t xml:space="preserve"> </w:t>
      </w:r>
      <w:r>
        <w:t>）埋藏，代表湖泊固有的碳封存。我们发现OC</w:t>
      </w:r>
      <w:r>
        <w:t xml:space="preserve"> </w:t>
      </w:r>
      <w:r>
        <w:t>汽车</w:t>
      </w:r>
      <w:r>
        <w:t xml:space="preserve"> </w:t>
      </w:r>
      <w:r>
        <w:t>2020年代，埋藏仅占湖泊碳排放总量的53.23%，使中国的湖泊成为碳源（每年-0.83太克碳）。从区域来看，青藏、云贵高原湖泊已转向碳汇，东部和东北地区湖泊仍是主要碳源。情景预测表明，在共享社会经济路径SSP2-4.5情景下将中国的湖泊恢复到大型植物为主的状态可以在OC之前将它们转变为稳定的碳汇</w:t>
      </w:r>
      <w:r>
        <w:t xml:space="preserve"> </w:t>
      </w:r>
      <w:r>
        <w:t>汽车</w:t>
      </w:r>
      <w:r>
        <w:t xml:space="preserve"> </w:t>
      </w:r>
      <w:r>
        <w:t>埋藏高峰在 2070 年左右达到。为了促进这一转变，我们提出了一个基于碳汇潜力和排放风险的湖泊分类和管理框架，以指导碳固存和气候缓解工作。</w:t>
      </w:r>
    </w:p>
    <w:p>
      <w:pPr>
        <w:spacing w:before="0" w:after="200" w:lineRule="auto" w:line="276"/>
      </w:pPr>
      <w:r>
        <w:rPr>
          <w:b/>
        </w:rPr>
        <w:t xml:space="preserve">Abstract (EN): </w:t>
      </w:r>
      <w:r>
        <w:t>Accurate assessments of lake carbon balance are essential for filling gaps in the global carbon budget and addressing climate change. However, persistent uncertainties arise from an incomplete understanding of intrinsic carbon sequestration and its balance with emission effects. Here, using source fingerprinting techniques, we isolated the autochthonous organic carbon (OC</w:t>
      </w:r>
      <w:r>
        <w:t xml:space="preserve"> </w:t>
      </w:r>
      <w:r>
        <w:t>Auto</w:t>
      </w:r>
      <w:r>
        <w:t xml:space="preserve"> </w:t>
      </w:r>
      <w:r>
        <w:t>) burial, which represents the intrinsic carbon sequestration of lakes. We found that OC</w:t>
      </w:r>
      <w:r>
        <w:t xml:space="preserve"> </w:t>
      </w:r>
      <w:r>
        <w:t>Auto</w:t>
      </w:r>
      <w:r>
        <w:t xml:space="preserve"> </w:t>
      </w:r>
      <w:r>
        <w:t>burial accounted for only 53.23% of total lake carbon emissions in the 2020s, leaving China’s lakes as carbon sources (−0.83 teragrams of carbon per year). Regionally, lakes on the Qinghai-Tibet and Yunnan-Guizhou Plateaus have shifted to carbon sinks, whereas lakes in the eastern and northeastern regions remain major carbon sources. Scenario projections indicated that restoring China’s lakes to macrophyte-dominated states under the Shared Socioeconomic Pathway SSP2-4.5 scenario could transition them into stable carbon sinks before OC</w:t>
      </w:r>
      <w:r>
        <w:t xml:space="preserve"> </w:t>
      </w:r>
      <w:r>
        <w:t>Auto</w:t>
      </w:r>
      <w:r>
        <w:t xml:space="preserve"> </w:t>
      </w:r>
      <w:r>
        <w:t>burial peaks around 2070. To facilitate this transition, we proposed a lake classification-and-management framework based on carbon sink potential and emission risks to guide carbon sequestration and climate mitigation efforts.</w:t>
      </w:r>
    </w:p>
    <w:p>
      <w:pPr>
        <w:spacing w:before="120" w:after="120"/>
      </w:pPr>
      <w:r>
        <w:rPr>
          <w:sz w:val="18"/>
        </w:rPr>
        <w:t>——————————————————————————————————————————————————————————————————————</w:t>
      </w:r>
    </w:p>
    <w:p>
      <w:pPr>
        <w:spacing w:before="160" w:after="40" w:line="240" w:lineRule="auto"/>
      </w:pPr>
      <w:r>
        <w:rPr>
          <w:b/>
        </w:rPr>
        <w:t xml:space="preserve">[553] </w:t>
      </w:r>
      <w:hyperlink r:id="rId1639">
        <w:r>
          <w:rPr>
            <w:color w:val="1155CC"/>
            <w:u w:val="single"/>
          </w:rPr>
          <w:t>细菌酶可增强秀丽隐杆线虫和小鼠整个生命周期的能量代谢和健康</w:t>
        </w:r>
      </w:hyperlink>
    </w:p>
    <w:p>
      <w:pPr>
        <w:spacing w:before="0" w:after="80"/>
      </w:pPr>
      <w:r>
        <w:rPr>
          <w:i/>
          <w:sz w:val="20"/>
        </w:rPr>
        <w:t>EN: A bacterial enzyme enhances both energy metabolism and health across the life span of C. elegans and mice</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40">
        <w:r>
          <w:rPr>
            <w:color w:val="1155CC"/>
            <w:u w:val="single"/>
          </w:rPr>
          <w:t>10.1126/sciadv.aef3262</w:t>
        </w:r>
      </w:hyperlink>
    </w:p>
    <w:p>
      <w:pPr>
        <w:spacing w:before="0" w:after="120"/>
      </w:pPr>
      <w:r>
        <w:rPr>
          <w:b/>
        </w:rPr>
        <w:t xml:space="preserve">Notes: </w:t>
      </w:r>
      <w:r>
        <w:t>abstract_source=crossref</w:t>
      </w:r>
    </w:p>
    <w:p>
      <w:pPr>
        <w:spacing w:before="0" w:after="80" w:lineRule="auto" w:line="276"/>
      </w:pPr>
      <w:r>
        <w:rPr>
          <w:b/>
        </w:rPr>
        <w:t xml:space="preserve">摘要（ZH）: </w:t>
      </w:r>
      <w:r>
        <w:t>增强能量代谢对生物体健康和寿命的影响是生命和衰老等方面的一个基本但有争议的讨论问题，因为增强能量代谢通常会带来氧化损伤的风险。为了解决这个悖论，我们引入了细菌源性硫辛酸蛋白连接酶 A (LplA) 作为一种正交且明确的分子工具，以增强能量代谢，同时营造低氧化应激环境。调查</w:t>
      </w:r>
      <w:r>
        <w:t xml:space="preserve"> </w:t>
      </w:r>
      <w:r>
        <w:t>秀丽隐杆线虫</w:t>
      </w:r>
      <w:r>
        <w:t xml:space="preserve"> </w:t>
      </w:r>
      <w:r>
        <w:t>（</w:t>
      </w:r>
      <w:r>
        <w:t xml:space="preserve"> </w:t>
      </w:r>
      <w:r>
        <w:t>线虫</w:t>
      </w:r>
      <w:r>
        <w:t xml:space="preserve"> </w:t>
      </w:r>
      <w:r>
        <w:t>）和小鼠模型表明，LplA 表达可显着增强整个生命周期的能量代谢和健康，而不影响最大寿命。我们的工作不仅超越了能量代谢与健康寿命之间长期存在的悖论，而且还提供了一种迄今为止尚未报道的干预人类衰老的策略。</w:t>
      </w:r>
    </w:p>
    <w:p>
      <w:pPr>
        <w:spacing w:before="0" w:after="200" w:lineRule="auto" w:line="276"/>
      </w:pPr>
      <w:r>
        <w:rPr>
          <w:b/>
        </w:rPr>
        <w:t xml:space="preserve">Abstract (EN): </w:t>
      </w:r>
      <w:r>
        <w:t>The consequence of enhanced energy metabolism for health and life span of organisms is a fundamental yet controversially discussed issue of life and aging among others because of the fact that increasing energy metabolism often entails the risk of oxidative damage. To resolve this paradox, we introduce the bacterial-derived lipoic acid protein ligase A (LplA) as an orthogonal and defined molecular tool to enhance energy metabolism and at the same time to foster a low oxidative stress environment. Investigations in</w:t>
      </w:r>
      <w:r>
        <w:t xml:space="preserve"> </w:t>
      </w:r>
      <w:r>
        <w:t>Caenorhabditis elegans</w:t>
      </w:r>
      <w:r>
        <w:t xml:space="preserve"> </w:t>
      </w:r>
      <w:r>
        <w:t>(</w:t>
      </w:r>
      <w:r>
        <w:t xml:space="preserve"> </w:t>
      </w:r>
      <w:r>
        <w:t>C. elegans</w:t>
      </w:r>
      <w:r>
        <w:t xml:space="preserve"> </w:t>
      </w:r>
      <w:r>
        <w:t>) and mouse models demonstrate that LplA expression significantly enhances energy metabolism and health across the life span, without compromising maximum longevity. Our work not only transcends the long-standing paradox between energy metabolism and health life span but also provides a hereto unreported strategy to intervene in human aging.</w:t>
      </w:r>
    </w:p>
    <w:p>
      <w:pPr>
        <w:spacing w:before="120" w:after="120"/>
      </w:pPr>
      <w:r>
        <w:rPr>
          <w:sz w:val="18"/>
        </w:rPr>
        <w:t>——————————————————————————————————————————————————————————————————————</w:t>
      </w:r>
    </w:p>
    <w:p>
      <w:pPr>
        <w:spacing w:before="160" w:after="40" w:line="240" w:lineRule="auto"/>
      </w:pPr>
      <w:r>
        <w:rPr>
          <w:b/>
        </w:rPr>
        <w:t xml:space="preserve">[554] </w:t>
      </w:r>
      <w:hyperlink r:id="rId1641">
        <w:r>
          <w:rPr>
            <w:color w:val="1155CC"/>
            <w:u w:val="single"/>
          </w:rPr>
          <w:t>群体级几何过滤在视网膜中产生运动相干选择性</w:t>
        </w:r>
      </w:hyperlink>
    </w:p>
    <w:p>
      <w:pPr>
        <w:spacing w:before="0" w:after="80"/>
      </w:pPr>
      <w:r>
        <w:rPr>
          <w:i/>
          <w:sz w:val="20"/>
        </w:rPr>
        <w:t>EN: Population-level geometric filtering generates motion-coherence selectivity in the retina</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42">
        <w:r>
          <w:rPr>
            <w:color w:val="1155CC"/>
            <w:u w:val="single"/>
          </w:rPr>
          <w:t>10.1126/sciadv.aeg7846</w:t>
        </w:r>
      </w:hyperlink>
    </w:p>
    <w:p>
      <w:pPr>
        <w:spacing w:before="0" w:after="120"/>
      </w:pPr>
      <w:r>
        <w:rPr>
          <w:b/>
        </w:rPr>
        <w:t xml:space="preserve">Notes: </w:t>
      </w:r>
      <w:r>
        <w:t>abstract_source=crossref</w:t>
      </w:r>
    </w:p>
    <w:p>
      <w:pPr>
        <w:spacing w:before="0" w:after="80" w:lineRule="auto" w:line="276"/>
      </w:pPr>
      <w:r>
        <w:rPr>
          <w:b/>
        </w:rPr>
        <w:t xml:space="preserve">摘要（ZH）: </w:t>
      </w:r>
      <w:r>
        <w:t>物体运动敏感（OMS）电路必须忽略自身运动，同时保持对独立运动物体的敏感。我们证明，小鼠视网膜通过几何过滤运动相干性来解决这个问题。相关光学和电子显微镜显示，TH2 无长突细胞（TH-Cre 小鼠品系中的 GABA 能 2 型广域无长突细胞）结合了密集的近端轴和稀疏的辐射状远端神经突，突触均匀分布在两个室中。双光子成像和区室建模证实，稀疏抑制和电压门控钠通道允许这种二分树突复用信号：近端树突在本地计算，而远端神经突则集成数百微米。根据该架构构建的群体模型预测 OMS 神经节细胞（W3/超高清）的菊花形抑制性周围，具有圆形近周围和径向定向选择性远周围亚基。膜片钳记录证实了这种组织，并揭示了即使在高密度的独立移动物体中，周围环境也会抑制连贯的全局运动，同时保留物体运动检测。因此，单细胞形态和树突处理通过神经丛几何形状进行缩放，以实现运动相干选择性。</w:t>
      </w:r>
    </w:p>
    <w:p>
      <w:pPr>
        <w:spacing w:before="0" w:after="200" w:lineRule="auto" w:line="276"/>
      </w:pPr>
      <w:r>
        <w:rPr>
          <w:b/>
        </w:rPr>
        <w:t xml:space="preserve">Abstract (EN): </w:t>
      </w:r>
      <w:r>
        <w:t>Object-motion–sensitive (OMS) circuits must ignore self-motion while remaining sensitive to independently moving objects. We show that the mouse retina solves this by geometrically filtering motion coherence. Correlative light and electron microscopy reveal that TH2 amacrine cells (GABAergic Type-2 wide-field amacrine cells in the TH-Cre mouse strain) combine a dense proximal arbor with sparse radiating distal neurites, distributing synapses uniformly across both compartments. Two-photon imaging and compartmental modeling establish that sparse inhibition and voltage-gated sodium channels allow this bipartite arbor to multiplex signals: Proximal dendrites compute locally, whereas distal neurites integrate over hundreds of micrometers. A population model built from this architecture predicts a daisy-shaped inhibitory surround for OMS ganglion cells (W3/Ultra-High-Definition), with a circular near-surround and radially orientation-selective far-surround subunits. Patch-clamp recordings confirmed this organization and revealed that the surround suppresses coherent global motion while preserving object-motion detection, even amid high densities of independently moving objects. Thus, single-cell morphology and dendritic processing scale through plexus geometry to implement motion-coherence selectivity.</w:t>
      </w:r>
    </w:p>
    <w:p>
      <w:pPr>
        <w:spacing w:before="120" w:after="120"/>
      </w:pPr>
      <w:r>
        <w:rPr>
          <w:sz w:val="18"/>
        </w:rPr>
        <w:t>——————————————————————————————————————————————————————————————————————</w:t>
      </w:r>
    </w:p>
    <w:p>
      <w:pPr>
        <w:spacing w:before="160" w:after="40" w:line="240" w:lineRule="auto"/>
      </w:pPr>
      <w:r>
        <w:rPr>
          <w:b/>
        </w:rPr>
        <w:t xml:space="preserve">[555] </w:t>
      </w:r>
      <w:hyperlink r:id="rId1643">
        <w:r>
          <w:rPr>
            <w:color w:val="1155CC"/>
            <w:u w:val="single"/>
          </w:rPr>
          <w:t>冰盖动力学驱动北大西洋海水钕同位素的冰期-间冰期变化</w:t>
        </w:r>
      </w:hyperlink>
    </w:p>
    <w:p>
      <w:pPr>
        <w:spacing w:before="0" w:after="80"/>
      </w:pPr>
      <w:r>
        <w:rPr>
          <w:i/>
          <w:sz w:val="20"/>
        </w:rPr>
        <w:t>EN: Ice-sheet dynamics drive glacial-interglacial shifts in North Atlantic seawater neodymium isotopes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44">
        <w:r>
          <w:rPr>
            <w:color w:val="1155CC"/>
            <w:u w:val="single"/>
          </w:rPr>
          <w:t>10.1126/sciadv.aeg5747</w:t>
        </w:r>
      </w:hyperlink>
    </w:p>
    <w:p>
      <w:pPr>
        <w:spacing w:before="0" w:after="120"/>
      </w:pPr>
      <w:r>
        <w:rPr>
          <w:b/>
        </w:rPr>
        <w:t xml:space="preserve">Notes: </w:t>
      </w:r>
      <w:r>
        <w:t>abstract_source=crossref</w:t>
      </w:r>
    </w:p>
    <w:p>
      <w:pPr>
        <w:spacing w:before="0" w:after="80" w:lineRule="auto" w:line="276"/>
      </w:pPr>
      <w:r>
        <w:rPr>
          <w:b/>
        </w:rPr>
        <w:t xml:space="preserve">摘要（ZH）: </w:t>
      </w:r>
      <w:r>
        <w:t>放射性钕 (Nd) 同位素组成 (ε</w:t>
      </w:r>
      <w:r>
        <w:t xml:space="preserve"> </w:t>
      </w:r>
      <w:r>
        <w:t>钕</w:t>
      </w:r>
      <w:r>
        <w:t xml:space="preserve"> </w:t>
      </w:r>
      <w:r>
        <w:t>）海水被广泛用于重建过去的海洋环流，假设整个第四纪的端元特征准恒定。然而，ε</w:t>
      </w:r>
      <w:r>
        <w:t xml:space="preserve"> </w:t>
      </w:r>
      <w:r>
        <w:t>钕</w:t>
      </w:r>
      <w:r>
        <w:t xml:space="preserve"> </w:t>
      </w:r>
      <w:r>
        <w:t>北大西洋冰川中层水的特征明显偏离其现代价值，挑战了这一假设，其驱动机制仍存在争议。在这里，我们表明，在过去 23 万年中，上冰期北大西洋中层水的放射源值 (−7.2) 始终高于间冰期值 (−13.4)，并且明显的冰期 - 间冰期 ε</w:t>
      </w:r>
      <w:r>
        <w:t xml:space="preserve"> </w:t>
      </w:r>
      <w:r>
        <w:t>钕</w:t>
      </w:r>
      <w:r>
        <w:t xml:space="preserve"> </w:t>
      </w:r>
      <w:r>
        <w:t>变化密切关注全球冰量波动（</w:t>
      </w:r>
      <w:r>
        <w:t xml:space="preserve"> </w:t>
      </w:r>
      <w:r>
        <w:t>r</w:t>
      </w:r>
      <w:r>
        <w:t xml:space="preserve"> </w:t>
      </w:r>
      <w:r>
        <w:t>= 0.80）。这种变化主要与冰岛火山的 Nd 输入相一致，并受冰岛冰盖的进退调节。正演模型再现了观察到的 ε</w:t>
      </w:r>
      <w:r>
        <w:t xml:space="preserve"> </w:t>
      </w:r>
      <w:r>
        <w:t>钕</w:t>
      </w:r>
      <w:r>
        <w:t xml:space="preserve"> </w:t>
      </w:r>
      <w:r>
        <w:t>演化并揭示了 Nd 输出对冰盖动力学的非线性响应，产生平均冰川 Nd 输入通量为 2.4 × 10</w:t>
      </w:r>
      <w:r>
        <w:rPr>
          <w:vertAlign w:val="subscript"/>
        </w:rPr>
        <w:t>8</w:t>
      </w:r>
      <w:r>
        <w:t>克每年。我们的研究结果强调了高纬度冰盖系统在冰川期调节北大西洋海水化学方面的关键作用。</w:t>
      </w:r>
    </w:p>
    <w:p>
      <w:pPr>
        <w:spacing w:before="0" w:after="200" w:lineRule="auto" w:line="276"/>
      </w:pPr>
      <w:r>
        <w:rPr>
          <w:b/>
        </w:rPr>
        <w:t xml:space="preserve">Abstract (EN): </w:t>
      </w:r>
      <w:r>
        <w:t>Radiogenic neodymium (Nd) isotopic composition (ε</w:t>
      </w:r>
      <w:r>
        <w:t xml:space="preserve"> </w:t>
      </w:r>
      <w:r>
        <w:t>Nd</w:t>
      </w:r>
      <w:r>
        <w:t xml:space="preserve"> </w:t>
      </w:r>
      <w:r>
        <w:t>) of seawater is widely used to reconstruct past ocean circulation, assuming quasi-constant end-member signatures throughout the Quaternary. However, the ε</w:t>
      </w:r>
      <w:r>
        <w:t xml:space="preserve"> </w:t>
      </w:r>
      <w:r>
        <w:t>Nd</w:t>
      </w:r>
      <w:r>
        <w:t xml:space="preserve"> </w:t>
      </w:r>
      <w:r>
        <w:t>signature of Glacial North Atlantic Intermediate Water deviated markedly from its modern value, challenging this assumption, and the driving mechanisms remain debated. Here, we show that the upper Glacial North Atlantic Intermediate Water was consistently more radiogenic (−7.2) than interglacial values (−13.4) over the past 230,000 years and that pronounced glacial-interglacial ε</w:t>
      </w:r>
      <w:r>
        <w:t xml:space="preserve"> </w:t>
      </w:r>
      <w:r>
        <w:t>Nd</w:t>
      </w:r>
      <w:r>
        <w:t xml:space="preserve"> </w:t>
      </w:r>
      <w:r>
        <w:t>variability closely followed global ice-volume fluctuations (</w:t>
      </w:r>
      <w:r>
        <w:t xml:space="preserve"> </w:t>
      </w:r>
      <w:r>
        <w:t>r</w:t>
      </w:r>
      <w:r>
        <w:t xml:space="preserve"> </w:t>
      </w:r>
      <w:r>
        <w:t>= 0.80). This variability was primarily reconciled with Icelandic volcanic Nd inputs, modulated by the advance and retreat of the Icelandic Ice Sheet. A forward model reproduces the observed ε</w:t>
      </w:r>
      <w:r>
        <w:t xml:space="preserve"> </w:t>
      </w:r>
      <w:r>
        <w:t>Nd</w:t>
      </w:r>
      <w:r>
        <w:t xml:space="preserve"> </w:t>
      </w:r>
      <w:r>
        <w:t>evolution and reveals a nonlinear response of Nd export to ice-sheet dynamics, yielding a mean glacial Icelandic Nd input flux of 2.4 × 10</w:t>
      </w:r>
      <w:r>
        <w:rPr>
          <w:vertAlign w:val="subscript"/>
        </w:rPr>
        <w:t>8</w:t>
      </w:r>
      <w:r>
        <w:t>grams per year. Our results highlight the pivotal role of high-latitude ice-sheet systems in regulating North Atlantic seawater chemistry during glacial periods.</w:t>
      </w:r>
    </w:p>
    <w:p>
      <w:pPr>
        <w:spacing w:before="120" w:after="120"/>
      </w:pPr>
      <w:r>
        <w:rPr>
          <w:sz w:val="18"/>
        </w:rPr>
        <w:t>——————————————————————————————————————————————————————————————————————</w:t>
      </w:r>
    </w:p>
    <w:p>
      <w:pPr>
        <w:spacing w:before="160" w:after="40" w:line="240" w:lineRule="auto"/>
      </w:pPr>
      <w:r>
        <w:rPr>
          <w:b/>
        </w:rPr>
        <w:t xml:space="preserve">[556] </w:t>
      </w:r>
      <w:hyperlink r:id="rId1645">
        <w:r>
          <w:rPr>
            <w:color w:val="1155CC"/>
            <w:u w:val="single"/>
          </w:rPr>
          <w:t>取消发射率自适应可以实现不变的群体代码</w:t>
        </w:r>
      </w:hyperlink>
    </w:p>
    <w:p>
      <w:pPr>
        <w:spacing w:before="0" w:after="80"/>
      </w:pPr>
      <w:r>
        <w:rPr>
          <w:i/>
          <w:sz w:val="20"/>
        </w:rPr>
        <w:t>EN: Undoing of firing rate adaptation enables invariant population codes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46">
        <w:r>
          <w:rPr>
            <w:color w:val="1155CC"/>
            <w:u w:val="single"/>
          </w:rPr>
          <w:t>10.1126/sciadv.aeg3535</w:t>
        </w:r>
      </w:hyperlink>
    </w:p>
    <w:p>
      <w:pPr>
        <w:spacing w:before="0" w:after="120"/>
      </w:pPr>
      <w:r>
        <w:rPr>
          <w:b/>
        </w:rPr>
        <w:t xml:space="preserve">Notes: </w:t>
      </w:r>
      <w:r>
        <w:t>abstract_source=crossref</w:t>
      </w:r>
    </w:p>
    <w:p>
      <w:pPr>
        <w:spacing w:before="0" w:after="80" w:lineRule="auto" w:line="276"/>
      </w:pPr>
      <w:r>
        <w:rPr>
          <w:b/>
        </w:rPr>
        <w:t xml:space="preserve">摘要（ZH）: </w:t>
      </w:r>
      <w:r>
        <w:t>神经适应通过调整对流行刺激统计数据的响应来支持编码效率。然而，当信息由神经元群体表示时，单个单元的适应可能会降低行为相关信号。在这里，我们研究了果蝇嗅觉系统如何在嗅觉受体神经元（ORN）中实现对背景气味的适应，以及下游电路中组合编码的后果。我们发现 ORN 放电率的适应在轴突末端得到补偿，其中抑制性突触前反馈支持背景不变的钙反应，以增加（但不减少）气味浓度。计算分析表明，这种不变性需要 ORN 中的适应策略来改变响应幅度而不是灵敏度，这与单个神经元的有效编码原理不同。下游的突触后投射神经元还通过涉及 Unc13 蛋白的突触前可塑性表现出背景不变的反应。因此，嗅觉回路通过取消外周放电率适应来恢复稳定的群体代码，从而实现不对称的对比度表示，从而保留跨背景的刺激身份。</w:t>
      </w:r>
    </w:p>
    <w:p>
      <w:pPr>
        <w:spacing w:before="0" w:after="200" w:lineRule="auto" w:line="276"/>
      </w:pPr>
      <w:r>
        <w:rPr>
          <w:b/>
        </w:rPr>
        <w:t xml:space="preserve">Abstract (EN): </w:t>
      </w:r>
      <w:r>
        <w:t>Neural adaptation supports coding efficiency by tuning responses to prevailing stimulus statistics. However, when information is represented by populations of neurons, adaptation of individual units could degrade behaviorally relevant signals. Here, we investigate how the fly olfactory system implements adaptation to background odors in olfactory receptor neurons (ORNs) and the consequences for combinatorial coding in downstream circuits. We show that adaptation of ORN firing rate is compensated at the axon terminal, where inhibitory presynaptic feedback supports background-invariant calcium responses to increases (but not decreases) in odor concentration. Computational analyses demonstrate that such invariance requires an adaptation strategy in ORNs that shifts response amplitude rather than sensitivity, diverging from efficient coding principles in single neurons. Downstream, postsynaptic projection neurons also exhibit background-invariant responses through presynaptic plasticity involving Unc13 proteins. Thus, the olfactory circuit restores stable population codes by undoing peripheral firing rate adaptation, enabling an asymmetric contrast representation that preserves stimulus identity across backgrounds.</w:t>
      </w:r>
    </w:p>
    <w:p>
      <w:pPr>
        <w:spacing w:before="120" w:after="120"/>
      </w:pPr>
      <w:r>
        <w:rPr>
          <w:sz w:val="18"/>
        </w:rPr>
        <w:t>——————————————————————————————————————————————————————————————————————</w:t>
      </w:r>
    </w:p>
    <w:p>
      <w:pPr>
        <w:spacing w:before="160" w:after="40" w:line="240" w:lineRule="auto"/>
      </w:pPr>
      <w:r>
        <w:rPr>
          <w:b/>
        </w:rPr>
        <w:t xml:space="preserve">[557] </w:t>
      </w:r>
      <w:hyperlink r:id="rId1647">
        <w:r>
          <w:rPr>
            <w:color w:val="1155CC"/>
            <w:u w:val="single"/>
          </w:rPr>
          <w:t>HMOX1 控制血红素-铁蛋白开关，保护细胞免遭铁死亡</w:t>
        </w:r>
      </w:hyperlink>
    </w:p>
    <w:p>
      <w:pPr>
        <w:spacing w:before="0" w:after="80"/>
      </w:pPr>
      <w:r>
        <w:rPr>
          <w:i/>
          <w:sz w:val="20"/>
        </w:rPr>
        <w:t>EN: HMOX1 controls a heme-ferritin switch that protects cells from ferroptosis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48">
        <w:r>
          <w:rPr>
            <w:color w:val="1155CC"/>
            <w:u w:val="single"/>
          </w:rPr>
          <w:t>10.1126/sciadv.aeg3424</w:t>
        </w:r>
      </w:hyperlink>
    </w:p>
    <w:p>
      <w:pPr>
        <w:spacing w:before="0" w:after="120"/>
      </w:pPr>
      <w:r>
        <w:rPr>
          <w:b/>
        </w:rPr>
        <w:t xml:space="preserve">Notes: </w:t>
      </w:r>
      <w:r>
        <w:t>abstract_source=crossref</w:t>
      </w:r>
    </w:p>
    <w:p>
      <w:pPr>
        <w:spacing w:before="0" w:after="80" w:lineRule="auto" w:line="276"/>
      </w:pPr>
      <w:r>
        <w:rPr>
          <w:b/>
        </w:rPr>
        <w:t xml:space="preserve">摘要（ZH）: </w:t>
      </w:r>
      <w:r>
        <w:t>调节细胞内不稳定铁池（LIP）已成为诱导癌细胞铁死亡的一种有前途的策略，提供了一种克服对基于细胞凋亡的疗法的耐药性的方法。 LIP 的主要贡献者之一是血红素加氧酶-1 (HMOX1) 介导的血红素分解代谢，它通过释放游离铁来促进铁死亡敏感性。除了作为铁供体的作用之外，血红素还可以影响驱动肿瘤进展的多种蛋白质和信号通路，但血红素如何调节铁死亡仍知之甚少。在这里，我们发现了在缺乏 HMOX1 活性的情况下血红素的一种矛盾的保护功能。当 HMOX1 失活时，血红素变得稳定，导致铁蛋白上调，抑制铁死亡，并挽救由 GPX4 的药理学和遗传抑制引起的细胞死亡。我们的研究结果揭示了一个未被识别的血红素-HMOX1-铁蛋白轴，它控制着铁死亡的敏感性。针对这一途径可能会提供一种新的治疗策略来调节癌症中的铁死亡。</w:t>
      </w:r>
    </w:p>
    <w:p>
      <w:pPr>
        <w:spacing w:before="0" w:after="200" w:lineRule="auto" w:line="276"/>
      </w:pPr>
      <w:r>
        <w:rPr>
          <w:b/>
        </w:rPr>
        <w:t xml:space="preserve">Abstract (EN): </w:t>
      </w:r>
      <w:r>
        <w:t>Modulating the intracellular labile iron pool (LIP) has emerged as a promising strategy to induce ferroptosis in cancer cells, offering a way to overcome resistance to apoptosis-based therapies. One of the main contributors to LIP is heme catabolism mediated by heme oxygenase-1 (HMOX1), which promotes ferroptosis sensitivity by releasing free iron. Beyond its role as an iron donor, heme can influence diverse proteins and signaling pathways that drive tumor progression, but how heme regulates ferroptosis remains poorly understood. Here, we uncover a paradoxical, protective function of heme in the absence of HMOX1 activity. When HMOX1 is inactive, heme becomes stabilized, leading to ferritin up-regulation, suppression of ferroptosis, and rescue of cell death induced by both pharmacological and genetic inhibition of GPX4. Our findings reveal an unrecognized heme-HMOX1-ferritin axis that controls ferroptosis sensitivity. Targeting this pathway may offer a new therapeutic strategy to modulate ferroptosis in cancer.</w:t>
      </w:r>
    </w:p>
    <w:p>
      <w:pPr>
        <w:spacing w:before="120" w:after="120"/>
      </w:pPr>
      <w:r>
        <w:rPr>
          <w:sz w:val="18"/>
        </w:rPr>
        <w:t>——————————————————————————————————————————————————————————————————————</w:t>
      </w:r>
    </w:p>
    <w:p>
      <w:pPr>
        <w:spacing w:before="160" w:after="40" w:line="240" w:lineRule="auto"/>
      </w:pPr>
      <w:r>
        <w:rPr>
          <w:b/>
        </w:rPr>
        <w:t xml:space="preserve">[558] </w:t>
      </w:r>
      <w:hyperlink r:id="rId1649">
        <w:r>
          <w:rPr>
            <w:color w:val="1155CC"/>
            <w:u w:val="single"/>
          </w:rPr>
          <w:t>H3.3 伴侣 Hira 启动调节性 T 细胞的效应程序和功能</w:t>
        </w:r>
      </w:hyperlink>
    </w:p>
    <w:p>
      <w:pPr>
        <w:spacing w:before="0" w:after="80"/>
      </w:pPr>
      <w:r>
        <w:rPr>
          <w:i/>
          <w:sz w:val="20"/>
        </w:rPr>
        <w:t>EN: H3.3 chaperone Hira primes the effector program and function of regulatory T cells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50">
        <w:r>
          <w:rPr>
            <w:color w:val="1155CC"/>
            <w:u w:val="single"/>
          </w:rPr>
          <w:t>10.1126/sciadv.aeg2679</w:t>
        </w:r>
      </w:hyperlink>
    </w:p>
    <w:p>
      <w:pPr>
        <w:spacing w:before="0" w:after="120"/>
      </w:pPr>
      <w:r>
        <w:rPr>
          <w:b/>
        </w:rPr>
        <w:t xml:space="preserve">Notes: </w:t>
      </w:r>
      <w:r>
        <w:t>abstract_source=crossref</w:t>
      </w:r>
    </w:p>
    <w:p>
      <w:pPr>
        <w:spacing w:before="0" w:after="80" w:lineRule="auto" w:line="276"/>
      </w:pPr>
      <w:r>
        <w:rPr>
          <w:b/>
        </w:rPr>
        <w:t xml:space="preserve">摘要（ZH）: </w:t>
      </w:r>
      <w:r>
        <w:t>福克斯p3</w:t>
      </w:r>
      <w:r>
        <w:t xml:space="preserve"> </w:t>
      </w:r>
      <w:r>
        <w:t>+</w:t>
      </w:r>
      <w:r>
        <w:t xml:space="preserve"> </w:t>
      </w:r>
      <w:r>
        <w:t>调节性 T (Treg) 细胞需要分化为效应 Treg (eTreg) 细胞以维持免疫耐受和组织稳态。虽然据报道 Batf 和 JunB 等几种转录因子对于 eTreg 分化和功能至关重要，但潜在的表观遗传机制仍不清楚。在这里，我们表明，与脾脏 Tregs 相比，组蛋白变体 H3.3 在组织 Tregs 中富集，其伴侣 Hira 是 Treg 效应程序的关键调节因子。 Treg 特异性删除</w:t>
      </w:r>
      <w:r>
        <w:t xml:space="preserve"> </w:t>
      </w:r>
      <w:r>
        <w:t>希拉</w:t>
      </w:r>
      <w:r>
        <w:t xml:space="preserve"> </w:t>
      </w:r>
      <w:r>
        <w:t>导致小鼠 eTreg 数量减少、抑制功能受损和多器官炎症。从机制上讲，Hira 依赖性 H3.3 沉积通过增强染色质可及性、促进 H3K36me3 并防止 H3K27me3 对富含 AP-1 家族结合基序和与 Treg 效应子功能相关的基因位点进行修饰，建立了一个宽松的表观遗传环境。此外，Batf 的过度表达</w:t>
      </w:r>
      <w:r>
        <w:t xml:space="preserve"> </w:t>
      </w:r>
      <w:r>
        <w:t>希拉</w:t>
      </w:r>
      <w:r>
        <w:t xml:space="preserve"> </w:t>
      </w:r>
      <w:r>
        <w:t>-Treg细胞缺陷在很大程度上改善了它们的调节缺陷。总之，我们的研究结果揭示了一种先前未报道的表观遗传机制，该机制对于 Treg 效应器分化和功能至关重要。</w:t>
      </w:r>
    </w:p>
    <w:p>
      <w:pPr>
        <w:spacing w:before="0" w:after="200" w:lineRule="auto" w:line="276"/>
      </w:pPr>
      <w:r>
        <w:rPr>
          <w:b/>
        </w:rPr>
        <w:t xml:space="preserve">Abstract (EN): </w:t>
      </w:r>
      <w:r>
        <w:t>Foxp3</w:t>
      </w:r>
      <w:r>
        <w:t xml:space="preserve"> </w:t>
      </w:r>
      <w:r>
        <w:t>+</w:t>
      </w:r>
      <w:r>
        <w:t xml:space="preserve"> </w:t>
      </w:r>
      <w:r>
        <w:t>regulatory T (Treg) cells need to differentiate into effector Treg (eTreg) cells to maintain immune tolerance and tissue homeostasis. While several transcription factors such as Batf and JunB have been reported to be essential for eTreg differentiation and function, the underlying epigenetic mechanism remains unclear. Here, we show that the histone variant H3.3 is enriched in tissue Tregs compared to splenic Tregs and its chaperone Hira is a critical regulator of Treg effector program. Treg specific-deletion of</w:t>
      </w:r>
      <w:r>
        <w:t xml:space="preserve"> </w:t>
      </w:r>
      <w:r>
        <w:t>Hira</w:t>
      </w:r>
      <w:r>
        <w:t xml:space="preserve"> </w:t>
      </w:r>
      <w:r>
        <w:t>resulted in reduced eTreg population, impaired suppressive function and multi-organ inflammation in mice. Mechanistically, Hira-dependent H3.3 deposition establishes a permissive epigenetic environment by enhancing chromatin accessibility, facilitating H3K36me3 and preventing H3K27me3 modifications on loci of genes enriched for AP-1 family binding motifs and associated with Treg effector function. Furthermore, overexpression of Batf in</w:t>
      </w:r>
      <w:r>
        <w:t xml:space="preserve"> </w:t>
      </w:r>
      <w:r>
        <w:t>Hira</w:t>
      </w:r>
      <w:r>
        <w:t xml:space="preserve"> </w:t>
      </w:r>
      <w:r>
        <w:t>-deficient Treg cells largely ameliorates their regulatory defects. Together, our findings reveal a previously unreported epigenetic mechanism critical for Treg effector differentiation and function.</w:t>
      </w:r>
    </w:p>
    <w:p>
      <w:pPr>
        <w:spacing w:before="120" w:after="120"/>
      </w:pPr>
      <w:r>
        <w:rPr>
          <w:sz w:val="18"/>
        </w:rPr>
        <w:t>——————————————————————————————————————————————————————————————————————</w:t>
      </w:r>
    </w:p>
    <w:p>
      <w:pPr>
        <w:spacing w:before="160" w:after="40" w:line="240" w:lineRule="auto"/>
      </w:pPr>
      <w:r>
        <w:rPr>
          <w:b/>
        </w:rPr>
        <w:t xml:space="preserve">[559] </w:t>
      </w:r>
      <w:hyperlink r:id="rId1651">
        <w:r>
          <w:rPr>
            <w:color w:val="1155CC"/>
            <w:u w:val="single"/>
          </w:rPr>
          <w:t>通过线粒体钙信号传导抑制铁死亡细胞介导的抗肿瘤免疫</w:t>
        </w:r>
      </w:hyperlink>
    </w:p>
    <w:p>
      <w:pPr>
        <w:spacing w:before="0" w:after="80"/>
      </w:pPr>
      <w:r>
        <w:rPr>
          <w:i/>
          <w:sz w:val="20"/>
        </w:rPr>
        <w:t>EN: Repression of ferroptotic cell death mediated antitumor immunity by mitochondrial calcium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52">
        <w:r>
          <w:rPr>
            <w:color w:val="1155CC"/>
            <w:u w:val="single"/>
          </w:rPr>
          <w:t>10.1073/pnas.2606216123</w:t>
        </w:r>
      </w:hyperlink>
    </w:p>
    <w:p>
      <w:pPr>
        <w:spacing w:before="0" w:after="120"/>
      </w:pPr>
      <w:r>
        <w:rPr>
          <w:b/>
        </w:rPr>
        <w:t xml:space="preserve">Notes: </w:t>
      </w:r>
      <w:r>
        <w:t>abstract_source=crossref</w:t>
      </w:r>
    </w:p>
    <w:p>
      <w:pPr>
        <w:spacing w:before="0" w:after="80" w:lineRule="auto" w:line="276"/>
      </w:pPr>
      <w:r>
        <w:rPr>
          <w:b/>
        </w:rPr>
        <w:t xml:space="preserve">摘要（ZH）: </w:t>
      </w:r>
      <w:r>
        <w:t>铁死亡是一种由过度脂质过氧化引起的独特类型的程序性细胞死亡，代表某些类型癌症的脆弱性。然而，调节铁死亡的信号机制及其对肿瘤微环境的功能影响尚不清楚。在这里，我们证明了线粒体钙单向转运蛋白（MCU）对胚胎发生和肿瘤发育过程中铁死亡的抑制作用。 MCU 依赖性代谢物乙酰辅酶 A (乙酰辅酶 A) 的产生支持谷胱甘肽过氧化物酶 4 (GPX4) 的正常功能，谷胱甘肽过氧化物酶 4 (GPX4) 是铁死亡的关键看门人。从机制上讲，GPX4 在赖氨酸 90 (K90) 上的乙酰化可防止 K90 和天冬氨酸 23 之间形成有害的盐桥，从而保护 GPX4 酶活性并避免铁死亡。癌细胞中 MCU 的缺失引起了强烈的抗肿瘤 T 细胞反应，并显着抑制了肿瘤的生长。因此，我们的研究结果表明 MCU 介导的乙酰辅酶 A 代谢是一种关键的抗铁死亡机制，可以作为肿瘤治疗的潜在治疗候选者进行研究。</w:t>
      </w:r>
    </w:p>
    <w:p>
      <w:pPr>
        <w:spacing w:before="0" w:after="200" w:lineRule="auto" w:line="276"/>
      </w:pPr>
      <w:r>
        <w:rPr>
          <w:b/>
        </w:rPr>
        <w:t xml:space="preserve">Abstract (EN): </w:t>
      </w:r>
      <w:r>
        <w:t>Ferroptosis is a unique type of programmed cell death caused by excessive lipid peroxidation and represents a vulnerability in certain types of cancer. However, the signaling mechanisms that modulate ferroptosis and its functional consequence on the tumor microenvironment are poorly understood. Here, we demonstrate an inhibitory effect of mitochondrial calcium uniporter (MCU) on ferroptosis during embryogenesis and tumor development. MCU-dependent production of metabolite acetyl-coenzyme A (acetyl-CoA) supports the normal function of glutathione peroxidase 4 (GPX4), a critical gatekeeper of ferroptosis. Mechanistically, acetylation of GPX4 on lysine 90 (K90) prevents the formation of a detrimental salt bridge between K90 and aspartate 23, therefore protecting GPX4 enzymatic activity and avoiding ferroptosis. Deletion of MCU in cancer cells caused a robust antitumor T cell response and significantly blunted tumor growth. Thus, our findings indicate MCU-mediated acetyl-CoA metabolism as a critical anti-ferroptosis mechanism, which can be investigated as potential therapeutic candidate for tumor treatment.</w:t>
      </w:r>
    </w:p>
    <w:p>
      <w:pPr>
        <w:spacing w:before="120" w:after="120"/>
      </w:pPr>
      <w:r>
        <w:rPr>
          <w:sz w:val="18"/>
        </w:rPr>
        <w:t>——————————————————————————————————————————————————————————————————————</w:t>
      </w:r>
    </w:p>
    <w:p>
      <w:pPr>
        <w:spacing w:before="160" w:after="40" w:line="240" w:lineRule="auto"/>
      </w:pPr>
      <w:r>
        <w:rPr>
          <w:b/>
        </w:rPr>
        <w:t xml:space="preserve">[560] </w:t>
      </w:r>
      <w:hyperlink r:id="rId1653">
        <w:r>
          <w:rPr>
            <w:color w:val="1155CC"/>
            <w:u w:val="single"/>
          </w:rPr>
          <w:t>双功能酶 PpLipO 保护极地海洋细菌免受磷脂过氧化作用</w:t>
        </w:r>
      </w:hyperlink>
    </w:p>
    <w:p>
      <w:pPr>
        <w:spacing w:before="0" w:after="80"/>
      </w:pPr>
      <w:r>
        <w:rPr>
          <w:i/>
          <w:sz w:val="20"/>
        </w:rPr>
        <w:t>EN: The dual-function enzyme PpLipO protects polar marine bacteria from phospholipid peroxidation</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54">
        <w:r>
          <w:rPr>
            <w:color w:val="1155CC"/>
            <w:u w:val="single"/>
          </w:rPr>
          <w:t>10.1073/pnas.2527470123</w:t>
        </w:r>
      </w:hyperlink>
    </w:p>
    <w:p>
      <w:pPr>
        <w:spacing w:before="0" w:after="120"/>
      </w:pPr>
      <w:r>
        <w:rPr>
          <w:b/>
        </w:rPr>
        <w:t xml:space="preserve">Notes: </w:t>
      </w:r>
      <w:r>
        <w:t>abstract_source=crossref</w:t>
      </w:r>
    </w:p>
    <w:p>
      <w:pPr>
        <w:spacing w:before="0" w:after="80" w:lineRule="auto" w:line="276"/>
      </w:pPr>
      <w:r>
        <w:rPr>
          <w:b/>
        </w:rPr>
        <w:t xml:space="preserve">摘要（ZH）: </w:t>
      </w:r>
      <w:r>
        <w:t>膜磷脂过氧化是一个有害的过程，其中活性氧（ROS）攻击嵌入细胞膜中的不饱和脂肪酸，产生磷脂氢过氧化物并引发结构损伤，最终导致细胞死亡。而哺乳动物减轻过氧化的策略主要是通过磷脂酶 A 的联合活性</w:t>
      </w:r>
      <w:r>
        <w:rPr>
          <w:vertAlign w:val="subscript"/>
        </w:rPr>
        <w:t>2</w:t>
      </w:r>
      <w:r>
        <w:t>（解放军</w:t>
      </w:r>
      <w:r>
        <w:rPr>
          <w:vertAlign w:val="subscript"/>
        </w:rPr>
        <w:t>2</w:t>
      </w:r>
      <w:r>
        <w:t>）以及随后用谷胱甘肽过氧化物酶/过氧化还原蛋白还原所产生的脂肪酸氢过氧化物的特征已被充分表征了二十多年，但原核生物应对这种氧化挑战的机制仍然知之甚少。在这里，我们报告了一种由双功能酶介导的磷脂氢过氧化物消除策略</w:t>
      </w:r>
      <w:r>
        <w:t xml:space="preserve"> </w:t>
      </w:r>
      <w:r>
        <w:t>PP</w:t>
      </w:r>
      <w:r>
        <w:t xml:space="preserve"> </w:t>
      </w:r>
      <w:r>
        <w:t>来自南极海冰细菌的 LipO</w:t>
      </w:r>
      <w:r>
        <w:t xml:space="preserve"> </w:t>
      </w:r>
      <w:r>
        <w:t>普里登假交替单胞菌</w:t>
      </w:r>
      <w:r>
        <w:t xml:space="preserve"> </w:t>
      </w:r>
      <w:r>
        <w:t>。该酶包含N端脂肪酶结构域和C端硫辛酰过氧化物酶结构域。通过这些领域的协同作用，</w:t>
      </w:r>
      <w:r>
        <w:t xml:space="preserve"> </w:t>
      </w:r>
      <w:r>
        <w:t>PP</w:t>
      </w:r>
      <w:r>
        <w:t xml:space="preserve"> </w:t>
      </w:r>
      <w:r>
        <w:t>LipO 首先通过其脂肪酶结构域将 ROS 诱导的磷脂氢过氧化物水解为脂肪酸氢过氧化物，然后通过过氧化物酶结构域催化其还原为羟基脂肪酸。对 C 端过氧化物酶结构域的全面系统发育和结构分析揭示了其在 Ohr/OsmC 家族的独特分支中的独特地位，该家族以其在有机氢过氧化物解毒中的作用而闻名。福</w:t>
      </w:r>
    </w:p>
    <w:p>
      <w:pPr>
        <w:spacing w:before="0" w:after="200" w:lineRule="auto" w:line="276"/>
      </w:pPr>
      <w:r>
        <w:rPr>
          <w:b/>
        </w:rPr>
        <w:t xml:space="preserve">Abstract (EN): </w:t>
      </w:r>
      <w:r>
        <w:t>Membrane phospholipid peroxidation is a deleterious process in which reactive oxygen species (ROS) attack unsaturated fatty acids embedded in cell membranes, generating phospholipid hydroperoxides and triggering structural damage that can ultimately lead to cell death. While mammalian strategies to mitigate peroxidation, primarily through the combined activities of phospholipase A</w:t>
      </w:r>
      <w:r>
        <w:rPr>
          <w:vertAlign w:val="subscript"/>
        </w:rPr>
        <w:t>2</w:t>
      </w:r>
      <w:r>
        <w:t>(PLA</w:t>
      </w:r>
      <w:r>
        <w:rPr>
          <w:vertAlign w:val="subscript"/>
        </w:rPr>
        <w:t>2</w:t>
      </w:r>
      <w:r>
        <w:t>) and subsequent reduction of resultant fatty acid hydroperoxides with glutathione peroxidases/peroxiredoxins have been well characterized for more than two decades, mechanisms by which prokaryotes contend with this oxidative challenge remain poorly understood. Here, we report a phospholipid hydroperoxide elimination strategy mediated by the bifunctional enzyme</w:t>
      </w:r>
      <w:r>
        <w:t xml:space="preserve"> </w:t>
      </w:r>
      <w:r>
        <w:t>Pp</w:t>
      </w:r>
      <w:r>
        <w:t xml:space="preserve"> </w:t>
      </w:r>
      <w:r>
        <w:t>LipO from the Antarctic sea-ice bacterium</w:t>
      </w:r>
      <w:r>
        <w:t xml:space="preserve"> </w:t>
      </w:r>
      <w:r>
        <w:t>Pseudoalteromonas prydzensis</w:t>
      </w:r>
      <w:r>
        <w:t xml:space="preserve"> </w:t>
      </w:r>
      <w:r>
        <w:t>. This enzyme comprises an N-terminal lipase domain and a C-terminal lipoyl peroxidase domain. Through synergistic action of these domains,</w:t>
      </w:r>
      <w:r>
        <w:t xml:space="preserve"> </w:t>
      </w:r>
      <w:r>
        <w:t>Pp</w:t>
      </w:r>
      <w:r>
        <w:t xml:space="preserve"> </w:t>
      </w:r>
      <w:r>
        <w:t>LipO first hydrolyzes ROS-induced phospholipid hydroperoxides into fatty acid hydroperoxides via its lipase domain, then catalyzes their reduction to hydroxy fatty acids via the peroxidase domain. Comprehensive phylogenetic and structural analyses of the C-terminal peroxidase domain revealed its unique position within a distinct clade of the Ohr/OsmC family, known for their roles in organic hydroperoxide detoxification. Functional studies of</w:t>
      </w:r>
      <w:r>
        <w:t xml:space="preserve"> </w:t>
      </w:r>
      <w:r>
        <w:t>Pp</w:t>
      </w:r>
      <w:r>
        <w:t xml:space="preserve"> </w:t>
      </w:r>
      <w:r>
        <w:t>LipO homologs in other marine bacteria, combined with metagenomic surveys, suggest that this strategy is widespread in global oceans, particular among polar marine bacteria. Altogether, our findings identify a prokaryotic phospholipid peroxidation repair mechanism that parallels the mammalian PLA</w:t>
      </w:r>
      <w:r>
        <w:rPr>
          <w:vertAlign w:val="subscript"/>
        </w:rPr>
        <w:t>2</w:t>
      </w:r>
      <w:r>
        <w:t>- peroxidase system, expanding our understanding of oxidative stress response across domains of life.</w:t>
      </w:r>
    </w:p>
    <w:p>
      <w:pPr>
        <w:spacing w:before="120" w:after="120"/>
      </w:pPr>
      <w:r>
        <w:rPr>
          <w:sz w:val="18"/>
        </w:rPr>
        <w:t>——————————————————————————————————————————————————————————————————————</w:t>
      </w:r>
    </w:p>
    <w:p>
      <w:pPr>
        <w:spacing w:before="160" w:after="40" w:line="240" w:lineRule="auto"/>
      </w:pPr>
      <w:r>
        <w:rPr>
          <w:b/>
        </w:rPr>
        <w:t xml:space="preserve">[561] </w:t>
      </w:r>
      <w:hyperlink r:id="rId1655">
        <w:r>
          <w:rPr>
            <w:color w:val="1155CC"/>
            <w:u w:val="single"/>
          </w:rPr>
          <w:t>血红素结合蛋白 CYB5D1 将鞭毛内氧化还原与钙信号耦合以协调鞭毛跳动</w:t>
        </w:r>
      </w:hyperlink>
    </w:p>
    <w:p>
      <w:pPr>
        <w:spacing w:before="0" w:after="80"/>
      </w:pPr>
      <w:r>
        <w:rPr>
          <w:i/>
          <w:sz w:val="20"/>
        </w:rPr>
        <w:t>EN: Heme-binding protein CYB5D1 couples intraflagellar redox to calcium signaling for coordinated flagellar beating</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56">
        <w:r>
          <w:rPr>
            <w:color w:val="1155CC"/>
            <w:u w:val="single"/>
          </w:rPr>
          <w:t>10.1073/pnas.2535939123</w:t>
        </w:r>
      </w:hyperlink>
    </w:p>
    <w:p>
      <w:pPr>
        <w:spacing w:before="0" w:after="120"/>
      </w:pPr>
      <w:r>
        <w:rPr>
          <w:b/>
        </w:rPr>
        <w:t xml:space="preserve">Notes: </w:t>
      </w:r>
      <w:r>
        <w:t>abstract_source=crossref</w:t>
      </w:r>
    </w:p>
    <w:p>
      <w:pPr>
        <w:spacing w:before="0" w:after="80" w:lineRule="auto" w:line="276"/>
      </w:pPr>
      <w:r>
        <w:rPr>
          <w:b/>
        </w:rPr>
        <w:t xml:space="preserve">摘要（ZH）: </w:t>
      </w:r>
      <w:r>
        <w:t>协调的纤毛/鞭毛跳动需要对动力蛋白等分子马达进行精确的时空调节，但控制纤毛同步的分子机制仍然知之甚少。在这里，我们证明了血红素结合轴丝蛋白 CYB5D1 作为氧化还原敏感开关发挥作用，通过调节 Ca2+ 来控制鞭毛跳动协调。</w:t>
      </w:r>
      <w:r>
        <w:t xml:space="preserve"> </w:t>
      </w:r>
      <w:r>
        <w:t>2+</w:t>
      </w:r>
      <w:r>
        <w:t xml:space="preserve"> </w:t>
      </w:r>
      <w:r>
        <w:t>动态。消除血红素结合活性的 D58G 点突变和 CYB5D1 的完全丧失都会导致鞭毛氧化还原电位降低。更重要的是，鞭毛内的超还原氧化还原位移</w:t>
      </w:r>
      <w:r>
        <w:t xml:space="preserve"> </w:t>
      </w:r>
      <w:r>
        <w:t>CYB5D1</w:t>
      </w:r>
      <w:r>
        <w:t xml:space="preserve"> </w:t>
      </w:r>
      <w:r>
        <w:t>突变体增加</w:t>
      </w:r>
      <w:r>
        <w:t xml:space="preserve"> </w:t>
      </w:r>
      <w:r>
        <w:t>顺式</w:t>
      </w:r>
      <w:r>
        <w:t xml:space="preserve"> </w:t>
      </w:r>
      <w:r>
        <w:t>-鞭毛Ca</w:t>
      </w:r>
      <w:r>
        <w:t xml:space="preserve"> </w:t>
      </w:r>
      <w:r>
        <w:t>2+</w:t>
      </w:r>
      <w:r>
        <w:t xml:space="preserve"> </w:t>
      </w:r>
      <w:r>
        <w:t>尖峰频率和幅度，类似于野生型鞭毛的还原处理，导致鞭毛跳动协调性丧失。有趣的是，氧化处理诱导同步 Ca</w:t>
      </w:r>
      <w:r>
        <w:t xml:space="preserve"> </w:t>
      </w:r>
      <w:r>
        <w:t>2+</w:t>
      </w:r>
      <w:r>
        <w:t xml:space="preserve"> </w:t>
      </w:r>
      <w:r>
        <w:t>两者均出现峰值</w:t>
      </w:r>
      <w:r>
        <w:t xml:space="preserve"> </w:t>
      </w:r>
      <w:r>
        <w:t>顺式</w:t>
      </w:r>
      <w:r>
        <w:t xml:space="preserve"> </w:t>
      </w:r>
      <w:r>
        <w:t>- 和</w:t>
      </w:r>
      <w:r>
        <w:t xml:space="preserve"> </w:t>
      </w:r>
      <w:r>
        <w:t>反式</w:t>
      </w:r>
      <w:r>
        <w:t xml:space="preserve"> </w:t>
      </w:r>
      <w:r>
        <w:t>-鞭毛</w:t>
      </w:r>
      <w:r>
        <w:t xml:space="preserve"> </w:t>
      </w:r>
      <w:r>
        <w:t>CYB5D1</w:t>
      </w:r>
      <w:r>
        <w:t xml:space="preserve"> </w:t>
      </w:r>
      <w:r>
        <w:t>并增加鞭毛的跳动协调性。此外，CYB5D1 的缺失导致鞭毛内 Ca2+ 升高。</w:t>
      </w:r>
      <w:r>
        <w:t xml:space="preserve"> </w:t>
      </w:r>
      <w:r>
        <w:t>2+</w:t>
      </w:r>
      <w:r>
        <w:t xml:space="preserve"> </w:t>
      </w:r>
      <w:r>
        <w:t>池。这些结果表明 CYB5D1 将氧化还原传感与 Ca</w:t>
      </w:r>
      <w:r>
        <w:t xml:space="preserve"> </w:t>
      </w:r>
      <w:r>
        <w:t>2+</w:t>
      </w:r>
      <w:r>
        <w:t xml:space="preserve"> </w:t>
      </w:r>
      <w:r>
        <w:t>纤毛协调中的信号传导并揭示同一细胞的两个鞭毛如何实现同步跳动</w:t>
      </w:r>
    </w:p>
    <w:p>
      <w:pPr>
        <w:spacing w:before="0" w:after="200" w:lineRule="auto" w:line="276"/>
      </w:pPr>
      <w:r>
        <w:rPr>
          <w:b/>
        </w:rPr>
        <w:t xml:space="preserve">Abstract (EN): </w:t>
      </w:r>
      <w:r>
        <w:t>Coordinated ciliary/flagellar beating requires precise spatiotemporal regulation of molecular motors such as dyneins, yet the molecular mechanisms governing ciliary synchrony remain poorly understood. Here, we demonstrate that a heme-binding axonemal protein CYB5D1 functions as a redox-sensitive switch that controls flagellar beating coordination by regulating Ca</w:t>
      </w:r>
      <w:r>
        <w:t xml:space="preserve"> </w:t>
      </w:r>
      <w:r>
        <w:t>2+</w:t>
      </w:r>
      <w:r>
        <w:t xml:space="preserve"> </w:t>
      </w:r>
      <w:r>
        <w:t>dynamics. Both the D58G point mutation, which abolishes heme-binding activity, and the complete loss of CYB5D1 lead to a reduction in the flagellar redox potential. More importantly, the hyperreductive intraflagellar redox shift in the</w:t>
      </w:r>
      <w:r>
        <w:t xml:space="preserve"> </w:t>
      </w:r>
      <w:r>
        <w:t>cyb5d1</w:t>
      </w:r>
      <w:r>
        <w:t xml:space="preserve"> </w:t>
      </w:r>
      <w:r>
        <w:t>mutant increases</w:t>
      </w:r>
      <w:r>
        <w:t xml:space="preserve"> </w:t>
      </w:r>
      <w:r>
        <w:t>cis</w:t>
      </w:r>
      <w:r>
        <w:t xml:space="preserve"> </w:t>
      </w:r>
      <w:r>
        <w:t>-flagellar Ca</w:t>
      </w:r>
      <w:r>
        <w:t xml:space="preserve"> </w:t>
      </w:r>
      <w:r>
        <w:t>2+</w:t>
      </w:r>
      <w:r>
        <w:t xml:space="preserve"> </w:t>
      </w:r>
      <w:r>
        <w:t>spike frequency and amplitude, similar to reductive treatment of wild-type flagella, resulting in the loss of flagellar beating coordination. Interestingly, oxidative treatments induced synchronized Ca</w:t>
      </w:r>
      <w:r>
        <w:t xml:space="preserve"> </w:t>
      </w:r>
      <w:r>
        <w:t>2+</w:t>
      </w:r>
      <w:r>
        <w:t xml:space="preserve"> </w:t>
      </w:r>
      <w:r>
        <w:t>spikes across both</w:t>
      </w:r>
      <w:r>
        <w:t xml:space="preserve"> </w:t>
      </w:r>
      <w:r>
        <w:t>cis</w:t>
      </w:r>
      <w:r>
        <w:t xml:space="preserve"> </w:t>
      </w:r>
      <w:r>
        <w:t>- and</w:t>
      </w:r>
      <w:r>
        <w:t xml:space="preserve"> </w:t>
      </w:r>
      <w:r>
        <w:t>trans</w:t>
      </w:r>
      <w:r>
        <w:t xml:space="preserve"> </w:t>
      </w:r>
      <w:r>
        <w:t>-flagella of</w:t>
      </w:r>
      <w:r>
        <w:t xml:space="preserve"> </w:t>
      </w:r>
      <w:r>
        <w:t>cyb5d1</w:t>
      </w:r>
      <w:r>
        <w:t xml:space="preserve"> </w:t>
      </w:r>
      <w:r>
        <w:t>and increased flagellar beating coordination. In addition, loss of CYB5D1 raised the intraflagellar Ca</w:t>
      </w:r>
      <w:r>
        <w:t xml:space="preserve"> </w:t>
      </w:r>
      <w:r>
        <w:t>2+</w:t>
      </w:r>
      <w:r>
        <w:t xml:space="preserve"> </w:t>
      </w:r>
      <w:r>
        <w:t>pool. These results indicate that CYB5D1 links redox sensing to Ca</w:t>
      </w:r>
      <w:r>
        <w:t xml:space="preserve"> </w:t>
      </w:r>
      <w:r>
        <w:t>2+</w:t>
      </w:r>
      <w:r>
        <w:t xml:space="preserve"> </w:t>
      </w:r>
      <w:r>
        <w:t>signaling in ciliary coordination and reveal how the two flagella of the same cell achieve synchronized beating through redox-gated Ca</w:t>
      </w:r>
      <w:r>
        <w:t xml:space="preserve"> </w:t>
      </w:r>
      <w:r>
        <w:t>2+</w:t>
      </w:r>
      <w:r>
        <w:t xml:space="preserve"> </w:t>
      </w:r>
      <w:r>
        <w:t>dynamics. Furthermore, CYB5D1 loss impairs gliding motility by dysregulating Ca</w:t>
      </w:r>
      <w:r>
        <w:t xml:space="preserve"> </w:t>
      </w:r>
      <w:r>
        <w:t>2+</w:t>
      </w:r>
      <w:r>
        <w:t xml:space="preserve"> </w:t>
      </w:r>
      <w:r>
        <w:t>spiking specifically in the leading flagellum, extending the redox-Ca</w:t>
      </w:r>
      <w:r>
        <w:t xml:space="preserve"> </w:t>
      </w:r>
      <w:r>
        <w:t>2+</w:t>
      </w:r>
      <w:r>
        <w:t xml:space="preserve"> </w:t>
      </w:r>
      <w:r>
        <w:t>regulatory axis to surface-associated flagellar behaviors. Given the evolutionary conservation of both CYB5D1 and the redox-Ca</w:t>
      </w:r>
      <w:r>
        <w:t xml:space="preserve"> </w:t>
      </w:r>
      <w:r>
        <w:t>2+</w:t>
      </w:r>
      <w:r>
        <w:t xml:space="preserve"> </w:t>
      </w:r>
      <w:r>
        <w:t>signaling axis, this mechanism likely regulates ciliary function across eukaryotes, with implications for understanding ciliopathies and respiratory diseases.</w:t>
      </w:r>
    </w:p>
    <w:p>
      <w:pPr>
        <w:spacing w:before="120" w:after="120"/>
      </w:pPr>
      <w:r>
        <w:rPr>
          <w:sz w:val="18"/>
        </w:rPr>
        <w:t>——————————————————————————————————————————————————————————————————————</w:t>
      </w:r>
    </w:p>
    <w:p>
      <w:pPr>
        <w:spacing w:before="160" w:after="40" w:line="240" w:lineRule="auto"/>
      </w:pPr>
      <w:r>
        <w:rPr>
          <w:b/>
        </w:rPr>
        <w:t xml:space="preserve">[562] </w:t>
      </w:r>
      <w:hyperlink r:id="rId1657">
        <w:r>
          <w:rPr>
            <w:color w:val="1155CC"/>
            <w:u w:val="single"/>
          </w:rPr>
          <w:t>人类多能干细胞三培养平台阐明神经炎症中视网膜神经节细胞的小胶质细胞调节</w:t>
        </w:r>
      </w:hyperlink>
    </w:p>
    <w:p>
      <w:pPr>
        <w:spacing w:before="0" w:after="80"/>
      </w:pPr>
      <w:r>
        <w:rPr>
          <w:i/>
          <w:sz w:val="20"/>
        </w:rPr>
        <w:t>EN: A human pluripotent stem cell triculture platform to elucidate microglial regulation of retinal ganglion cells in neuroinflammation</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58">
        <w:r>
          <w:rPr>
            <w:color w:val="1155CC"/>
            <w:u w:val="single"/>
          </w:rPr>
          <w:t>10.1073/pnas.2522958123</w:t>
        </w:r>
      </w:hyperlink>
    </w:p>
    <w:p>
      <w:pPr>
        <w:spacing w:before="0" w:after="120"/>
      </w:pPr>
      <w:r>
        <w:rPr>
          <w:b/>
        </w:rPr>
        <w:t xml:space="preserve">Notes: </w:t>
      </w:r>
      <w:r>
        <w:t>abstract_source=crossref</w:t>
      </w:r>
    </w:p>
    <w:p>
      <w:pPr>
        <w:spacing w:before="0" w:after="80" w:lineRule="auto" w:line="276"/>
      </w:pPr>
      <w:r>
        <w:rPr>
          <w:b/>
        </w:rPr>
        <w:t xml:space="preserve">摘要（ZH）: </w:t>
      </w:r>
      <w:r>
        <w:t>视神经病变，包括青光眼，其特征是视网膜神经节细胞（RGC）进行性退化，最终导致不可逆的视力丧失。越来越多的证据表明小胶质细胞（中枢神经系统的常驻免疫细胞）是 RGC 健康和疾病进展的关键调节剂。然而，小胶质细胞影响 RGC 的确切机制仍然知之甚少，特别是在人类环境中。在这项研究中，我们建立了包含小胶质细胞、星形胶质细胞和RGC的人类多能干细胞衍生的共培养系统，以探索小胶质细胞如何在生理条件下影响RGC的生长和成熟。我们首先研究了共培养和三培养系统中稳态小胶质细胞对 RGC 的影响，揭示了共培养中细胞类型与单独培养时的不同影响。然后，我们通过用脂多糖激活小胶质细胞来模拟炎症状态，并直接和在星形胶质细胞共培养的情况下评估它们对 RGC 的影响。这种逐步简化的方法使我们能够剖析在视神经病相关炎症条件下导致 RGC 脆弱性的细胞相互作用。我们的研究结果提供了对 RGC 变性背后的复杂神经免疫景观的深入了解，并确定了可作为一系列视神经疾病治疗靶点的关键途径。</w:t>
      </w:r>
    </w:p>
    <w:p>
      <w:pPr>
        <w:spacing w:before="0" w:after="200" w:lineRule="auto" w:line="276"/>
      </w:pPr>
      <w:r>
        <w:rPr>
          <w:b/>
        </w:rPr>
        <w:t xml:space="preserve">Abstract (EN): </w:t>
      </w:r>
      <w:r>
        <w:t>Optic neuropathies, including glaucoma, are characterized by the progressive degeneration of retinal ganglion cells (RGCs), ultimately leading to irreversible vision loss. Increasing evidence implicates microglia, the resident immune cells of the central nervous system, as key modulators of RGC health and disease progression. However, the precise mechanisms by which microglia influence RGCs remain poorly understood, particularly in the human context. In this study, we established human pluripotent stem cell-derived coculture systems incorporating microglia, astrocytes, and RGCs to explore how microglia shape RGC growth and maturation under physiological conditions. We first examined the impact of homeostatic microglia on RGCs in both coculture and triculture systems, revealing distinct influences of cell types in coculture compared to when they were grown individually. We then modeled inflammatory states by activating microglia with lipopolysaccharide and evaluated their effects on RGCs both directly and in the context of astrocyte coculture. This stepwise, reductionist approach enabled us to dissect the cellular interactions driving RGC vulnerability in inflammatory conditions relevant to optic neuropathies. Our findings provide insight into the complex neuroimmune landscape that underlies RGC degeneration and identify key pathways that may serve as therapeutic targets across a range of optic nerve diseases.</w:t>
      </w:r>
    </w:p>
    <w:p>
      <w:pPr>
        <w:spacing w:before="120" w:after="120"/>
      </w:pPr>
      <w:r>
        <w:rPr>
          <w:sz w:val="18"/>
        </w:rPr>
        <w:t>——————————————————————————————————————————————————————————————————————</w:t>
      </w:r>
    </w:p>
    <w:p>
      <w:pPr>
        <w:spacing w:before="160" w:after="40" w:line="240" w:lineRule="auto"/>
      </w:pPr>
      <w:r>
        <w:rPr>
          <w:b/>
        </w:rPr>
        <w:t xml:space="preserve">[563] </w:t>
      </w:r>
      <w:hyperlink r:id="rId1659">
        <w:r>
          <w:rPr>
            <w:color w:val="1155CC"/>
            <w:u w:val="single"/>
          </w:rPr>
          <w:t>USP14竞争性结合FBXW7稳定MTDH促进头颈鳞癌转移和耐药</w:t>
        </w:r>
      </w:hyperlink>
    </w:p>
    <w:p>
      <w:pPr>
        <w:spacing w:before="0" w:after="80"/>
      </w:pPr>
      <w:r>
        <w:rPr>
          <w:i/>
          <w:sz w:val="20"/>
        </w:rPr>
        <w:t>EN: USP14 competitively binds to FBXW7 to stabilize MTDH and promotes metastasis and drug resistance of head and neck squamous cell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60">
        <w:r>
          <w:rPr>
            <w:color w:val="1155CC"/>
            <w:u w:val="single"/>
          </w:rPr>
          <w:t>10.1073/pnas.2504068123</w:t>
        </w:r>
      </w:hyperlink>
    </w:p>
    <w:p>
      <w:pPr>
        <w:spacing w:before="0" w:after="120"/>
      </w:pPr>
      <w:r>
        <w:rPr>
          <w:b/>
        </w:rPr>
        <w:t xml:space="preserve">Notes: </w:t>
      </w:r>
      <w:r>
        <w:t>abstract_source=crossref</w:t>
      </w:r>
    </w:p>
    <w:p>
      <w:pPr>
        <w:spacing w:before="0" w:after="80" w:lineRule="auto" w:line="276"/>
      </w:pPr>
      <w:r>
        <w:rPr>
          <w:b/>
        </w:rPr>
        <w:t xml:space="preserve">摘要（ZH）: </w:t>
      </w:r>
      <w:r>
        <w:t>转移的发展标志着头颈鳞状细胞癌（HNSCC）的侵袭阶段，并与不利的生存结果密切相关。虽然麦粘蛋白 (MTDH) 驱动 HNSCC 的肿瘤发生、转移和化疗耐药，但其失调机制仍不清楚。在这里，我们将 USP14 确定为稳定 MTDH 的特定去泛素酶。 MTDH 的 USP14 依赖性去泛素化可激活 NF-κB 信号传导，从而驱动上皮-间质转化并支持癌症干细胞的维持，最终增强 HNSCC 的转移和化疗耐药性。从机制上讲，我们发现了一种竞争性相互作用：USP14 与泛素连接酶 FBXW7 竞争 MTDH 结合，从而防止 FBXW7 介导的降解。因此，USP14 抑制显着减轻了攻击性表型，这种效应可通过重新引入 MTDH 来逆转。临床分析证实MTDH和USP14在转移性HNSCC组织中过表达且呈正相关。总之，我们的研究揭示了一个调节轴，USP14 竞争性地抵消 FBXW7 以稳定 MTDH，从而推动 HNSCC 进展。这些发现提供了临床前证据，表明靶向 USP14 是克服 HNSCC 转移和化疗耐药性的一种有前景的治疗策略。</w:t>
      </w:r>
    </w:p>
    <w:p>
      <w:pPr>
        <w:spacing w:before="0" w:after="200" w:lineRule="auto" w:line="276"/>
      </w:pPr>
      <w:r>
        <w:rPr>
          <w:b/>
        </w:rPr>
        <w:t xml:space="preserve">Abstract (EN): </w:t>
      </w:r>
      <w:r>
        <w:t>The development of metastasis marks an aggressive stage of head and neck squamous cell carcinoma (HNSCC) and is closely linked to unfavorable survival outcomes. While metadherin (MTDH) drives tumorigenesis, metastasis, and chemoresistance in HNSCC, its dysregulation mechanisms remain unclear. Here, we identify USP14 as a specific deubiquitinase that stabilizes MTDH. USP14-dependent deubiquitination of MTDH activates NF-κB signaling, which drives epithelial–mesenchymal transition and supports cancer stem cells maintenance, ultimately strengthening HNSCC metastasis and chemoresistance. Mechanistically, we uncovered a competitive interaction: USP14 competes with the ubiquitin ligase FBXW7 for MTDH binding, preventing FBXW7-mediated degradation. Consequently, USP14 inhibition significantly mitigates aggressive phenotypes, an effect reversed by MTDH reintroduction. Clinical analysis confirms that MTDH and USP14 are overexpressed and positively correlated in metastatic HNSCC tissues. In conclusion, our study reveals a regulatory axis where USP14 competitively counteracts FBXW7 to stabilize MTDH, driving HNSCC progression. These findings provide preclinical evidence that targeting USP14 is a promising therapeutic strategy to overcome metastasis and chemoresistance in HNSCC.</w:t>
      </w:r>
    </w:p>
    <w:p>
      <w:pPr>
        <w:spacing w:before="120" w:after="120"/>
      </w:pPr>
      <w:r>
        <w:rPr>
          <w:sz w:val="18"/>
        </w:rPr>
        <w:t>——————————————————————————————————————————————————————————————————————</w:t>
      </w:r>
    </w:p>
    <w:p>
      <w:pPr>
        <w:spacing w:before="160" w:after="40" w:line="240" w:lineRule="auto"/>
      </w:pPr>
      <w:r>
        <w:rPr>
          <w:b/>
        </w:rPr>
        <w:t xml:space="preserve">[564] </w:t>
      </w:r>
      <w:hyperlink r:id="rId1661">
        <w:r>
          <w:rPr>
            <w:color w:val="1155CC"/>
            <w:u w:val="single"/>
          </w:rPr>
          <w:t>知觉元不确定性揭示了自闭症感官信心的增强校准</w:t>
        </w:r>
      </w:hyperlink>
    </w:p>
    <w:p>
      <w:pPr>
        <w:spacing w:before="0" w:after="80"/>
      </w:pPr>
      <w:r>
        <w:rPr>
          <w:i/>
          <w:sz w:val="20"/>
        </w:rPr>
        <w:t>EN: Perceptual meta-uncertainty reveals enhanced calibration of sensory confidence in autism</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62">
        <w:r>
          <w:rPr>
            <w:color w:val="1155CC"/>
            <w:u w:val="single"/>
          </w:rPr>
          <w:t>10.1126/sciadv.aee2332</w:t>
        </w:r>
      </w:hyperlink>
    </w:p>
    <w:p>
      <w:pPr>
        <w:spacing w:before="0" w:after="120"/>
      </w:pPr>
      <w:r>
        <w:rPr>
          <w:b/>
        </w:rPr>
        <w:t xml:space="preserve">Notes: </w:t>
      </w:r>
      <w:r>
        <w:t>abstract_source=crossref</w:t>
      </w:r>
    </w:p>
    <w:p>
      <w:pPr>
        <w:spacing w:before="0" w:after="80" w:lineRule="auto" w:line="276"/>
      </w:pPr>
      <w:r>
        <w:rPr>
          <w:b/>
        </w:rPr>
        <w:t xml:space="preserve">摘要（ZH）: </w:t>
      </w:r>
      <w:r>
        <w:t>鉴于非典型元认知在社会认知和行为灵活性中的作用，有人认为非典型元认知是自闭症表型的基础。然而，还没有研究定量评估自闭症患者的元认知能力。在这里，我们测量了自闭症的元不确定性——噪声破坏了对自己决策不确定性的估计。在三个实验中，自闭症和非自闭症参与者（</w:t>
      </w:r>
      <w:r>
        <w:t xml:space="preserve"> </w:t>
      </w:r>
      <w:r>
        <w:t>氮</w:t>
      </w:r>
      <w:r>
        <w:t xml:space="preserve"> </w:t>
      </w:r>
      <w:r>
        <w:t>= 145）执行方向分类任务，同时报告他们的选择信心。通过独立操纵每个贝叶斯成分（感觉不确定性、先验和奖励）并拟合最近建立的过程模型，我们评估了贝叶斯成分的元认知能力及其偶然性，同时控制一阶决策。与非自闭症参与者不同，自闭症参与者的元不确定性取决于哪个决策成分被操纵，并且低于非自闭症参与者，特别是当决策根据感觉不确定性进行调整时。这些发现表明，自闭症患者的元认知通常不会减少，而是会增强主要依赖于感官信息的推理。</w:t>
      </w:r>
    </w:p>
    <w:p>
      <w:pPr>
        <w:spacing w:before="0" w:after="200" w:lineRule="auto" w:line="276"/>
      </w:pPr>
      <w:r>
        <w:rPr>
          <w:b/>
        </w:rPr>
        <w:t xml:space="preserve">Abstract (EN): </w:t>
      </w:r>
      <w:r>
        <w:t>Atypical metacognition has been suggested to underlie autistic phenotypes, given its role in social cognition and behavioral flexibility. However, no study has quantitatively assessed metacognitive abilities in autism. Here, we measured meta-uncertainty—the noise corrupting estimates of one’s own decision uncertainty—in autism. In three experiments, autistic and non-autistic participants (</w:t>
      </w:r>
      <w:r>
        <w:t xml:space="preserve"> </w:t>
      </w:r>
      <w:r>
        <w:t>N</w:t>
      </w:r>
      <w:r>
        <w:t xml:space="preserve"> </w:t>
      </w:r>
      <w:r>
        <w:t>= 145) performed orientation categorization tasks while simultaneously reporting their choice confidence. By independently manipulating each Bayesian component—sensory uncertainty, prior, and reward—and fitting a recently established process model, we assessed metacognitive abilities and their contingency on the Bayesian components while controlling for first-order decisions. Unlike non-autistic participants, autistic participants’ meta-uncertainty depended on which decision component was manipulated and was lower than that of non-autistic participants, specifically when decisions were adjusted for sensory uncertainty. These findings reveal that metacognition in autism is not generally reduced but rather enhanced for inferences that rely primarily on sensory information.</w:t>
      </w:r>
    </w:p>
    <w:p>
      <w:pPr>
        <w:spacing w:before="120" w:after="120"/>
      </w:pPr>
      <w:r>
        <w:rPr>
          <w:sz w:val="18"/>
        </w:rPr>
        <w:t>——————————————————————————————————————————————————————————————————————</w:t>
      </w:r>
    </w:p>
    <w:p>
      <w:pPr>
        <w:spacing w:before="160" w:after="40" w:line="240" w:lineRule="auto"/>
      </w:pPr>
      <w:r>
        <w:rPr>
          <w:b/>
        </w:rPr>
        <w:t xml:space="preserve">[565] </w:t>
      </w:r>
      <w:hyperlink r:id="rId1663">
        <w:r>
          <w:rPr>
            <w:color w:val="1155CC"/>
            <w:u w:val="single"/>
          </w:rPr>
          <w:t>鉴定用于治疗子宫内膜异位症和相关疼痛的 JUN N 末端激酶的有效抑制剂</w:t>
        </w:r>
      </w:hyperlink>
    </w:p>
    <w:p>
      <w:pPr>
        <w:spacing w:before="0" w:after="80"/>
      </w:pPr>
      <w:r>
        <w:rPr>
          <w:i/>
          <w:sz w:val="20"/>
        </w:rPr>
        <w:t>EN: Identification of potent inhibitors of JUN N-terminal kinases for treatment of endometriosis and associated pain</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64">
        <w:r>
          <w:rPr>
            <w:color w:val="1155CC"/>
            <w:u w:val="single"/>
          </w:rPr>
          <w:t>10.1073/pnas.2607561123</w:t>
        </w:r>
      </w:hyperlink>
    </w:p>
    <w:p>
      <w:pPr>
        <w:spacing w:before="0" w:after="120"/>
      </w:pPr>
      <w:r>
        <w:rPr>
          <w:b/>
        </w:rPr>
        <w:t xml:space="preserve">Notes: </w:t>
      </w:r>
      <w:r>
        <w:t>abstract_source=crossref</w:t>
      </w:r>
    </w:p>
    <w:p>
      <w:pPr>
        <w:spacing w:before="0" w:after="80" w:lineRule="auto" w:line="276"/>
      </w:pPr>
      <w:r>
        <w:rPr>
          <w:b/>
        </w:rPr>
        <w:t xml:space="preserve">摘要（ZH）: </w:t>
      </w:r>
      <w:r>
        <w:t>子宫内膜异位症被定义为子宫内膜组织在子宫腔外异位生长，是一种炎症和激素依赖性疾病，会导致难以忍受的盆腔疼痛、不孕，并显着降低受影响患者的生活质量。 JUN N 末端激酶 (JNK) 是一类领先的非激素治疗靶点，已在子宫内膜异位症的临床前模型和 1/2 期临床试验中得到验证。尽管具有治疗潜力，但仍需要具有更高效力和特异性的 JNK 抑制剂来解决子宫内膜异位症的炎症病理学并防止疾病进展。利用约 40 亿种化合物的 DNA 编码化学库集合，我们鉴定了先导抑制剂 CDD-2428 和优化的衍生物 CDD-2728 和 CDD-3013，对 JNK1-3 (K</w:t>
      </w:r>
      <w:r>
        <w:t xml:space="preserve"> </w:t>
      </w:r>
      <w:r>
        <w:t>d</w:t>
      </w:r>
      <w:r>
        <w:t xml:space="preserve"> </w:t>
      </w:r>
      <w:r>
        <w:t>= 0.12 至 3.7 nM)，增强选择性、代谢稳定性和细胞通透性。晶体学和生化研究证实，与现有的 JNK 抑制剂相比，CDD-3013 表现出优异的激酶选择性和更高的功效。在原代子宫内膜异位症细胞模型中，CDD-2728 和 CDD-3013 抑制 JNK 依赖性炎症信号传导，抑制与疼痛、侵袭、血管生成和巨噬细胞招募相关的通路。在子宫内膜异位症小鼠模型中，CDD-2728 和 CDD-3013 均可减少子宫内膜异位病灶大小、巨噬细胞浸润和细胞增殖，显示出体内功效。在脂多糖诱导的痛觉过敏模型中进行测试时，CDD-2728 和 CDD</w:t>
      </w:r>
    </w:p>
    <w:p>
      <w:pPr>
        <w:spacing w:before="0" w:after="200" w:lineRule="auto" w:line="276"/>
      </w:pPr>
      <w:r>
        <w:rPr>
          <w:b/>
        </w:rPr>
        <w:t xml:space="preserve">Abstract (EN): </w:t>
      </w:r>
      <w:r>
        <w:t>Endometriosis, defined as the ectopic growth of endometrial tissue outside of the uterine cavity, is an inflammatory and hormone-dependent disease that causes excruciating pelvic pain, infertility, and significantly decreases quality of life in affected patients. The JUN N-terminal kinases (JNKs) are a leading class of nonhormonal therapeutic targets that have been validated in preclinical models of endometriosis and in a Phase 1/2 clinical trial. Despite their therapeutic potential, JNK inhibitors with increased potency and specificity are needed to address the inflammatory pathology of endometriosis and to prevent disease progression. Leveraging a DNA-encoded chemical library collection of ~4 billion compounds, we identified lead inhibitor CDD-2428 and optimized derivatives, CDD-2728 and CDD-3013, with excellent binding affinity to JNK1-3 (K</w:t>
      </w:r>
      <w:r>
        <w:t xml:space="preserve"> </w:t>
      </w:r>
      <w:r>
        <w:t>d</w:t>
      </w:r>
      <w:r>
        <w:t xml:space="preserve"> </w:t>
      </w:r>
      <w:r>
        <w:t>= 0.12 to 3.7 nM), enhanced selectivity, metabolic stability, and cellular permeability. Crystallographic and biochemical studies confirmed that CDD-3013 exhibited superior kinase selectivity with improved efficacy compared to existing JNK inhibitors. In primary endometriosis cell models, CDD-2728 and CDD-3013 suppressed JNK-dependent inflammatory signaling, dampening pathways linked to pain, invasion, angiogenesis, and macrophage recruitment. In an endometriosis mouse model, both CDD-2728 and CDD-3013 reduced endometriotic lesion size, macrophage infiltration, and cellular proliferation, showing in vivo efficacy. When tested in a lipopolysaccharide-induced hyperalgesia model, CDD-2728 and CDD-3013 decreased markers of induced pain, as measured by changes in a dynamic weight bearing test and Grimace scores. These findings nominate CDD-2728 and CDD-3013 as potent, nonhormonal therapeutic candidates for endometriosis with broad anti-inflammatory and analgesic activity, addressing a critical unmet clinical need.</w:t>
      </w:r>
    </w:p>
    <w:p>
      <w:pPr>
        <w:spacing w:before="120" w:after="120"/>
      </w:pPr>
      <w:r>
        <w:rPr>
          <w:sz w:val="18"/>
        </w:rPr>
        <w:t>——————————————————————————————————————————————————————————————————————</w:t>
      </w:r>
    </w:p>
    <w:p>
      <w:pPr>
        <w:spacing w:before="160" w:after="40" w:line="240" w:lineRule="auto"/>
      </w:pPr>
      <w:r>
        <w:rPr>
          <w:b/>
        </w:rPr>
        <w:t xml:space="preserve">[566] </w:t>
      </w:r>
      <w:hyperlink r:id="rId1665">
        <w:r>
          <w:rPr>
            <w:color w:val="1155CC"/>
            <w:u w:val="single"/>
          </w:rPr>
          <w:t>体内成骨细胞代谢和骨基质周转的高分辨率图谱</w:t>
        </w:r>
      </w:hyperlink>
    </w:p>
    <w:p>
      <w:pPr>
        <w:spacing w:before="0" w:after="80"/>
      </w:pPr>
      <w:r>
        <w:rPr>
          <w:i/>
          <w:sz w:val="20"/>
        </w:rPr>
        <w:t>EN: High-resolution mapping of osteoblast metabolism and bone matrix turnover in vivo</w:t>
      </w:r>
    </w:p>
    <w:p>
      <w:pPr>
        <w:spacing w:before="0" w:after="120"/>
      </w:pPr>
      <w:r>
        <w:rPr>
          <w:b/>
        </w:rPr>
        <w:t xml:space="preserve">Source: </w:t>
      </w:r>
      <w:r>
        <w:t>Proceedings of the National Academy of Sciences: Keyword search for query</w:t>
      </w:r>
      <w:r>
        <w:t xml:space="preserve">    </w:t>
      </w:r>
      <w:r>
        <w:rPr>
          <w:b/>
        </w:rPr>
        <w:t xml:space="preserve">Pub date: </w:t>
      </w:r>
      <w:r>
        <w:t>2026-08-19 07:00:00+00:00</w:t>
      </w:r>
      <w:r>
        <w:t xml:space="preserve">    </w:t>
      </w:r>
      <w:r>
        <w:rPr>
          <w:b/>
        </w:rPr>
        <w:t xml:space="preserve">DOI: </w:t>
      </w:r>
      <w:hyperlink r:id="rId1666">
        <w:r>
          <w:rPr>
            <w:color w:val="1155CC"/>
            <w:u w:val="single"/>
          </w:rPr>
          <w:t>10.1073/pnas.2533109123</w:t>
        </w:r>
      </w:hyperlink>
    </w:p>
    <w:p>
      <w:pPr>
        <w:spacing w:before="0" w:after="120"/>
      </w:pPr>
      <w:r>
        <w:rPr>
          <w:b/>
        </w:rPr>
        <w:t xml:space="preserve">Notes: </w:t>
      </w:r>
      <w:r>
        <w:t>abstract_source=crossref</w:t>
      </w:r>
    </w:p>
    <w:p>
      <w:pPr>
        <w:spacing w:before="0" w:after="80" w:lineRule="auto" w:line="276"/>
      </w:pPr>
      <w:r>
        <w:rPr>
          <w:b/>
        </w:rPr>
        <w:t xml:space="preserve">摘要（ZH）: </w:t>
      </w:r>
      <w:r>
        <w:t>了解成骨细胞如何在体内构建和重塑骨基质仍然是一个基本挑战，因为细胞代谢和基质周转很难在矿化组织内跨时间和空间解决。在这里，我们开发了一个集成成像平台，将稳定同位素标记与相关电子显微镜和纳米级二次离子质谱（NanoSIMS）相结合，以纳米分辨率可视化体内骨细胞代谢和基质动力学。这种方法揭示了膳食氨基酸在口服给药后几分钟内快速掺入成骨细胞亚细胞区室，然后在数小时内沉积新标记的细胞外基质。通过将元素组成、同位素掺入和超微结构联系起来，我们进一步表明细胞磷信号与早期成骨细胞氨基酸掺入相关。多日标记显示新沉积的基质在空间上与局部骨细胞过程结构相关。长期氨基酸追踪揭示了骨细胞和破骨细胞界面的局部基质周转，包括骨细胞相关的细胞周基质重塑以及破骨细胞与新形成的、旧的和混合基质区域的关联。最后，衰老与成骨细胞氨基酸掺入减少、基质沉积减少以及骨细胞过程相关活性受损有关。总之，这项工作建立了一个高分辨率平台，将骨细胞代谢与体内基质沉积和周转联系起来，提供了一种具有广泛适应性的策略</w:t>
      </w:r>
    </w:p>
    <w:p>
      <w:pPr>
        <w:spacing w:before="0" w:after="200" w:lineRule="auto" w:line="276"/>
      </w:pPr>
      <w:r>
        <w:rPr>
          <w:b/>
        </w:rPr>
        <w:t xml:space="preserve">Abstract (EN): </w:t>
      </w:r>
      <w:r>
        <w:t>Understanding how osteoblasts build and remodel bone matrix in vivo remains a fundamental challenge because cellular metabolism and matrix turnover are difficult to resolve across time and space within mineralized tissues. Here, we developed an integrated imaging platform combining stable isotope labeling with correlative electron microscopy and nanoscale secondary ion mass spectrometry (NanoSIMS) to visualize bone cell metabolism and matrix dynamics at nanometer resolution in vivo. This approach revealed rapid incorporation of dietary amino acids into osteoblast subcellular compartments within minutes of oral administration, followed by deposition of newly labeled extracellular matrix within hours. By linking elemental composition, isotope incorporation, and ultrastructure, we further show that cellular phosphorus signal is associated with early osteoblast amino acid incorporation. Multiday labeling revealed that newly deposited matrix is spatially associated with local osteocyte process architecture. Long-term amino acid tracing uncovered localized matrix turnover at osteocyte and osteoclast interfaces, including osteocyte-associated pericellular matrix remodeling and osteoclast association with newly formed, old, and mixed matrix regions. Finally, aging was associated with reduced osteoblast amino acid incorporation, diminished matrix deposition, and impaired osteocyte process-associated activity. Together, this work establishes a high-resolution platform for linking bone cell metabolism with matrix deposition and turnover in vivo, providing a broadly adaptable strategy to investigate skeletal aging, tissue remodeling, and metabolic dysfunction in disease.</w:t>
      </w:r>
    </w:p>
    <w:p>
      <w:pPr>
        <w:spacing w:before="120" w:after="120"/>
      </w:pPr>
      <w:r>
        <w:rPr>
          <w:sz w:val="18"/>
        </w:rPr>
        <w:t>——————————————————————————————————————————————————————————————————————</w:t>
      </w:r>
    </w:p>
    <w:p>
      <w:pPr>
        <w:spacing w:before="160" w:after="40" w:line="240" w:lineRule="auto"/>
      </w:pPr>
      <w:r>
        <w:rPr>
          <w:b/>
        </w:rPr>
        <w:t xml:space="preserve">[567] </w:t>
      </w:r>
      <w:hyperlink r:id="rId1667">
        <w:r>
          <w:rPr>
            <w:color w:val="1155CC"/>
            <w:u w:val="single"/>
          </w:rPr>
          <w:t>通过无人机辅助多摄像头跟踪实现大规模户外 3D 轨迹测量</w:t>
        </w:r>
      </w:hyperlink>
    </w:p>
    <w:p>
      <w:pPr>
        <w:spacing w:before="0" w:after="80"/>
      </w:pPr>
      <w:r>
        <w:rPr>
          <w:i/>
          <w:sz w:val="20"/>
        </w:rPr>
        <w:t>EN: Large-scale outdoor 3D trajectory measurements enabled by drone-assisted multicamera tracking</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68">
        <w:r>
          <w:rPr>
            <w:color w:val="1155CC"/>
            <w:u w:val="single"/>
          </w:rPr>
          <w:t>10.1126/sciadv.aeh8352</w:t>
        </w:r>
      </w:hyperlink>
    </w:p>
    <w:p>
      <w:pPr>
        <w:spacing w:before="0" w:after="120"/>
      </w:pPr>
      <w:r>
        <w:rPr>
          <w:b/>
        </w:rPr>
        <w:t xml:space="preserve">Notes: </w:t>
      </w:r>
      <w:r>
        <w:t>abstract_source=crossref</w:t>
      </w:r>
    </w:p>
    <w:p>
      <w:pPr>
        <w:spacing w:before="0" w:after="80" w:lineRule="auto" w:line="276"/>
      </w:pPr>
      <w:r>
        <w:rPr>
          <w:b/>
        </w:rPr>
        <w:t xml:space="preserve">摘要（ZH）: </w:t>
      </w:r>
      <w:r>
        <w:t>室外环境中三维 (3D) 轨迹的精确测量对于研究大气传输、飞行器运动和集体行为等复杂的动态过程至关重要。然而，在室外大体积上获得定量轨迹测量仍然具有挑战性，因为多摄像机系统需要在现场条件下进行可靠的校准和同步。在这里，我们介绍了一种便携式自动化无人机辅助多摄像头 3D 跟踪 (DAM3T) 框架，用于地理参考轨迹重建。该系统无需专用校准标记即可估计自主无人机飞行的多相机外在参数，并使用实时运动全球定位系统 (RTK-GPS) 测量将重建的坐标系与地理坐标 (WGS84) 对齐。室内动作捕捉和室外 RTK-GPS 条件下的验证表明轨迹误差低于 2%。我们通过使用被动跟踪器的拉格朗日分析、多架无人机的地理参考跟踪以及运动场景中的 3D 运动分析进一步演示了该框架。这使 DAM3T 成为一个可扩展的测量平台，将户外跟踪从局部坐标重建扩展到复杂动态系统的地理参考测量。</w:t>
      </w:r>
    </w:p>
    <w:p>
      <w:pPr>
        <w:spacing w:before="0" w:after="200" w:lineRule="auto" w:line="276"/>
      </w:pPr>
      <w:r>
        <w:rPr>
          <w:b/>
        </w:rPr>
        <w:t xml:space="preserve">Abstract (EN): </w:t>
      </w:r>
      <w:r>
        <w:t>Accurate measurement of three-dimensional (3D) trajectories in outdoor environments is essential for studying complex dynamic processes such as atmospheric transport, aerial vehicle motion, and collective behavior. However, obtaining quantitative trajectory measurements over large outdoor volumes remains challenging because multicamera systems require reliable calibration and synchronization under field conditions. Here, we introduce a portable and automated drone-assisted multicamera 3D tracking (DAM3T) framework for georeferenced trajectory reconstruction. The system estimates multicamera extrinsic parameters from an autonomous drone flight without dedicated calibration markers and aligns the reconstructed coordinate system with geographic coordinates (WGS84) using real-time kinematic Global Positioning System (RTK-GPS) measurements. Validation under indoor motion-capture and outdoor RTK-GPS conditions demonstrates trajectory errors below 2%. We further demonstrate the framework through Lagrangian analysis using passive tracers, georeferenced tracking of multiple unmanned aerial vehicles, and 3D motion analysis in sports scenes. This establishes DAM3T as a scalable measurement platform that extends outdoor tracking from local-coordinate reconstruction to georeferenced measurement of complex dynamic systems.</w:t>
      </w:r>
    </w:p>
    <w:p>
      <w:pPr>
        <w:spacing w:before="120" w:after="120"/>
      </w:pPr>
      <w:r>
        <w:rPr>
          <w:sz w:val="18"/>
        </w:rPr>
        <w:t>——————————————————————————————————————————————————————————————————————</w:t>
      </w:r>
    </w:p>
    <w:p>
      <w:pPr>
        <w:spacing w:before="160" w:after="40" w:line="240" w:lineRule="auto"/>
      </w:pPr>
      <w:r>
        <w:rPr>
          <w:b/>
        </w:rPr>
        <w:t xml:space="preserve">[568] </w:t>
      </w:r>
      <w:hyperlink r:id="rId1669">
        <w:r>
          <w:rPr>
            <w:color w:val="1155CC"/>
            <w:u w:val="single"/>
          </w:rPr>
          <w:t>针对血管生成和癌簇外渗筛选抗转移药物</w:t>
        </w:r>
      </w:hyperlink>
    </w:p>
    <w:p>
      <w:pPr>
        <w:spacing w:before="0" w:after="80"/>
      </w:pPr>
      <w:r>
        <w:rPr>
          <w:i/>
          <w:sz w:val="20"/>
        </w:rPr>
        <w:t>EN: Screening of anti-metastasis drugs by targeting angiopellosis and cancer cluster extravasation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70">
        <w:r>
          <w:rPr>
            <w:color w:val="1155CC"/>
            <w:u w:val="single"/>
          </w:rPr>
          <w:t>10.1126/sciadv.aed4204</w:t>
        </w:r>
      </w:hyperlink>
    </w:p>
    <w:p>
      <w:pPr>
        <w:spacing w:before="0" w:after="120"/>
      </w:pPr>
      <w:r>
        <w:rPr>
          <w:b/>
        </w:rPr>
        <w:t xml:space="preserve">Notes: </w:t>
      </w:r>
      <w:r>
        <w:t>abstract_source=crossref</w:t>
      </w:r>
    </w:p>
    <w:p>
      <w:pPr>
        <w:spacing w:before="0" w:after="80" w:lineRule="auto" w:line="276"/>
      </w:pPr>
      <w:r>
        <w:rPr>
          <w:b/>
        </w:rPr>
        <w:t xml:space="preserve">摘要（ZH）: </w:t>
      </w:r>
      <w:r>
        <w:t>转移占癌症相关死亡的 90%。外渗是癌症转移的必要步骤。目前，还没有专门针对外渗的药物。大多数癌症疗法以增殖或血管生成为目标。我们之前将“血管生成”确定为血管内皮细胞发生构象变化并主动将循环癌细胞“推出”血管的主要机制。在这项研究中，我们通过将癌症膜包被球体与内皮单层共培养，开发了一种基于图像的高通量药物筛选方法。通过这个平台，我们确定 Bay 61-3606 是一种领先的血管增生抑制剂。在斑马鱼和小鼠模型中，Bay 61-3606 显着减少了癌症簇外渗，这是一种仅由血管生成支持的活动，并且与较高的转移潜力相关。此外，Bay 61-3606 还可减少肺癌和三阴性乳腺癌小鼠模型中的远处转移。从机制上讲，Bay 61-3606 靶向 c-Jun 氨基末端激酶信号通路，下调内皮细胞中 COL8A1 的表达并损害血管生成过程。</w:t>
      </w:r>
    </w:p>
    <w:p>
      <w:pPr>
        <w:spacing w:before="0" w:after="200" w:lineRule="auto" w:line="276"/>
      </w:pPr>
      <w:r>
        <w:rPr>
          <w:b/>
        </w:rPr>
        <w:t xml:space="preserve">Abstract (EN): </w:t>
      </w:r>
      <w:r>
        <w:t>Metastasis accounts for 90% of cancer-related deaths. Extravasation is a necessary step for cancer metastasis. Currently, there are no drugs that specially target extravasation. Most cancer therapies target either proliferation or angiogenesis. We previously identified “angiopellosis” as the dominant mechanism by which vascular endothelial cells undergo conformational changes and actively “push” circulating cancer cells out of blood vessels. In this study, we developed an image-based high-throughput drug screening assay by coculturing cancer membrane–coated spheres with endothelial monolayers. Through this platform, we identified Bay 61-3606 as a lead angiopellosis inhibitor. Bay 61-3606 substantially reduced cancer cluster extravasation, an activity solely supported by angiopellosis and associated with higher metastatic potential, in both zebrafish and mouse models. Furthermore, Bay 61-3606 decreased distant metastases in murine models of lung carcinoma and triple-negative breast cancer. Mechanistically, Bay 61-3606 targeted the c-Jun amino-terminal kinase signaling pathway, down-regulating COL8A1 expression in endothelial cells and impairing the angiopellosis process.</w:t>
      </w:r>
    </w:p>
    <w:p>
      <w:pPr>
        <w:spacing w:before="120" w:after="120"/>
      </w:pPr>
      <w:r>
        <w:rPr>
          <w:sz w:val="18"/>
        </w:rPr>
        <w:t>——————————————————————————————————————————————————————————————————————</w:t>
      </w:r>
    </w:p>
    <w:p>
      <w:pPr>
        <w:spacing w:before="160" w:after="40" w:line="240" w:lineRule="auto"/>
      </w:pPr>
      <w:r>
        <w:rPr>
          <w:b/>
        </w:rPr>
        <w:t xml:space="preserve">[569] </w:t>
      </w:r>
      <w:hyperlink r:id="rId1671">
        <w:r>
          <w:rPr>
            <w:color w:val="1155CC"/>
            <w:u w:val="single"/>
          </w:rPr>
          <w:t>大西洋大气-海洋的耦合变化调节北非的皮肤利什曼病，从而实现长期的季节性预测</w:t>
        </w:r>
      </w:hyperlink>
    </w:p>
    <w:p>
      <w:pPr>
        <w:spacing w:before="0" w:after="80"/>
      </w:pPr>
      <w:r>
        <w:rPr>
          <w:i/>
          <w:sz w:val="20"/>
        </w:rPr>
        <w:t>EN: Coupled Atlantic atmosphere-ocean variability modulates cutaneous leishmaniasis in North Africa, enabling long-lead seasonal forecasts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72">
        <w:r>
          <w:rPr>
            <w:color w:val="1155CC"/>
            <w:u w:val="single"/>
          </w:rPr>
          <w:t>10.1126/sciadv.aeb0774</w:t>
        </w:r>
      </w:hyperlink>
    </w:p>
    <w:p>
      <w:pPr>
        <w:spacing w:before="0" w:after="120"/>
      </w:pPr>
      <w:r>
        <w:rPr>
          <w:b/>
        </w:rPr>
        <w:t xml:space="preserve">Notes: </w:t>
      </w:r>
      <w:r>
        <w:t>abstract_source=crossref</w:t>
      </w:r>
    </w:p>
    <w:p>
      <w:pPr>
        <w:spacing w:before="0" w:after="80" w:lineRule="auto" w:line="276"/>
      </w:pPr>
      <w:r>
        <w:rPr>
          <w:b/>
        </w:rPr>
        <w:t xml:space="preserve">摘要（ZH）: </w:t>
      </w:r>
      <w:r>
        <w:t>气候驱动疾病的早期预警系统需要有足够提前时间的预测，这对许多疾病和地区来说是一个持续的挑战。虽然大气-海洋耦合现象提供了潜在的解决方案，但它们在温带地区仍然很大程度上未得到充分开发。在这里，我们在北非皮肤利什曼病（CL）动态、北大西洋涛动（NAO）和大西洋多年代际变异（AMV）之间建立了多尺度联系。除了 NAO 对季节性降雨的影响之外，我们还发现了 NAO-AMV 系统的低频变化，该系统调节北非的年际降雨模式，产生多年期的高和低 CL 活动。为了量化这种可预测性，我们开发了一个统一的传播模型，应用于摩洛哥和突尼斯的人为（</w:t>
      </w:r>
      <w:r>
        <w:t xml:space="preserve"> </w:t>
      </w:r>
      <w:r>
        <w:t>热带利什曼原虫</w:t>
      </w:r>
      <w:r>
        <w:t xml:space="preserve"> </w:t>
      </w:r>
      <w:r>
        <w:t>）和人畜共患病（</w:t>
      </w:r>
      <w:r>
        <w:t xml:space="preserve"> </w:t>
      </w:r>
      <w:r>
        <w:t>大利什曼原虫</w:t>
      </w:r>
      <w:r>
        <w:t xml:space="preserve"> </w:t>
      </w:r>
      <w:r>
        <w:t>) 形式。当我们将当地气温和降水量与 NAO 和 AMV 的多尺度信号结合起来时，在所有情况下，长达 12 个月的预测能力都会得到提高。这项研究展示了大西洋气候变化如何在不同时间尺度上调节传染病，从而为地中海地区的媒介传播疾病建立了可操作的、长期的季节性预报系统。</w:t>
      </w:r>
    </w:p>
    <w:p>
      <w:pPr>
        <w:spacing w:before="0" w:after="200" w:lineRule="auto" w:line="276"/>
      </w:pPr>
      <w:r>
        <w:rPr>
          <w:b/>
        </w:rPr>
        <w:t xml:space="preserve">Abstract (EN): </w:t>
      </w:r>
      <w:r>
        <w:t>Early warning systems for climate-driven diseases require predictors with sufficient lead time, a persistent challenge for many diseases and regions. While coupled atmosphere-ocean phenomena offer a potential solution, they remain largely underexploited in temperate zones. Here, we establish a multiscale connection between cutaneous leishmaniasis (CL) dynamics in North Africa, the North Atlantic Oscillation (NAO), and the Atlantic Multidecadal Variability (AMV). Beyond the NAO’s influence on seasonal rainfall, we uncover low-frequency variability in the NAO-AMV system that modulates interannual rainfall patterns in North Africa, yielding multiyear periods of high and low CL activity. To quantify this predictability, we develop a unified transmission model applied across Morocco and Tunisia for both anthroponotic (</w:t>
      </w:r>
      <w:r>
        <w:t xml:space="preserve"> </w:t>
      </w:r>
      <w:r>
        <w:t>Leishmania tropica</w:t>
      </w:r>
      <w:r>
        <w:t xml:space="preserve"> </w:t>
      </w:r>
      <w:r>
        <w:t>) and zoonotic (</w:t>
      </w:r>
      <w:r>
        <w:t xml:space="preserve"> </w:t>
      </w:r>
      <w:r>
        <w:t>Leishmania major</w:t>
      </w:r>
      <w:r>
        <w:t xml:space="preserve"> </w:t>
      </w:r>
      <w:r>
        <w:t>) forms. Predictive skill up to 12 months ahead improves across all contexts when we incorporate local temperature and precipitation alongside the multiscale signals of the NAO and AMV. This study shows how coupled Atlantic climate variability modulates an infectious disease across timescales, enabling an operational, long-lead seasonal forecast system for a vector-borne disease in the Mediterranean region.</w:t>
      </w:r>
    </w:p>
    <w:p>
      <w:pPr>
        <w:spacing w:before="120" w:after="120"/>
      </w:pPr>
      <w:r>
        <w:rPr>
          <w:sz w:val="18"/>
        </w:rPr>
        <w:t>——————————————————————————————————————————————————————————————————————</w:t>
      </w:r>
    </w:p>
    <w:p>
      <w:pPr>
        <w:spacing w:before="160" w:after="40" w:line="240" w:lineRule="auto"/>
      </w:pPr>
      <w:r>
        <w:rPr>
          <w:b/>
        </w:rPr>
        <w:t xml:space="preserve">[570] </w:t>
      </w:r>
      <w:hyperlink r:id="rId1673">
        <w:r>
          <w:rPr>
            <w:color w:val="1155CC"/>
            <w:u w:val="single"/>
          </w:rPr>
          <w:t>BeetleBot：一种集成仿生软机器人，用于多模式传感和自适应交互</w:t>
        </w:r>
      </w:hyperlink>
    </w:p>
    <w:p>
      <w:pPr>
        <w:spacing w:before="0" w:after="80"/>
      </w:pPr>
      <w:r>
        <w:rPr>
          <w:i/>
          <w:sz w:val="20"/>
        </w:rPr>
        <w:t>EN: BeetleBot: An integrated bioinspired soft robot for multimodal sensing and adaptive interaction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74">
        <w:r>
          <w:rPr>
            <w:color w:val="1155CC"/>
            <w:u w:val="single"/>
          </w:rPr>
          <w:t>10.1126/sciadv.aeg8849</w:t>
        </w:r>
      </w:hyperlink>
    </w:p>
    <w:p>
      <w:pPr>
        <w:spacing w:before="0" w:after="120"/>
      </w:pPr>
      <w:r>
        <w:rPr>
          <w:b/>
        </w:rPr>
        <w:t xml:space="preserve">Notes: </w:t>
      </w:r>
      <w:r>
        <w:t>abstract_source=crossref</w:t>
      </w:r>
    </w:p>
    <w:p>
      <w:pPr>
        <w:spacing w:before="0" w:after="80" w:lineRule="auto" w:line="276"/>
      </w:pPr>
      <w:r>
        <w:rPr>
          <w:b/>
        </w:rPr>
        <w:t xml:space="preserve">摘要（ZH）: </w:t>
      </w:r>
      <w:r>
        <w:t>生物有机体表现出紧密集成的运动功能、感觉输入和控制系统，能够在不同的环境中实现适应性行为。在机器人技术中模拟这种协调仍然具有挑战性，因为大多数软机器都将驱动、传感和控制分开。在这里，我们推出 BeetleBot，这是一种自适应甲虫仿生软机器人平台，它无缝集成了可编程运动、物体操纵、感官反馈和直观的人机交互。 BeetleBot 采用嵌入模块化腿部结构的电热驱动液晶弹性体肌肉和柔软的抓手，并具有可实现独立控制的灵活电路。可穿戴应变感应贴片支持基于无线手势的操作，而嵌入式视觉和触觉传感器则提供实时环境反馈。所有功能组件均通过可扩展的增材制造技术制造。我们演示了地形导航、物体识别以及用户和机器人之间的手势控制同步双向交互。这个多功能平台模拟了生命系统的适应性，为下一代智能软体机器人奠定了良好的基础。</w:t>
      </w:r>
    </w:p>
    <w:p>
      <w:pPr>
        <w:spacing w:before="0" w:after="200" w:lineRule="auto" w:line="276"/>
      </w:pPr>
      <w:r>
        <w:rPr>
          <w:b/>
        </w:rPr>
        <w:t xml:space="preserve">Abstract (EN): </w:t>
      </w:r>
      <w:r>
        <w:t>Biological organisms exhibit tightly integrated motor functions, sensory input, and control systems that enable adaptive behaviors across diverse environments. Emulating such coordination in robotics remains challenging, as most soft machines compartmentalize actuation, sensing, and control. Here, we present BeetleBot, an adaptive beetle-bioinspired soft robot platform that seamlessly integrates programmable locomotion, object manipulation, sensory feedback, and intuitive human-machine interaction. BeetleBot features electrothermally actuated liquid crystal elastomer muscles embedded in modular leg structures and a soft gripper, with a flexible circuit enabling independent control. A wearable strain-sensing patch supports wireless gesture-based operation, while embedded vision and tactile sensors provide real-time environmental feedback. All functional components are fabricated through scalable additive manufacturing techniques. We demonstrate terrain navigation, object recognition, and gesture-control synchronized bidirectional interaction between the user and the robot. This multifunctional platform emulates the adaptability of living systems and establishes a promising foundation for next-generation intelligent soft robotics.</w:t>
      </w:r>
    </w:p>
    <w:p>
      <w:pPr>
        <w:spacing w:before="120" w:after="120"/>
      </w:pPr>
      <w:r>
        <w:rPr>
          <w:sz w:val="18"/>
        </w:rPr>
        <w:t>——————————————————————————————————————————————————————————————————————</w:t>
      </w:r>
    </w:p>
    <w:p>
      <w:pPr>
        <w:spacing w:before="160" w:after="40" w:line="240" w:lineRule="auto"/>
      </w:pPr>
      <w:r>
        <w:rPr>
          <w:b/>
        </w:rPr>
        <w:t xml:space="preserve">[571] </w:t>
      </w:r>
      <w:hyperlink r:id="rId1675">
        <w:r>
          <w:rPr>
            <w:color w:val="1155CC"/>
            <w:u w:val="single"/>
          </w:rPr>
          <w:t>热蒸发钙钛矿的晶格工程可实现单片集成微显示器</w:t>
        </w:r>
      </w:hyperlink>
    </w:p>
    <w:p>
      <w:pPr>
        <w:spacing w:before="0" w:after="80"/>
      </w:pPr>
      <w:r>
        <w:rPr>
          <w:i/>
          <w:sz w:val="20"/>
        </w:rPr>
        <w:t>EN: Lattice engineering of thermally evaporated perovskite enables monolithically integrated micro-display</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76">
        <w:r>
          <w:rPr>
            <w:color w:val="1155CC"/>
            <w:u w:val="single"/>
          </w:rPr>
          <w:t>10.1126/sciadv.aeg7804</w:t>
        </w:r>
      </w:hyperlink>
    </w:p>
    <w:p>
      <w:pPr>
        <w:spacing w:before="0" w:after="120"/>
      </w:pPr>
      <w:r>
        <w:rPr>
          <w:b/>
        </w:rPr>
        <w:t xml:space="preserve">Notes: </w:t>
      </w:r>
      <w:r>
        <w:t>abstract_source=crossref</w:t>
      </w:r>
    </w:p>
    <w:p>
      <w:pPr>
        <w:spacing w:before="0" w:after="80" w:lineRule="auto" w:line="276"/>
      </w:pPr>
      <w:r>
        <w:rPr>
          <w:b/>
        </w:rPr>
        <w:t xml:space="preserve">摘要（ZH）: </w:t>
      </w:r>
      <w:r>
        <w:t>钙钛矿发光二极管（PeLED）最近因其出色的效率和亮度而在下一代微型显示器中展现出巨大的潜力。然而，性能最好的 PeLED 通常会遇到亮度低、效率严重下降的问题，以及像素尺寸小至 2 μm 的单片集成面临的巨大挑战。在这里，我们提出了一种热蒸发钙钛矿晶格工程方法，可同时实现钙钛矿微显示应用的高性能 PeLED 和高清单片集成。通过原位掺入 FABr 实现的晶格工程有效地抑制了纳米晶体内的 Ruddlesden-Popper (RP) 缺陷，并产生均匀的电场分布，从而减少电荷积累并抑制俄歇复合。我们进一步制造了具有全真空沉积器件架构的 PeLED，展示了 20.6% 的外量子效率 (EQE) 和超过 160,000 cd m 的高亮度水平</w:t>
      </w:r>
      <w:r>
        <w:t xml:space="preserve"> </w:t>
      </w:r>
      <w:r>
        <w:t>−2</w:t>
      </w:r>
      <w:r>
        <w:t xml:space="preserve"> </w:t>
      </w:r>
      <w:r>
        <w:t>，效率滚降降低。更重要的是，通过工艺和器件优化，我们在互补金属氧化物半导体（CMOS）驱动像素凹坑表面实现了纳米级保形沉积，从而开发出分辨率为每英寸3000像素（PPI）、能够显示生动视频的钙钛矿微显示器。我们的研究为推进微显示技术铺平了道路。</w:t>
      </w:r>
    </w:p>
    <w:p>
      <w:pPr>
        <w:spacing w:before="0" w:after="200" w:lineRule="auto" w:line="276"/>
      </w:pPr>
      <w:r>
        <w:rPr>
          <w:b/>
        </w:rPr>
        <w:t xml:space="preserve">Abstract (EN): </w:t>
      </w:r>
      <w:r>
        <w:t>Perovskite light-emitting diodes (PeLEDs) have recently demonstrated substantial potential for next-generation micro-displays due to their excellent efficiency and brightness. However, the best-performing PeLEDs typically suffer from low brightness and severe efficiency roll-off, as well as the considerable challenge of monolithic integration at pixel sizes down to 2 μm. Here, we present a lattice-engineering approach for thermally evaporated perovskites that simultaneously achieves high-performance PeLEDs and high-definition monolithic integration for perovskite micro-display applications. The lattice engineering achieved by in situ incorporation of FABr effectively suppresses Ruddlesden–Popper (RP) faults within nanocrystals and yields a uniform electric-field distribution, thereby reducing charge accumulation and suppressing Auger recombination. We further fabricated PeLEDs with a fully vacuum-deposited device architecture, demonstrating an external quantum efficiency (EQE) of 20.6% and high brightness levels exceeding 160,000 cd m</w:t>
      </w:r>
      <w:r>
        <w:t xml:space="preserve"> </w:t>
      </w:r>
      <w:r>
        <w:t>−2</w:t>
      </w:r>
      <w:r>
        <w:t xml:space="preserve"> </w:t>
      </w:r>
      <w:r>
        <w:t>, with reduced efficiency roll-off. More importantly, through process and device optimizations, we achieved nanometer-scale conformal deposition on the surfaces of complementary metal-oxide-semiconductor (CMOS) driver pixel pits, thereby developing a perovskite micro-display with a resolution of 3,000 pixels per inch (PPI) capable of displaying vivid video. Our research paves the way for advancing micro-display technology.</w:t>
      </w:r>
    </w:p>
    <w:p>
      <w:pPr>
        <w:spacing w:before="120" w:after="120"/>
      </w:pPr>
      <w:r>
        <w:rPr>
          <w:sz w:val="18"/>
        </w:rPr>
        <w:t>——————————————————————————————————————————————————————————————————————</w:t>
      </w:r>
    </w:p>
    <w:p>
      <w:pPr>
        <w:spacing w:before="160" w:after="40" w:line="240" w:lineRule="auto"/>
      </w:pPr>
      <w:r>
        <w:rPr>
          <w:b/>
        </w:rPr>
        <w:t xml:space="preserve">[572] </w:t>
      </w:r>
      <w:hyperlink r:id="rId1677">
        <w:r>
          <w:rPr>
            <w:color w:val="1155CC"/>
            <w:u w:val="single"/>
          </w:rPr>
          <w:t>通过物理约束的生成元光栅设计，实现无彩虹和鱼骨伪影的超宽视场全彩波导</w:t>
        </w:r>
      </w:hyperlink>
    </w:p>
    <w:p>
      <w:pPr>
        <w:spacing w:before="0" w:after="80"/>
      </w:pPr>
      <w:r>
        <w:rPr>
          <w:i/>
          <w:sz w:val="20"/>
        </w:rPr>
        <w:t>EN: Ultrawide-FOV full-color waveguides free of rainbow and fishbone artifacts via physics-constrained generative metagrating design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78">
        <w:r>
          <w:rPr>
            <w:color w:val="1155CC"/>
            <w:u w:val="single"/>
          </w:rPr>
          <w:t>10.1126/sciadv.aeh5234</w:t>
        </w:r>
      </w:hyperlink>
    </w:p>
    <w:p>
      <w:pPr>
        <w:spacing w:before="0" w:after="120"/>
      </w:pPr>
      <w:r>
        <w:rPr>
          <w:b/>
        </w:rPr>
        <w:t xml:space="preserve">Notes: </w:t>
      </w:r>
      <w:r>
        <w:t>abstract_source=crossref</w:t>
      </w:r>
    </w:p>
    <w:p>
      <w:pPr>
        <w:spacing w:before="0" w:after="80" w:lineRule="auto" w:line="276"/>
      </w:pPr>
      <w:r>
        <w:rPr>
          <w:b/>
        </w:rPr>
        <w:t xml:space="preserve">摘要（ZH）: </w:t>
      </w:r>
      <w:r>
        <w:t>由于二维扩瞳波导，增强现实 (AR) 显示器在消费和工业应用中越来越受到重视，它通过创新的双轴光束复制技术实现了紧凑外形尺寸和大视窗的基本双重要求。然而，这些系统面临着一个内在的三难困境，损害了三个关键参数——效率、角度均匀性和色散——所有这三个限制在整个可见光谱的广角（&gt;50°）下变得特别明显，表现为鱼骨伪影（周期性不均匀图案）和彩虹效应。为了克服这些基本限制，我们提出了一种物理约束的生成对抗网络（PC-GAN），它通过结合两个关键物理原理系统地解决了三难困境：用于均匀性控制的扩张瞳孔约束比（DPRR）和用于色散管理的周期约束理论（PCT）。该框架能够实现元光栅设计的高通量发现，同时确保单层波导在整个可见光谱和超宽视场内的高质量成像性能。值得注意的是，PC-GAN 通过自动发现优化的雪花状元光栅 (SLMG) 几何形状（分形结构）展示了其独特的功能，这种分形结构通过其分层光操纵特性为瞳孔扩展均匀性提供突破性的解决方案。在不同材料系统（聚合物和 SiC）中实验实现 PC-GAN 优化的元光栅，始终如一地广泛交付</w:t>
      </w:r>
    </w:p>
    <w:p>
      <w:pPr>
        <w:spacing w:before="0" w:after="200" w:lineRule="auto" w:line="276"/>
      </w:pPr>
      <w:r>
        <w:rPr>
          <w:b/>
        </w:rPr>
        <w:t xml:space="preserve">Abstract (EN): </w:t>
      </w:r>
      <w:r>
        <w:t>Augmented reality (AR) displays are gaining prominence in consumer and industrial applications due to two-dimensional pupil-expanding waveguides, which achieve the essential dual requirements of compact form factors and large eyebox through innovative dual-axis beam replication technology. Nevertheless, these systems face an intrinsic trilemma compromising three critical parameters—efficiency, angular uniformity, and chromatic dispersion—with all three limitations becoming particularly pronounced at wide angles (&amp;gt;50°) across the visible spectrum, manifesting as fishbone artifacts (periodic non-uniformity patterns) and rainbow effects. To overcome these fundamental limitations, we present a physics-constrained generative adversarial network (PC-GAN) that systematically resolves the trilemma by incorporating two key physical principles: dilated pupil restraint ratio (DPRR) for uniformity control and periodic constraint theory (PCT) for dispersion management. This framework enables high-throughput discovery of metagrating designs while ensuring high-quality imaging performance in single-layer waveguides across the full visible spectrum and ultrawide field of view. Notably, the PC-GAN demonstrates its unique capability by autonomously discovering optimized snowflake-like metagrating (SLMG) geometries - fractal structures that provide breakthrough solutions for pupil expansion uniformity through their hierarchical light manipulation properties. Experimental realization of PC-GAN-optimized metagratings in disparate material systems (polymer and SiC) consistently delivered wide-angle, full-color operation in single-layer waveguides, while eliminating the characteristic fishbone artifacts and rainbow effects of conventional diffractive designs. This physics-constrained generative framework unlocks transformative potential for complex photonic systems beyond AR, enabling advanced designs ranging from ultrathin VR displays to multi-physics-optimized quantum optical devices.</w:t>
      </w:r>
    </w:p>
    <w:p>
      <w:pPr>
        <w:spacing w:before="120" w:after="120"/>
      </w:pPr>
      <w:r>
        <w:rPr>
          <w:sz w:val="18"/>
        </w:rPr>
        <w:t>——————————————————————————————————————————————————————————————————————</w:t>
      </w:r>
    </w:p>
    <w:p>
      <w:pPr>
        <w:spacing w:before="160" w:after="40" w:line="240" w:lineRule="auto"/>
      </w:pPr>
      <w:r>
        <w:rPr>
          <w:b/>
        </w:rPr>
        <w:t xml:space="preserve">[573] </w:t>
      </w:r>
      <w:hyperlink r:id="rId1679">
        <w:r>
          <w:rPr>
            <w:color w:val="1155CC"/>
            <w:u w:val="single"/>
          </w:rPr>
          <w:t>具有全光学非线性激活和 40,000 个连接的可编程光子神经引擎</w:t>
        </w:r>
      </w:hyperlink>
    </w:p>
    <w:p>
      <w:pPr>
        <w:spacing w:before="0" w:after="80"/>
      </w:pPr>
      <w:r>
        <w:rPr>
          <w:i/>
          <w:sz w:val="20"/>
        </w:rPr>
        <w:t>EN: Programmable photonic neural engine with all-optical nonlinear activation and 40,000 connections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80">
        <w:r>
          <w:rPr>
            <w:color w:val="1155CC"/>
            <w:u w:val="single"/>
          </w:rPr>
          <w:t>10.1126/sciadv.aee9649</w:t>
        </w:r>
      </w:hyperlink>
    </w:p>
    <w:p>
      <w:pPr>
        <w:spacing w:before="0" w:after="120"/>
      </w:pPr>
      <w:r>
        <w:rPr>
          <w:b/>
        </w:rPr>
        <w:t xml:space="preserve">Notes: </w:t>
      </w:r>
      <w:r>
        <w:t>abstract_source=crossref</w:t>
      </w:r>
    </w:p>
    <w:p>
      <w:pPr>
        <w:spacing w:before="0" w:after="80" w:lineRule="auto" w:line="276"/>
      </w:pPr>
      <w:r>
        <w:rPr>
          <w:b/>
        </w:rPr>
        <w:t xml:space="preserve">摘要（ZH）: </w:t>
      </w:r>
      <w:r>
        <w:t>人工神经网络 (ANN) 的快速发展需要具有更高速度、能源效率和可扩展性的计算平台。由于高速处理、固有的并行性和低能耗，光计算提供了一种有吸引力的解决方案。然而，现有的光学神经网络架构面临着可扩展性、可重构性和处理延迟之间的基本权衡，受到依赖电子非线性或固定光学互连的限制。在这里，我们报告了一种端到端光子神经形态引擎，它将全光学非线性集成到基于循环的时分复用光子架构中。这种方法使所有光学神经元能够共享通用硬件，支持增强的连接性和完全可重构性，同时减少延迟。四种不同网络拓扑的实现，以及单层感知器最多 40,000 个光学连接，可实现数字级推理精度，并且计算延迟比最先进的电子处理器短两个数量级，可能为可扩展、可重新配置和超快光学人工智能系统铺平道路。</w:t>
      </w:r>
    </w:p>
    <w:p>
      <w:pPr>
        <w:spacing w:before="0" w:after="200" w:lineRule="auto" w:line="276"/>
      </w:pPr>
      <w:r>
        <w:rPr>
          <w:b/>
        </w:rPr>
        <w:t xml:space="preserve">Abstract (EN): </w:t>
      </w:r>
      <w:r>
        <w:t>The rapid advancement of artificial neural networks (ANNs) demands computational platforms with higher speed, energy efficiency, and scalability. Optical computing offers an appealing solution owing to the high-speed processing, inherent parallelism, and low energy consumption. However, existing optical neural network architectures face fundamental trade-offs between scalability, reconfigurability, and processing latency, constrained by the need to rely on electronic nonlinearities or fixed optical interconnections. Here, we report an end-to-end photonic neuromorphic engine that integrates all-optical nonlinearity into a loop-based, time-multiplexed photonic architecture. This approach enables all optical neurons to share common hardware, supporting enhanced connectivity and full reconfigurability with reduced latency. Implementations of four distinct network topologies, with a maximum of 40,000 optical connections for the single-layer perceptron, achieve digital-level inference accuracy and computational latency over two orders of magnitude shorter than state-of-the-art electronic processors, potentially paving the way for scalable, reconfigurable, and ultrafast optical artificial intelligence systems.</w:t>
      </w:r>
    </w:p>
    <w:p>
      <w:pPr>
        <w:spacing w:before="120" w:after="120"/>
      </w:pPr>
      <w:r>
        <w:rPr>
          <w:sz w:val="18"/>
        </w:rPr>
        <w:t>——————————————————————————————————————————————————————————————————————</w:t>
      </w:r>
    </w:p>
    <w:p>
      <w:pPr>
        <w:spacing w:before="160" w:after="40" w:line="240" w:lineRule="auto"/>
      </w:pPr>
      <w:r>
        <w:rPr>
          <w:b/>
        </w:rPr>
        <w:t xml:space="preserve">[574] </w:t>
      </w:r>
      <w:hyperlink r:id="rId1681">
        <w:r>
          <w:rPr>
            <w:color w:val="1155CC"/>
            <w:u w:val="single"/>
          </w:rPr>
          <w:t>中枢 T 细胞对稀疏肽采样的耐受性</w:t>
        </w:r>
      </w:hyperlink>
    </w:p>
    <w:p>
      <w:pPr>
        <w:spacing w:before="0" w:after="80"/>
      </w:pPr>
      <w:r>
        <w:rPr>
          <w:i/>
          <w:sz w:val="20"/>
        </w:rPr>
        <w:t>EN: Central T cell tolerance from sparse peptide sampling</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82">
        <w:r>
          <w:rPr>
            <w:color w:val="1155CC"/>
            <w:u w:val="single"/>
          </w:rPr>
          <w:t>10.1126/sciadv.aeg8240</w:t>
        </w:r>
      </w:hyperlink>
    </w:p>
    <w:p>
      <w:pPr>
        <w:spacing w:before="0" w:after="120"/>
      </w:pPr>
      <w:r>
        <w:rPr>
          <w:b/>
        </w:rPr>
        <w:t xml:space="preserve">Notes: </w:t>
      </w:r>
      <w:r>
        <w:t>abstract_source=crossref</w:t>
      </w:r>
    </w:p>
    <w:p>
      <w:pPr>
        <w:spacing w:before="0" w:after="80" w:lineRule="auto" w:line="276"/>
      </w:pPr>
      <w:r>
        <w:rPr>
          <w:b/>
        </w:rPr>
        <w:t xml:space="preserve">摘要（ZH）: </w:t>
      </w:r>
      <w:r>
        <w:t>胸腺中的负选择通过消除对自身产生强烈反应的 T 细胞来限制自身免疫。然而，个体T细胞在胸腺中的“训练”过程中仅接触到所有自肽的一小部分，如何将耐受性推广到体内外周组织中剩余的“测试”自肽仍然是一个悬而未决的问题。我们证明这是可以实现的，因为免疫系统满足机器学习环境中泛化所需的两个条件。因此，仅对胸腺中 10% 的自身肽进行稀疏、随机采样就足以避免与 90% 的外周自身肽发生反应。我们支持这一结果，并通过不同的实验数据验证我们的模型的预测。总的来说，我们为适应性免疫的一个长期存在的问题提供了一个合理的答案，并且我们强调了免疫系统如何解决泛化这一几乎所有学习算法面临的基本挑战。</w:t>
      </w:r>
    </w:p>
    <w:p>
      <w:pPr>
        <w:spacing w:before="0" w:after="200" w:lineRule="auto" w:line="276"/>
      </w:pPr>
      <w:r>
        <w:rPr>
          <w:b/>
        </w:rPr>
        <w:t xml:space="preserve">Abstract (EN): </w:t>
      </w:r>
      <w:r>
        <w:t>Negative selection in the thymus limits autoimmunity by eliminating T cells that react strongly to self. Individual T cells, however, are only exposed to a small fraction of all self-peptides during their “training” in the thymus, and how tolerance is generalized to the remaining “test” self-peptides across peripheral tissues in the body remains an open question. We show that this can be achieved because the immune system satisfies two conditions necessary for generalization in machine learning settings. Consequently, sparse, random sampling of only 10% of self-peptides in the thymus is sufficient to avoid reactivity to 90% of peripheral self. We support this result and validate predictions from our model with diverse experimental data. Overall, we provide a plausible answer to a long-standing question underlying adaptive immunity, and we highlight how generalization, a fundamental challenge faced by nearly every learning algorithm, is tackled by the immune system.</w:t>
      </w:r>
    </w:p>
    <w:p>
      <w:pPr>
        <w:spacing w:before="120" w:after="120"/>
      </w:pPr>
      <w:r>
        <w:rPr>
          <w:sz w:val="18"/>
        </w:rPr>
        <w:t>——————————————————————————————————————————————————————————————————————</w:t>
      </w:r>
    </w:p>
    <w:p>
      <w:pPr>
        <w:spacing w:before="160" w:after="40" w:line="240" w:lineRule="auto"/>
      </w:pPr>
      <w:r>
        <w:rPr>
          <w:b/>
        </w:rPr>
        <w:t xml:space="preserve">[575] </w:t>
      </w:r>
      <w:hyperlink r:id="rId1683">
        <w:r>
          <w:rPr>
            <w:color w:val="1155CC"/>
            <w:u w:val="single"/>
          </w:rPr>
          <w:t>用于四维动态加密的全无机钙钛矿</w:t>
        </w:r>
      </w:hyperlink>
    </w:p>
    <w:p>
      <w:pPr>
        <w:spacing w:before="0" w:after="80"/>
      </w:pPr>
      <w:r>
        <w:rPr>
          <w:i/>
          <w:sz w:val="20"/>
        </w:rPr>
        <w:t>EN: All-inorganic perovskites for four-dimensional dynamic encryption</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84">
        <w:r>
          <w:rPr>
            <w:color w:val="1155CC"/>
            <w:u w:val="single"/>
          </w:rPr>
          <w:t>10.1126/sciadv.aed3494</w:t>
        </w:r>
      </w:hyperlink>
    </w:p>
    <w:p>
      <w:pPr>
        <w:spacing w:before="0" w:after="120"/>
      </w:pPr>
      <w:r>
        <w:rPr>
          <w:b/>
        </w:rPr>
        <w:t xml:space="preserve">Notes: </w:t>
      </w:r>
      <w:r>
        <w:t>abstract_source=crossref</w:t>
      </w:r>
    </w:p>
    <w:p>
      <w:pPr>
        <w:spacing w:before="0" w:after="80" w:lineRule="auto" w:line="276"/>
      </w:pPr>
      <w:r>
        <w:rPr>
          <w:b/>
        </w:rPr>
        <w:t xml:space="preserve">摘要（ZH）: </w:t>
      </w:r>
      <w:r>
        <w:t>在对先进防伪措施的需求不断增加的时代，我们引入了一种四维 (4D) 动态物理不可克隆功能，该功能在全无机 CsPbBr 中使用缺陷工程光致发光闪烁</w:t>
      </w:r>
      <w:r>
        <w:rPr>
          <w:vertAlign w:val="subscript"/>
        </w:rPr>
        <w:t>3</w:t>
      </w:r>
      <w:r>
        <w:t>嵌入聚甲基丙烯酸甲酯基质中的钙钛矿量子点（QD）。即使在单个</w:t>
      </w:r>
      <w:r>
        <w:t xml:space="preserve"> </w:t>
      </w:r>
      <w:r>
        <w:t>z</w:t>
      </w:r>
      <w:r>
        <w:t xml:space="preserve"> </w:t>
      </w:r>
      <w:r>
        <w:t>-axis层，该系统实现了史无前例的10以上的理论编码能力</w:t>
      </w:r>
      <w:r>
        <w:t xml:space="preserve"> </w:t>
      </w:r>
      <w:r>
        <w:t>216,742</w:t>
      </w:r>
      <w:r>
        <w:t xml:space="preserve"> </w:t>
      </w:r>
      <w:r>
        <w:t>，而每个设备最多可以生成 250 亿个不同的代码。量子点表现出发射态和非发射态之间的随机转变，从而能够跨空间和时间维度进行二进制编码。该机制表明，表面铅间隙主要介导非辐射俄歇复合，而铯空位则充当有效的肖克利-里德霍尔复合中心，共同控制 CsPbBr 的闪烁</w:t>
      </w:r>
      <w:r>
        <w:rPr>
          <w:vertAlign w:val="subscript"/>
        </w:rPr>
        <w:t>3</w:t>
      </w:r>
      <w:r>
        <w:t>。碱金属掺杂可调节这种闪烁行为，从而提供对发射动态的精确控制。通过双模式身份验证策略展示了实用性，该策略可以通过标准智能手机进行快速现场验证，同时通过显微镜保留高安全性 4D 验证。我们进一步建立了一个时空双模型认证框架，该框架将基于卷积神经网络（CNN）的空间匹配与时间分支动态检查和决策融合评估相结合。框架</w:t>
      </w:r>
    </w:p>
    <w:p>
      <w:pPr>
        <w:spacing w:before="0" w:after="200" w:lineRule="auto" w:line="276"/>
      </w:pPr>
      <w:r>
        <w:rPr>
          <w:b/>
        </w:rPr>
        <w:t xml:space="preserve">Abstract (EN): </w:t>
      </w:r>
      <w:r>
        <w:t>In an era marked by increasing demand for advanced anticounterfeiting measures, we introduce a four-dimensional (4D) dynamic physical unclonable function that uses defect-engineered photoluminescence blinking in all-inorganic CsPbBr</w:t>
      </w:r>
      <w:r>
        <w:rPr>
          <w:vertAlign w:val="subscript"/>
        </w:rPr>
        <w:t>3</w:t>
      </w:r>
      <w:r>
        <w:t>perovskite quantum dots (QDs) embedded within a polymethylmethacrylate matrix. Even within a single</w:t>
      </w:r>
      <w:r>
        <w:t xml:space="preserve"> </w:t>
      </w:r>
      <w:r>
        <w:t>z</w:t>
      </w:r>
      <w:r>
        <w:t xml:space="preserve"> </w:t>
      </w:r>
      <w:r>
        <w:t>-axis layer, this system achieves an unprecedented theoretical encoding capacity of more than 10</w:t>
      </w:r>
      <w:r>
        <w:t xml:space="preserve"> </w:t>
      </w:r>
      <w:r>
        <w:t>216,742</w:t>
      </w:r>
      <w:r>
        <w:t xml:space="preserve"> </w:t>
      </w:r>
      <w:r>
        <w:t>, while each device can generate up to 25 billion distinct codes. The QDs exhibit stochastic transitions between emissive and nonemissive states, enabling binary encoding across both spatial and temporal dimensions. The mechanism reveals that surface lead interstitials predominantly mediate nonradiative Auger recombination, whereas cesium vacancies act as effective Shockley-Read-Hall recombination centers, jointly governing the blinking of CsPbBr</w:t>
      </w:r>
      <w:r>
        <w:rPr>
          <w:vertAlign w:val="subscript"/>
        </w:rPr>
        <w:t>3</w:t>
      </w:r>
      <w:r>
        <w:t>. Alkali metal doping modulates this blinking behavior, providing precise control over the emission dynamics. Practical utility is demonstrated through a dual-mode authentication strategy that enables rapid field verification via standard smartphones while retaining high-security 4D verification via microscopy. We further establish a spatial-temporal dual-model authentication framework that integrates convolutional neural network (CNN)–based spatial matching with a temporal-branch dynamic check and decision-fusion assessment. The framework resists 14 adversarial attacks spanning replay, impersonation, temporal and local manipulation, Z-stack modification, projection forgery, and synthetic forgery attack, showing robust sequence-level security beyond frame-level CNN recognition. This work transforms what was once considered a detrimental phenomenon—QD blinking—into a valuable asset for dynamic, high-capacity encryption, opening new avenues for ultrasecure cryptographic systems.</w:t>
      </w:r>
    </w:p>
    <w:p>
      <w:pPr>
        <w:spacing w:before="120" w:after="120"/>
      </w:pPr>
      <w:r>
        <w:rPr>
          <w:sz w:val="18"/>
        </w:rPr>
        <w:t>——————————————————————————————————————————————————————————————————————</w:t>
      </w:r>
    </w:p>
    <w:p>
      <w:pPr>
        <w:spacing w:before="160" w:after="40" w:line="240" w:lineRule="auto"/>
      </w:pPr>
      <w:r>
        <w:rPr>
          <w:b/>
        </w:rPr>
        <w:t xml:space="preserve">[576] </w:t>
      </w:r>
      <w:hyperlink r:id="rId1685">
        <w:r>
          <w:rPr>
            <w:color w:val="1155CC"/>
            <w:u w:val="single"/>
          </w:rPr>
          <w:t>巨噬细胞状态的线粒体分析揭示了综合应激反应对 IL-4/IL-13 重编程的抑制</w:t>
        </w:r>
      </w:hyperlink>
    </w:p>
    <w:p>
      <w:pPr>
        <w:spacing w:before="0" w:after="80"/>
      </w:pPr>
      <w:r>
        <w:rPr>
          <w:i/>
          <w:sz w:val="20"/>
        </w:rPr>
        <w:t>EN: Mitochondrial profiling across macrophage states reveals inhibition of IL-4/IL-13 reprogramming by the integrated stress response</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86">
        <w:r>
          <w:rPr>
            <w:color w:val="1155CC"/>
            <w:u w:val="single"/>
          </w:rPr>
          <w:t>10.1126/sciadv.aed6318</w:t>
        </w:r>
      </w:hyperlink>
    </w:p>
    <w:p>
      <w:pPr>
        <w:spacing w:before="0" w:after="120"/>
      </w:pPr>
      <w:r>
        <w:rPr>
          <w:b/>
        </w:rPr>
        <w:t xml:space="preserve">Notes: </w:t>
      </w:r>
      <w:r>
        <w:t>abstract_source=crossref</w:t>
      </w:r>
    </w:p>
    <w:p>
      <w:pPr>
        <w:spacing w:before="0" w:after="80" w:lineRule="auto" w:line="276"/>
      </w:pPr>
      <w:r>
        <w:rPr>
          <w:b/>
        </w:rPr>
        <w:t xml:space="preserve">摘要（ZH）: </w:t>
      </w:r>
      <w:r>
        <w:t>线粒体通过整合代谢和信号传导来驱动细胞重编程。在巨噬细胞中，线粒体是对外部信号的免疫代谢反应的核心，但它们重塑和参与巨噬细胞重编程的程度仍不清楚。在这里，我们将转录组学与全细胞和纯化的线粒体蛋白质组学相结合，以分析脂多糖 (LPS)/干扰素-γ (IFN-γ) 和白介素 4 (IL-4)/IL-13 刺激的巨噬细胞。我们揭示了在 IL-4/IL-13 巨噬细胞中，线粒体 DNA (mtDNA) 表达和线粒体内翻译的刺激和信号转导器和转录激活剂 6 (STAT6) 依赖性增加后，线粒体转录物和蛋白质水平之间存在显着脱节。我们证明，线粒体翻译或单个呼吸链复合物的药理抑制会不同程度地损害重编程，而 ATP 合酶抑制则通过线粒体超极化独特地触发血红素调节抑制剂 (HRI) 依赖性综合应激反应 (ISR)，从而阻止 IL-4/IL-13 重编程。从机制上讲，我们表明恢复线粒体膜电位或抑制 ISR 可以挽救 IL-4/IL-13 介导的重编程。我们共同确定 mtDNA 表达、线粒体内翻译和线粒体膜电位是 IL-4/IL-13 反应的关键药物敏感决定因素。</w:t>
      </w:r>
    </w:p>
    <w:p>
      <w:pPr>
        <w:spacing w:before="0" w:after="200" w:lineRule="auto" w:line="276"/>
      </w:pPr>
      <w:r>
        <w:rPr>
          <w:b/>
        </w:rPr>
        <w:t xml:space="preserve">Abstract (EN): </w:t>
      </w:r>
      <w:r>
        <w:t>Mitochondria drive cellular reprogramming by integrating metabolism and signaling. In macrophages, mitochondria are central to immunometabolic responses to external cues, but the extent to which they are remodeled and participate in macrophage reprogramming remains unclear. Here, we integrate transcriptomics with whole-cell and purified mitochondrial proteomics to profile lipopolysaccharide (LPS)/interferon-γ (IFN-γ)– and interleukin-4 (IL-4)/IL-13–stimulated macrophages. We reveal a notable disconnect between mitochondrial transcript and protein levels following either stimulus and a signal transducer and activator of transcription 6 (STAT6)–dependent increase in mitochondrial DNA (mtDNA) expression and intramitochondrial translation in IL-4/IL-13 macrophages. We demonstrate that pharmacological inhibition of mitochondrial translation or individual respiratory chain complexes variably impairs reprogramming, whereas ATP synthase inhibition uniquely triggers a heme-regulated inhibitor (HRI)–dependent integrated stress response (ISR) through mitochondrial hyperpolarization, thereby preventing IL-4/IL-13 reprogramming. Mechanistically, we show that restoring mitochondrial membrane potential or inhibiting the ISR rescues IL-4/IL-13–mediated reprogramming. Together, we identify mtDNA expression, intramitochondrial translation, and mitochondrial membrane potential as critical, drug-sensitive determinants of the IL-4/IL-13 response.</w:t>
      </w:r>
    </w:p>
    <w:p>
      <w:pPr>
        <w:spacing w:before="120" w:after="120"/>
      </w:pPr>
      <w:r>
        <w:rPr>
          <w:sz w:val="18"/>
        </w:rPr>
        <w:t>——————————————————————————————————————————————————————————————————————</w:t>
      </w:r>
    </w:p>
    <w:p>
      <w:pPr>
        <w:spacing w:before="160" w:after="40" w:line="240" w:lineRule="auto"/>
      </w:pPr>
      <w:r>
        <w:rPr>
          <w:b/>
        </w:rPr>
        <w:t xml:space="preserve">[577] </w:t>
      </w:r>
      <w:hyperlink r:id="rId1687">
        <w:r>
          <w:rPr>
            <w:color w:val="1155CC"/>
            <w:u w:val="single"/>
          </w:rPr>
          <w:t>通过自我重构连续体机器人的模块化合规性实现进化多样化</w:t>
        </w:r>
      </w:hyperlink>
    </w:p>
    <w:p>
      <w:pPr>
        <w:spacing w:before="0" w:after="80"/>
      </w:pPr>
      <w:r>
        <w:rPr>
          <w:i/>
          <w:sz w:val="20"/>
        </w:rPr>
        <w:t>EN: Evolutionary diversification via modular compliance for self-reconfigurable continuum robots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88">
        <w:r>
          <w:rPr>
            <w:color w:val="1155CC"/>
            <w:u w:val="single"/>
          </w:rPr>
          <w:t>10.1126/sciadv.aeg9191</w:t>
        </w:r>
      </w:hyperlink>
    </w:p>
    <w:p>
      <w:pPr>
        <w:spacing w:before="0" w:after="120"/>
      </w:pPr>
      <w:r>
        <w:rPr>
          <w:b/>
        </w:rPr>
        <w:t xml:space="preserve">Notes: </w:t>
      </w:r>
      <w:r>
        <w:t>abstract_source=crossref</w:t>
      </w:r>
    </w:p>
    <w:p>
      <w:pPr>
        <w:spacing w:before="0" w:after="80" w:lineRule="auto" w:line="276"/>
      </w:pPr>
      <w:r>
        <w:rPr>
          <w:b/>
        </w:rPr>
        <w:t xml:space="preserve">摘要（ZH）: </w:t>
      </w:r>
      <w:r>
        <w:t>模块化自重构机器人通过形态的变化保证了适应性，但大多数现有系统仍然受到低功能密度、刚性模块和受限对接接口的限制，这些限制了可扩展的运动和操作。相比之下，生物有机体通过重复的顺从部分与灵活的铰接身体结构相结合来支持运动、操纵和环境相互作用，从而实现丰富的行为多样性。在这里，我们提出了一种模块化的自重构连续体机器人，它利用模块化合规性作为统一的设计原则，以在单个平台内实现跨物种的仿生局部操作。每个模块都集成了一个用于顺应弯曲的连续体主干和一对用于全向、准自由形式对接的夹具，从而在紧凑的单元内实现了高功能密度。因此，少量模块可以组装成具有不同功能的不同形态。我们进一步开发了一个形态条件步态库，涵盖滚动、波动、爬行、四足行走和多段操作，在进化多样化树中组织，将生物运动策略与相应的机器人组装模式明确联系起来。为了实现配置之间的自主转换，我们引入了统一的几何拓扑表示和自重构规划器，将重构分解为离散的抓取和释放动作以及连续的变形动作。硬件实验在线演示</w:t>
      </w:r>
    </w:p>
    <w:p>
      <w:pPr>
        <w:spacing w:before="0" w:after="200" w:lineRule="auto" w:line="276"/>
      </w:pPr>
      <w:r>
        <w:rPr>
          <w:b/>
        </w:rPr>
        <w:t xml:space="preserve">Abstract (EN): </w:t>
      </w:r>
      <w:r>
        <w:t>Modular self-reconfigurable robots promise adaptability through changes in morphology, yet most existing systems remain limited by low functional density, rigid modules, and constrained docking interfaces that restrict scalable locomotion and manipulation. In contrast, biological organisms achieve rich behavioral diversity through repeated compliant segments combined with flexible articulated body architectures to support locomotion, manipulation, and environmental interaction. Here, we present a modular self-reconfigurable continuum robot that exploits modular compliance as a unifying design principle to enable cross-species bioinspired loco-manipulation within a single platform. Each module integrates a continuum backbone for compliant bending and a pair of grippers for omnidirectional, quasi-freeform docking, achieving high functional density within a compact unit. As a result, a small number of modules can assemble into diverse morphologies capable of distinct capabilities. We further develop a morphology-conditioned gait library covering rolling, undulation, crawling, quadrupedal walking, and multisegment manipulation, organized within an evolutionary diversification tree that explicitly links biological locomotion strategies to corresponding robotic assembly patterns. To enable autonomous transitions between configurations, we introduce a unified geometric-topological representation and a self-reconfiguration planner that decomposes reconfiguration into discrete grasping and releasing actions and continuous deformation actions. Hardware experiments demonstrate online self-reconfiguration, followed by integrated loco-manipulation. Together, these results show that embedding compliance at the module level unifies locomotion, manipulation, and self-reconfiguration within a single robotic platform, suggesting a pathway toward more adaptable machines that exhibit organism-like behaviors across species.</w:t>
      </w:r>
    </w:p>
    <w:p>
      <w:pPr>
        <w:spacing w:before="120" w:after="120"/>
      </w:pPr>
      <w:r>
        <w:rPr>
          <w:sz w:val="18"/>
        </w:rPr>
        <w:t>——————————————————————————————————————————————————————————————————————</w:t>
      </w:r>
    </w:p>
    <w:p>
      <w:pPr>
        <w:spacing w:before="160" w:after="40" w:line="240" w:lineRule="auto"/>
      </w:pPr>
      <w:r>
        <w:rPr>
          <w:b/>
        </w:rPr>
        <w:t xml:space="preserve">[578] </w:t>
      </w:r>
      <w:hyperlink r:id="rId1689">
        <w:r>
          <w:rPr>
            <w:color w:val="1155CC"/>
            <w:u w:val="single"/>
          </w:rPr>
          <w:t>月球南极微生物生命潜在的生存环境</w:t>
        </w:r>
      </w:hyperlink>
    </w:p>
    <w:p>
      <w:pPr>
        <w:spacing w:before="0" w:after="80"/>
      </w:pPr>
      <w:r>
        <w:rPr>
          <w:i/>
          <w:sz w:val="20"/>
        </w:rPr>
        <w:t>EN: Potential survivable niches for microbial life on the lunar south pole</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90">
        <w:r>
          <w:rPr>
            <w:color w:val="1155CC"/>
            <w:u w:val="single"/>
          </w:rPr>
          <w:t>10.1126/sciadv.aec0811</w:t>
        </w:r>
      </w:hyperlink>
    </w:p>
    <w:p>
      <w:pPr>
        <w:spacing w:before="0" w:after="120"/>
      </w:pPr>
      <w:r>
        <w:rPr>
          <w:b/>
        </w:rPr>
        <w:t xml:space="preserve">Notes: </w:t>
      </w:r>
      <w:r>
        <w:t>abstract_source=crossref</w:t>
      </w:r>
    </w:p>
    <w:p>
      <w:pPr>
        <w:spacing w:before="0" w:after="80" w:lineRule="auto" w:line="276"/>
      </w:pPr>
      <w:r>
        <w:rPr>
          <w:b/>
        </w:rPr>
        <w:t xml:space="preserve">摘要（ZH）: </w:t>
      </w:r>
      <w:r>
        <w:t>大多数月球表面条件对于微生物的生存来说极其恶劣。高紫外线辐射、温度和高能粒子辐射限制了大多数未受保护的月球表面的生存，特别是在以前所有载人探索都发生过的赤道地区。然而，考虑到地形影响，这些恶劣条件是否在月球两极普遍存在尚未得到检验。在这里，我们表明，最近的微生物生存能力数据和月球表面遥感揭示了月球极地地区可能的生存生态位。使用遥感数据和高分辨率照明模型对地形和纬度驱动的表面条件进行分析表明，月球南极有大量区域具有持续的低温和紫外线通量。将这些条件与特定微生物的生存数据进行比较，我们发现重要的月球极地区域可能具有适合微生物生存的表面条件。我们的研究结果表明，月球极地地区对微生物生存的敌意可能比之前假设的要小。这并不包括生长的可能性，而是在隐生状态下的生存，如果存在适宜居住的条件，就有可能生长。鉴于在许多近期任务中计划的载人月球南极探索期间，许多经过检查的微生物可能会被运送到月球，因此月球两极的潜在微生物生存能力尤其重要。深思熟虑地规划探索并跟踪其影响是限制和理解潜在的意外生命转移的关键</w:t>
      </w:r>
    </w:p>
    <w:p>
      <w:pPr>
        <w:spacing w:before="0" w:after="200" w:lineRule="auto" w:line="276"/>
      </w:pPr>
      <w:r>
        <w:rPr>
          <w:b/>
        </w:rPr>
        <w:t xml:space="preserve">Abstract (EN): </w:t>
      </w:r>
      <w:r>
        <w:t>Most lunar surface conditions are incredibly harsh for microbial survival. High ultraviolet radiation, temperatures, and energetic particle radiation limit survival over most unprotected lunar surfaces, particularly in equatorial regions where all previous crewed exploration occurred. However, whether these harsh conditions are widespread at lunar poles has not been examined considering topographical effects. Here, we show that recent microorganism survivability data and lunar surface remote sensing reveal likely survivable niches in lunar polar regions. Analysis of topography and latitude-driven surface conditions using remote sensing data and high-resolution illumination models indicates the lunar south pole has substantial regions with persistent low temperatures and ultraviolet flux. Comparing these conditions to survivability data of specific microorganisms, we find that significant lunar polar areas likely have surface conditions amenable to microbial survival. Our findings suggest that lunar polar regions may be less hostile to microbial survival than previously assumed. This does not encompass growth likelihood, but survival in a cryptobiotic state where growth would be possible if habitable conditions were present. Potential microbial survivability at lunar poles is particularly significant given many examined microbes will likely be transported to the Moon during crewed lunar south pole exploration planned in numerous near-term missions. Thoughtfully planning exploration and tracking its impact is key to limiting and understanding potential unintended life transfer to the Moon.</w:t>
      </w:r>
    </w:p>
    <w:p>
      <w:pPr>
        <w:spacing w:before="120" w:after="120"/>
      </w:pPr>
      <w:r>
        <w:rPr>
          <w:sz w:val="18"/>
        </w:rPr>
        <w:t>——————————————————————————————————————————————————————————————————————</w:t>
      </w:r>
    </w:p>
    <w:p>
      <w:pPr>
        <w:spacing w:before="160" w:after="40" w:line="240" w:lineRule="auto"/>
      </w:pPr>
      <w:r>
        <w:rPr>
          <w:b/>
        </w:rPr>
        <w:t xml:space="preserve">[579] </w:t>
      </w:r>
      <w:hyperlink r:id="rId1691">
        <w:r>
          <w:rPr>
            <w:color w:val="1155CC"/>
            <w:u w:val="single"/>
          </w:rPr>
          <w:t>ROS 响应纳米凝胶使吸入 CD24 免疫疗法能够选择性抑制严重肺炎的过度炎症</w:t>
        </w:r>
      </w:hyperlink>
    </w:p>
    <w:p>
      <w:pPr>
        <w:spacing w:before="0" w:after="80"/>
      </w:pPr>
      <w:r>
        <w:rPr>
          <w:i/>
          <w:sz w:val="20"/>
        </w:rPr>
        <w:t>EN: ROS-responsive nanogels enable inhaled CD24 immunotherapy for selective hyperinflammation suppression in severe pneumonia</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92">
        <w:r>
          <w:rPr>
            <w:color w:val="1155CC"/>
            <w:u w:val="single"/>
          </w:rPr>
          <w:t>10.1126/sciadv.aec3712</w:t>
        </w:r>
      </w:hyperlink>
    </w:p>
    <w:p>
      <w:pPr>
        <w:spacing w:before="0" w:after="120"/>
      </w:pPr>
      <w:r>
        <w:rPr>
          <w:b/>
        </w:rPr>
        <w:t xml:space="preserve">Notes: </w:t>
      </w:r>
      <w:r>
        <w:t>abstract_source=crossref</w:t>
      </w:r>
    </w:p>
    <w:p>
      <w:pPr>
        <w:spacing w:before="0" w:after="80" w:lineRule="auto" w:line="276"/>
      </w:pPr>
      <w:r>
        <w:rPr>
          <w:b/>
        </w:rPr>
        <w:t xml:space="preserve">摘要（ZH）: </w:t>
      </w:r>
      <w:r>
        <w:t>由病原体感染和肺损伤引发的急性肺炎仍然是全球威胁生命的严重问题。分化簇 24 (CD24) 通过与 Siglec 相互作用选择性抑制与损伤相关分子模式 (DAMP) 相关的炎症反应，已成为缓解急性肺炎的独特范例，但其有效的肺部递送仍然具有挑战性。在此，我们报告了用于肺部 CD24 递送的活性氧 (ROS) 响应性和粘液可穿透性纳米凝胶 (ROSμNG)，通过选择性抑制高炎症反应来拯救急性肺炎。负载 CD24 的纳米凝胶 (CD24-ROSμNG) 在雾化过程中表现出优异的稳定性、有效的粘液渗透和炎症触发的 CD24 释放，通过雾化吸入在肺组织中提供超过 80% 的药物富集。在脂多糖诱导的严重急性肺炎小鼠模型中，雾化CD24-ROSμNG有效减弱细胞因子风暴，抑制DAMP介导的炎症，减轻肺损伤，与静脉注射12倍以上剂量的游离CD24相比，存活率提高了3.5倍以上。在 H1N1 病毒流感模型中，CD24-ROSμNG 不仅可以防止细胞因子风暴，还可以通过限制过度的中性粒细胞胞外陷阱形成来保留中性粒细胞介导的病毒清除，从而在维持抗病毒防御的同时避免不受控制的炎症。这些可吸入的 CD24 纳米凝胶建立了治疗肺部高炎症性疾病的策略。</w:t>
      </w:r>
    </w:p>
    <w:p>
      <w:pPr>
        <w:spacing w:before="0" w:after="200" w:lineRule="auto" w:line="276"/>
      </w:pPr>
      <w:r>
        <w:rPr>
          <w:b/>
        </w:rPr>
        <w:t xml:space="preserve">Abstract (EN): </w:t>
      </w:r>
      <w:r>
        <w:t>Acute pneumonia triggered by pathogen infection and lung injury persists as a critical global life-threatening issue. Cluster of differentiation 24 (CD24), by selectively inhibiting the inflammatory response associated with damage-associated molecular patterns (DAMPs) through the interaction with Siglec, has appeared as a unique paradigm to alleviate acute pneumonia, yet its effective pulmonary delivery remains challenging. Here, we report on reactive oxygen species (ROS)–responsive and mucus-penetrable nanogels (ROSμNG) for pulmonary CD24 delivery to rescue acute pneumonia by selective inhibition of hyperinflammatory response. CD24-loaded nanogels (CD24-ROSμNG) exhibit excellent stability during nebulization, efficient mucus penetration, and inflammation-triggered CD24 release, affording over 80% drug enrichment in lung tissues through nebulization inhalation. In lipopolysaccharide-induced severe acute pneumonia mouse models, nebulized CD24-ROSμNG effectively attenuates cytokine storm, suppresses DAMP-mediated inflammation, and mitigates lung injury, achieving an over 3.5-fold increase in survival rate compared to intravenous administration of over 12-fold higher dose of free CD24. In an H1N1 virus influenza model, CD24-ROSμNG not only prevents cytokine storm but also preserves neutrophil-mediated viral clearance by limiting excessive neutrophil extracellular trap formation, thereby avoiding uncontrolled inflammation while maintaining antiviral defenses. These inhalable CD24 nanogels establish a strategy to manage pulmonary hyperinflammatory disorders.</w:t>
      </w:r>
    </w:p>
    <w:p>
      <w:pPr>
        <w:spacing w:before="120" w:after="120"/>
      </w:pPr>
      <w:r>
        <w:rPr>
          <w:sz w:val="18"/>
        </w:rPr>
        <w:t>——————————————————————————————————————————————————————————————————————</w:t>
      </w:r>
    </w:p>
    <w:p>
      <w:pPr>
        <w:spacing w:before="160" w:after="40" w:line="240" w:lineRule="auto"/>
      </w:pPr>
      <w:r>
        <w:rPr>
          <w:b/>
        </w:rPr>
        <w:t xml:space="preserve">[580] </w:t>
      </w:r>
      <w:hyperlink r:id="rId1693">
        <w:r>
          <w:rPr>
            <w:color w:val="1155CC"/>
            <w:u w:val="single"/>
          </w:rPr>
          <w:t>由平面光子和磁性元件实现的低 SWaP 磁光陷阱</w:t>
        </w:r>
      </w:hyperlink>
    </w:p>
    <w:p>
      <w:pPr>
        <w:spacing w:before="0" w:after="80"/>
      </w:pPr>
      <w:r>
        <w:rPr>
          <w:i/>
          <w:sz w:val="20"/>
        </w:rPr>
        <w:t>EN: Low-SWaP magneto-optical trap enabled by planar photonic and magnetic components</w:t>
      </w:r>
    </w:p>
    <w:p>
      <w:pPr>
        <w:spacing w:before="0" w:after="120"/>
      </w:pPr>
      <w:r>
        <w:rPr>
          <w:b/>
        </w:rPr>
        <w:t xml:space="preserve">Source: </w:t>
      </w:r>
      <w:r>
        <w:t>AAAS: Science Advances: Table of Contents</w:t>
      </w:r>
      <w:r>
        <w:t xml:space="preserve">    </w:t>
      </w:r>
      <w:r>
        <w:rPr>
          <w:b/>
        </w:rPr>
        <w:t xml:space="preserve">Pub date: </w:t>
      </w:r>
      <w:r>
        <w:t>2026-08-19 07:00:00+00:00</w:t>
      </w:r>
      <w:r>
        <w:t xml:space="preserve">    </w:t>
      </w:r>
      <w:r>
        <w:rPr>
          <w:b/>
        </w:rPr>
        <w:t xml:space="preserve">DOI: </w:t>
      </w:r>
      <w:hyperlink r:id="rId1694">
        <w:r>
          <w:rPr>
            <w:color w:val="1155CC"/>
            <w:u w:val="single"/>
          </w:rPr>
          <w:t>10.1126/sciadv.aeg0219</w:t>
        </w:r>
      </w:hyperlink>
    </w:p>
    <w:p>
      <w:pPr>
        <w:spacing w:before="0" w:after="120"/>
      </w:pPr>
      <w:r>
        <w:rPr>
          <w:b/>
        </w:rPr>
        <w:t xml:space="preserve">Notes: </w:t>
      </w:r>
      <w:r>
        <w:t>abstract_source=crossref</w:t>
      </w:r>
    </w:p>
    <w:p>
      <w:pPr>
        <w:spacing w:before="0" w:after="80" w:lineRule="auto" w:line="276"/>
      </w:pPr>
      <w:r>
        <w:rPr>
          <w:b/>
        </w:rPr>
        <w:t xml:space="preserve">摘要（ZH）: </w:t>
      </w:r>
      <w:r>
        <w:t>紧凑、轻量且节能的冷原子系统是可部署量子技术开发的基础，但由于依赖庞大的光学和磁性元件，其实现在很大程度上受到限制。在这里，我们展示了一种创纪录的低 SWaP（尺寸、重量和功率）磁光陷阱架构，将平面光子和磁性组件无缝集成到单片、可扩展和可制造的平台中。这是通过开发一种多功能超表面来实现的，该多功能超表面可将线偏振高斯光束转换为圆偏振平顶光束（FTB），取代传统的透镜波片组件。同时，平面磁性线圈芯片取代了笨重的反亥姆霍兹线圈，并产生所需的四极磁场，同时显着降低了功耗。使用D</w:t>
      </w:r>
      <w:r>
        <w:rPr>
          <w:vertAlign w:val="subscript"/>
        </w:rPr>
        <w:t>2</w:t>
      </w:r>
      <w:r>
        <w:t>线冷却</w:t>
      </w:r>
      <w:r>
        <w:rPr>
          <w:vertAlign w:val="subscript"/>
        </w:rPr>
        <w:t>87</w:t>
      </w:r>
      <w:r>
        <w:t>Rb 原子，完全平面的系统在捕获原子数方面实现了近一个数量级的改进，同时以传统实现的 SWaP 的一小部分运行。这种平面集成策略为实现稳健、可部署的冷原子平台提供了一条节能且可扩展的途径。</w:t>
      </w:r>
    </w:p>
    <w:p>
      <w:pPr>
        <w:spacing w:before="0" w:after="200" w:lineRule="auto" w:line="276"/>
      </w:pPr>
      <w:r>
        <w:rPr>
          <w:b/>
        </w:rPr>
        <w:t xml:space="preserve">Abstract (EN): </w:t>
      </w:r>
      <w:r>
        <w:t>Compact, lightweight, and energy-efficient cold-atom systems are foundational for the development of deployable quantum technologies, yet their realization remains largely constrained due to reliance on bulky optical and magnetic components. Here, we demonstrate a record-low-SWaP (size, weight, and power) magneto-optical trap architecture seamlessly integrating planar photonic and magnetic components into a monolithic, scalable, and manufacturable platform. This is achieved by developing a multifunctional metasurface that converts a linearly-polarized Gaussian beam into a circularly-polarized flat-top beam (FTB), replacing conventional lens-waveplate assemblies. In parallel, a planar magnetic coil chip substitutes bulky anti-Helmholtz coils and generates the required quadrupole magnetic field with substantially reduced power consumption. Using D</w:t>
      </w:r>
      <w:r>
        <w:rPr>
          <w:vertAlign w:val="subscript"/>
        </w:rPr>
        <w:t>2</w:t>
      </w:r>
      <w:r>
        <w:t>line cooling of</w:t>
      </w:r>
      <w:r>
        <w:rPr>
          <w:vertAlign w:val="subscript"/>
        </w:rPr>
        <w:t>87</w:t>
      </w:r>
      <w:r>
        <w:t>Rb atoms, the fully planar system achieves nearly an order-of-magnitude improvement in trapped-atom number while operating at a fraction of the SWaP of traditional implementations. This planar integration strategy provides an energy-efficient and scalable pathway toward robust, deployable cold-atom platforms.</w:t>
      </w:r>
    </w:p>
    <w:p>
      <w:pPr>
        <w:spacing w:before="120" w:after="120"/>
      </w:pPr>
      <w:r>
        <w:rPr>
          <w:sz w:val="18"/>
        </w:rPr>
        <w:t>——————————————————————————————————————————————————————————————————————</w:t>
      </w:r>
    </w:p>
    <w:p>
      <w:pPr>
        <w:spacing w:before="160" w:after="40" w:line="240" w:lineRule="auto"/>
      </w:pPr>
      <w:r>
        <w:rPr>
          <w:b/>
        </w:rPr>
        <w:t xml:space="preserve">[581] </w:t>
      </w:r>
      <w:hyperlink r:id="rId1695">
        <w:r>
          <w:rPr>
            <w:color w:val="1155CC"/>
            <w:u w:val="single"/>
          </w:rPr>
          <w:t>使用快速松弛光电开关通过光调节 PPARγ 激活</w:t>
        </w:r>
      </w:hyperlink>
    </w:p>
    <w:p>
      <w:pPr>
        <w:spacing w:before="0" w:after="80"/>
      </w:pPr>
      <w:r>
        <w:rPr>
          <w:i/>
          <w:sz w:val="20"/>
        </w:rPr>
        <w:t>EN: Dosing PPARγ Activation With Light Using Fast Relaxing Photoswitches</w:t>
      </w:r>
    </w:p>
    <w:p>
      <w:pPr>
        <w:spacing w:before="0" w:after="120"/>
      </w:pPr>
      <w:r>
        <w:rPr>
          <w:b/>
        </w:rPr>
        <w:t xml:space="preserve">Source: </w:t>
      </w:r>
      <w:r>
        <w:t>Wiley: Angewandte Chemie International Edition: Table of Contents</w:t>
      </w:r>
      <w:r>
        <w:t xml:space="preserve">    </w:t>
      </w:r>
      <w:r>
        <w:rPr>
          <w:b/>
        </w:rPr>
        <w:t xml:space="preserve">Pub date: </w:t>
      </w:r>
      <w:r>
        <w:t>2026-08-19 08:31:22+00:00</w:t>
      </w:r>
      <w:r>
        <w:t xml:space="preserve">    </w:t>
      </w:r>
      <w:r>
        <w:rPr>
          <w:b/>
        </w:rPr>
        <w:t xml:space="preserve">DOI: </w:t>
      </w:r>
      <w:hyperlink r:id="rId1696">
        <w:r>
          <w:rPr>
            <w:color w:val="1155CC"/>
            <w:u w:val="single"/>
          </w:rPr>
          <w:t>10.1002/anie.7525141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转录因子 PPARγ 调节葡萄糖和脂质稳态，其激活（例如格列酮类药物）具有抗糖尿病、胰岛素增敏活性，但也可能因过度刺激而产生副作用。在这里，我们开发了一种新型高精度工具来实现轻剂量 PPARγ 激活。结构引导下将光可切换的二氮烯基序整合到 PPARγ 配体中并进行分子微调，提供了有效的光激活 PPARγ 激动剂，半衰期为毫秒至数小时，适合生物研究应用。在体外脂肪生成模型中，光剂量 PPARγ 激活的表型效应表明该受体在脂肪细胞发育中的重要性具有时间依赖性，并说明了用光激活化学工具控制 PPARγ 活性的前所未有的精确度。</w:t>
      </w:r>
    </w:p>
    <w:p>
      <w:pPr>
        <w:spacing w:before="0" w:after="200" w:lineRule="auto" w:line="276"/>
      </w:pPr>
      <w:r>
        <w:rPr>
          <w:b/>
        </w:rPr>
        <w:t xml:space="preserve">Abstract (EN): </w:t>
      </w:r>
      <w:r>
        <w:t>The transcription factor PPARγ regulates glucose and lipid homeostasis, and its activation, e.g., with glitazones, has antidiabetic, insulin‐sensitizing activity, but also adverse effects which possibly arise from overstimulation. Here we developed a novel high‐precision tool to enable light‐dosed PPARγ activation. Structure‐guided incorporation of a photoswitchable diazene motif into a PPARγ ligand and molecular fine‐tuning provided potent, light‐activated PPARγ agonists with millisecond to multiple‐hour half‐lives, suitable for biological research applications. Phenotypic effects of light‐dosed PPARγ activation in an in vitro model of adipogenesis suggested time‐dependent importance of the receptor in adipocyte development and illustrated the unprecedented precision of controlling PPARγ activity with light‐activated chemical tools.</w:t>
      </w:r>
    </w:p>
    <w:p>
      <w:pPr>
        <w:spacing w:before="120" w:after="120"/>
      </w:pPr>
      <w:r>
        <w:rPr>
          <w:sz w:val="18"/>
        </w:rPr>
        <w:t>——————————————————————————————————————————————————————————————————————</w:t>
      </w:r>
    </w:p>
    <w:p>
      <w:pPr>
        <w:spacing w:before="160" w:after="40" w:line="240" w:lineRule="auto"/>
      </w:pPr>
      <w:r>
        <w:rPr>
          <w:b/>
        </w:rPr>
        <w:t xml:space="preserve">[582] </w:t>
      </w:r>
      <w:hyperlink r:id="rId1697">
        <w:r>
          <w:rPr>
            <w:color w:val="1155CC"/>
            <w:u w:val="single"/>
          </w:rPr>
          <w:t>基于铼的 β-半乳糖苷酶探针可通过质谱流式细胞术进行衰老分析</w:t>
        </w:r>
      </w:hyperlink>
    </w:p>
    <w:p>
      <w:pPr>
        <w:spacing w:before="0" w:after="80"/>
      </w:pPr>
      <w:r>
        <w:rPr>
          <w:i/>
          <w:sz w:val="20"/>
        </w:rPr>
        <w:t>EN: Rhenium‐Based β‐Galactosidase Probe Allows Senescence Profiling by Mass Cytometry</w:t>
      </w:r>
    </w:p>
    <w:p>
      <w:pPr>
        <w:spacing w:before="0" w:after="120"/>
      </w:pPr>
      <w:r>
        <w:rPr>
          <w:b/>
        </w:rPr>
        <w:t xml:space="preserve">Source: </w:t>
      </w:r>
      <w:r>
        <w:t>Wiley: Angewandte Chemie International Edition: Table of Contents</w:t>
      </w:r>
      <w:r>
        <w:t xml:space="preserve">    </w:t>
      </w:r>
      <w:r>
        <w:rPr>
          <w:b/>
        </w:rPr>
        <w:t xml:space="preserve">Pub date: </w:t>
      </w:r>
      <w:r>
        <w:t>2026-08-19 08:35:17+00:00</w:t>
      </w:r>
      <w:r>
        <w:t xml:space="preserve">    </w:t>
      </w:r>
      <w:r>
        <w:rPr>
          <w:b/>
        </w:rPr>
        <w:t xml:space="preserve">DOI: </w:t>
      </w:r>
      <w:hyperlink r:id="rId1698">
        <w:r>
          <w:rPr>
            <w:color w:val="1155CC"/>
            <w:u w:val="single"/>
          </w:rPr>
          <w:t>10.1002/anie.5043520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质谱流式细胞术是研究细胞衰老的一种有吸引力的分析技术，因为它能够同时询问定义衰老表型所需的多种生物标志物。然而，测量衰老相关 β-半乳糖苷酶 (SA-β-Gal) 活性（检测衰老细胞的金标准生物标志物）需要与基于抗体的面板兼容的功能性质量流式细胞术可检测探针。在此，我们报道了一种 SA-β-Gal 的小分子质量流式细胞术探针 ReGal，它使用钢琴凳铼复合物作为质量标签。我们证明该探针可以在体外和细胞内以最小的背景信号测量 β-Gal 活性。我们进一步表明，与仅使用基于抗体的质谱流式细胞术试剂相比，该探针提高了衰老诱导的小鼠胚胎成纤维细胞（MEF）与未处理细胞的区分度。最后，我们证明该探针揭示了小鼠外周血单核细胞（PBMC）的推定衰老亚群，该亚群在老年小鼠和年轻小鼠中含量丰富，无法仅通过基于抗体的试剂进行分割。</w:t>
      </w:r>
    </w:p>
    <w:p>
      <w:pPr>
        <w:spacing w:before="0" w:after="200" w:lineRule="auto" w:line="276"/>
      </w:pPr>
      <w:r>
        <w:rPr>
          <w:b/>
        </w:rPr>
        <w:t xml:space="preserve">Abstract (EN): </w:t>
      </w:r>
      <w:r>
        <w:t>Mass cytometry is an attractive analytical technique for the study of cellular senescence due to its ability to simultaneously interrogate the multiple biomarkers necessary to define senescent phenotypes. However, measuring senescence‐associated β‐Galactosidase (SA‐β‐Gal) activity, the gold standard biomarker for detection of senescent cells, requires a functional mass cytometry detectable probe compatible with an antibody‐based panel. Herein, we report a small‐molecule mass cytometry probe for SA‐β‐Gal, ReGal, that uses a piano‐stool rhenium complex as a mass tag. We demonstrate that the probe measures β‐Gal activity in vitro and in cellulo with minimal background signal. We further show that the probe improves the discrimination of senescence‐induced mouse embryonic fibroblasts (MEFs) against untreated cells compared to using only antibody‐based mass cytometry reagents. Finally, we demonstrate that the probe reveals a putatively senescent sub‐population of mouse peripheral blood mononuclear cells (PBMCs), which is enriched in old vs. young mice, that could not be segmented by antibody‐based reagents alone.</w:t>
      </w:r>
    </w:p>
    <w:p>
      <w:pPr>
        <w:spacing w:before="120" w:after="120"/>
      </w:pPr>
      <w:r>
        <w:rPr>
          <w:sz w:val="18"/>
        </w:rPr>
        <w:t>——————————————————————————————————————————————————————————————————————</w:t>
      </w:r>
    </w:p>
    <w:p>
      <w:pPr>
        <w:spacing w:before="160" w:after="40" w:line="240" w:lineRule="auto"/>
      </w:pPr>
      <w:r>
        <w:rPr>
          <w:b/>
        </w:rPr>
        <w:t xml:space="preserve">[583] </w:t>
      </w:r>
      <w:hyperlink r:id="rId1699">
        <w:r>
          <w:rPr>
            <w:color w:val="1155CC"/>
            <w:u w:val="single"/>
          </w:rPr>
          <w:t>铱人工金属酶实现光酶自由基吲哚酮合成</w:t>
        </w:r>
      </w:hyperlink>
    </w:p>
    <w:p>
      <w:pPr>
        <w:spacing w:before="0" w:after="80"/>
      </w:pPr>
      <w:r>
        <w:rPr>
          <w:i/>
          <w:sz w:val="20"/>
        </w:rPr>
        <w:t>EN: Iridium Artificial Metalloenzymes Enabled Photo‐Enzymatic Radical Indolone Synthesis</w:t>
      </w:r>
    </w:p>
    <w:p>
      <w:pPr>
        <w:spacing w:before="0" w:after="120"/>
      </w:pPr>
      <w:r>
        <w:rPr>
          <w:b/>
        </w:rPr>
        <w:t xml:space="preserve">Source: </w:t>
      </w:r>
      <w:r>
        <w:t>Wiley: Angewandte Chemie International Edition: Table of Contents</w:t>
      </w:r>
      <w:r>
        <w:t xml:space="preserve">    </w:t>
      </w:r>
      <w:r>
        <w:rPr>
          <w:b/>
        </w:rPr>
        <w:t xml:space="preserve">Pub date: </w:t>
      </w:r>
      <w:r>
        <w:t>2026-08-19 08:40:11+00:00</w:t>
      </w:r>
      <w:r>
        <w:t xml:space="preserve">    </w:t>
      </w:r>
      <w:r>
        <w:rPr>
          <w:b/>
        </w:rPr>
        <w:t xml:space="preserve">DOI: </w:t>
      </w:r>
      <w:hyperlink r:id="rId1700">
        <w:r>
          <w:rPr>
            <w:color w:val="1155CC"/>
            <w:u w:val="single"/>
          </w:rPr>
          <w:t>10.1002/anie.5014162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素-链霉亲和素人工金属酶（ArM）提供了一个将过渡金属催化整合到蛋白质定义的微环境中的平台。传统的吲哚酮合成通常依赖过渡金属催化剂、高温和强氧化剂，限制了官能团的耐受性和可持续性。在这项研究中，我们报告了由生物素化铱光催化剂介导的可见光驱动的丙烯酰胺和重氮酯自由基环化为吲哚酮。掺入工程链霉亲和素可产生高活性的光-ArM，在温和的水性条件下以 0.01 mol% Ir 负载量、广泛的底物范围和高达 6300 的 TON 进行反应。将铱中心限制在蛋白质结合袋内可提高周转效率，将吲哚酮形成建立为可通过生物素-链霉亲和素 ArM 进行的新转化，并突出其作为生物活性基序合成的可持续平台的潜力。</w:t>
      </w:r>
    </w:p>
    <w:p>
      <w:pPr>
        <w:spacing w:before="0" w:after="200" w:lineRule="auto" w:line="276"/>
      </w:pPr>
      <w:r>
        <w:rPr>
          <w:b/>
        </w:rPr>
        <w:t xml:space="preserve">Abstract (EN): </w:t>
      </w:r>
      <w:r>
        <w:t>Biotin–streptavidin artificial metalloenzymes (ArMs) provide a platform to integrate transition‐metal catalysis within a protein‐defined microenvironment. Traditional indolone syntheses often rely on transition metal catalysts, high temperatures, and strong oxidants, limiting functional‐group tolerance, and sustainability. In this study, we report a visible‐light‐driven radical cyclization of acrylamides and diazo‐esters to indolones mediated by a biotinylated iridium‐photocatalyst. Incorporation into engineered streptavidin generates highly active photo‐ArMs, enabling reactions under mild aqueous conditions at 0.01 mol% Ir loading, broad substrate scope, and TONs up to 6300. Confinement of the iridium center within the protein binding pocket enhances turnover efficiency, establishing indolone formation as a new transformation accessible via biotin–streptavidin ArMs and highlighting their potential as sustainable platforms for bioactive motif synthesis.</w:t>
      </w:r>
    </w:p>
    <w:p>
      <w:pPr>
        <w:spacing w:before="120" w:after="120"/>
      </w:pPr>
      <w:r>
        <w:rPr>
          <w:sz w:val="18"/>
        </w:rPr>
        <w:t>——————————————————————————————————————————————————————————————————————</w:t>
      </w:r>
    </w:p>
    <w:p>
      <w:pPr>
        <w:spacing w:before="160" w:after="40" w:line="240" w:lineRule="auto"/>
      </w:pPr>
      <w:r>
        <w:rPr>
          <w:b/>
        </w:rPr>
        <w:t xml:space="preserve">[584] </w:t>
      </w:r>
      <w:hyperlink r:id="rId1701">
        <w:r>
          <w:rPr>
            <w:color w:val="1155CC"/>
            <w:u w:val="single"/>
          </w:rPr>
          <w:t>通过 Passerini 迭代指数增长 (P-IEG) 的全序列定义的洗瓶刷聚合物</w:t>
        </w:r>
      </w:hyperlink>
    </w:p>
    <w:p>
      <w:pPr>
        <w:spacing w:before="0" w:after="80"/>
      </w:pPr>
      <w:r>
        <w:rPr>
          <w:i/>
          <w:sz w:val="20"/>
        </w:rPr>
        <w:t>EN: All‐Sequence‐Defined Bottlebrush Polymers via the Passerini Iterative Exponential Growth (P‐IEG)</w:t>
      </w:r>
    </w:p>
    <w:p>
      <w:pPr>
        <w:spacing w:before="0" w:after="120"/>
      </w:pPr>
      <w:r>
        <w:rPr>
          <w:b/>
        </w:rPr>
        <w:t xml:space="preserve">Source: </w:t>
      </w:r>
      <w:r>
        <w:t>Wiley: Angewandte Chemie International Edition: Table of Contents</w:t>
      </w:r>
      <w:r>
        <w:t xml:space="preserve">    </w:t>
      </w:r>
      <w:r>
        <w:rPr>
          <w:b/>
        </w:rPr>
        <w:t xml:space="preserve">Pub date: </w:t>
      </w:r>
      <w:r>
        <w:t>2026-08-19 08:41:35+00:00</w:t>
      </w:r>
      <w:r>
        <w:t xml:space="preserve">    </w:t>
      </w:r>
      <w:r>
        <w:rPr>
          <w:b/>
        </w:rPr>
        <w:t xml:space="preserve">DOI: </w:t>
      </w:r>
      <w:hyperlink r:id="rId1702">
        <w:r>
          <w:rPr>
            <w:color w:val="1155CC"/>
            <w:u w:val="single"/>
          </w:rPr>
          <w:t>10.1002/anie.8297442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多组分反应（例如帕塞里尼三组分反应）迭代合成序列定义聚合物（SDP），可以以最小的合成复杂性使大分子中构成重复单元的化学和空间排列多样化。在这里，我们报告帕塞里尼迭代指数增长（P-IEG）方法能够控制构成高分子量洗瓶刷聚合物（BBP）和共聚物（BBCP）的所有单体的化学成分、数量和序列。采用均匀聚合物和 SDP 作为异氰化物组分，双功能主链构建单元通过醛、羧酸和异氰化物之间的 Passerini 三组分反应连接，产生均匀的 BBP 和自组装 BBCP，由多达 64 个主链重复单元和 63 个侧链（摩尔质量高达 63.6 kDa）组成。为了证明 P-IEG 构建大型构建模块库的复杂序列的能力，成功合成了一种全序列定义的洗瓶刷聚合物 (ASD-BBP)，该聚合物具有 47 个序列定义的低聚物（分子量为 50.2 kDa），将简单的乐谱“一闪一闪亮晶晶”编码到其化学结构中。我们建议，可以使用选择性主链牺牲来破译聚合物主链、侧链和主链上的侧链位置中的三个独立序列，而无需侧链降解。</w:t>
      </w:r>
    </w:p>
    <w:p>
      <w:pPr>
        <w:spacing w:before="0" w:after="200" w:lineRule="auto" w:line="276"/>
      </w:pPr>
      <w:r>
        <w:rPr>
          <w:b/>
        </w:rPr>
        <w:t xml:space="preserve">Abstract (EN): </w:t>
      </w:r>
      <w:r>
        <w:t>Iterative synthesis of sequence‐defined polymers (SDPs) via multicomponent reactions, such as the Passerini three‐component reaction, can diversify the chemistry and spatial arrangement of the constituting repeating units in the macromolecules with minimal synthetic complexity. Here, we report that the Passerini iterative exponential growth (P‐IEG) method enables control over the chemistry, number, and sequence of all monomers that constitute high‐molecular‐weight bottlebrush polymers (BBPs) and copolymers (BBCPs). Employing uniform polymers and SDPs as isocyanide components, bifunctional backbone building blocks are connected via the Passerini three‐component reaction between aldehyde, carboxylic acid, and isocyanide, which yields uniform BBPs and self‐assembling BBCPs composed of up to 64 backbone repeating units and 63 side chains (a molar mass of up to 63.6 kDa). To demonstrate the ability of P‐IEG to compose the complex sequence of a large library of building blocks, an all‐sequence‐defined bottlebrush polymer (ASD‐BBP) featuring 47 sequence‐defined oligomers (a molecular mass of 50.2 kDa) was successfully synthesized to encode the simple musical score, “Twinkle, Twinkle, Little Star,” into its chemical structure. We suggested that three independent sequences in the polymer backbone, side chains, and side‐chain locations on the backbone could be deciphered using selective backbone immolation without side‐chain degradation.</w:t>
      </w:r>
    </w:p>
    <w:p>
      <w:pPr>
        <w:spacing w:before="120" w:after="120"/>
      </w:pPr>
      <w:r>
        <w:rPr>
          <w:sz w:val="18"/>
        </w:rPr>
        <w:t>——————————————————————————————————————————————————————————————————————</w:t>
      </w:r>
    </w:p>
    <w:p>
      <w:pPr>
        <w:spacing w:before="160" w:after="40" w:line="240" w:lineRule="auto"/>
      </w:pPr>
      <w:r>
        <w:rPr>
          <w:b/>
        </w:rPr>
        <w:t xml:space="preserve">[585] </w:t>
      </w:r>
      <w:hyperlink r:id="rId1703">
        <w:r>
          <w:rPr>
            <w:color w:val="1155CC"/>
            <w:u w:val="single"/>
          </w:rPr>
          <w:t>二芳基乙烯-螺旋烯光系统中光驱动的不平衡螺旋度控制</w:t>
        </w:r>
      </w:hyperlink>
    </w:p>
    <w:p>
      <w:pPr>
        <w:spacing w:before="0" w:after="80"/>
      </w:pPr>
      <w:r>
        <w:rPr>
          <w:i/>
          <w:sz w:val="20"/>
        </w:rPr>
        <w:t>EN: Light‐Driven Out‐of‐Equilibrium Helicity Control in a Diarylethene–Helicene Photosystem</w:t>
      </w:r>
    </w:p>
    <w:p>
      <w:pPr>
        <w:spacing w:before="0" w:after="120"/>
      </w:pPr>
      <w:r>
        <w:rPr>
          <w:b/>
        </w:rPr>
        <w:t xml:space="preserve">Source: </w:t>
      </w:r>
      <w:r>
        <w:t>Wiley: Angewandte Chemie International Edition: Table of Contents</w:t>
      </w:r>
      <w:r>
        <w:t xml:space="preserve">    </w:t>
      </w:r>
      <w:r>
        <w:rPr>
          <w:b/>
        </w:rPr>
        <w:t xml:space="preserve">Pub date: </w:t>
      </w:r>
      <w:r>
        <w:t>2026-08-19 09:03:12+00:00</w:t>
      </w:r>
      <w:r>
        <w:t xml:space="preserve">    </w:t>
      </w:r>
      <w:r>
        <w:rPr>
          <w:b/>
        </w:rPr>
        <w:t xml:space="preserve">DOI: </w:t>
      </w:r>
      <w:hyperlink r:id="rId1704">
        <w:r>
          <w:rPr>
            <w:color w:val="1155CC"/>
            <w:u w:val="single"/>
          </w:rPr>
          <w:t>10.1002/anie.5252700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光电开关是控制响应功能并通过实现动力学不对称和能量棘轮机制驱动系统偏离平衡的关键工具。然而，将动态手性控制纳入这种非平衡框架中仍然具有挑战性。在这里，研究了包含多个相互转化的非对映体的二芳基乙烯-[5]螺烯光开关的响应行为。不同的能量分布控制着开关打开和关闭形式的螺旋动力学。虽然开放状态下的螺旋反转在动力学上受到高能垒的阻碍，但封闭状态允许向热力学上有利的非对映异构体快速平衡。在光化学开环时，在闭合状态下获得的螺旋性被转移并在动力学上被捕获在开放形式中，产生持久的不平衡构型。该序列构成了一种罕见的能量棘轮机制，在单个共价连接的分子内运行，从而能够对螺旋性进行定向控制。这些发现为自适应手性系统中的光驱动螺旋控制提供了概念。</w:t>
      </w:r>
    </w:p>
    <w:p>
      <w:pPr>
        <w:spacing w:before="0" w:after="200" w:lineRule="auto" w:line="276"/>
      </w:pPr>
      <w:r>
        <w:rPr>
          <w:b/>
        </w:rPr>
        <w:t xml:space="preserve">Abstract (EN): </w:t>
      </w:r>
      <w:r>
        <w:t>Molecular photoswitches are key tools to control responsive functions and to drive systems away from equilibrium by enabling kinetic asymmetry and energy ratchet mechanisms. Incorporating dynamic chirality control within such non‐equilibrium frameworks, however, remains challenging. Here, the responsive behavior of a diarylethene–[5]helicene photoswitch comprising multiple interconverting diastereomers is investigated. Distinct energy profiles govern the helicity dynamics in the open and closed forms of the switch. While helix inversion in the open state is kinetically hindered by a high energy barrier, the closed state allows rapid equilibration toward the thermodynamically favored diastereomer. Upon photochemical ring‐opening, the helicity acquired in the closed state is transferred and kinetically trapped in the open form, generating a persistent out‐of‐equilibrium configuration. This sequence constitutes a rare energy ratchet mechanism operating within a single covalently linked molecule, enabling directional control over helicity. These findings provide a concept for light‐driven helicity control in adaptive chiral systems.</w:t>
      </w:r>
    </w:p>
    <w:p>
      <w:pPr>
        <w:spacing w:before="120" w:after="120"/>
      </w:pPr>
      <w:r>
        <w:rPr>
          <w:sz w:val="18"/>
        </w:rPr>
        <w:t>——————————————————————————————————————————————————————————————————————</w:t>
      </w:r>
    </w:p>
    <w:p>
      <w:pPr>
        <w:spacing w:before="160" w:after="40" w:line="240" w:lineRule="auto"/>
      </w:pPr>
      <w:r>
        <w:rPr>
          <w:b/>
        </w:rPr>
        <w:t xml:space="preserve">[586] </w:t>
      </w:r>
      <w:hyperlink r:id="rId1705">
        <w:r>
          <w:rPr>
            <w:color w:val="1155CC"/>
            <w:u w:val="single"/>
          </w:rPr>
          <w:t>Bottlebrush 两亲物的界面自组织可实现稳定的单分散亚微米乳液液滴：热力学见解</w:t>
        </w:r>
      </w:hyperlink>
    </w:p>
    <w:p>
      <w:pPr>
        <w:spacing w:before="0" w:after="80"/>
      </w:pPr>
      <w:r>
        <w:rPr>
          <w:i/>
          <w:sz w:val="20"/>
        </w:rPr>
        <w:t>EN: Interfacial Self‐Organization of Bottlebrush Amphiphiles Enables Stable Monodisperse Submicron Emulsion Droplets: Thermodynamic Insights</w:t>
      </w:r>
    </w:p>
    <w:p>
      <w:pPr>
        <w:spacing w:before="0" w:after="120"/>
      </w:pPr>
      <w:r>
        <w:rPr>
          <w:b/>
        </w:rPr>
        <w:t xml:space="preserve">Source: </w:t>
      </w:r>
      <w:r>
        <w:t>Wiley: Angewandte Chemie International Edition: Table of Contents</w:t>
      </w:r>
      <w:r>
        <w:t xml:space="preserve">    </w:t>
      </w:r>
      <w:r>
        <w:rPr>
          <w:b/>
        </w:rPr>
        <w:t xml:space="preserve">Pub date: </w:t>
      </w:r>
      <w:r>
        <w:t>2026-08-19 09:10:30+00:00</w:t>
      </w:r>
      <w:r>
        <w:t xml:space="preserve">    </w:t>
      </w:r>
      <w:r>
        <w:rPr>
          <w:b/>
        </w:rPr>
        <w:t xml:space="preserve">DOI: </w:t>
      </w:r>
      <w:hyperlink r:id="rId1706">
        <w:r>
          <w:rPr>
            <w:color w:val="1155CC"/>
            <w:u w:val="single"/>
          </w:rPr>
          <w:t>10.1002/anie.1797442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乳液是一种液体分散在另一种不混溶的液体中，是各种自然现象和技术应用的基础。由于它们的物理特性很大程度上取决于液滴尺寸，因此生成具有可预测和精确控制尺寸的液滴长期以来一直是软物质科学的中心目标。然而，经典理论表明亚微米乳液本质上是亚稳态的，从而排除了对其形成的热力学控制。在这里，我们证明了瓶刷嵌段共聚物（BBCP）表面活性剂能够自发形成稳定的单分散油包水（W/O）乳液，其直径在亚微米范围内可编程。我们发现刚性 BBCP 表面活性剂在界面自组装时可以产生大量的溶剂化能，超过界面能的增加。因此，我们提出了一个修正的热力学模型，加入了与表面活性剂相关的自由能项。基于该模型，提出了一种新的自发乳化（SE）理论来清楚地解释该现象。此外，洗瓶刷大分子的刚性构象平衡了界面张力与分子间斥力，形成平衡的界面曲率。因此，只需改变聚合物结构即可对液滴直径进行定量编程。这一发现将乳液确立为一种以前未被认识的平衡软物质系统，这在多学科应用中是非常理想的。</w:t>
      </w:r>
    </w:p>
    <w:p>
      <w:pPr>
        <w:spacing w:before="0" w:after="200" w:lineRule="auto" w:line="276"/>
      </w:pPr>
      <w:r>
        <w:rPr>
          <w:b/>
        </w:rPr>
        <w:t xml:space="preserve">Abstract (EN): </w:t>
      </w:r>
      <w:r>
        <w:t>Emulsions, in which one liquid is dispersed within another immiscible liquid, are fundamental to a wide range of natural phenomena and technological applications. Because their physical properties critically depend on droplet size, generating droplets with predictable and precisely controlled dimensions has long been a central objective in soft matter science. Classical theory, however, dictates that submicron emulsions are intrinsically metastable, thereby precluding thermodynamic control over their formation. Here, we demonstrate that bottlebrush block copolymer (BBCP) surfactants enable the spontaneous formation of stable, monodisperse water‐in‐oil (W/O) emulsions with programmable diameters in the submicron range. We find that the rigid BBCP surfactants can generate substantial solvation energy upon interfacial self‐assembly, exceeding the increase of interfacial energy. Accordingly, we propose a revised thermodynamic model by including a surfactant‐associated free‐energy term. Based on the model, a new theory of spontaneous emulsification (SE) is proposed to clearly explain the phenomenon. Moreover, the rigid conformation of the bottlebrush macromolecules balances interfacial tension with intermolecular repulsion, forming an equilibrium interfacial curvature. Consequently, droplet diameter can be quantitatively programmed simply by varying the polymer architecture. This finding establishes emulsions as a previously unrecognized class of equilibrium soft‐matter systems, which are highly desirable in multidisciplinary applications.</w:t>
      </w:r>
    </w:p>
    <w:p>
      <w:pPr>
        <w:spacing w:before="120" w:after="120"/>
      </w:pPr>
      <w:r>
        <w:rPr>
          <w:sz w:val="18"/>
        </w:rPr>
        <w:t>——————————————————————————————————————————————————————————————————————</w:t>
      </w:r>
    </w:p>
    <w:p>
      <w:pPr>
        <w:spacing w:before="160" w:after="40" w:line="240" w:lineRule="auto"/>
      </w:pPr>
      <w:r>
        <w:rPr>
          <w:b/>
        </w:rPr>
        <w:t xml:space="preserve">[587] </w:t>
      </w:r>
      <w:hyperlink r:id="rId1707">
        <w:r>
          <w:rPr>
            <w:color w:val="1155CC"/>
            <w:u w:val="single"/>
          </w:rPr>
          <w:t>TiO2(110) 上的表面辅助环脱氢和环二聚：氮杂苯及其八角稠合二聚体的形成</w:t>
        </w:r>
      </w:hyperlink>
    </w:p>
    <w:p>
      <w:pPr>
        <w:spacing w:before="0" w:after="80"/>
      </w:pPr>
      <w:r>
        <w:rPr>
          <w:i/>
          <w:sz w:val="20"/>
        </w:rPr>
        <w:t>EN: Surface‐Assisted Cyclodehydrogenation and Annulative Dimerization on TiO2(110): Formation of an Azacoronene and Its Octagon‐Fused Dimer</w:t>
      </w:r>
    </w:p>
    <w:p>
      <w:pPr>
        <w:spacing w:before="0" w:after="120"/>
      </w:pPr>
      <w:r>
        <w:rPr>
          <w:b/>
        </w:rPr>
        <w:t xml:space="preserve">Source: </w:t>
      </w:r>
      <w:r>
        <w:t>Wiley: Angewandte Chemie International Edition: Table of Contents</w:t>
      </w:r>
      <w:r>
        <w:t xml:space="preserve">    </w:t>
      </w:r>
      <w:r>
        <w:rPr>
          <w:b/>
        </w:rPr>
        <w:t xml:space="preserve">Pub date: </w:t>
      </w:r>
      <w:r>
        <w:t>2026-08-19 09:10:35+00:00</w:t>
      </w:r>
      <w:r>
        <w:t xml:space="preserve">    </w:t>
      </w:r>
      <w:r>
        <w:rPr>
          <w:b/>
        </w:rPr>
        <w:t xml:space="preserve">DOI: </w:t>
      </w:r>
      <w:hyperlink r:id="rId1708">
        <w:r>
          <w:rPr>
            <w:color w:val="1155CC"/>
            <w:u w:val="single"/>
          </w:rPr>
          <w:t>10.1002/anie.3729447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与金属上的表面辅助反应相比，非金属基底上的表面辅助反应仍然不够发达，特别是对于杂原子掺杂前体和分子间偶联过程。这里我们展示了 TiO</w:t>
      </w:r>
      <w:r>
        <w:rPr>
          <w:vertAlign w:val="subscript"/>
        </w:rPr>
        <w:t>2</w:t>
      </w:r>
      <w:r>
        <w:t>（110）不仅可以支持富氮纳米石墨烯前体的环化脱氢，还可以支持半导体氧化物表面上的环形分子间耦合。超高真空下，六吡咯苯（HPB）在金红石型 TiO 上发生环化脱氢</w:t>
      </w:r>
      <w:r>
        <w:rPr>
          <w:vertAlign w:val="subscript"/>
        </w:rPr>
        <w:t>2</w:t>
      </w:r>
      <w:r>
        <w:t>(110) 得到未取代的六吡咯并六氮杂苯(HPHAC，</w:t>
      </w:r>
      <w:r>
        <w:rPr>
          <w:vertAlign w:val="subscript"/>
        </w:rPr>
        <w:t>1</w:t>
      </w:r>
      <w:r>
        <w:t>）。进一步退火后，</w:t>
      </w:r>
      <w:r>
        <w:rPr>
          <w:vertAlign w:val="subscript"/>
        </w:rPr>
        <w:t>1</w:t>
      </w:r>
      <w:r>
        <w:t>经历脱氢二聚化形成环辛四烯环化的 HPHAC 二聚体（</w:t>
      </w:r>
      <w:r>
        <w:rPr>
          <w:vertAlign w:val="subscript"/>
        </w:rPr>
        <w:t>2</w:t>
      </w:r>
      <w:r>
        <w:t>），得到扫描隧道显微镜和光谱学 (STM/STS)、密度泛函理论 (DFT) 和模拟 STM 图像的支持。二聚体（而不是单体）经历单电子转移到底物形成[</w:t>
      </w:r>
      <w:r>
        <w:rPr>
          <w:vertAlign w:val="subscript"/>
        </w:rPr>
        <w:t>2</w:t>
      </w:r>
      <w:r>
        <w:t>]</w:t>
      </w:r>
      <w:r>
        <w:t xml:space="preserve"> </w:t>
      </w:r>
      <w:r>
        <w:t>•+</w:t>
      </w:r>
      <w:r>
        <w:t xml:space="preserve"> </w:t>
      </w:r>
      <w:r>
        <w:t>，与 STM/STS 观测结果、其较低的电离阈值和计算的前沿轨道能量一致。气相计算与环状二聚体形成的芳烃型途径一致，并进一步表明氧化增加了整个融合框架的整体芳香特征。</w:t>
      </w:r>
    </w:p>
    <w:p>
      <w:pPr>
        <w:spacing w:before="0" w:after="200" w:lineRule="auto" w:line="276"/>
      </w:pPr>
      <w:r>
        <w:rPr>
          <w:b/>
        </w:rPr>
        <w:t xml:space="preserve">Abstract (EN): </w:t>
      </w:r>
      <w:r>
        <w:t>Surface‐assisted reactions on nonmetallic substrates remain much less developed than their counterparts on metals, especially for heteroatom‐doped precursors and intermolecular coupling processes. Here we show that TiO</w:t>
      </w:r>
      <w:r>
        <w:rPr>
          <w:vertAlign w:val="subscript"/>
        </w:rPr>
        <w:t>2</w:t>
      </w:r>
      <w:r>
        <w:t>(110) can support not only cyclodehydrogenation of a nitrogen‐rich nanographene precursor but also annulative intermolecular coupling on a semiconducting oxide surface. Under ultrahigh vacuum, hexapyrrolylbenzene (HPB) undergoes cyclodehydrogenation on rutile TiO</w:t>
      </w:r>
      <w:r>
        <w:rPr>
          <w:vertAlign w:val="subscript"/>
        </w:rPr>
        <w:t>2</w:t>
      </w:r>
      <w:r>
        <w:t>(110) to give unsubstituted hexapyrrolohexaazacoronene (HPHAC,</w:t>
      </w:r>
      <w:r>
        <w:rPr>
          <w:vertAlign w:val="subscript"/>
        </w:rPr>
        <w:t>1</w:t>
      </w:r>
      <w:r>
        <w:t>). Upon further annealing,</w:t>
      </w:r>
      <w:r>
        <w:rPr>
          <w:vertAlign w:val="subscript"/>
        </w:rPr>
        <w:t>1</w:t>
      </w:r>
      <w:r>
        <w:t>undergoes dehydrogenative dimerization to form a cyclooctatetraene‐annulated HPHAC dimer (</w:t>
      </w:r>
      <w:r>
        <w:rPr>
          <w:vertAlign w:val="subscript"/>
        </w:rPr>
        <w:t>2</w:t>
      </w:r>
      <w:r>
        <w:t>), as supported by scanning tunneling microscopy and spectroscopy (STM/STS), density functional theory (DFT), and simulated STM images. The dimer, but not the monomer, undergoes single‐electron transfer to the substrate to form [</w:t>
      </w:r>
      <w:r>
        <w:rPr>
          <w:vertAlign w:val="subscript"/>
        </w:rPr>
        <w:t>2</w:t>
      </w:r>
      <w:r>
        <w:t>]</w:t>
      </w:r>
      <w:r>
        <w:t xml:space="preserve"> </w:t>
      </w:r>
      <w:r>
        <w:t>•+</w:t>
      </w:r>
      <w:r>
        <w:t xml:space="preserve"> </w:t>
      </w:r>
      <w:r>
        <w:t>, consistent with STM/STS observations, its lower ionization threshold, and computed frontier orbital energies. Gas‐phase calculations are consistent with a plausible arenium‐type pathway for annulative dimer formation and further indicate that oxidation increases global aromatic character across the fused framework.</w:t>
      </w:r>
    </w:p>
    <w:p>
      <w:pPr>
        <w:spacing w:before="120" w:after="120"/>
      </w:pPr>
      <w:r>
        <w:rPr>
          <w:sz w:val="18"/>
        </w:rPr>
        <w:t>——————————————————————————————————————————————————————————————————————</w:t>
      </w:r>
    </w:p>
    <w:p>
      <w:pPr>
        <w:spacing w:before="160" w:after="40" w:line="240" w:lineRule="auto"/>
      </w:pPr>
      <w:r>
        <w:rPr>
          <w:b/>
        </w:rPr>
        <w:t xml:space="preserve">[588] </w:t>
      </w:r>
      <w:hyperlink r:id="rId1709">
        <w:r>
          <w:rPr>
            <w:color w:val="1155CC"/>
            <w:u w:val="single"/>
          </w:rPr>
          <w:t>定制结晶调节剂，轻松合成一维共价有机框架，以促进超声引发的细胞焦亡和免疫治疗</w:t>
        </w:r>
      </w:hyperlink>
    </w:p>
    <w:p>
      <w:pPr>
        <w:spacing w:before="0" w:after="80"/>
      </w:pPr>
      <w:r>
        <w:rPr>
          <w:i/>
          <w:sz w:val="20"/>
        </w:rPr>
        <w:t>EN: Tailoring Crystallization Modulators for the Facile Synthesis of One‐Dimensional Covalent Organic Frameworks to Boost Ultrasound‐Triggered Pyroptosis and Immunotherapy</w:t>
      </w:r>
    </w:p>
    <w:p>
      <w:pPr>
        <w:spacing w:before="0" w:after="120"/>
      </w:pPr>
      <w:r>
        <w:rPr>
          <w:b/>
        </w:rPr>
        <w:t xml:space="preserve">Source: </w:t>
      </w:r>
      <w:r>
        <w:t>Wiley: Angewandte Chemie International Edition: Table of Contents</w:t>
      </w:r>
      <w:r>
        <w:t xml:space="preserve">    </w:t>
      </w:r>
      <w:r>
        <w:rPr>
          <w:b/>
        </w:rPr>
        <w:t xml:space="preserve">Pub date: </w:t>
      </w:r>
      <w:r>
        <w:t>2026-08-19 09:14:08+00:00</w:t>
      </w:r>
      <w:r>
        <w:t xml:space="preserve">    </w:t>
      </w:r>
      <w:r>
        <w:rPr>
          <w:b/>
        </w:rPr>
        <w:t xml:space="preserve">DOI: </w:t>
      </w:r>
      <w:hyperlink r:id="rId1710">
        <w:r>
          <w:rPr>
            <w:color w:val="1155CC"/>
            <w:u w:val="single"/>
          </w:rPr>
          <w:t>10.1002/anie.5056685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超声（US）诱导的肿瘤细胞焦亡在癌症免疫治疗中具有巨大潜力；然而，其功效常常受到传统声敏剂活性氧（ROS）生成不足的限制。在此，一维卟啉基共价有机框架（称为TD-苯胺和TD-FeCl</w:t>
      </w:r>
      <w:r>
        <w:rPr>
          <w:vertAlign w:val="subscript"/>
        </w:rPr>
        <w:t>3</w:t>
      </w:r>
      <w:r>
        <w:t>）通过采用苯胺或 FeCl 的新型合成策略在温和条件下构建了具有明确结构的</w:t>
      </w:r>
      <w:r>
        <w:rPr>
          <w:vertAlign w:val="subscript"/>
        </w:rPr>
        <w:t>3</w:t>
      </w:r>
      <w:r>
        <w:t>作为结晶调节剂，从而实现ROS的高效生成和肿瘤细胞焦亡的可控激活。值得注意的是，FeCl</w:t>
      </w:r>
      <w:r>
        <w:rPr>
          <w:vertAlign w:val="subscript"/>
        </w:rPr>
        <w:t>3</w:t>
      </w:r>
      <w:r>
        <w:t>不仅促进了TD-FeCl的有序组装</w:t>
      </w:r>
      <w:r>
        <w:rPr>
          <w:vertAlign w:val="subscript"/>
        </w:rPr>
        <w:t>3</w:t>
      </w:r>
      <w:r>
        <w:t>而且还通过与卟啉核心配位引入了金属位点，与 TD-苯胺相比，具有更优越的声动力性能。具体来说，TD-FeCl 中的金属配位</w:t>
      </w:r>
      <w:r>
        <w:rPr>
          <w:vertAlign w:val="subscript"/>
        </w:rPr>
        <w:t>3</w:t>
      </w:r>
      <w:r>
        <w:t>减小其带隙以促进电子空穴对（e</w:t>
      </w:r>
      <w:r>
        <w:t xml:space="preserve"> </w:t>
      </w:r>
      <w:r>
        <w:t>-</w:t>
      </w:r>
      <w:r>
        <w:t>–h</w:t>
      </w:r>
      <w:r>
        <w:t xml:space="preserve"> </w:t>
      </w:r>
      <w:r>
        <w:t>+</w:t>
      </w:r>
      <w:r>
        <w:t xml:space="preserve"> </w:t>
      </w:r>
      <w:r>
        <w:t>）在超声波下生成。同时，引入Fe</w:t>
      </w:r>
      <w:r>
        <w:t xml:space="preserve"> </w:t>
      </w:r>
      <w:r>
        <w:t>3+</w:t>
      </w:r>
      <w:r>
        <w:t xml:space="preserve"> </w:t>
      </w:r>
      <w:r>
        <w:t>空间e减弱</w:t>
      </w:r>
      <w:r>
        <w:t xml:space="preserve"> </w:t>
      </w:r>
      <w:r>
        <w:t>-</w:t>
      </w:r>
      <w:r>
        <w:t>–h</w:t>
      </w:r>
      <w:r>
        <w:t xml:space="preserve"> </w:t>
      </w:r>
      <w:r>
        <w:t>+</w:t>
      </w:r>
      <w:r>
        <w:t xml:space="preserve"> </w:t>
      </w:r>
      <w:r>
        <w:t>激发态重叠，从而抑制电荷复合，最终将更多激发态能量引导至协同增强</w:t>
      </w:r>
    </w:p>
    <w:p>
      <w:pPr>
        <w:spacing w:before="0" w:after="200" w:lineRule="auto" w:line="276"/>
      </w:pPr>
      <w:r>
        <w:rPr>
          <w:b/>
        </w:rPr>
        <w:t xml:space="preserve">Abstract (EN): </w:t>
      </w:r>
      <w:r>
        <w:t>Ultrasound (US)‐induced tumor cell pyroptosis holds great potential for cancer immunotherapy; however, its efficacy is often constrained by the inadequate reactive oxygen species (ROS) generation of conventional sonosensitizers. Herein, one‐dimensional porphyrin‐based covalent organic frameworks (designated as TD‐aniline and TD‐FeCl</w:t>
      </w:r>
      <w:r>
        <w:rPr>
          <w:vertAlign w:val="subscript"/>
        </w:rPr>
        <w:t>3</w:t>
      </w:r>
      <w:r>
        <w:t>) with well‐defined structures were constructed under mild conditions via a novel synthesis strategy that employed aniline or FeCl</w:t>
      </w:r>
      <w:r>
        <w:rPr>
          <w:vertAlign w:val="subscript"/>
        </w:rPr>
        <w:t>3</w:t>
      </w:r>
      <w:r>
        <w:t>as crystallization modulators, thereby achieving efficient ROS generation and controllable activation of tumor cell pyroptosis. Notably, FeCl</w:t>
      </w:r>
      <w:r>
        <w:rPr>
          <w:vertAlign w:val="subscript"/>
        </w:rPr>
        <w:t>3</w:t>
      </w:r>
      <w:r>
        <w:t>not only promoted the ordered assembly of TD‐FeCl</w:t>
      </w:r>
      <w:r>
        <w:rPr>
          <w:vertAlign w:val="subscript"/>
        </w:rPr>
        <w:t>3</w:t>
      </w:r>
      <w:r>
        <w:t>but also introduced metal sites via coordination with porphyrin cores, resulting in superior sonodynamic performance compared to TD‐aniline. Specifically, metal coordination in TD‐FeCl</w:t>
      </w:r>
      <w:r>
        <w:rPr>
          <w:vertAlign w:val="subscript"/>
        </w:rPr>
        <w:t>3</w:t>
      </w:r>
      <w:r>
        <w:t>reduced its band gap to promote electron‐hole pair (e</w:t>
      </w:r>
      <w:r>
        <w:t xml:space="preserve"> </w:t>
      </w:r>
      <w:r>
        <w:t>−</w:t>
      </w:r>
      <w:r>
        <w:t>–h</w:t>
      </w:r>
      <w:r>
        <w:t xml:space="preserve"> </w:t>
      </w:r>
      <w:r>
        <w:t>+</w:t>
      </w:r>
      <w:r>
        <w:t xml:space="preserve"> </w:t>
      </w:r>
      <w:r>
        <w:t>) generation under ultrasound. Meanwhile, the introduced Fe</w:t>
      </w:r>
      <w:r>
        <w:t xml:space="preserve"> </w:t>
      </w:r>
      <w:r>
        <w:t>3+</w:t>
      </w:r>
      <w:r>
        <w:t xml:space="preserve"> </w:t>
      </w:r>
      <w:r>
        <w:t>diminished spatial e</w:t>
      </w:r>
      <w:r>
        <w:t xml:space="preserve"> </w:t>
      </w:r>
      <w:r>
        <w:t>−</w:t>
      </w:r>
      <w:r>
        <w:t>–h</w:t>
      </w:r>
      <w:r>
        <w:t xml:space="preserve"> </w:t>
      </w:r>
      <w:r>
        <w:t>+</w:t>
      </w:r>
      <w:r>
        <w:t xml:space="preserve"> </w:t>
      </w:r>
      <w:r>
        <w:t>overlap in the excited state, thereby suppressing charge recombination, and ultimately channeling more excited‐state energy into a synergistic enhancement of superoxide anion and singlet oxygen production. Moreover, US irradiation enhanced the Fenton‐like activity of TD‐FeCl</w:t>
      </w:r>
      <w:r>
        <w:rPr>
          <w:vertAlign w:val="subscript"/>
        </w:rPr>
        <w:t>3</w:t>
      </w:r>
      <w:r>
        <w:t>. Based on its superior ROS generation capacity, TD‐FeCl</w:t>
      </w:r>
      <w:r>
        <w:rPr>
          <w:vertAlign w:val="subscript"/>
        </w:rPr>
        <w:t>3</w:t>
      </w:r>
      <w:r>
        <w:t>effectively promoted US‐triggered pyroptosis in tumor cells, leading to robust antitumor immune responses. This work establishes a novel paradigm for the controlled synthesis of one‐dimensional COFs and opens new avenues for pyroptosis‐based immunotherapy.</w:t>
      </w:r>
    </w:p>
    <w:p>
      <w:pPr>
        <w:spacing w:before="120" w:after="120"/>
      </w:pPr>
      <w:r>
        <w:rPr>
          <w:sz w:val="18"/>
        </w:rPr>
        <w:t>——————————————————————————————————————————————————————————————————————</w:t>
      </w:r>
    </w:p>
    <w:p>
      <w:pPr>
        <w:spacing w:before="160" w:after="40" w:line="240" w:lineRule="auto"/>
      </w:pPr>
      <w:r>
        <w:rPr>
          <w:b/>
        </w:rPr>
        <w:t xml:space="preserve">[589] </w:t>
      </w:r>
      <w:hyperlink r:id="rId1711">
        <w:r>
          <w:rPr>
            <w:color w:val="1155CC"/>
            <w:u w:val="single"/>
          </w:rPr>
          <w:t>位点特异性 RNA-蛋白质相互作用的单细胞成像</w:t>
        </w:r>
      </w:hyperlink>
    </w:p>
    <w:p>
      <w:pPr>
        <w:spacing w:before="0" w:after="80"/>
      </w:pPr>
      <w:r>
        <w:rPr>
          <w:i/>
          <w:sz w:val="20"/>
        </w:rPr>
        <w:t>EN: Single‐Cell Imaging of Site‐Specific RNA‐Protein Interactions</w:t>
      </w:r>
    </w:p>
    <w:p>
      <w:pPr>
        <w:spacing w:before="0" w:after="120"/>
      </w:pPr>
      <w:r>
        <w:rPr>
          <w:b/>
        </w:rPr>
        <w:t xml:space="preserve">Source: </w:t>
      </w:r>
      <w:r>
        <w:t>Wiley: Angewandte Chemie International Edition: Table of Contents</w:t>
      </w:r>
      <w:r>
        <w:t xml:space="preserve">    </w:t>
      </w:r>
      <w:r>
        <w:rPr>
          <w:b/>
        </w:rPr>
        <w:t xml:space="preserve">Pub date: </w:t>
      </w:r>
      <w:r>
        <w:t>2026-08-19 09:29:16+00:00</w:t>
      </w:r>
      <w:r>
        <w:t xml:space="preserve">    </w:t>
      </w:r>
      <w:r>
        <w:rPr>
          <w:b/>
        </w:rPr>
        <w:t xml:space="preserve">DOI: </w:t>
      </w:r>
      <w:hyperlink r:id="rId1712">
        <w:r>
          <w:rPr>
            <w:color w:val="1155CC"/>
            <w:u w:val="single"/>
          </w:rPr>
          <w:t>10.1002/anie.2990236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检测和量化不同生理条件下特定的RNA-蛋白质相互作用对对于阐明疾病机制和探索潜在的治疗靶点至关重要。然而，以接近单分子的分辨率可视化特定的细胞内 RNA-蛋白质相互作用仍然是一个重大挑战。在这项工作中，我们引入了一种通过抗体引导的近端原位逆转录检测（RAPID）的RNA-蛋白质相互作用可视化方法，能够以接近单分子的分辨率对单细胞内特定的RNA-蛋白质相互作用对进行空间定位和定量。我们通过验证 HeLa 细胞中异质核核糖核蛋白 hnRNPC 与长非编码 RNA (lncRNA) MALAT1 之间的相互作用，证明了 RAPID 的高特异性和稳健性。使用 RAPID，我们发现 SFPQ-NEAT1 相互作用在细胞刺激下表现出独特的空间组织和动态变化，表明 SFPQ-NEAT1 轴与核重组和刺激响应基因调控密切相关。 RAPID 为 RNA-蛋白质相互作用提供了新的视角，代表了一种新颖的分析工具，有助于进一步研究它们在生物学和疾病中的作用。</w:t>
      </w:r>
    </w:p>
    <w:p>
      <w:pPr>
        <w:spacing w:before="0" w:after="200" w:lineRule="auto" w:line="276"/>
      </w:pPr>
      <w:r>
        <w:rPr>
          <w:b/>
        </w:rPr>
        <w:t xml:space="preserve">Abstract (EN): </w:t>
      </w:r>
      <w:r>
        <w:t>Detecting and quantifying specific RNA‐protein interaction pairs under diverse physiological conditions is crucial for elucidating disease mechanisms and exploring potential therapeutic targets. However, it still remains a major challenge to visualize specific intracellular RNA‐protein interactions at near‐single‐molecule resolution. In this work, we introduce an RNA‐protein interaction visualization method by antibody‐guided proximal in situ reverse‐transcription detection (RAPID), to enable spatial localization and quantification of specific RNA‐protein interaction pairs within single cells at near‐single‐molecule resolution. We demonstrate the high specificity and robustness of RAPID by validating the interaction between the heterogeneous nuclear ribonucleoprotein hnRNPC and the long noncoding RNA (lncRNA) MALAT1 in HeLa cells. Using RAPID, we found that SFPQ‐NEAT1 interactions exhibited distinct spatial organization and dynamic changes upon cellular stimulation, indicating that the SFPQ‐NEAT1 axis is closely associated with nuclear reorganization and stimulus‐responsive gene regulation. RAPID, providing a new perspective on RNA‐protein interactions, represents a novel analytical tool that facilitates further investigation of their roles in biology and disease.</w:t>
      </w:r>
    </w:p>
    <w:p>
      <w:pPr>
        <w:spacing w:before="120" w:after="120"/>
      </w:pPr>
      <w:r>
        <w:rPr>
          <w:sz w:val="18"/>
        </w:rPr>
        <w:t>——————————————————————————————————————————————————————————————————————</w:t>
      </w:r>
    </w:p>
    <w:p>
      <w:pPr>
        <w:spacing w:before="160" w:after="40" w:line="240" w:lineRule="auto"/>
      </w:pPr>
      <w:r>
        <w:rPr>
          <w:b/>
        </w:rPr>
        <w:t xml:space="preserve">[590] </w:t>
      </w:r>
      <w:hyperlink r:id="rId1713">
        <w:r>
          <w:rPr>
            <w:color w:val="1155CC"/>
            <w:u w:val="single"/>
          </w:rPr>
          <w:t>${\mathrm{K}}_{2}{\mathrm{Cr}}_{3}{\mathrm{As}}_{3}$中的多相：操纵拓扑超导性的游乐场</w:t>
        </w:r>
      </w:hyperlink>
    </w:p>
    <w:p>
      <w:pPr>
        <w:spacing w:before="0" w:after="80"/>
      </w:pPr>
      <w:r>
        <w:rPr>
          <w:i/>
          <w:sz w:val="20"/>
        </w:rPr>
        <w:t>EN: Multiple Phases in ${\mathrm{K}}_{2}{\mathrm{Cr}}_{3}{\mathrm{As}}_{3}$: A Playground for Manipulating Topological Superconductivity</w:t>
      </w:r>
    </w:p>
    <w:p>
      <w:pPr>
        <w:spacing w:before="0" w:after="120"/>
      </w:pPr>
      <w:r>
        <w:rPr>
          <w:b/>
        </w:rPr>
        <w:t xml:space="preserve">Source: </w:t>
      </w:r>
      <w:r>
        <w:t>Recent Articles in Phys. Rev. Lett.</w:t>
      </w:r>
      <w:r>
        <w:t xml:space="preserve">    </w:t>
      </w:r>
      <w:r>
        <w:rPr>
          <w:b/>
        </w:rPr>
        <w:t xml:space="preserve">Pub date: </w:t>
      </w:r>
      <w:r>
        <w:t>2026-08-19 10:00:00+00:00</w:t>
      </w:r>
      <w:r>
        <w:t xml:space="preserve">    </w:t>
      </w:r>
      <w:r>
        <w:rPr>
          <w:b/>
        </w:rPr>
        <w:t xml:space="preserve">DOI: </w:t>
      </w:r>
      <w:hyperlink r:id="rId1714">
        <w:r>
          <w:rPr>
            <w:color w:val="1155CC"/>
            <w:u w:val="single"/>
          </w:rPr>
          <w:t>10.1103/kykd-2nj4</w:t>
        </w:r>
      </w:hyperlink>
    </w:p>
    <w:p>
      <w:pPr>
        <w:spacing w:before="0" w:after="120"/>
      </w:pPr>
      <w:r>
        <w:rPr>
          <w:b/>
        </w:rPr>
        <w:t xml:space="preserve">Notes: </w:t>
      </w:r>
      <w:r>
        <w:t>abstract_source=rss_description</w:t>
      </w:r>
    </w:p>
    <w:p>
      <w:pPr>
        <w:spacing w:before="0" w:after="80" w:lineRule="auto" w:line="276"/>
      </w:pPr>
      <w:r>
        <w:rPr>
          <w:b/>
        </w:rPr>
        <w:t xml:space="preserve">摘要（ZH）: </w:t>
      </w:r>
      <w:r>
        <w:t>作者：Seigo Okawa、Tomoki Miyoshi、Saki Uchida、Kazuaki Matano、Shinji Kawasaki、Yoshihiko Inada 和Guo-qing Cheng 研究人员首次对难以捉摸的超导态进行了明确的测量。莱特牧师。 137, 086003] 2026 年 8 月 19 日星期三发布</w:t>
      </w:r>
    </w:p>
    <w:p>
      <w:pPr>
        <w:spacing w:before="0" w:after="200" w:lineRule="auto" w:line="276"/>
      </w:pPr>
      <w:r>
        <w:rPr>
          <w:b/>
        </w:rPr>
        <w:t xml:space="preserve">Abstract (EN): </w:t>
      </w:r>
      <w:r>
        <w:t>Author(s): Seigo Ogawa, Tomoki Miyoshi, Saki Uchida, Kazuaki Matano, Shinji Kawasaki, Yoshihiko Inada, and Guo-qing ZhengResearchers have made the first definitive measurements of an elusive superconducting state.[Phys. Rev. Lett. 137, 086003] Published Wed Aug 19, 2026</w:t>
      </w:r>
    </w:p>
    <w:p>
      <w:pPr>
        <w:spacing w:before="120" w:after="120"/>
      </w:pPr>
      <w:r>
        <w:rPr>
          <w:sz w:val="18"/>
        </w:rPr>
        <w:t>——————————————————————————————————————————————————————————————————————</w:t>
      </w:r>
    </w:p>
    <w:p>
      <w:pPr>
        <w:spacing w:before="160" w:after="40" w:line="240" w:lineRule="auto"/>
      </w:pPr>
      <w:r>
        <w:rPr>
          <w:b/>
        </w:rPr>
        <w:t xml:space="preserve">[591] </w:t>
      </w:r>
      <w:hyperlink r:id="rId1715">
        <w:r>
          <w:rPr>
            <w:color w:val="1155CC"/>
            <w:u w:val="single"/>
          </w:rPr>
          <w:t>使用基于模拟的推理从有限的单分子数据中建立定量和预测折叠模型</w:t>
        </w:r>
      </w:hyperlink>
    </w:p>
    <w:p>
      <w:pPr>
        <w:spacing w:before="0" w:after="80"/>
      </w:pPr>
      <w:r>
        <w:rPr>
          <w:i/>
          <w:sz w:val="20"/>
        </w:rPr>
        <w:t>EN: Quantitative and Predictive Folding Models from Limited Single-Molecule Data Using Simulation-Based Inference</w:t>
      </w:r>
    </w:p>
    <w:p>
      <w:pPr>
        <w:spacing w:before="0" w:after="120"/>
      </w:pPr>
      <w:r>
        <w:rPr>
          <w:b/>
        </w:rPr>
        <w:t xml:space="preserve">Source: </w:t>
      </w:r>
      <w:r>
        <w:t>Recent Articles in Phys. Rev. Lett.</w:t>
      </w:r>
      <w:r>
        <w:t xml:space="preserve">    </w:t>
      </w:r>
      <w:r>
        <w:rPr>
          <w:b/>
        </w:rPr>
        <w:t xml:space="preserve">Pub date: </w:t>
      </w:r>
      <w:r>
        <w:t>2026-08-19 10:00:00+00:00</w:t>
      </w:r>
      <w:r>
        <w:t xml:space="preserve">    </w:t>
      </w:r>
      <w:r>
        <w:rPr>
          <w:b/>
        </w:rPr>
        <w:t xml:space="preserve">DOI: </w:t>
      </w:r>
      <w:hyperlink r:id="rId1716">
        <w:r>
          <w:rPr>
            <w:color w:val="1155CC"/>
            <w:u w:val="single"/>
          </w:rPr>
          <w:t>10.1103/yltb-6jkj</w:t>
        </w:r>
      </w:hyperlink>
    </w:p>
    <w:p>
      <w:pPr>
        <w:spacing w:before="0" w:after="120"/>
      </w:pPr>
      <w:r>
        <w:rPr>
          <w:b/>
        </w:rPr>
        <w:t xml:space="preserve">Notes: </w:t>
      </w:r>
      <w:r>
        <w:t>abstract_source=rss_description</w:t>
      </w:r>
    </w:p>
    <w:p>
      <w:pPr>
        <w:spacing w:before="0" w:after="80" w:lineRule="auto" w:line="276"/>
      </w:pPr>
      <w:r>
        <w:rPr>
          <w:b/>
        </w:rPr>
        <w:t xml:space="preserve">摘要（ZH）: </w:t>
      </w:r>
      <w:r>
        <w:t>作者：Lars Dingeldein、Aaron Lyons、Pilar Cossio、Michael T. Woodside 和 Roberto Covino 基于模拟的推理框架将基于物理的建模与深度学习相结合，直接从单分子力谱数据恢复生物分子折叠模型的贝叶斯后验。莱特牧师。 137, 088402] 2026 年 8 月 19 日星期三发布</w:t>
      </w:r>
    </w:p>
    <w:p>
      <w:pPr>
        <w:spacing w:before="0" w:after="200" w:lineRule="auto" w:line="276"/>
      </w:pPr>
      <w:r>
        <w:rPr>
          <w:b/>
        </w:rPr>
        <w:t xml:space="preserve">Abstract (EN): </w:t>
      </w:r>
      <w:r>
        <w:t>Author(s): Lars Dingeldein, Aaron Lyons, Pilar Cossio, Michael T. Woodside, and Roberto CovinoA simulation-based inference framework combines physics-based modeling with deep learning to recover the Bayesian posterior of a biomolecular folding model directly from single-molecule force spectroscopy data.[Phys. Rev. Lett. 137, 088402] Published Wed Aug 19, 2026</w:t>
      </w:r>
    </w:p>
    <w:p>
      <w:pPr>
        <w:spacing w:before="120" w:after="120"/>
      </w:pPr>
      <w:r>
        <w:rPr>
          <w:sz w:val="18"/>
        </w:rPr>
        <w:t>——————————————————————————————————————————————————————————————————————</w:t>
      </w:r>
    </w:p>
    <w:p>
      <w:pPr>
        <w:spacing w:before="160" w:after="40" w:line="240" w:lineRule="auto"/>
      </w:pPr>
      <w:r>
        <w:rPr>
          <w:b/>
        </w:rPr>
        <w:t xml:space="preserve">[592] </w:t>
      </w:r>
      <w:hyperlink r:id="rId1717">
        <w:r>
          <w:rPr>
            <w:color w:val="1155CC"/>
            <w:u w:val="single"/>
          </w:rPr>
          <w:t>活性手性流体的分解</w:t>
        </w:r>
      </w:hyperlink>
    </w:p>
    <w:p>
      <w:pPr>
        <w:spacing w:before="0" w:after="80"/>
      </w:pPr>
      <w:r>
        <w:rPr>
          <w:i/>
          <w:sz w:val="20"/>
        </w:rPr>
        <w:t>EN: Breakup of an Active Chiral Fluid</w:t>
      </w:r>
    </w:p>
    <w:p>
      <w:pPr>
        <w:spacing w:before="0" w:after="120"/>
      </w:pPr>
      <w:r>
        <w:rPr>
          <w:b/>
        </w:rPr>
        <w:t xml:space="preserve">Source: </w:t>
      </w:r>
      <w:r>
        <w:t>Recent Articles in Phys. Rev. Lett.</w:t>
      </w:r>
      <w:r>
        <w:t xml:space="preserve">    </w:t>
      </w:r>
      <w:r>
        <w:rPr>
          <w:b/>
        </w:rPr>
        <w:t xml:space="preserve">Pub date: </w:t>
      </w:r>
      <w:r>
        <w:t>2026-08-19 10:00:00+00:00</w:t>
      </w:r>
      <w:r>
        <w:t xml:space="preserve">    </w:t>
      </w:r>
      <w:r>
        <w:rPr>
          <w:b/>
        </w:rPr>
        <w:t xml:space="preserve">DOI: </w:t>
      </w:r>
      <w:hyperlink r:id="rId1718">
        <w:r>
          <w:rPr>
            <w:color w:val="1155CC"/>
            <w:u w:val="single"/>
          </w:rPr>
          <w:t>10.1103/w2n2-zzkd</w:t>
        </w:r>
      </w:hyperlink>
    </w:p>
    <w:p>
      <w:pPr>
        <w:spacing w:before="0" w:after="120"/>
      </w:pPr>
      <w:r>
        <w:rPr>
          <w:b/>
        </w:rPr>
        <w:t xml:space="preserve">Notes: </w:t>
      </w:r>
      <w:r>
        <w:t>abstract_source=rss_description</w:t>
      </w:r>
    </w:p>
    <w:p>
      <w:pPr>
        <w:spacing w:before="0" w:after="80" w:lineRule="auto" w:line="276"/>
      </w:pPr>
      <w:r>
        <w:rPr>
          <w:b/>
        </w:rPr>
        <w:t xml:space="preserve">摘要（ZH）: </w:t>
      </w:r>
      <w:r>
        <w:t>作者：Luke Neville、Jens Eggers 和 Tanniemola B. Liverpool 我们利用连续介质流体动力学研究了活性手性流体二维带的破裂动力学。使用细长体理论，我们表明破裂是由手性力和表面张力之间的相互作用驱动的，并且最小带材厚度按照幂律衰减到零……[Phys.莱特牧师。 137, 088302] 2026 年 8 月 19 日星期三发布</w:t>
      </w:r>
    </w:p>
    <w:p>
      <w:pPr>
        <w:spacing w:before="0" w:after="200" w:lineRule="auto" w:line="276"/>
      </w:pPr>
      <w:r>
        <w:rPr>
          <w:b/>
        </w:rPr>
        <w:t xml:space="preserve">Abstract (EN): </w:t>
      </w:r>
      <w:r>
        <w:t>Author(s): Luke Neville, Jens Eggers, and Tanniemola B. LiverpoolWe study the breakup dynamics of a two-dimensional strip of active chiral fluid using continuum hydrodynamics. Using slender body theory, we show that the breakup is driven by the interplay between chiral and surface tension forces, and that the minimum strip thickness decays to zero as a power law …[Phys. Rev. Lett. 137, 088302] Published Wed Aug 19, 2026</w:t>
      </w:r>
    </w:p>
    <w:p>
      <w:pPr>
        <w:spacing w:before="120" w:after="120"/>
      </w:pPr>
      <w:r>
        <w:rPr>
          <w:sz w:val="18"/>
        </w:rPr>
        <w:t>——————————————————————————————————————————————————————————————————————</w:t>
      </w:r>
    </w:p>
    <w:p>
      <w:pPr>
        <w:spacing w:before="160" w:after="40" w:line="240" w:lineRule="auto"/>
      </w:pPr>
      <w:r>
        <w:rPr>
          <w:b/>
        </w:rPr>
        <w:t xml:space="preserve">[593] </w:t>
      </w:r>
      <w:hyperlink r:id="rId1719">
        <w:r>
          <w:rPr>
            <w:color w:val="1155CC"/>
            <w:u w:val="single"/>
          </w:rPr>
          <w:t>首次利用 JUNO 探测太阳米赫耶夫-斯米尔诺夫-德军总部跃迁</w:t>
        </w:r>
      </w:hyperlink>
    </w:p>
    <w:p>
      <w:pPr>
        <w:spacing w:before="0" w:after="80"/>
      </w:pPr>
      <w:r>
        <w:rPr>
          <w:i/>
          <w:sz w:val="20"/>
        </w:rPr>
        <w:t>EN: Toward First Detection of the Solar Mikheyev-Smirnov-Wolfenstein Transition with JUNO</w:t>
      </w:r>
    </w:p>
    <w:p>
      <w:pPr>
        <w:spacing w:before="0" w:after="120"/>
      </w:pPr>
      <w:r>
        <w:rPr>
          <w:b/>
        </w:rPr>
        <w:t xml:space="preserve">Source: </w:t>
      </w:r>
      <w:r>
        <w:t>Recent Articles in Phys. Rev. Lett.</w:t>
      </w:r>
      <w:r>
        <w:t xml:space="preserve">    </w:t>
      </w:r>
      <w:r>
        <w:rPr>
          <w:b/>
        </w:rPr>
        <w:t xml:space="preserve">Pub date: </w:t>
      </w:r>
      <w:r>
        <w:t>2026-08-19 10:00:00+00:00</w:t>
      </w:r>
      <w:r>
        <w:t xml:space="preserve">    </w:t>
      </w:r>
      <w:r>
        <w:rPr>
          <w:b/>
        </w:rPr>
        <w:t xml:space="preserve">DOI: </w:t>
      </w:r>
      <w:hyperlink r:id="rId1720">
        <w:r>
          <w:rPr>
            <w:color w:val="1155CC"/>
            <w:u w:val="single"/>
          </w:rPr>
          <w:t>10.1103/qhr8-qhhp</w:t>
        </w:r>
      </w:hyperlink>
    </w:p>
    <w:p>
      <w:pPr>
        <w:spacing w:before="0" w:after="120"/>
      </w:pPr>
      <w:r>
        <w:rPr>
          <w:b/>
        </w:rPr>
        <w:t xml:space="preserve">Notes: </w:t>
      </w:r>
      <w:r>
        <w:t>abstract_source=rss_description</w:t>
      </w:r>
    </w:p>
    <w:p>
      <w:pPr>
        <w:spacing w:before="0" w:after="80" w:lineRule="auto" w:line="276"/>
      </w:pPr>
      <w:r>
        <w:rPr>
          <w:b/>
        </w:rPr>
        <w:t xml:space="preserve">摘要（ZH）: </w:t>
      </w:r>
      <w:r>
        <w:t>作者：Obada Nairat、John F. Beacom、Kevin J. Kelly 和 Shirley Weishi Li 物质引起的中微子风味混合（米赫耶夫-斯米尔诺夫-沃尔芬斯坦效应，或 MSW 效应）是中微子混合框架的核心预测，但尚未得到最终观察。直接观察太阳电子-中微子生存概率中依赖于能量的 MSW 跃迁……[Phys。莱特牧师。 137, 081801] 2026 年 8 月 19 日星期三发布</w:t>
      </w:r>
    </w:p>
    <w:p>
      <w:pPr>
        <w:spacing w:before="0" w:after="200" w:lineRule="auto" w:line="276"/>
      </w:pPr>
      <w:r>
        <w:rPr>
          <w:b/>
        </w:rPr>
        <w:t xml:space="preserve">Abstract (EN): </w:t>
      </w:r>
      <w:r>
        <w:t>Author(s): Obada Nairat, John F. Beacom, Kevin J. Kelly, and Shirley Weishi LiMatter-induced neutrino flavor mixing (the Mikheyev-Smirnov-Wolfenstein, or MSW, effect) is a central prediction of the neutrino mixing framework, but it has not been conclusively observed. Direct observation of the energy-dependent MSW transition in the solar electron-neutrino survival probability …[Phys. Rev. Lett. 137, 081801] Published Wed Aug 19, 2026</w:t>
      </w:r>
    </w:p>
    <w:p>
      <w:pPr>
        <w:spacing w:before="120" w:after="120"/>
      </w:pPr>
      <w:r>
        <w:rPr>
          <w:sz w:val="18"/>
        </w:rPr>
        <w:t>——————————————————————————————————————————————————————————————————————</w:t>
      </w:r>
    </w:p>
    <w:p>
      <w:pPr>
        <w:spacing w:before="160" w:after="40" w:line="240" w:lineRule="auto"/>
      </w:pPr>
      <w:r>
        <w:rPr>
          <w:b/>
        </w:rPr>
        <w:t xml:space="preserve">[594] </w:t>
      </w:r>
      <w:hyperlink r:id="rId1721">
        <w:r>
          <w:rPr>
            <w:color w:val="1155CC"/>
            <w:u w:val="single"/>
          </w:rPr>
          <w:t>超核的伽莫夫壳模型描述</w:t>
        </w:r>
      </w:hyperlink>
    </w:p>
    <w:p>
      <w:pPr>
        <w:spacing w:before="0" w:after="80"/>
      </w:pPr>
      <w:r>
        <w:rPr>
          <w:i/>
          <w:sz w:val="20"/>
        </w:rPr>
        <w:t>EN: Gamow shell-model description of hypernuclei</w:t>
      </w:r>
    </w:p>
    <w:p>
      <w:pPr>
        <w:spacing w:before="0" w:after="120"/>
      </w:pPr>
      <w:r>
        <w:rPr>
          <w:b/>
        </w:rPr>
        <w:t xml:space="preserve">Source: </w:t>
      </w:r>
      <w:r>
        <w:t>Recent Articles in Phys. Rev. C</w:t>
      </w:r>
      <w:r>
        <w:t xml:space="preserve">    </w:t>
      </w:r>
      <w:r>
        <w:rPr>
          <w:b/>
        </w:rPr>
        <w:t xml:space="preserve">Pub date: </w:t>
      </w:r>
      <w:r>
        <w:t>2026-08-19 10:00:00+00:00</w:t>
      </w:r>
      <w:r>
        <w:t xml:space="preserve">    </w:t>
      </w:r>
      <w:r>
        <w:rPr>
          <w:b/>
        </w:rPr>
        <w:t xml:space="preserve">DOI: </w:t>
      </w:r>
      <w:hyperlink r:id="rId1722">
        <w:r>
          <w:rPr>
            <w:color w:val="1155CC"/>
            <w:u w:val="single"/>
          </w:rPr>
          <w:t>10.1103/qksp-p1jy</w:t>
        </w:r>
      </w:hyperlink>
    </w:p>
    <w:p>
      <w:pPr>
        <w:spacing w:before="0" w:after="120"/>
      </w:pPr>
      <w:r>
        <w:rPr>
          <w:b/>
        </w:rPr>
        <w:t xml:space="preserve">Notes: </w:t>
      </w:r>
      <w:r>
        <w:t>abstract_source=rss_description</w:t>
      </w:r>
    </w:p>
    <w:p>
      <w:pPr>
        <w:spacing w:before="0" w:after="80" w:lineRule="auto" w:line="276"/>
      </w:pPr>
      <w:r>
        <w:rPr>
          <w:b/>
        </w:rPr>
        <w:t xml:space="preserve">摘要（ZH）: </w:t>
      </w:r>
      <w:r>
        <w:t>作者：Alan Cruz Dassie、Emiko Hiyama、Nicolas Michel 和 Marek Płoszajczak 背景：超核物理学研究重子相互作用和奇异原子核的结构，其中奇异性在致密物质中起着关键作用。高分辨率 $γ$ 射线光谱（例如 BNL/KEK 的 Hyperball）和即将推出的设施（J-PARC 和 JLab）提供了有关 $p$-sh 的精确数据……[Phys. Rev. C 114, 024331] 2026 年 8 月 19 日星期三发布</w:t>
      </w:r>
    </w:p>
    <w:p>
      <w:pPr>
        <w:spacing w:before="0" w:after="200" w:lineRule="auto" w:line="276"/>
      </w:pPr>
      <w:r>
        <w:rPr>
          <w:b/>
        </w:rPr>
        <w:t xml:space="preserve">Abstract (EN): </w:t>
      </w:r>
      <w:r>
        <w:t>Author(s): Alan Cruz Dassie, Emiko Hiyama, Nicolas Michel, and Marek PłoszajczakBackground: Hypernuclear physics studies baryon interactions and the structure of exotic atomic nuclei, where strangeness plays a key role in dense matter. High-resolution $γ$-ray spectroscopy (e.g., Hyperball at BNL/KEK) and upcoming facilities (J-PARC and JLab) have provided precise data on $p$-sh…[Phys. Rev. C 114, 024331] Published Wed Aug 19, 2026</w:t>
      </w:r>
    </w:p>
    <w:p>
      <w:pPr>
        <w:spacing w:before="120" w:after="120"/>
      </w:pPr>
      <w:r>
        <w:rPr>
          <w:sz w:val="18"/>
        </w:rPr>
        <w:t>——————————————————————————————————————————————————————————————————————</w:t>
      </w:r>
    </w:p>
    <w:p>
      <w:pPr>
        <w:spacing w:before="160" w:after="40" w:line="240" w:lineRule="auto"/>
      </w:pPr>
      <w:r>
        <w:rPr>
          <w:b/>
        </w:rPr>
        <w:t xml:space="preserve">[595] </w:t>
      </w:r>
      <w:hyperlink r:id="rId1723">
        <w:r>
          <w:rPr>
            <w:color w:val="1155CC"/>
            <w:u w:val="single"/>
          </w:rPr>
          <w:t>氯离子：实现 MXene 自发分层的重要试剂</w:t>
        </w:r>
      </w:hyperlink>
    </w:p>
    <w:p>
      <w:pPr>
        <w:spacing w:before="0" w:after="80"/>
      </w:pPr>
      <w:r>
        <w:rPr>
          <w:i/>
          <w:sz w:val="20"/>
        </w:rPr>
        <w:t>EN: Chloride Ions: Essential Agents for Achieving Spontaneous Delamination of MXene</w:t>
      </w:r>
    </w:p>
    <w:p>
      <w:pPr>
        <w:spacing w:before="0" w:after="120"/>
      </w:pPr>
      <w:r>
        <w:rPr>
          <w:b/>
        </w:rPr>
        <w:t xml:space="preserve">Source: </w:t>
      </w:r>
      <w:r>
        <w:t>Wiley: Advanced Materials: Table of Contents</w:t>
      </w:r>
      <w:r>
        <w:t xml:space="preserve">    </w:t>
      </w:r>
      <w:r>
        <w:rPr>
          <w:b/>
        </w:rPr>
        <w:t xml:space="preserve">Pub date: </w:t>
      </w:r>
      <w:r>
        <w:t>2026-08-19 10:07:18+00:00</w:t>
      </w:r>
      <w:r>
        <w:t xml:space="preserve">    </w:t>
      </w:r>
      <w:r>
        <w:rPr>
          <w:b/>
        </w:rPr>
        <w:t xml:space="preserve">DOI: </w:t>
      </w:r>
      <w:hyperlink r:id="rId1724">
        <w:r>
          <w:rPr>
            <w:color w:val="1155CC"/>
            <w:u w:val="single"/>
          </w:rPr>
          <w:t>10.1002/adma.74422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 MXene 合成取得了重大进展，但蚀刻和分层过程在很大程度上仍然是经验性的，对其潜在机制的了解有限。在这里，我们揭示了氯离子（Cl</w:t>
      </w:r>
      <w:r>
        <w:t xml:space="preserve"> </w:t>
      </w:r>
      <w:r>
        <w:t>–</w:t>
      </w:r>
      <w:r>
        <w:t xml:space="preserve"> </w:t>
      </w:r>
      <w:r>
        <w:t>）通过促进Li实现自发分层</w:t>
      </w:r>
      <w:r>
        <w:t xml:space="preserve"> </w:t>
      </w:r>
      <w:r>
        <w:t>+</w:t>
      </w:r>
      <w:r>
        <w:t xml:space="preserve"> </w:t>
      </w:r>
      <w:r>
        <w:t>蚀刻过程中通过层间膨胀和表面终止进行离子嵌入。在所有情况下，当 Cl 存在时，未观察到分层现象</w:t>
      </w:r>
      <w:r>
        <w:t xml:space="preserve"> </w:t>
      </w:r>
      <w:r>
        <w:t>-</w:t>
      </w:r>
      <w:r>
        <w:t>蚀刻剂中不存在，并且仅在蚀刻过程中形成氯末端的样品中才会发生自发分层。我们的研究结果被用来开发一种一步式、最大化的自发 MXene 合成方法，该方法具有高分层效率，产率高达 83.6%，电导率增强至 ∼15 000 S/cm。它在透明导电薄膜和焦耳加热装置中表现出卓越的性能，展示了它们在下一代电子和能源系统中的潜力。这种分层机制和合成方法并不限于Ti</w:t>
      </w:r>
      <w:r>
        <w:rPr>
          <w:vertAlign w:val="subscript"/>
        </w:rPr>
        <w:t>3</w:t>
      </w:r>
      <w:r>
        <w:t>铝碳</w:t>
      </w:r>
      <w:r>
        <w:rPr>
          <w:vertAlign w:val="subscript"/>
        </w:rPr>
        <w:t>2</w:t>
      </w:r>
      <w:r>
        <w:t>MAX 但可以扩展到其他 MAX 相，凸显了其广泛的适用性。这项工作中的观察结果应作为设计不同 MAX 相的新合成路线和推进基于 MXene 的应用的基础。</w:t>
      </w:r>
    </w:p>
    <w:p>
      <w:pPr>
        <w:spacing w:before="0" w:after="200" w:lineRule="auto" w:line="276"/>
      </w:pPr>
      <w:r>
        <w:rPr>
          <w:b/>
        </w:rPr>
        <w:t xml:space="preserve">Abstract (EN): </w:t>
      </w:r>
      <w:r>
        <w:t>Despite significant advancements in MXene synthesis, the etching and delamination processes remained largely empirical, with limited understanding of their underlying mechanisms. Here, we uncover the pivotal role of chloride ions (Cl</w:t>
      </w:r>
      <w:r>
        <w:t xml:space="preserve"> </w:t>
      </w:r>
      <w:r>
        <w:t>–</w:t>
      </w:r>
      <w:r>
        <w:t xml:space="preserve"> </w:t>
      </w:r>
      <w:r>
        <w:t>) in enabling spontaneous delamination by facilitating Li</w:t>
      </w:r>
      <w:r>
        <w:t xml:space="preserve"> </w:t>
      </w:r>
      <w:r>
        <w:t>+</w:t>
      </w:r>
      <w:r>
        <w:t xml:space="preserve"> </w:t>
      </w:r>
      <w:r>
        <w:t>ion intercalation through interlayer expansion and surface termination during the etching. In all cases, delamination is not observed where Cl</w:t>
      </w:r>
      <w:r>
        <w:t xml:space="preserve"> </w:t>
      </w:r>
      <w:r>
        <w:t>−</w:t>
      </w:r>
      <w:r>
        <w:t>was absent in the etchant, and spontaneous delamination occurs only in samples where chlorine terminations are formed during the etching. Our findings are utilized to develop a one‐step, maximized spontaneous MXene synthesis method with high delamination efficiency, yielding an 83.6% production rate and an enhanced electrical conductivity of ∼15 000 S/cm. It shows superior performance in transparent conductive films and Joule heating devices, showcasing their potential for next‐generation electronic and energy systems. This delamination mechanism and synthesis approach are not limited to Ti</w:t>
      </w:r>
      <w:r>
        <w:rPr>
          <w:vertAlign w:val="subscript"/>
        </w:rPr>
        <w:t>3</w:t>
      </w:r>
      <w:r>
        <w:t>AlC</w:t>
      </w:r>
      <w:r>
        <w:rPr>
          <w:vertAlign w:val="subscript"/>
        </w:rPr>
        <w:t>2</w:t>
      </w:r>
      <w:r>
        <w:t>MAX but can be extended to other MAX phases, highlighting their broad applicability. Observations made in this effort should serve as the foundation for designing new synthesis routes for diverse MAX phases and advancing MXene‐based applications.</w:t>
      </w:r>
    </w:p>
    <w:p>
      <w:pPr>
        <w:spacing w:before="120" w:after="120"/>
      </w:pPr>
      <w:r>
        <w:rPr>
          <w:sz w:val="18"/>
        </w:rPr>
        <w:t>——————————————————————————————————————————————————————————————————————</w:t>
      </w:r>
    </w:p>
    <w:p>
      <w:pPr>
        <w:spacing w:before="160" w:after="40" w:line="240" w:lineRule="auto"/>
      </w:pPr>
      <w:r>
        <w:rPr>
          <w:b/>
        </w:rPr>
        <w:t xml:space="preserve">[596] </w:t>
      </w:r>
      <w:hyperlink r:id="rId1725">
        <w:r>
          <w:rPr>
            <w:color w:val="1155CC"/>
            <w:u w:val="single"/>
          </w:rPr>
          <w:t>用于飞克级细胞因子检测的电聚合适配体传感器</w:t>
        </w:r>
      </w:hyperlink>
    </w:p>
    <w:p>
      <w:pPr>
        <w:spacing w:before="0" w:after="80"/>
      </w:pPr>
      <w:r>
        <w:rPr>
          <w:i/>
          <w:sz w:val="20"/>
        </w:rPr>
        <w:t>EN: Electropolymerized Aptasensor for Femtogram‐Level Cytokine Detection</w:t>
      </w:r>
    </w:p>
    <w:p>
      <w:pPr>
        <w:spacing w:before="0" w:after="120"/>
      </w:pPr>
      <w:r>
        <w:rPr>
          <w:b/>
        </w:rPr>
        <w:t xml:space="preserve">Source: </w:t>
      </w:r>
      <w:r>
        <w:t>Wiley: Advanced Materials: Table of Contents</w:t>
      </w:r>
      <w:r>
        <w:t xml:space="preserve">    </w:t>
      </w:r>
      <w:r>
        <w:rPr>
          <w:b/>
        </w:rPr>
        <w:t xml:space="preserve">Pub date: </w:t>
      </w:r>
      <w:r>
        <w:t>2026-08-19 10:09:00+00:00</w:t>
      </w:r>
      <w:r>
        <w:t xml:space="preserve">    </w:t>
      </w:r>
      <w:r>
        <w:rPr>
          <w:b/>
        </w:rPr>
        <w:t xml:space="preserve">DOI: </w:t>
      </w:r>
      <w:hyperlink r:id="rId1726">
        <w:r>
          <w:rPr>
            <w:color w:val="1155CC"/>
            <w:u w:val="single"/>
          </w:rPr>
          <w:t>10.1002/adma.74691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检测超低浓度的细胞因子对于炎症和免疫疾病的早期诊断和监测非常重要，但仍然受到生物电子接口的灵敏度和稳定性的限制。在这里，我们提出了一种电聚合策略，用于制备聚（氨基-ʟ-酪氨酸）（pALT）纳米膜作为基于DNA适体的细胞因子识别的功能性生物界面。电聚合产生超薄、连续和超光滑的涂层，将化学稳定性与可接近的羧基官能团结合起来，用于胺封端适体的直接生物共轭。 pALT 接口集成到光纤表面等离子体共振和有机电化学晶体管平台中，支持飞克级灵敏度（100 fg mL</w:t>
      </w:r>
      <w:r>
        <w:t xml:space="preserve"> </w:t>
      </w:r>
      <w:r>
        <w:t>−1</w:t>
      </w:r>
      <w:r>
        <w:t xml:space="preserve"> </w:t>
      </w:r>
      <w:r>
        <w:t>）动态范围跨越五个数量级，属于报告的较低检测范围。通过将可控电聚合与直接表面​​生物功能化相结合，这种方法为导电基底上的光学和生物电子传感界面提供了一条通用途径。</w:t>
      </w:r>
    </w:p>
    <w:p>
      <w:pPr>
        <w:spacing w:before="0" w:after="200" w:lineRule="auto" w:line="276"/>
      </w:pPr>
      <w:r>
        <w:rPr>
          <w:b/>
        </w:rPr>
        <w:t xml:space="preserve">Abstract (EN): </w:t>
      </w:r>
      <w:r>
        <w:t>Detecting cytokines at ultralow concentrations is important for the early diagnosis and monitoring of inflammatory and immune disorders, yet remains constrained by the sensitivity and stability of bioelectronic interfaces. Here, we present an electropolymerization strategy for preparing poly(amino‐ʟ‐tyrosine) (pALT) nanofilms as functional biointerfaces for DNA aptamer‐based cytokine recognition. Electropolymerization yields ultrathin, continuous, and ultrasmooth coatings that combine chemical stability with accessible carboxyl functionalities for the direct bioconjugation of amine‐terminated aptamers. Integrated into fiber‐optic surface plasmon resonance and organic electrochemical transistor platforms, the pALT interfaces support interleukin‐6 detection with femtogram‐level sensitivity (100 fg mL</w:t>
      </w:r>
      <w:r>
        <w:t xml:space="preserve"> </w:t>
      </w:r>
      <w:r>
        <w:t>−1</w:t>
      </w:r>
      <w:r>
        <w:t xml:space="preserve"> </w:t>
      </w:r>
      <w:r>
        <w:t>) across five orders of magnitude in dynamic range, among the lower reported detection ranges. By coupling controllable electropolymerization with direct surface biofunctionalization, this approach provides a versatile route to optical and bioelectronics sensing interfaces on electrically conductive substrates.</w:t>
      </w:r>
    </w:p>
    <w:p>
      <w:pPr>
        <w:spacing w:before="120" w:after="120"/>
      </w:pPr>
      <w:r>
        <w:rPr>
          <w:sz w:val="18"/>
        </w:rPr>
        <w:t>——————————————————————————————————————————————————————————————————————</w:t>
      </w:r>
    </w:p>
    <w:p>
      <w:pPr>
        <w:spacing w:before="160" w:after="40" w:line="240" w:lineRule="auto"/>
      </w:pPr>
      <w:r>
        <w:rPr>
          <w:b/>
        </w:rPr>
        <w:t xml:space="preserve">[597] </w:t>
      </w:r>
      <w:hyperlink r:id="rId1727">
        <w:r>
          <w:rPr>
            <w:color w:val="1155CC"/>
            <w:u w:val="single"/>
          </w:rPr>
          <w:t>多齿阴离子 [C6H6NO6]3− 配位杂化铋配合物单晶，用于高灵敏度稳定 X 射线检测</w:t>
        </w:r>
      </w:hyperlink>
    </w:p>
    <w:p>
      <w:pPr>
        <w:spacing w:before="0" w:after="80"/>
      </w:pPr>
      <w:r>
        <w:rPr>
          <w:i/>
          <w:sz w:val="20"/>
        </w:rPr>
        <w:t>EN: Multidentate Anion [C6H6NO6]3− Coordinated Hybrid Bismuth Complex Single Crystal for Stable X‐Ray Detection With High Sensitivity</w:t>
      </w:r>
    </w:p>
    <w:p>
      <w:pPr>
        <w:spacing w:before="0" w:after="120"/>
      </w:pPr>
      <w:r>
        <w:rPr>
          <w:b/>
        </w:rPr>
        <w:t xml:space="preserve">Source: </w:t>
      </w:r>
      <w:r>
        <w:t>Wiley: Advanced Materials: Table of Contents</w:t>
      </w:r>
      <w:r>
        <w:t xml:space="preserve">    </w:t>
      </w:r>
      <w:r>
        <w:rPr>
          <w:b/>
        </w:rPr>
        <w:t xml:space="preserve">Pub date: </w:t>
      </w:r>
      <w:r>
        <w:t>2026-08-19 10:17:55+00:00</w:t>
      </w:r>
      <w:r>
        <w:t xml:space="preserve">    </w:t>
      </w:r>
      <w:r>
        <w:rPr>
          <w:b/>
        </w:rPr>
        <w:t xml:space="preserve">DOI: </w:t>
      </w:r>
      <w:hyperlink r:id="rId1728">
        <w:r>
          <w:rPr>
            <w:color w:val="1155CC"/>
            <w:u w:val="single"/>
          </w:rPr>
          <w:t>10.1002/adma.74715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用拟卤化物代替卤化物是解决卤化铋 (Bi) 中离子迁移和腐蚀问题的有效策略。然而，拟卤化物也存在单点键合较弱的问题，并且较大的分子尺寸会增强电子局域化，这不利于载流子传输。因此，开发既保证结构稳定性又具有优异检测性能的新配体至关重要。在这里，我们首先设计了一种新型的多齿配体，次氮基三乙酸酯[N(CH</w:t>
      </w:r>
      <w:r>
        <w:rPr>
          <w:vertAlign w:val="subscript"/>
        </w:rPr>
        <w:t>2</w:t>
      </w:r>
      <w:r>
        <w:t>首席运营官）</w:t>
      </w:r>
      <w:r>
        <w:rPr>
          <w:vertAlign w:val="subscript"/>
        </w:rPr>
        <w:t>3</w:t>
      </w:r>
      <w:r>
        <w:t>]</w:t>
      </w:r>
      <w:r>
        <w:t xml:space="preserve"> </w:t>
      </w:r>
      <w:r>
        <w:t>3−</w:t>
      </w:r>
      <w:r>
        <w:t>(NTA)，形成(NH</w:t>
      </w:r>
      <w:r>
        <w:rPr>
          <w:vertAlign w:val="subscript"/>
        </w:rPr>
        <w:t>4</w:t>
      </w:r>
      <w:r>
        <w:t>）</w:t>
      </w:r>
      <w:r>
        <w:rPr>
          <w:vertAlign w:val="subscript"/>
        </w:rPr>
        <w:t>3</w:t>
      </w:r>
      <w:r>
        <w:t>铋(NTA)</w:t>
      </w:r>
      <w:r>
        <w:rPr>
          <w:vertAlign w:val="subscript"/>
        </w:rPr>
        <w:t>2</w:t>
      </w:r>
      <w:r>
        <w:t>通过与毕的协调。理论计算表明，NTA配位增强了Bi─O键，将Bi和O的迁移能提高到5.57和1.04 eV，明显高于(NH)中Bi和I的迁移能。</w:t>
      </w:r>
      <w:r>
        <w:rPr>
          <w:vertAlign w:val="subscript"/>
        </w:rPr>
        <w:t>4</w:t>
      </w:r>
      <w:r>
        <w:t>）</w:t>
      </w:r>
      <w:r>
        <w:rPr>
          <w:vertAlign w:val="subscript"/>
        </w:rPr>
        <w:t>3</w:t>
      </w:r>
      <w:r>
        <w:t>毕</w:t>
      </w:r>
      <w:r>
        <w:rPr>
          <w:vertAlign w:val="subscript"/>
        </w:rPr>
        <w:t>2</w:t>
      </w:r>
      <w:r>
        <w:t>我</w:t>
      </w:r>
      <w:r>
        <w:rPr>
          <w:vertAlign w:val="subscript"/>
        </w:rPr>
        <w:t>9</w:t>
      </w:r>
      <w:r>
        <w:t>（1.94 和 0.42 eV）。此外，与卤化物络合物的能带边缘由 Bi 和 I 原子轨道主导不同，(NH</w:t>
      </w:r>
      <w:r>
        <w:rPr>
          <w:vertAlign w:val="subscript"/>
        </w:rPr>
        <w:t>4</w:t>
      </w:r>
      <w:r>
        <w:t>）</w:t>
      </w:r>
      <w:r>
        <w:rPr>
          <w:vertAlign w:val="subscript"/>
        </w:rPr>
        <w:t>3</w:t>
      </w:r>
      <w:r>
        <w:t>铋(NTA)</w:t>
      </w:r>
      <w:r>
        <w:rPr>
          <w:vertAlign w:val="subscript"/>
        </w:rPr>
        <w:t>2</w:t>
      </w:r>
      <w:r>
        <w:t>主要由 NTA 分子轨道贡献，并且 h</w:t>
      </w:r>
    </w:p>
    <w:p>
      <w:pPr>
        <w:spacing w:before="0" w:after="200" w:lineRule="auto" w:line="276"/>
      </w:pPr>
      <w:r>
        <w:rPr>
          <w:b/>
        </w:rPr>
        <w:t xml:space="preserve">Abstract (EN): </w:t>
      </w:r>
      <w:r>
        <w:t>Replacing halides with pseudohalides is effective strategy to address the ion migration and corrosion issues in bismuth (Bi) halides. However, pseudohalides also suffer from weak single‐point bonding, and larger molecular size enhances electron localization that are unfavorable for carrier transport. Therefore, it is crucial to develop new ligand that both ensures structural stability and delivers excellent detection performance. Herein, we first designed a novel multidentate ligand, Nitrilotriacetate [N(CH</w:t>
      </w:r>
      <w:r>
        <w:rPr>
          <w:vertAlign w:val="subscript"/>
        </w:rPr>
        <w:t>2</w:t>
      </w:r>
      <w:r>
        <w:t>COO)</w:t>
      </w:r>
      <w:r>
        <w:rPr>
          <w:vertAlign w:val="subscript"/>
        </w:rPr>
        <w:t>3</w:t>
      </w:r>
      <w:r>
        <w:t>]</w:t>
      </w:r>
      <w:r>
        <w:t xml:space="preserve"> </w:t>
      </w:r>
      <w:r>
        <w:t>3−</w:t>
      </w:r>
      <w:r>
        <w:t>(NTA), which forms (NH</w:t>
      </w:r>
      <w:r>
        <w:rPr>
          <w:vertAlign w:val="subscript"/>
        </w:rPr>
        <w:t>4</w:t>
      </w:r>
      <w:r>
        <w:t>)</w:t>
      </w:r>
      <w:r>
        <w:rPr>
          <w:vertAlign w:val="subscript"/>
        </w:rPr>
        <w:t>3</w:t>
      </w:r>
      <w:r>
        <w:t>Bi(NTA)</w:t>
      </w:r>
      <w:r>
        <w:rPr>
          <w:vertAlign w:val="subscript"/>
        </w:rPr>
        <w:t>2</w:t>
      </w:r>
      <w:r>
        <w:t>through coordination with Bi. Theoretical calculations reveal that NTA coordination enhances the Bi─O bond, raising migration energies of Bi and O to 5.57 and 1.04 eV, which are significantly higher than those of Bi and I in (NH</w:t>
      </w:r>
      <w:r>
        <w:rPr>
          <w:vertAlign w:val="subscript"/>
        </w:rPr>
        <w:t>4</w:t>
      </w:r>
      <w:r>
        <w:t>)</w:t>
      </w:r>
      <w:r>
        <w:rPr>
          <w:vertAlign w:val="subscript"/>
        </w:rPr>
        <w:t>3</w:t>
      </w:r>
      <w:r>
        <w:t>Bi</w:t>
      </w:r>
      <w:r>
        <w:rPr>
          <w:vertAlign w:val="subscript"/>
        </w:rPr>
        <w:t>2</w:t>
      </w:r>
      <w:r>
        <w:t>I</w:t>
      </w:r>
      <w:r>
        <w:rPr>
          <w:vertAlign w:val="subscript"/>
        </w:rPr>
        <w:t>9</w:t>
      </w:r>
      <w:r>
        <w:t>(1.94 and 0.42 eV). Furthermore, unlike in halide complex where the band edges are dominated by Bi and I atomic orbitals, the band edges of (NH</w:t>
      </w:r>
      <w:r>
        <w:rPr>
          <w:vertAlign w:val="subscript"/>
        </w:rPr>
        <w:t>4</w:t>
      </w:r>
      <w:r>
        <w:t>)</w:t>
      </w:r>
      <w:r>
        <w:rPr>
          <w:vertAlign w:val="subscript"/>
        </w:rPr>
        <w:t>3</w:t>
      </w:r>
      <w:r>
        <w:t>Bi(NTA)</w:t>
      </w:r>
      <w:r>
        <w:rPr>
          <w:vertAlign w:val="subscript"/>
        </w:rPr>
        <w:t>2</w:t>
      </w:r>
      <w:r>
        <w:t>are primarily contributed by NTA molecular orbitals, and the hydrogen bond network (N─H···O) effectively links the individual NTA</w:t>
      </w:r>
      <w:r>
        <w:t xml:space="preserve"> </w:t>
      </w:r>
      <w:r>
        <w:t>3−</w:t>
      </w:r>
      <w:r>
        <w:t>, enhancing the carrier transport efficiency. Ultimately, (NH</w:t>
      </w:r>
      <w:r>
        <w:rPr>
          <w:vertAlign w:val="subscript"/>
        </w:rPr>
        <w:t>4</w:t>
      </w:r>
      <w:r>
        <w:t>)</w:t>
      </w:r>
      <w:r>
        <w:rPr>
          <w:vertAlign w:val="subscript"/>
        </w:rPr>
        <w:t>3</w:t>
      </w:r>
      <w:r>
        <w:t>Bi(NTA)</w:t>
      </w:r>
      <w:r>
        <w:rPr>
          <w:vertAlign w:val="subscript"/>
        </w:rPr>
        <w:t>2</w:t>
      </w:r>
      <w:r>
        <w:t>‐based device demonstrated ultralow limit of detection 24.83 nGy/s and high sensitivity (6116 µC Gy</w:t>
      </w:r>
      <w:r>
        <w:t xml:space="preserve"> </w:t>
      </w:r>
      <w:r>
        <w:t>−1</w:t>
      </w:r>
      <w:r>
        <w:t xml:space="preserve"> </w:t>
      </w:r>
      <w:r>
        <w:t>cm</w:t>
      </w:r>
      <w:r>
        <w:t xml:space="preserve"> </w:t>
      </w:r>
      <w:r>
        <w:t>−2</w:t>
      </w:r>
      <w:r>
        <w:t xml:space="preserve"> </w:t>
      </w:r>
      <w:r>
        <w:t>), along with no obvious corrosion for electrodes. This work provides new approach to address the challenges of halide coordination complexes.</w:t>
      </w:r>
    </w:p>
    <w:p>
      <w:pPr>
        <w:spacing w:before="120" w:after="120"/>
      </w:pPr>
      <w:r>
        <w:rPr>
          <w:sz w:val="18"/>
        </w:rPr>
        <w:t>——————————————————————————————————————————————————————————————————————</w:t>
      </w:r>
    </w:p>
    <w:p>
      <w:pPr>
        <w:spacing w:before="160" w:after="40" w:line="240" w:lineRule="auto"/>
      </w:pPr>
      <w:r>
        <w:rPr>
          <w:b/>
        </w:rPr>
        <w:t xml:space="preserve">[598] </w:t>
      </w:r>
      <w:hyperlink r:id="rId1729">
        <w:r>
          <w:rPr>
            <w:color w:val="1155CC"/>
            <w:u w:val="single"/>
          </w:rPr>
          <w:t>对“增强肝细胞癌射频消融：纳米药物对免疫调节和抗原性恢复的影响”的修正</w:t>
        </w:r>
      </w:hyperlink>
    </w:p>
    <w:p>
      <w:pPr>
        <w:spacing w:before="0" w:after="80"/>
      </w:pPr>
      <w:r>
        <w:rPr>
          <w:i/>
          <w:sz w:val="20"/>
        </w:rPr>
        <w:t>EN: Correction to “Enhancing Radiofrequency Ablation for Hepatocellular Carcinoma: Nano‐Epidrug Effects on Immune Modulation and Antigenicity Restoration”</w:t>
      </w:r>
    </w:p>
    <w:p>
      <w:pPr>
        <w:spacing w:before="0" w:after="120"/>
      </w:pPr>
      <w:r>
        <w:rPr>
          <w:b/>
        </w:rPr>
        <w:t xml:space="preserve">Source: </w:t>
      </w:r>
      <w:r>
        <w:t>Wiley: Advanced Materials: Table of Contents</w:t>
      </w:r>
      <w:r>
        <w:t xml:space="preserve">    </w:t>
      </w:r>
      <w:r>
        <w:rPr>
          <w:b/>
        </w:rPr>
        <w:t xml:space="preserve">Pub date: </w:t>
      </w:r>
      <w:r>
        <w:t>2026-08-19 10:19:41+00:00</w:t>
      </w:r>
      <w:r>
        <w:t xml:space="preserve">    </w:t>
      </w:r>
      <w:r>
        <w:rPr>
          <w:b/>
        </w:rPr>
        <w:t xml:space="preserve">DOI: </w:t>
      </w:r>
      <w:hyperlink r:id="rId1730">
        <w:r>
          <w:rPr>
            <w:color w:val="1155CC"/>
            <w:u w:val="single"/>
          </w:rPr>
          <w:t>10.1002/adma.74696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[599] </w:t>
      </w:r>
      <w:hyperlink r:id="rId1731">
        <w:r>
          <w:rPr>
            <w:color w:val="1155CC"/>
            <w:u w:val="single"/>
          </w:rPr>
          <w:t>用于非侵入性原位监测和控制针对异质实体瘤的 CAR T 细胞的膜结合多模态等离子体传感器</w:t>
        </w:r>
      </w:hyperlink>
    </w:p>
    <w:p>
      <w:pPr>
        <w:spacing w:before="0" w:after="80"/>
      </w:pPr>
      <w:r>
        <w:rPr>
          <w:i/>
          <w:sz w:val="20"/>
        </w:rPr>
        <w:t>EN: Membrane‐Bound Multimodal Plasmonic Transducers for Noninvasive, In Situ Monitoring and Control of CAR T Cells Against Heterogeneous Solid Tumors</w:t>
      </w:r>
    </w:p>
    <w:p>
      <w:pPr>
        <w:spacing w:before="0" w:after="120"/>
      </w:pPr>
      <w:r>
        <w:rPr>
          <w:b/>
        </w:rPr>
        <w:t xml:space="preserve">Source: </w:t>
      </w:r>
      <w:r>
        <w:t>Wiley: Advanced Materials: Table of Contents</w:t>
      </w:r>
      <w:r>
        <w:t xml:space="preserve">    </w:t>
      </w:r>
      <w:r>
        <w:rPr>
          <w:b/>
        </w:rPr>
        <w:t xml:space="preserve">Pub date: </w:t>
      </w:r>
      <w:r>
        <w:t>2026-08-19 10:56:55+00:00</w:t>
      </w:r>
      <w:r>
        <w:t xml:space="preserve">    </w:t>
      </w:r>
      <w:r>
        <w:rPr>
          <w:b/>
        </w:rPr>
        <w:t xml:space="preserve">DOI: </w:t>
      </w:r>
      <w:hyperlink r:id="rId1732">
        <w:r>
          <w:rPr>
            <w:color w:val="1155CC"/>
            <w:u w:val="single"/>
          </w:rPr>
          <w:t>10.1002/adma.74686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针对异质性实体瘤的 CAR T 细胞的无创监测和控制仍然是理解和改善治疗反应的主要挑战。为了解决这个问题，开发了由各向异性框架中的等离激元耦合金纳米球组成的膜结合等离激元传感器，用于多模态光声成像和 CAR T 细胞活性的局部热调节。这些传感器在超过 20 mJ cm 的激光能量密度下表现出约 90% 的吸收效率和光稳定性</w:t>
      </w:r>
      <w:r>
        <w:t xml:space="preserve"> </w:t>
      </w:r>
      <w:r>
        <w:t>−2</w:t>
      </w:r>
      <w:r>
        <w:t xml:space="preserve"> </w:t>
      </w:r>
      <w:r>
        <w:t>，在多个激光循环中提供光声和热响应。因此，CAR T 细胞上的膜结合传感器能够在激光激发时产生光声和热响应，而不会影响关键的细胞功能。在表达异质 HER2 的乳腺肿瘤模型中，纵向光声成像能够根据早期 T 细胞运输对肿瘤进行前瞻性分层，以高灵敏度和特异性预测有反应者与无反应者。此外，通过热遗传电路对肿瘤内 CAR T 细胞进行传感器介导的热调节，分泌 T 细胞接合剂，将细胞毒性重新导向抗原阴性肿瘤，克服抗原逃逸，从而增强治疗效果。综上所述，我们展示了一种通过膜结合多模态传感器无创监测和控制 CAR T 细胞对抗异质实体瘤的策略。</w:t>
      </w:r>
    </w:p>
    <w:p>
      <w:pPr>
        <w:spacing w:before="0" w:after="200" w:lineRule="auto" w:line="276"/>
      </w:pPr>
      <w:r>
        <w:rPr>
          <w:b/>
        </w:rPr>
        <w:t xml:space="preserve">Abstract (EN): </w:t>
      </w:r>
      <w:r>
        <w:t>Noninvasive monitoring and control of CAR T cells against heterogeneous solid tumors remain major challenges in understanding and improving treatment response. To address this, membrane‐bound plasmonic transducers, composed of plasmonically coupled gold nanospheres in an anisotropic framework, were developed for multimodal photoacoustic imaging and localized thermal modulation of CAR T cell activity. These transducers exhibit approximately 90% absorption efficiency and photostability under laser fluences exceeding 20 mJ cm</w:t>
      </w:r>
      <w:r>
        <w:t xml:space="preserve"> </w:t>
      </w:r>
      <w:r>
        <w:t>−2</w:t>
      </w:r>
      <w:r>
        <w:t xml:space="preserve"> </w:t>
      </w:r>
      <w:r>
        <w:t>, delivering photoacoustic and thermal responses over multiple lasing cycles. Membrane‐bound transducers on CAR T cells thus enable photoacoustic and thermal responsiveness upon laser excitation without compromising key cellular functions. In heterogeneous HER2‐expressing breast tumor models, longitudinal photoacoustic imaging enabled prospective stratification of tumors based on early T cell trafficking, predicting responders versus nonresponders with high sensitivity and specificity. Moreover, transducer‐mediated thermal modulation of intratumoral CAR T cells engineered with thermogenetic circuits to secrete T cell engagers redirected cytotoxicity toward antigen‐negative tumors, overcoming antigen escape and consequently enhancing therapy. Taken together, we demonstrate a strategy to noninvasively monitor and control CAR T cells against heterogeneous solid tumors via membrane‐bound multimodal transducers.</w:t>
      </w:r>
    </w:p>
    <w:p>
      <w:pPr>
        <w:spacing w:before="120" w:after="120"/>
      </w:pPr>
      <w:r>
        <w:rPr>
          <w:sz w:val="18"/>
        </w:rPr>
        <w:t>——————————————————————————————————————————————————————————————————————</w:t>
      </w:r>
    </w:p>
    <w:p>
      <w:pPr>
        <w:spacing w:before="160" w:after="40" w:line="240" w:lineRule="auto"/>
      </w:pPr>
      <w:r>
        <w:rPr>
          <w:b/>
        </w:rPr>
        <w:t xml:space="preserve">[600] </w:t>
      </w:r>
      <w:hyperlink r:id="rId1733">
        <w:r>
          <w:rPr>
            <w:color w:val="1155CC"/>
            <w:u w:val="single"/>
          </w:rPr>
          <w:t>使用近补偿 CoGd 铁磁体的节能自旋霍尔纳米振荡器</w:t>
        </w:r>
      </w:hyperlink>
    </w:p>
    <w:p>
      <w:pPr>
        <w:spacing w:before="0" w:after="80"/>
      </w:pPr>
      <w:r>
        <w:rPr>
          <w:i/>
          <w:sz w:val="20"/>
        </w:rPr>
        <w:t>EN: Energy‐Efficient Spin Hall Nano‐Oscillators Using Near‐Compensated CoGd Ferrimagnets</w:t>
      </w:r>
    </w:p>
    <w:p>
      <w:pPr>
        <w:spacing w:before="0" w:after="120"/>
      </w:pPr>
      <w:r>
        <w:rPr>
          <w:b/>
        </w:rPr>
        <w:t xml:space="preserve">Source: </w:t>
      </w:r>
      <w:r>
        <w:t>Wiley: Advanced Materials: Table of Contents</w:t>
      </w:r>
      <w:r>
        <w:t xml:space="preserve">    </w:t>
      </w:r>
      <w:r>
        <w:rPr>
          <w:b/>
        </w:rPr>
        <w:t xml:space="preserve">Pub date: </w:t>
      </w:r>
      <w:r>
        <w:t>2026-08-19 11:18:23+00:00</w:t>
      </w:r>
      <w:r>
        <w:t xml:space="preserve">    </w:t>
      </w:r>
      <w:r>
        <w:rPr>
          <w:b/>
        </w:rPr>
        <w:t xml:space="preserve">DOI: </w:t>
      </w:r>
      <w:hyperlink r:id="rId1734">
        <w:r>
          <w:rPr>
            <w:color w:val="1155CC"/>
            <w:u w:val="single"/>
          </w:rPr>
          <w:t>10.1002/adma.74677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高阈值电流密度和大的外部磁场要求，基于铁磁体的传统自旋霍尔纳米振荡器（SHNO）面临实际限制。由于其独特的磁动力学和节能自旋电子器件的潜力，亚铁磁体提供了一种有吸引力的替代方案。在这项研究中，我们报道了利用 Co 的稀土过渡金属（RE−TM）亚铁磁 SHNO</w:t>
      </w:r>
      <w:r>
        <w:t xml:space="preserve"> </w:t>
      </w:r>
      <w:r>
        <w:t>1-x</w:t>
      </w:r>
      <w:r>
        <w:t xml:space="preserve"> </w:t>
      </w:r>
      <w:r>
        <w:t>钆</w:t>
      </w:r>
      <w:r>
        <w:t xml:space="preserve"> </w:t>
      </w:r>
      <w:r>
        <w:t>x</w:t>
      </w:r>
      <w:r>
        <w:t xml:space="preserve"> </w:t>
      </w:r>
      <w:r>
        <w:t>合金，其中成分调整可以在磁化补偿附近实现高性能运行。优化的 SHNO 在低电流密度下运行 (1.43 × 10</w:t>
      </w:r>
      <w:r>
        <w:rPr>
          <w:vertAlign w:val="subscript"/>
        </w:rPr>
        <w:t>7</w:t>
      </w:r>
      <w:r>
        <w:t>安/厘米</w:t>
      </w:r>
      <w:r>
        <w:rPr>
          <w:vertAlign w:val="subscript"/>
        </w:rPr>
        <w:t>2</w:t>
      </w:r>
      <w:r>
        <w:t>）、小磁场（5 mT），同时表现出窄线宽（0.61 MHz），比铁磁同类产品有数量级的改进。这种增强的性能源于高自旋轨道扭矩效率、低磁各向异性、有效磁化强度的降低以及补偿点附近非线性的最小化。这些结果确立了 RE−TM 亚铁磁体作为下一代自旋电子器件的有前途的材料平台，并为实现节能、高性能自旋电子振荡器提供了新策略。</w:t>
      </w:r>
    </w:p>
    <w:p>
      <w:pPr>
        <w:spacing w:before="0" w:after="200" w:lineRule="auto" w:line="276"/>
      </w:pPr>
      <w:r>
        <w:rPr>
          <w:b/>
        </w:rPr>
        <w:t xml:space="preserve">Abstract (EN): </w:t>
      </w:r>
      <w:r>
        <w:t>Conventional spin Hall nano‐oscillators (SHNOs) based on ferromagnets face practical limitations due to high threshold current densities and large external magnetic field requirements. Ferrimagnets provide an attractive alternative due to their unique magnetic dynamics and potential for energy‐efficient spintronic devices. In this study, we report rare‐earth−transition‐metal (RE−TM) ferrimagnetic SHNOs utilizing Co</w:t>
      </w:r>
      <w:r>
        <w:t xml:space="preserve"> </w:t>
      </w:r>
      <w:r>
        <w:t>1‐x</w:t>
      </w:r>
      <w:r>
        <w:t xml:space="preserve"> </w:t>
      </w:r>
      <w:r>
        <w:t>Gd</w:t>
      </w:r>
      <w:r>
        <w:t xml:space="preserve"> </w:t>
      </w:r>
      <w:r>
        <w:t>x</w:t>
      </w:r>
      <w:r>
        <w:t xml:space="preserve"> </w:t>
      </w:r>
      <w:r>
        <w:t>alloys, in which compositional tuning enables high‐performance operation near the magnetization compensation. The optimized SHNO operates at a low current density (1.43 × 10</w:t>
      </w:r>
      <w:r>
        <w:rPr>
          <w:vertAlign w:val="subscript"/>
        </w:rPr>
        <w:t>7</w:t>
      </w:r>
      <w:r>
        <w:t>A/cm</w:t>
      </w:r>
      <w:r>
        <w:rPr>
          <w:vertAlign w:val="subscript"/>
        </w:rPr>
        <w:t>2</w:t>
      </w:r>
      <w:r>
        <w:t>), a small magnetic field (5 mT), and exhibits a narrow linewidth (0.61 MHz) simultaneously, showing an order‐of‐magnitude improvement over its ferromagnetic counterparts. This enhanced performance arises from high spin‐orbit torque efficiency, low magnetic anisotropy, reduced effective magnetization, and minimized nonlinearity near the compensation point. These results establish RE−TM ferrimagnets as a promising material platform for next‐generation spintronic devices and offer new strategies for realizing energy‐efficient, high‐performance spintronic oscillators.</w:t>
      </w:r>
    </w:p>
    <w:p>
      <w:pPr>
        <w:spacing w:before="120" w:after="120"/>
      </w:pPr>
      <w:r>
        <w:rPr>
          <w:sz w:val="18"/>
        </w:rPr>
        <w:t>——————————————————————————————————————————————————————————————————————</w:t>
      </w:r>
    </w:p>
    <w:p>
      <w:pPr>
        <w:spacing w:before="160" w:after="40" w:line="240" w:lineRule="auto"/>
      </w:pPr>
      <w:r>
        <w:rPr>
          <w:b/>
        </w:rPr>
        <w:t xml:space="preserve">[601] </w:t>
      </w:r>
      <w:hyperlink r:id="rId1735">
        <w:r>
          <w:rPr>
            <w:color w:val="1155CC"/>
            <w:u w:val="single"/>
          </w:rPr>
          <w:t>用于农业应用的多酚材料</w:t>
        </w:r>
      </w:hyperlink>
    </w:p>
    <w:p>
      <w:pPr>
        <w:spacing w:before="0" w:after="80"/>
      </w:pPr>
      <w:r>
        <w:rPr>
          <w:i/>
          <w:sz w:val="20"/>
        </w:rPr>
        <w:t>EN: Polyphenol‐Inspired Materials for Agricultural Applications</w:t>
      </w:r>
    </w:p>
    <w:p>
      <w:pPr>
        <w:spacing w:before="0" w:after="120"/>
      </w:pPr>
      <w:r>
        <w:rPr>
          <w:b/>
        </w:rPr>
        <w:t xml:space="preserve">Source: </w:t>
      </w:r>
      <w:r>
        <w:t>Wiley: Advanced Materials: Table of Contents</w:t>
      </w:r>
      <w:r>
        <w:t xml:space="preserve">    </w:t>
      </w:r>
      <w:r>
        <w:rPr>
          <w:b/>
        </w:rPr>
        <w:t xml:space="preserve">Pub date: </w:t>
      </w:r>
      <w:r>
        <w:t>2026-08-19 11:21:57+00:00</w:t>
      </w:r>
      <w:r>
        <w:t xml:space="preserve">    </w:t>
      </w:r>
      <w:r>
        <w:rPr>
          <w:b/>
        </w:rPr>
        <w:t xml:space="preserve">DOI: </w:t>
      </w:r>
      <w:hyperlink r:id="rId1736">
        <w:r>
          <w:rPr>
            <w:color w:val="1155CC"/>
            <w:u w:val="single"/>
          </w:rPr>
          <w:t>10.1002/adma.74575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确保全球粮食生产的同时减少环境负担需要将高营养利用效率与可持续性结合起来的材料。多酚是一类天然植物衍生分子，具有氧化还原活性、多齿相互作用和强大的界面粘附力，使其成为生物衍生农业系统的多功能构建模块。本综述总结了多酚材料在不同农业领域的分子设计和多功能应用的最新进展，包括土壤修复、种子包衣、养分输送、作物保护、传感、硝化抑制和食品保鲜。它重点关注多酚材料的界面组装、结构-性能关系和环境相互作用，这些共同控制着它们从实验室测试到现场条件的性能。还讨论了当前农业实践中的主要挑战，包括精度低和劳动力依赖度高、环境退化和生态失衡、极端环境条件下的不稳定以及经济效益低和不可持续性。最后，概述了以精准农业、智能农业、生态系统保护、气候适应植物界面和循环生物经济为中心的未来方向。这篇综述提出了一个将分子创新与系统级应用联系起来的综合框架，为未来的研究和多酚在农业中的部署提供了路线图。</w:t>
      </w:r>
    </w:p>
    <w:p>
      <w:pPr>
        <w:spacing w:before="0" w:after="200" w:lineRule="auto" w:line="276"/>
      </w:pPr>
      <w:r>
        <w:rPr>
          <w:b/>
        </w:rPr>
        <w:t xml:space="preserve">Abstract (EN): </w:t>
      </w:r>
      <w:r>
        <w:t>Securing global food production while reducing environmental burdens demands materials that combine high nutrient use efficiency with sustainability. Polyphenols, a class of natural plant‐derived molecules, provide redox activity, multidentate interactions, and strong interfacial adhesion, making them versatile building blocks for bio‐derived agricultural systems. This review summarizes recent advances in the molecular design and multifunctional applications of polyphenol‐inspired materials across diverse agriculture sectors, including soil remediation, seed coating, nutrient delivery, crop protection, sensing, nitrification inhibition, and food preservation. It focuses on interfacial assembly, structure–property relationships, and environmental interactions of polyphenol‐enabled materials, which collectively govern their performance from laboratory tests to field conditions. Key challenges in current agricultural practice—including low precision and high labor dependence, environmental degradation and ecological imbalance, instability under extreme environmental conditions, and low economic efficiency and unsustainability—are also discussed. Finally, future directions centered on precision and smart agriculture, ecosystem protection, climate‐resilient plant interfaces, and circular bioeconomy are outlined. This review presents a comprehensive framework that connects molecular innovation to system‐level applications, offering a roadmap for future research and the deployment of polyphenols in agriculture.</w:t>
      </w:r>
    </w:p>
    <w:p>
      <w:pPr>
        <w:spacing w:before="120" w:after="120"/>
      </w:pPr>
      <w:r>
        <w:rPr>
          <w:sz w:val="18"/>
        </w:rPr>
        <w:t>——————————————————————————————————————————————————————————————————————</w:t>
      </w:r>
    </w:p>
    <w:p>
      <w:pPr>
        <w:spacing w:before="160" w:after="40" w:line="240" w:lineRule="auto"/>
      </w:pPr>
      <w:r>
        <w:rPr>
          <w:b/>
        </w:rPr>
        <w:t xml:space="preserve">[602] </w:t>
      </w:r>
      <w:hyperlink r:id="rId1737">
        <w:r>
          <w:rPr>
            <w:color w:val="1155CC"/>
            <w:u w:val="single"/>
          </w:rPr>
          <w:t>基于机器学习的最佳 miRNA 靶点筛选，通过胞质递送载体增强癌症治疗</w:t>
        </w:r>
      </w:hyperlink>
    </w:p>
    <w:p>
      <w:pPr>
        <w:spacing w:before="0" w:after="80"/>
      </w:pPr>
      <w:r>
        <w:rPr>
          <w:i/>
          <w:sz w:val="20"/>
        </w:rPr>
        <w:t>EN: Machine Learning‐Based Screening of Optimal miRNA Targets Enabled by a Cytosolic Delivery Carrier for Augmenting Cancer Therapy</w:t>
      </w:r>
    </w:p>
    <w:p>
      <w:pPr>
        <w:spacing w:before="0" w:after="120"/>
      </w:pPr>
      <w:r>
        <w:rPr>
          <w:b/>
        </w:rPr>
        <w:t xml:space="preserve">Source: </w:t>
      </w:r>
      <w:r>
        <w:t>Wiley: Advanced Materials: Table of Contents</w:t>
      </w:r>
      <w:r>
        <w:t xml:space="preserve">    </w:t>
      </w:r>
      <w:r>
        <w:rPr>
          <w:b/>
        </w:rPr>
        <w:t xml:space="preserve">Pub date: </w:t>
      </w:r>
      <w:r>
        <w:t>2026-08-19 11:28:11+00:00</w:t>
      </w:r>
      <w:r>
        <w:t xml:space="preserve">    </w:t>
      </w:r>
      <w:r>
        <w:rPr>
          <w:b/>
        </w:rPr>
        <w:t xml:space="preserve">DOI: </w:t>
      </w:r>
      <w:hyperlink r:id="rId1738">
        <w:r>
          <w:rPr>
            <w:color w:val="1155CC"/>
            <w:u w:val="single"/>
          </w:rPr>
          <w:t>10.1002/adma.202521283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核酸疗法为精准癌症治疗提供了希望，但受到靶点选择不准确和递送效率低下的限制。这项工作提出了一个治疗平台，将基于双机器学习模型（LASSO 和 RSF）的 miRNA 靶标筛选与模块化仿生纳米载体系统相结合。系统筛选和实验验证确定 miR-873 是前列腺癌中以前未表征的肿瘤抑制 miRNA，而 miR-20a 是致癌基因。机制研究表明它们调节 HNRNPK 和 ABL2，调节涉及增殖和转移的途径。然后，成功开发了用前列腺癌细胞源性内质网膜（ERM）设计的仿生纳米载体，用于在前列腺癌中共同递送miR-873模拟物和miR-20a抑制剂，在体外和体内实现对肿瘤增殖和转移的显着协同抑制。此外，与多西紫杉醇的共同负载进一步增强了抗肿瘤作用，强调了其联合疗法抑制癌症进展的潜力。这些发现强调了合理选择的 miRNA 组合的治疗协同作用以及该平台在精准癌症治疗方面的多功能性。</w:t>
      </w:r>
    </w:p>
    <w:p>
      <w:pPr>
        <w:spacing w:before="0" w:after="200" w:lineRule="auto" w:line="276"/>
      </w:pPr>
      <w:r>
        <w:rPr>
          <w:b/>
        </w:rPr>
        <w:t xml:space="preserve">Abstract (EN): </w:t>
      </w:r>
      <w:r>
        <w:t>Nucleic acid therapeutics offer promise for precision cancer treatment, but are limited by inaccurate target selection and inefficient delivery. This work presents a therapeutic platform combining dual machine learning models (LASSO and RSF)‐based miRNA target screening with a modular biomimetic nanocarrier system. Systematic screening and experimental validation identify miR‐873 as a previously uncharacterized tumor‐suppressive miRNA in prostate cancer, and miR‐20a as oncogenic. Mechanistic studies reveal that they regulate HNRNPK and ABL2, modulating pathways involved in proliferation and metastasis. Then, the biomimetic nanocarrier, engineered with prostate cancer cell‐derived endoplasmic reticulum membrane (ERM), is successfully developed for cytosolic co‐delivery of miR‐873 mimic and miR‐20a inhibitor in prostate cancer, achieving significant and synergistic suppression of tumor proliferation and metastasis both in vitro and in vivo. Besides, co‐loading with docetaxel further enhances antitumor effects, underscoring its potential for combination therapies to inhibit cancer progression. These findings highlight both the therapeutic synergy of rationally selected miRNA combinations and the platform's versatility for precision cancer treatment.</w:t>
      </w:r>
    </w:p>
    <w:p>
      <w:pPr>
        <w:spacing w:before="120" w:after="120"/>
      </w:pPr>
      <w:r>
        <w:rPr>
          <w:sz w:val="18"/>
        </w:rPr>
        <w:t>——————————————————————————————————————————————————————————————————————</w:t>
      </w:r>
    </w:p>
    <w:p>
      <w:pPr>
        <w:spacing w:before="160" w:after="40" w:line="240" w:lineRule="auto"/>
      </w:pPr>
      <w:r>
        <w:rPr>
          <w:b/>
        </w:rPr>
        <w:t xml:space="preserve">[603] </w:t>
      </w:r>
      <w:hyperlink r:id="rId1739">
        <w:r>
          <w:rPr>
            <w:color w:val="1155CC"/>
            <w:u w:val="single"/>
          </w:rPr>
          <w:t>ROS 清除单组分聚合物纳米载体用于肺纤维化治疗中的精准 siRNA 递送</w:t>
        </w:r>
      </w:hyperlink>
    </w:p>
    <w:p>
      <w:pPr>
        <w:spacing w:before="0" w:after="80"/>
      </w:pPr>
      <w:r>
        <w:rPr>
          <w:i/>
          <w:sz w:val="20"/>
        </w:rPr>
        <w:t>EN: ROS‐Scavenging Single‐Component Polymeric Nanocarriers for Precision siRNA Delivery in Pulmonary Fibrosis Therapy</w:t>
      </w:r>
    </w:p>
    <w:p>
      <w:pPr>
        <w:spacing w:before="0" w:after="120"/>
      </w:pPr>
      <w:r>
        <w:rPr>
          <w:b/>
        </w:rPr>
        <w:t xml:space="preserve">Source: </w:t>
      </w:r>
      <w:r>
        <w:t>Wiley: Advanced Materials: Table of Contents</w:t>
      </w:r>
      <w:r>
        <w:t xml:space="preserve">    </w:t>
      </w:r>
      <w:r>
        <w:rPr>
          <w:b/>
        </w:rPr>
        <w:t xml:space="preserve">Pub date: </w:t>
      </w:r>
      <w:r>
        <w:t>2026-08-19 11:59:52+00:00</w:t>
      </w:r>
      <w:r>
        <w:t xml:space="preserve">    </w:t>
      </w:r>
      <w:r>
        <w:rPr>
          <w:b/>
        </w:rPr>
        <w:t xml:space="preserve">DOI: </w:t>
      </w:r>
      <w:hyperlink r:id="rId1740">
        <w:r>
          <w:rPr>
            <w:color w:val="1155CC"/>
            <w:u w:val="single"/>
          </w:rPr>
          <w:t>10.1002/adma.74615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特发性肺纤维化（IPF）是一种进行性难治性肺部疾病，有效治疗方法有限。尽管 RNA 干扰 (RNAi) 有望用于 IPF 治疗，但目前的递送系统因复杂的制备、冗余的成分以及无法调节氧化应激而受到阻碍，这严重影响了其治疗效果。在此，我们设计了一种单组分、肺靶向纳米系统 PPN@siIL11，该系统简化了配方，同时集成了高效 siRNA 递送和活性氧 (ROS) 清除的双重功能。静脉注射后，这种简化的平台表现出增强的肺部蓄积，有效沉默促纤维化基因 IL11，并抑制成纤维细胞向肌成纤维细胞的转分化和过度的细胞外基质沉积。同时，它清除过量产生的活性氧，以减轻氧化应激介导的肺损伤。体外和体内结果均证明 PPN@siIL11 具有强大的抗纤维化功效。通过克服传统多组分载体的关键缺点，这种多功能单组分平台为基于 RNAi 的 IPF 治疗建立了一种可转化的方法，并具有对其他肺部疾病的潜在适用性。</w:t>
      </w:r>
    </w:p>
    <w:p>
      <w:pPr>
        <w:spacing w:before="0" w:after="200" w:lineRule="auto" w:line="276"/>
      </w:pPr>
      <w:r>
        <w:rPr>
          <w:b/>
        </w:rPr>
        <w:t xml:space="preserve">Abstract (EN): </w:t>
      </w:r>
      <w:r>
        <w:t>Idiopathic pulmonary fibrosis (IPF) is a progressive refractory lung disorder with limited effective therapies. Although RNA interference (RNAi) holds promise for IPF treatment, current delivery systems are hampered by complex preparation, redundant components, and an inability to modulate oxidative stress, which severely compromises their therapeutic outcomes. Herein, we design a single‐component, lung‐targeted nanosystem, PPN@siIL11, that simplifies formulation while integrating dual functions of efficient siRNA delivery and reactive oxygen species (ROS) scavenging. Upon intravenous administration, this streamlined platform exhibits enhanced pulmonary accumulation, effectively silences the profibrotic gene IL11, and suppresses fibroblast‐to‐myofibroblast transdifferentiation and excessive extracellular matrix deposition. Concurrently, it scavenges overproduced ROS to alleviate oxidative stress–mediated lung damage. Both in vitro and in vivo results demonstrate the potent anti‐fibrotic efficacy of PPN@siIL11. By overcoming critical drawbacks of conventional multi‐component carriers, this multifunctional single‐component platform establishes a translatable approach for RNAi‐based IPF therapy, with potential applicability to other lung diseases.</w:t>
      </w:r>
    </w:p>
    <w:p>
      <w:pPr>
        <w:spacing w:before="120" w:after="120"/>
      </w:pPr>
      <w:r>
        <w:rPr>
          <w:sz w:val="18"/>
        </w:rPr>
        <w:t>——————————————————————————————————————————————————————————————————————</w:t>
      </w:r>
    </w:p>
    <w:p>
      <w:pPr>
        <w:spacing w:before="160" w:after="40" w:line="240" w:lineRule="auto"/>
      </w:pPr>
      <w:r>
        <w:rPr>
          <w:b/>
        </w:rPr>
        <w:t xml:space="preserve">[604] </w:t>
      </w:r>
      <w:hyperlink r:id="rId1741">
        <w:r>
          <w:rPr>
            <w:color w:val="1155CC"/>
            <w:u w:val="single"/>
          </w:rPr>
          <w:t>用于实时监测多种汗肝病生物标志物的完全集成可穿戴传感器</w:t>
        </w:r>
      </w:hyperlink>
    </w:p>
    <w:p>
      <w:pPr>
        <w:spacing w:before="0" w:after="80"/>
      </w:pPr>
      <w:r>
        <w:rPr>
          <w:i/>
          <w:sz w:val="20"/>
        </w:rPr>
        <w:t>EN: A Fully Integrated Wearable Sensor for Real Time Monitoring of Multiple Sweat Liver Disease Biomarkers</w:t>
      </w:r>
    </w:p>
    <w:p>
      <w:pPr>
        <w:spacing w:before="0" w:after="120"/>
      </w:pPr>
      <w:r>
        <w:rPr>
          <w:b/>
        </w:rPr>
        <w:t xml:space="preserve">Source: </w:t>
      </w:r>
      <w:r>
        <w:t>Wiley: Advanced Materials: Table of Contents</w:t>
      </w:r>
      <w:r>
        <w:t xml:space="preserve">    </w:t>
      </w:r>
      <w:r>
        <w:rPr>
          <w:b/>
        </w:rPr>
        <w:t xml:space="preserve">Pub date: </w:t>
      </w:r>
      <w:r>
        <w:t>2026-08-19 12:04:50+00:00</w:t>
      </w:r>
      <w:r>
        <w:t xml:space="preserve">    </w:t>
      </w:r>
      <w:r>
        <w:rPr>
          <w:b/>
        </w:rPr>
        <w:t xml:space="preserve">DOI: </w:t>
      </w:r>
      <w:hyperlink r:id="rId1742">
        <w:r>
          <w:rPr>
            <w:color w:val="1155CC"/>
            <w:u w:val="single"/>
          </w:rPr>
          <w:t>10.1002/adma.74688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慢性肝病的早期诊断和个性化管理对于预防疾病进展和降低死亡率至关重要。然而，现有的诊断方法主要依赖于侵入性血液采样和实验室分析，这限制了它们对连续、现实世界监测的适用性。在这项研究中，我们开发了一种皮肤适形、可穿戴电化学生物传感平台，能够通过连续分析汗液中与肝脏相关的代谢生物标志物（肌酸和乳酸）来实时监测肝脏健康状况。为了提高传感器的可靠性，我们引入了一种基于共价有机框架的通用酶固定策略，该策略增强了酶稳定性并在动态条件下保持催化活性。完全集成的系统支持高效的被动汗液采集、实时多分析物检测、机载信号处理和数字显示。该平台已应用于初步人体研究，以跟踪健康个体和患有慢性肝病的参与者汗液肌酸和乳酸的动态变化。总体而言，这项工作展示了一个多功能可穿戴平台，用于无创、连续辅助评估肝脏代谢功能，有助于下一代个性化医疗保健技术的进步。</w:t>
      </w:r>
    </w:p>
    <w:p>
      <w:pPr>
        <w:spacing w:before="0" w:after="200" w:lineRule="auto" w:line="276"/>
      </w:pPr>
      <w:r>
        <w:rPr>
          <w:b/>
        </w:rPr>
        <w:t xml:space="preserve">Abstract (EN): </w:t>
      </w:r>
      <w:r>
        <w:t>Early diagnosis and personalized management of chronic liver disease are critical for preventing disease progression and reducing mortality. However, existing diagnostic methods primarily depend on invasive blood sampling and laboratory‐based analyses, which limit their suitability for continuous, real‐world monitoring. In this study, we developed a skin‐conformal, wearable electrochemical biosensing platform capable of real time monitoring of liver health by continuously analyzing liver‐related metabolic biomarkers (creatine and lactate) in sweat. To improve sensor reliability, we introduced a universal enzyme immobilization strategy based on covalent organic frameworks, which enhances enzymatic stability and maintains catlytic activity under dynamic conditions. The fully integrated system supports efficient passive sweat collection, real time multi‐analyte detection, on‐board signal processing, and digital display. The platform was applied in preliminary human studies to track dynamic changes in sweat creatine and lactate in healthy individuals and participants with chronic liver disease. Overall, this work demonstrates a versatile wearable platform for noninvasive, continuous assisted evaluation of liver metabolic functions, contributing to the advancement of next‐generation personalized healthcare technologies.</w:t>
      </w:r>
    </w:p>
    <w:p>
      <w:pPr>
        <w:spacing w:before="120" w:after="120"/>
      </w:pPr>
      <w:r>
        <w:rPr>
          <w:sz w:val="18"/>
        </w:rPr>
        <w:t>——————————————————————————————————————————————————————————————————————</w:t>
      </w:r>
    </w:p>
    <w:p>
      <w:pPr>
        <w:spacing w:before="160" w:after="40" w:line="240" w:lineRule="auto"/>
      </w:pPr>
      <w:r>
        <w:rPr>
          <w:b/>
        </w:rPr>
        <w:t xml:space="preserve">[605] </w:t>
      </w:r>
      <w:hyperlink r:id="rId1743">
        <w:r>
          <w:rPr>
            <w:color w:val="1155CC"/>
            <w:u w:val="single"/>
          </w:rPr>
          <w:t>用于无交叉有机电合成的抗膨胀功能化 1T′-MoS2 膜</w:t>
        </w:r>
      </w:hyperlink>
    </w:p>
    <w:p>
      <w:pPr>
        <w:spacing w:before="0" w:after="80"/>
      </w:pPr>
      <w:r>
        <w:rPr>
          <w:i/>
          <w:sz w:val="20"/>
        </w:rPr>
        <w:t>EN: Swelling‐Resistant Functionalized 1T′‐MoS2 Membranes for Crossover‐Free Organic Electrosynthesis</w:t>
      </w:r>
    </w:p>
    <w:p>
      <w:pPr>
        <w:spacing w:before="0" w:after="120"/>
      </w:pPr>
      <w:r>
        <w:rPr>
          <w:b/>
        </w:rPr>
        <w:t xml:space="preserve">Source: </w:t>
      </w:r>
      <w:r>
        <w:t>Wiley: Advanced Materials: Table of Contents</w:t>
      </w:r>
      <w:r>
        <w:t xml:space="preserve">    </w:t>
      </w:r>
      <w:r>
        <w:rPr>
          <w:b/>
        </w:rPr>
        <w:t xml:space="preserve">Pub date: </w:t>
      </w:r>
      <w:r>
        <w:t>2026-08-19 12:45:08+00:00</w:t>
      </w:r>
      <w:r>
        <w:t xml:space="preserve">    </w:t>
      </w:r>
      <w:r>
        <w:rPr>
          <w:b/>
        </w:rPr>
        <w:t xml:space="preserve">DOI: </w:t>
      </w:r>
      <w:hyperlink r:id="rId1744">
        <w:r>
          <w:rPr>
            <w:color w:val="1155CC"/>
            <w:u w:val="single"/>
          </w:rPr>
          <w:t>10.1002/adma.74735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有机电合成为化学制造提供了可持续的未来，但由于商业聚合物离子交换膜在有机电解质中的不稳定性而受到严重阻碍。柔性聚合物网络（例如 Nafion）的过度膨胀通常会导致大量反应物交叉并降低产物产量。在这项研究中，我们报道了一种由功能化1T'相二硫化钼（MoS</w:t>
      </w:r>
      <w:r>
        <w:rPr>
          <w:vertAlign w:val="subscript"/>
        </w:rPr>
        <w:t>2</w:t>
      </w:r>
      <w:r>
        <w:t>）。通过将乙酰胺基团共价接枝到富电子的 1T'-MoS2 上</w:t>
      </w:r>
      <w:r>
        <w:rPr>
          <w:vertAlign w:val="subscript"/>
        </w:rPr>
        <w:t>2</w:t>
      </w:r>
      <w:r>
        <w:t>，我们创建了刚性纳米通道，在物理上排除有机溶剂，同时实现有效的质子传输。与商用 Nafion 117 相比，这种精确的分子筛分可将有机物渗透性降低一个数量级，从而在各种有机电合成反应中实现接近定量的产率 (&gt;96%)。为了弥合实验室和工业应用之间的差距，我们展示了通过狭缝模头涂层可扩展地制造这种材料，所得的大面积膜在扩大的电解槽堆栈中提供了强大的稳定性和高生产率。这些发现将功能化二维通道建立为设计能够在腐蚀性有机介质中运行的下一代离子导电膜的通用平台。</w:t>
      </w:r>
    </w:p>
    <w:p>
      <w:pPr>
        <w:spacing w:before="0" w:after="200" w:lineRule="auto" w:line="276"/>
      </w:pPr>
      <w:r>
        <w:rPr>
          <w:b/>
        </w:rPr>
        <w:t xml:space="preserve">Abstract (EN): </w:t>
      </w:r>
      <w:r>
        <w:t>Organic electrosynthesis offers a sustainable future for chemical manufacturing but is severely hindered by the instability of commercial polymer ion‐exchange membranes in organic electrolytes. The excessive swelling of flexible polymer networks, such as Nafion, often results in massive reactant crossover and diminished product yields. In this study, we report a swelling‐resistant membrane engineered from functionalized 1T′ phase molybdenum disulfide (MoS</w:t>
      </w:r>
      <w:r>
        <w:rPr>
          <w:vertAlign w:val="subscript"/>
        </w:rPr>
        <w:t>2</w:t>
      </w:r>
      <w:r>
        <w:t>). By covalently grafting acetamide groups onto the electron‐rich 1T′‐MoS</w:t>
      </w:r>
      <w:r>
        <w:rPr>
          <w:vertAlign w:val="subscript"/>
        </w:rPr>
        <w:t>2</w:t>
      </w:r>
      <w:r>
        <w:t>, we create rigid nanochannels that physically exclude organic solvents while enabling efficient proton transport. This precise molecular sieving reduces organic permeability by an order of magnitude versus commercial Nafion 117, enabling near‐quantitative yields (&amp;gt;96%) in diverse organic electrosynthesis reactions. Bridging the gap between lab and industrial application, we demonstrate scalable fabrication of this material via slot‐die coating, with the resulting large‐area membranes delivering robust stability and high productivity in a scaled‐up electrolyzer stack. These findings establish functionalized 2D channels as a general platform for designing next‐generation ion‐conductive membranes capable of operating in aggressive organic media.</w:t>
      </w:r>
    </w:p>
    <w:p>
      <w:pPr>
        <w:spacing w:before="120" w:after="120"/>
      </w:pPr>
      <w:r>
        <w:rPr>
          <w:sz w:val="18"/>
        </w:rPr>
        <w:t>——————————————————————————————————————————————————————————————————————</w:t>
      </w:r>
    </w:p>
    <w:p>
      <w:pPr>
        <w:spacing w:before="160" w:after="40" w:line="240" w:lineRule="auto"/>
      </w:pPr>
      <w:r>
        <w:rPr>
          <w:b/>
        </w:rPr>
        <w:t xml:space="preserve">[606] </w:t>
      </w:r>
      <w:hyperlink r:id="rId1745">
        <w:r>
          <w:rPr>
            <w:color w:val="1155CC"/>
            <w:u w:val="single"/>
          </w:rPr>
          <w:t>通过氢键共价有机框架转化解锁长程激子扩散用于光催化 H2O2 合成</w:t>
        </w:r>
      </w:hyperlink>
    </w:p>
    <w:p>
      <w:pPr>
        <w:spacing w:before="0" w:after="80"/>
      </w:pPr>
      <w:r>
        <w:rPr>
          <w:i/>
          <w:sz w:val="20"/>
        </w:rPr>
        <w:t>EN: Unlocking Long‐Range Exciton Diffusion via Hydrogen‐Bonded‐to‐Covalent Organic Framework Transformation for Photocatalytic H2O2 Synthesis</w:t>
      </w:r>
    </w:p>
    <w:p>
      <w:pPr>
        <w:spacing w:before="0" w:after="120"/>
      </w:pPr>
      <w:r>
        <w:rPr>
          <w:b/>
        </w:rPr>
        <w:t xml:space="preserve">Source: </w:t>
      </w:r>
      <w:r>
        <w:t>Wiley: Angewandte Chemie International Edition: Table of Contents</w:t>
      </w:r>
      <w:r>
        <w:t xml:space="preserve">    </w:t>
      </w:r>
      <w:r>
        <w:rPr>
          <w:b/>
        </w:rPr>
        <w:t xml:space="preserve">Pub date: </w:t>
      </w:r>
      <w:r>
        <w:t>2026-08-19 13:53:42+00:00</w:t>
      </w:r>
      <w:r>
        <w:t xml:space="preserve">    </w:t>
      </w:r>
      <w:r>
        <w:rPr>
          <w:b/>
        </w:rPr>
        <w:t xml:space="preserve">DOI: </w:t>
      </w:r>
      <w:hyperlink r:id="rId1746">
        <w:r>
          <w:rPr>
            <w:color w:val="1155CC"/>
            <w:u w:val="single"/>
          </w:rPr>
          <w:t>10.1002/anie.4371883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由于扩展的 π 共轭和长程结构有序之间固有的权衡，控制长程激子扩散仍然是有机光催化剂的核心挑战。在这里，我们报告了一种拓扑化学聚合策略，该策略将单晶氢键有机框架（HOF）转化为完全π共轭的共价有机框架（COF），同时很大程度上保留了晶体顺序。预组织的氢键前驱体能够形成层间共价键，从而缩小带隙并增强导电性。使用功率相关的飞秒瞬态吸收光谱，我们定量揭示了激子沿 π 共轭通道的扩散，平均扩散长度为 ∼12 nm。为了说明激子扩散的化学后果，π共轭COF被用作过氧化氢（H</w:t>
      </w:r>
      <w:r>
        <w:rPr>
          <w:vertAlign w:val="subscript"/>
        </w:rPr>
        <w:t>2</w:t>
      </w:r>
      <w:r>
        <w:t>氧</w:t>
      </w:r>
      <w:r>
        <w:rPr>
          <w:vertAlign w:val="subscript"/>
        </w:rPr>
        <w:t>2</w:t>
      </w:r>
      <w:r>
        <w:t>) 光合作用</w:t>
      </w:r>
      <w:r>
        <w:rPr>
          <w:vertAlign w:val="subscript"/>
        </w:rPr>
        <w:t>2</w:t>
      </w:r>
      <w:r>
        <w:t>和H</w:t>
      </w:r>
      <w:r>
        <w:rPr>
          <w:vertAlign w:val="subscript"/>
        </w:rPr>
        <w:t>2</w:t>
      </w:r>
      <w:r>
        <w:t>O 无牺牲剂。这些结果将 HOF 确立为通用的晶体前驱体，用于构建以前无法获得的完全 π 共轭 COF，并强调激子扩散是连接框架结构与光催化性能的关键参数。</w:t>
      </w:r>
    </w:p>
    <w:p>
      <w:pPr>
        <w:spacing w:before="0" w:after="200" w:lineRule="auto" w:line="276"/>
      </w:pPr>
      <w:r>
        <w:rPr>
          <w:b/>
        </w:rPr>
        <w:t xml:space="preserve">Abstract (EN): </w:t>
      </w:r>
      <w:r>
        <w:t>Controlling long‐range exciton diffusion remains a central challenge in organic photocatalysts because of the inherent trade‐off between extended π‐conjugation and long‐range structural order. Here, we report a topochemical polymerization strategy that converts a single‐crystalline hydrogen‐bonded organic framework (HOF) into a fully π‐conjugated covalent organic framework (COF) while largely preserving crystalline order. The preorganized hydrogen‐bonded precursor enables the formation of interlayer covalent linkages, resulting in a narrowed bandgap and enhanced electrical conductivity. Using power‐dependent femtosecond transient absorption spectroscopy, we quantitatively reveal exciton diffusion along the π‐conjugated channels with an average diffusion length of ∼12 nm. To illustrate the chemical consequences of exciton diffusion, the π‐conjugated COF is employed as a metal‐free photocatalyst for hydrogen peroxide (H</w:t>
      </w:r>
      <w:r>
        <w:rPr>
          <w:vertAlign w:val="subscript"/>
        </w:rPr>
        <w:t>2</w:t>
      </w:r>
      <w:r>
        <w:t>O</w:t>
      </w:r>
      <w:r>
        <w:rPr>
          <w:vertAlign w:val="subscript"/>
        </w:rPr>
        <w:t>2</w:t>
      </w:r>
      <w:r>
        <w:t>) photosynthesis from O</w:t>
      </w:r>
      <w:r>
        <w:rPr>
          <w:vertAlign w:val="subscript"/>
        </w:rPr>
        <w:t>2</w:t>
      </w:r>
      <w:r>
        <w:t>and H</w:t>
      </w:r>
      <w:r>
        <w:rPr>
          <w:vertAlign w:val="subscript"/>
        </w:rPr>
        <w:t>2</w:t>
      </w:r>
      <w:r>
        <w:t>O without sacrificial agents. These results establish HOFs as versatile crystalline precursors for constructing previously inaccessible fully π‐conjugated COFs and highlight exciton diffusion as a key parameter linking framework structure to photocatalytic performance.</w:t>
      </w:r>
    </w:p>
    <w:p>
      <w:pPr>
        <w:spacing w:before="120" w:after="120"/>
      </w:pPr>
      <w:r>
        <w:rPr>
          <w:sz w:val="18"/>
        </w:rPr>
        <w:t>——————————————————————————————————————————————————————————————————————</w:t>
      </w:r>
    </w:p>
    <w:p>
      <w:pPr>
        <w:spacing w:before="160" w:after="40" w:line="240" w:lineRule="auto"/>
      </w:pPr>
      <w:r>
        <w:rPr>
          <w:b/>
        </w:rPr>
        <w:t xml:space="preserve">[607] </w:t>
      </w:r>
      <w:hyperlink r:id="rId1747">
        <w:r>
          <w:rPr>
            <w:color w:val="1155CC"/>
            <w:u w:val="single"/>
          </w:rPr>
          <w:t>用于 cGAS-STING 激活的原子级应变工程压电纳米片</w:t>
        </w:r>
      </w:hyperlink>
    </w:p>
    <w:p>
      <w:pPr>
        <w:spacing w:before="0" w:after="80"/>
      </w:pPr>
      <w:r>
        <w:rPr>
          <w:i/>
          <w:sz w:val="20"/>
        </w:rPr>
        <w:t>EN: Atomic‐Level Strain‐Engineered Piezoelectric Nanosheets for cGAS‐STING Activation</w:t>
      </w:r>
    </w:p>
    <w:p>
      <w:pPr>
        <w:spacing w:before="0" w:after="120"/>
      </w:pPr>
      <w:r>
        <w:rPr>
          <w:b/>
        </w:rPr>
        <w:t xml:space="preserve">Source: </w:t>
      </w:r>
      <w:r>
        <w:t>Wiley: Angewandte Chemie International Edition: Table of Contents</w:t>
      </w:r>
      <w:r>
        <w:t xml:space="preserve">    </w:t>
      </w:r>
      <w:r>
        <w:rPr>
          <w:b/>
        </w:rPr>
        <w:t xml:space="preserve">Pub date: </w:t>
      </w:r>
      <w:r>
        <w:t>2026-08-19 13:56:16+00:00</w:t>
      </w:r>
      <w:r>
        <w:t xml:space="preserve">    </w:t>
      </w:r>
      <w:r>
        <w:rPr>
          <w:b/>
        </w:rPr>
        <w:t xml:space="preserve">DOI: </w:t>
      </w:r>
      <w:hyperlink r:id="rId1748">
        <w:r>
          <w:rPr>
            <w:color w:val="1155CC"/>
            <w:u w:val="single"/>
          </w:rPr>
          <w:t>10.1002/anie.5643285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cGAS-STING 通路是先天免疫的基石，也是适应性免疫反应的重要桥梁，代表了癌症免疫治疗的一个有前景的前沿领域。然而，实现肿瘤特异性激活和精确调节该通路仍然是一个重大挑战。在此，我们采用原子级应变工程策略来合成富氧空位的铜掺杂 ZnAl-LDH 纳米片作为超声 (US) 驱动的压电 STING 激动剂。结构表征和理论计算均证实，Cu离子掺杂会触发局部原子应变、氧空位生成和键长调整，以优化</w:t>
      </w:r>
      <w:r>
        <w:t xml:space="preserve"> </w:t>
      </w:r>
      <w:r>
        <w:t>d</w:t>
      </w:r>
      <w:r>
        <w:t xml:space="preserve"> </w:t>
      </w:r>
      <w:r>
        <w:t>‐能带中心并增强内置电场，显着增强压电催化活性。在 US 下，这种压电催化作用会产生活性氧，破坏线粒体完整性，触发 mtDNA 释放，并激活 cGAS-STING 通路。同时，锌</w:t>
      </w:r>
      <w:r>
        <w:t xml:space="preserve"> </w:t>
      </w:r>
      <w:r>
        <w:t>2+</w:t>
      </w:r>
      <w:r>
        <w:t xml:space="preserve"> </w:t>
      </w:r>
      <w:r>
        <w:t>酸性肿瘤微环境中释放的离子会放大 STING 信号传导。压电活性还降低肿瘤间质液压力，以提高激动剂渗透和免疫治疗功效。此外，铜中毒释放的损伤相关分子模式增强了抗原呈递，并建立了协同的“铜中毒-先天免疫”级联。这种综合策略不仅揭示了一种新型的“压电催化-Zn</w:t>
      </w:r>
      <w:r>
        <w:t xml:space="preserve"> </w:t>
      </w:r>
      <w:r>
        <w:t>2+</w:t>
      </w:r>
      <w:r>
        <w:t xml:space="preserve"> </w:t>
      </w:r>
      <w:r>
        <w:t>雷雷亚</w:t>
      </w:r>
    </w:p>
    <w:p>
      <w:pPr>
        <w:spacing w:before="0" w:after="200" w:lineRule="auto" w:line="276"/>
      </w:pPr>
      <w:r>
        <w:rPr>
          <w:b/>
        </w:rPr>
        <w:t xml:space="preserve">Abstract (EN): </w:t>
      </w:r>
      <w:r>
        <w:t>The cGAS‐STING pathway, a cornerstone of innate immunity and a crucial bridge to adaptive immune responses, represents a promising frontier in cancer immunotherapy. However, achieving tumor‐specific activation and precise modulation of this pathway remains a significant challenge. Herein, we adopt an atomic‐level strain engineering strategy to synthesize oxygen vacancy‐enriched Cu‐doped ZnAl‐LDH nanosheets as an ultrasound (US)‐driven piezoelectric‐STING agonist. Both the structural characterizations and theoretical calculations confirm that Cu ion doping triggers the local atomic strain, oxygen vacancy generation, and bond length adjustment to optimize the</w:t>
      </w:r>
      <w:r>
        <w:t xml:space="preserve"> </w:t>
      </w:r>
      <w:r>
        <w:t>d</w:t>
      </w:r>
      <w:r>
        <w:t xml:space="preserve"> </w:t>
      </w:r>
      <w:r>
        <w:t>‐band center and enhance the built‐in electric field, significantly enhancing piezoelectric catalytic activity. Under US, this piezoelectric catalysis generates reactive oxygen species to disrupt mitochondrial integrity, trigger mtDNA release, and activate cGAS‐STING pathway. Concurrently, Zn</w:t>
      </w:r>
      <w:r>
        <w:t xml:space="preserve"> </w:t>
      </w:r>
      <w:r>
        <w:t>2+</w:t>
      </w:r>
      <w:r>
        <w:t xml:space="preserve"> </w:t>
      </w:r>
      <w:r>
        <w:t>ions liberated in the acidic tumor microenvironment amplify STING signaling. The piezoelectric activity also reduces tumor interstitial fluid pressure to improve agonist penetration and immunotherapeutic efficacy. Furthermore, cuproptosis‐released damage‐associated molecular patterns enhance antigen presentation and establish a synergistic “cuproptosis‐innate immunity” cascade. This integrated strategy not only unveils a novel “piezoelectric catalysis‐Zn</w:t>
      </w:r>
      <w:r>
        <w:t xml:space="preserve"> </w:t>
      </w:r>
      <w:r>
        <w:t>2+</w:t>
      </w:r>
      <w:r>
        <w:t xml:space="preserve"> </w:t>
      </w:r>
      <w:r>
        <w:t>release‐cuproptosis triple amplified STING” regulatory pathway, but also provides a biodegradable material platform and theoretical framework for developing tumor microenvironment‐responsive and externally controlled immunotherapies.</w:t>
      </w:r>
    </w:p>
    <w:p>
      <w:pPr>
        <w:spacing w:before="120" w:after="120"/>
      </w:pPr>
      <w:r>
        <w:rPr>
          <w:sz w:val="18"/>
        </w:rPr>
        <w:t>——————————————————————————————————————————————————————————————————————</w:t>
      </w:r>
    </w:p>
    <w:p>
      <w:pPr>
        <w:spacing w:before="160" w:after="40" w:line="240" w:lineRule="auto"/>
      </w:pPr>
      <w:r>
        <w:rPr>
          <w:b/>
        </w:rPr>
        <w:t xml:space="preserve">[608] </w:t>
      </w:r>
      <w:hyperlink r:id="rId1749">
        <w:r>
          <w:rPr>
            <w:color w:val="1155CC"/>
            <w:u w:val="single"/>
          </w:rPr>
          <w:t>阴极氧还原驱动的甘油在近零电势下电氧化生成甲酸盐 - 生成 *OH</w:t>
        </w:r>
      </w:hyperlink>
    </w:p>
    <w:p>
      <w:pPr>
        <w:spacing w:before="0" w:after="80"/>
      </w:pPr>
      <w:r>
        <w:rPr>
          <w:i/>
          <w:sz w:val="20"/>
        </w:rPr>
        <w:t>EN: Electro‐Oxidation of Glycerol to Formate at Near‐Zero Potential Driven by Cathodic Oxygen Reduction‐Generated *OH</w:t>
      </w:r>
    </w:p>
    <w:p>
      <w:pPr>
        <w:spacing w:before="0" w:after="120"/>
      </w:pPr>
      <w:r>
        <w:rPr>
          <w:b/>
        </w:rPr>
        <w:t xml:space="preserve">Source: </w:t>
      </w:r>
      <w:r>
        <w:t>Wiley: Angewandte Chemie International Edition: Table of Contents</w:t>
      </w:r>
      <w:r>
        <w:t xml:space="preserve">    </w:t>
      </w:r>
      <w:r>
        <w:rPr>
          <w:b/>
        </w:rPr>
        <w:t xml:space="preserve">Pub date: </w:t>
      </w:r>
      <w:r>
        <w:t>2026-08-19 13:58:40+00:00</w:t>
      </w:r>
      <w:r>
        <w:t xml:space="preserve">    </w:t>
      </w:r>
      <w:r>
        <w:rPr>
          <w:b/>
        </w:rPr>
        <w:t xml:space="preserve">DOI: </w:t>
      </w:r>
      <w:hyperlink r:id="rId1750">
        <w:r>
          <w:rPr>
            <w:color w:val="1155CC"/>
            <w:u w:val="single"/>
          </w:rPr>
          <w:t>10.1002/anie.3107244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 C─C 键断裂将甘油电化学氧化为甲酸盐已成为将剩余甘油转化为各种高价值化学品的一项有吸引力的技术；然而，由于反应通常遵循析氧反应（OER）耦合途径，因此其性能受到高阳极电位的限制。在这项研究中，我们证明甘油氧化成甲酸盐可以通过阴极氧还原反应（ORR）介导，而不是在接近零电位的情况下进行。在具有不同ORR选择性的模型催化剂中，氧掺杂碳（O-C</w:t>
      </w:r>
      <w:r>
        <w:t xml:space="preserve"> </w:t>
      </w:r>
      <w:r>
        <w:t>NP</w:t>
      </w:r>
      <w:r>
        <w:t xml:space="preserve"> </w:t>
      </w:r>
      <w:r>
        <w:t>) 是甘油氧化的最佳催化剂，甲酸盐选择性为 91.0%，8 小时后在 -0.3 V（相对于 RHE）条件下产生 246 mM 甲酸盐。这样的性能可与最先进的 OER 耦合策略在超过 +1.3 V（相对于 RHE）的电势下运行的性能相媲美。原位光谱学、自由基定量和猝灭实验证明，低阴极电位下的选择性甘油氧化是由 ORR 过程中产生的活性 *OH 物质驱动的。计算研究表明 *OH 的生成和甘油氧化的介导在热力学上有利于 O-C</w:t>
      </w:r>
      <w:r>
        <w:t xml:space="preserve"> </w:t>
      </w:r>
      <w:r>
        <w:t>NP</w:t>
      </w:r>
      <w:r>
        <w:t xml:space="preserve"> </w:t>
      </w:r>
      <w:r>
        <w:t>与该系列中的其他人相比。这项工作为通过阴极活性氧介导的甘油氧化开辟了一条新途径。</w:t>
      </w:r>
    </w:p>
    <w:p>
      <w:pPr>
        <w:spacing w:before="0" w:after="200" w:lineRule="auto" w:line="276"/>
      </w:pPr>
      <w:r>
        <w:rPr>
          <w:b/>
        </w:rPr>
        <w:t xml:space="preserve">Abstract (EN): </w:t>
      </w:r>
      <w:r>
        <w:t>Electrochemical oxidation of glycerol to formate via C─C bond cleavage has emerged as an attractive technology for the conversion of surplus glycerol into diverse high‐value chemicals; yet the performance is limited by the high anodic potential as the reaction typically follows the oxygen evolution reaction (OER)‐coupled pathway. In this study, we demonstrate that glycerol oxidation to formate can be mediated by the cathodic oxygen reduction reaction (ORR) instead at near‐zero potential. Among the model catalysts with different ORR selectivity, oxygen‐doped carbon (O‐C</w:t>
      </w:r>
      <w:r>
        <w:t xml:space="preserve"> </w:t>
      </w:r>
      <w:r>
        <w:t>NP</w:t>
      </w:r>
      <w:r>
        <w:t xml:space="preserve"> </w:t>
      </w:r>
      <w:r>
        <w:t>) stands out as the best catalyst for glycerol oxidation with 91.0% formate selectivity, producing 246 mM formate at −0.3 V versus RHE after 8 h. Such a performance is comparable to that with state‐of‐the art OER‐coupled strategy operated at potentials over +1.3 V versus RHE. The selective glycerol oxidation at low cathodic potentials is driven by the active *OH species generated during ORR, as evidenced by in situ spectroscopy and radical quantification and quenching experiments. Computational studies reveal that the generation of *OH and the mediation in glycerol oxidation are thermodynamically favorable on O‐C</w:t>
      </w:r>
      <w:r>
        <w:t xml:space="preserve"> </w:t>
      </w:r>
      <w:r>
        <w:t>NP</w:t>
      </w:r>
      <w:r>
        <w:t xml:space="preserve"> </w:t>
      </w:r>
      <w:r>
        <w:t>as compared to others in the series. This work paves a new avenue for glycerol oxidation via cathodic reactive oxygen species mediation.</w:t>
      </w:r>
    </w:p>
    <w:p>
      <w:pPr>
        <w:spacing w:before="120" w:after="120"/>
      </w:pPr>
      <w:r>
        <w:rPr>
          <w:sz w:val="18"/>
        </w:rPr>
        <w:t>——————————————————————————————————————————————————————————————————————</w:t>
      </w:r>
    </w:p>
    <w:p>
      <w:pPr>
        <w:spacing w:before="160" w:after="40" w:line="240" w:lineRule="auto"/>
      </w:pPr>
      <w:r>
        <w:rPr>
          <w:b/>
        </w:rPr>
        <w:t xml:space="preserve">[609] </w:t>
      </w:r>
      <w:hyperlink r:id="rId1751">
        <w:r>
          <w:rPr>
            <w:color w:val="1155CC"/>
            <w:u w:val="single"/>
          </w:rPr>
          <w:t>用于高效窄带蓝光发射器的三螺旋介导空间混合 LRCT/SRCT 策略</w:t>
        </w:r>
      </w:hyperlink>
    </w:p>
    <w:p>
      <w:pPr>
        <w:spacing w:before="0" w:after="80"/>
      </w:pPr>
      <w:r>
        <w:rPr>
          <w:i/>
          <w:sz w:val="20"/>
        </w:rPr>
        <w:t>EN: A Tri‐Spiral‐Mediated Spatial Hybrid LRCT/SRCT Strategy for High‐Efficiency Narrowband Blue Emitters</w:t>
      </w:r>
    </w:p>
    <w:p>
      <w:pPr>
        <w:spacing w:before="0" w:after="120"/>
      </w:pPr>
      <w:r>
        <w:rPr>
          <w:b/>
        </w:rPr>
        <w:t xml:space="preserve">Source: </w:t>
      </w:r>
      <w:r>
        <w:t>Wiley: Angewandte Chemie International Edition: Table of Contents</w:t>
      </w:r>
      <w:r>
        <w:t xml:space="preserve">    </w:t>
      </w:r>
      <w:r>
        <w:rPr>
          <w:b/>
        </w:rPr>
        <w:t xml:space="preserve">Pub date: </w:t>
      </w:r>
      <w:r>
        <w:t>2026-08-19 14:00:38+00:00</w:t>
      </w:r>
      <w:r>
        <w:t xml:space="preserve">    </w:t>
      </w:r>
      <w:r>
        <w:rPr>
          <w:b/>
        </w:rPr>
        <w:t xml:space="preserve">DOI: </w:t>
      </w:r>
      <w:hyperlink r:id="rId1752">
        <w:r>
          <w:rPr>
            <w:color w:val="1155CC"/>
            <w:u w:val="single"/>
          </w:rPr>
          <w:t>10.1002/anie.3174728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单键直接连接长程电荷转移（LRCT）和短程电荷转移（SRCT）单元的传统混合策略不可避免地会引起不可控的电子推拉效应，导致发射红移和光谱展宽。在这项研究中，我们提出了一种螺旋介导的空间解耦策略，首次通过非共轭三螺旋骨架桥接LRCT型供体-受体片段和SRCT型多重共振（MR）片段。这种设计有效地中断了两个单元之间的 π 共轭，允许 LRCT 片段引入额外的反向系间交叉 (RISC) 通道，而不会干扰 MR 核心。因此，相对于 MR 原型，RISC 速率提高了 16 倍，同时保留了窄带发射。 TRZN//NBO 在甲苯中表现出 473 nm 的发射峰，半峰全宽为 24 nm，快速 RISC 速率为 1.26 × 10</w:t>
      </w:r>
      <w:r>
        <w:rPr>
          <w:vertAlign w:val="subscript"/>
        </w:rPr>
        <w:t>5</w:t>
      </w:r>
      <w:r>
        <w:t>s</w:t>
      </w:r>
      <w:r>
        <w:t xml:space="preserve"> </w:t>
      </w:r>
      <w:r>
        <w:t>−1</w:t>
      </w:r>
      <w:r>
        <w:t xml:space="preserve"> </w:t>
      </w:r>
      <w:r>
        <w:t>。相应器件的最大外量子效率 (EQE) 为 36.1%，在亮度为 100 和 1000 cd m 时保留了 28.2% 和 21.0% 的高 EQE</w:t>
      </w:r>
      <w:r>
        <w:t xml:space="preserve"> </w:t>
      </w:r>
      <w:r>
        <w:t>−2</w:t>
      </w:r>
      <w:r>
        <w:t xml:space="preserve"> </w:t>
      </w:r>
      <w:r>
        <w:t>，分别。这些结果表明，螺旋介导的空间混合 LRCT/SRCT 策略为规避窄带发射器效率和颜色纯度之间的权衡提供了一条有前途的途径。</w:t>
      </w:r>
    </w:p>
    <w:p>
      <w:pPr>
        <w:spacing w:before="0" w:after="200" w:lineRule="auto" w:line="276"/>
      </w:pPr>
      <w:r>
        <w:rPr>
          <w:b/>
        </w:rPr>
        <w:t xml:space="preserve">Abstract (EN): </w:t>
      </w:r>
      <w:r>
        <w:t>The conventional hybrid strategy that directly links long‐range charge‐transfer (LRCT) and short‐range charge‐transfer (SRCT) units through a single bond inevitably induces an uncontrollable electron push–pull effect, resulting in emission redshift and spectral broadening. In this study, we propose a spiro‐mediated spatial decoupling strategy that bridges an LRCT‐type donor–acceptor fragment and an SRCT‐type multiple‐resonance (MR) fragment through a nonconjugated tri‐spiral skeleton for the first time. This design effectively interrupts the π‐conjugation between the two units, allowing the LRCT fragment to introduce additional reverse intersystem crossing (RISC) channels without perturbing the MR core. As a result, a 16‐fold enhancement in RISC rate is achieved relative to the MR prototype while preserving narrowband emission. TRZN//NBO exhibits an emission peak of 473 nm with a narrow full width at half maximum of 24 nm in toluene and a fast RISC rate of 1.26 × 10</w:t>
      </w:r>
      <w:r>
        <w:rPr>
          <w:vertAlign w:val="subscript"/>
        </w:rPr>
        <w:t>5</w:t>
      </w:r>
      <w:r>
        <w:t>s</w:t>
      </w:r>
      <w:r>
        <w:t xml:space="preserve"> </w:t>
      </w:r>
      <w:r>
        <w:t>−1</w:t>
      </w:r>
      <w:r>
        <w:t xml:space="preserve"> </w:t>
      </w:r>
      <w:r>
        <w:t>. The corresponding device achieves a maximum external quantum efficiency (EQE) of 36.1%, retaining high EQEs of 28.2% and 21.0% at luminance of 100 and 1000 cd m</w:t>
      </w:r>
      <w:r>
        <w:t xml:space="preserve"> </w:t>
      </w:r>
      <w:r>
        <w:t>−2</w:t>
      </w:r>
      <w:r>
        <w:t xml:space="preserve"> </w:t>
      </w:r>
      <w:r>
        <w:t>, respectively. These results demonstrate that the spiro‐mediated spatial hybrid LRCT/SRCT strategy offers a promising route to circumvent the trade‐off between efficiency and color purity in narrowband emitters.</w:t>
      </w:r>
    </w:p>
    <w:p>
      <w:pPr>
        <w:spacing w:before="120" w:after="120"/>
      </w:pPr>
      <w:r>
        <w:rPr>
          <w:sz w:val="18"/>
        </w:rPr>
        <w:t>——————————————————————————————————————————————————————————————————————</w:t>
      </w:r>
    </w:p>
    <w:p>
      <w:pPr>
        <w:spacing w:before="160" w:after="40" w:line="240" w:lineRule="auto"/>
      </w:pPr>
      <w:r>
        <w:rPr>
          <w:b/>
        </w:rPr>
        <w:t xml:space="preserve">[610] </w:t>
      </w:r>
      <w:hyperlink r:id="rId1753">
        <w:r>
          <w:rPr>
            <w:color w:val="1155CC"/>
            <w:u w:val="single"/>
          </w:rPr>
          <w:t>单核硼氢化铀配合物轻松裂解一氧化碳的 C=O 三键</w:t>
        </w:r>
      </w:hyperlink>
    </w:p>
    <w:p>
      <w:pPr>
        <w:spacing w:before="0" w:after="80"/>
      </w:pPr>
      <w:r>
        <w:rPr>
          <w:i/>
          <w:sz w:val="20"/>
        </w:rPr>
        <w:t>EN: Facile C≡O Triple Bond Cleavage of Carbon Monoxide by a Mononuclear Uranium Borohydride Complex</w:t>
      </w:r>
    </w:p>
    <w:p>
      <w:pPr>
        <w:spacing w:before="0" w:after="120"/>
      </w:pPr>
      <w:r>
        <w:rPr>
          <w:b/>
        </w:rPr>
        <w:t xml:space="preserve">Source: </w:t>
      </w:r>
      <w:r>
        <w:t>Wiley: Angewandte Chemie International Edition: Table of Contents</w:t>
      </w:r>
      <w:r>
        <w:t xml:space="preserve">    </w:t>
      </w:r>
      <w:r>
        <w:rPr>
          <w:b/>
        </w:rPr>
        <w:t xml:space="preserve">Pub date: </w:t>
      </w:r>
      <w:r>
        <w:t>2026-08-19 14:03:16+00:00</w:t>
      </w:r>
      <w:r>
        <w:t xml:space="preserve">    </w:t>
      </w:r>
      <w:r>
        <w:rPr>
          <w:b/>
        </w:rPr>
        <w:t xml:space="preserve">DOI: </w:t>
      </w:r>
      <w:hyperlink r:id="rId1754">
        <w:r>
          <w:rPr>
            <w:color w:val="1155CC"/>
            <w:u w:val="single"/>
          </w:rPr>
          <w:t>10.1002/anie.1233737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迄今为止，锕系配合物对一氧化碳中 C≡O 三键的完全断裂仅限于多金属氮化物桥接系统，其中反应通过形成强 C─N 多重键进行。在这里，我们报道了一种在室温下由双层 N-P 配体支持的单核硼氢化铀络合物介导的完全 CO 裂解的替代模式。单晶 X 射线衍射表明，氧原子与铀和硼 (U-O-B) 结合，而碳原子则插入新的烃基骨架中，形成 U─C、C─C 和 C─Si 键。计算研究阐明了一种合作机制，涉及 CO 插入 U-H-B 连接中，然后进行低势垒重排。这项工作证明了单核锕系元素配合物通过 U-H-B 协同途径实现 CO 完全裂解，从而为在单个铀中心进行的这种转化建立了替代的无氮化物途径。</w:t>
      </w:r>
    </w:p>
    <w:p>
      <w:pPr>
        <w:spacing w:before="0" w:after="200" w:lineRule="auto" w:line="276"/>
      </w:pPr>
      <w:r>
        <w:rPr>
          <w:b/>
        </w:rPr>
        <w:t xml:space="preserve">Abstract (EN): </w:t>
      </w:r>
      <w:r>
        <w:t>Complete scission of the C≡O triple bond in carbon monoxide by an actinide complex has so far been restricted to multimetallic nitride‐bridged systems, where the reaction proceeds via formation of strong C─N multiple bonds. Here we report an alternative mode of complete CO cleavage mediated by a mononuclear uranium(IV) borohydride complex supported by a double layer N–P ligand at room temperature. Single‐crystal x‐ray diffraction reveals that the oxygen atom becomes bonded to both uranium and boron (U–O–B), while the carbon atom is inserted into a new hydrocarbyl framework, forming U─C, C─C, and C─Si bonds. Computational studies elucidate a cooperative mechanism involving CO insertion into the U–H–B linkage followed by low‐barrier rearrangements. This work demonstrates complete CO cleavage by a mononuclear actinide complex operating through a U–H–B cooperative pathway, thereby establishing an alternative, nitride‐free route for this transformation at a single uranium center.</w:t>
      </w:r>
    </w:p>
    <w:p>
      <w:pPr>
        <w:spacing w:before="120" w:after="120"/>
      </w:pPr>
      <w:r>
        <w:rPr>
          <w:sz w:val="18"/>
        </w:rPr>
        <w:t>——————————————————————————————————————————————————————————————————————</w:t>
      </w:r>
    </w:p>
    <w:p>
      <w:pPr>
        <w:spacing w:before="160" w:after="40" w:line="240" w:lineRule="auto"/>
      </w:pPr>
      <w:r>
        <w:rPr>
          <w:b/>
        </w:rPr>
        <w:t xml:space="preserve">[611] </w:t>
      </w:r>
      <w:hyperlink r:id="rId1755">
        <w:r>
          <w:rPr>
            <w:color w:val="1155CC"/>
            <w:u w:val="single"/>
          </w:rPr>
          <w:t>高熵稀土卤化物双钙钛矿将成分无序转化为 LED 的离子传输稳定宽带近红外发射</w:t>
        </w:r>
      </w:hyperlink>
    </w:p>
    <w:p>
      <w:pPr>
        <w:spacing w:before="0" w:after="80"/>
      </w:pPr>
      <w:r>
        <w:rPr>
          <w:i/>
          <w:sz w:val="20"/>
        </w:rPr>
        <w:t>EN: High‐Entropy Rare‐Earth Halide Double Perovskites Convert Compositional Disorder Into Ion‐Transport‐Stabilized Broadband Near‐Infrared Emission for LEDs</w:t>
      </w:r>
    </w:p>
    <w:p>
      <w:pPr>
        <w:spacing w:before="0" w:after="120"/>
      </w:pPr>
      <w:r>
        <w:rPr>
          <w:b/>
        </w:rPr>
        <w:t xml:space="preserve">Source: </w:t>
      </w:r>
      <w:r>
        <w:t>Wiley: Angewandte Chemie International Edition: Table of Contents</w:t>
      </w:r>
      <w:r>
        <w:t xml:space="preserve">    </w:t>
      </w:r>
      <w:r>
        <w:rPr>
          <w:b/>
        </w:rPr>
        <w:t xml:space="preserve">Pub date: </w:t>
      </w:r>
      <w:r>
        <w:t>2026-08-19 14:07:11+00:00</w:t>
      </w:r>
      <w:r>
        <w:t xml:space="preserve">    </w:t>
      </w:r>
      <w:r>
        <w:rPr>
          <w:b/>
        </w:rPr>
        <w:t xml:space="preserve">DOI: </w:t>
      </w:r>
      <w:hyperlink r:id="rId1756">
        <w:r>
          <w:rPr>
            <w:color w:val="1155CC"/>
            <w:u w:val="single"/>
          </w:rPr>
          <w:t>10.1002/anie.9927134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卤化物-钙钛矿领域已经迅速扩展，但两个核心化学问题仍未得到充分理解：复杂离子晶格中的组成无序如何转化为可预测的、具有可定制功能的组分差异化光物理行为，以及增强的环境鲁棒性背后的原子起源是什么。在这里，我们使用熵工程稀土卤化物双钙钛矿单晶（Cs）来解决这些问题</w:t>
      </w:r>
      <w:r>
        <w:rPr>
          <w:vertAlign w:val="subscript"/>
        </w:rPr>
        <w:t>2</w:t>
      </w:r>
      <w:r>
        <w:t>Na(Sb, RE)Cl</w:t>
      </w:r>
      <w:r>
        <w:rPr>
          <w:vertAlign w:val="subscript"/>
        </w:rPr>
        <w:t>6</w:t>
      </w:r>
      <w:r>
        <w:t>（RE</w:t>
      </w:r>
      <w:r>
        <w:t xml:space="preserve"> </w:t>
      </w:r>
      <w:r>
        <w:t>3+</w:t>
      </w:r>
      <w:r>
        <w:t xml:space="preserve"> </w:t>
      </w:r>
      <w:r>
        <w:t>= Sc</w:t>
      </w:r>
      <w:r>
        <w:t xml:space="preserve"> </w:t>
      </w:r>
      <w:r>
        <w:t>3+</w:t>
      </w:r>
      <w:r>
        <w:t xml:space="preserve"> </w:t>
      </w:r>
      <w:r>
        <w:t>, 呃</w:t>
      </w:r>
      <w:r>
        <w:t xml:space="preserve"> </w:t>
      </w:r>
      <w:r>
        <w:t>3+</w:t>
      </w:r>
      <w:r>
        <w:t xml:space="preserve"> </w:t>
      </w:r>
      <w:r>
        <w:t>, 镱</w:t>
      </w:r>
      <w:r>
        <w:t xml:space="preserve"> </w:t>
      </w:r>
      <w:r>
        <w:t>3+</w:t>
      </w:r>
      <w:r>
        <w:t xml:space="preserve"> </w:t>
      </w:r>
      <w:r>
        <w:t>, 和 Tm</w:t>
      </w:r>
      <w:r>
        <w:t xml:space="preserve"> </w:t>
      </w:r>
      <w:r>
        <w:t>3+</w:t>
      </w:r>
      <w:r>
        <w:t xml:space="preserve"> </w:t>
      </w:r>
      <w:r>
        <w:t>），作为一个组合可调的平台。近等原子 B(III) 位合金化产生单相高熵固溶体 (Δ</w:t>
      </w:r>
      <w:r>
        <w:t xml:space="preserve"> </w:t>
      </w:r>
      <w:r>
        <w:t>S</w:t>
      </w:r>
      <w:r>
        <w:t xml:space="preserve"> </w:t>
      </w:r>
      <w:r>
        <w:t>配置</w:t>
      </w:r>
      <w:r>
        <w:t xml:space="preserve"> </w:t>
      </w:r>
      <w:r>
        <w:t>≈ 1.6R)，其中阳离子具有互补的、特定于组分的光物理功能。 ns</w:t>
      </w:r>
      <w:r>
        <w:rPr>
          <w:vertAlign w:val="subscript"/>
        </w:rPr>
        <w:t>2</w:t>
      </w:r>
      <w:r>
        <w:t>‐配置Sb</w:t>
      </w:r>
      <w:r>
        <w:t xml:space="preserve"> </w:t>
      </w:r>
      <w:r>
        <w:t>3+</w:t>
      </w:r>
      <w:r>
        <w:t xml:space="preserve"> </w:t>
      </w:r>
      <w:r>
        <w:t>中心提供宽带吸收和敏化，而 RE</w:t>
      </w:r>
      <w:r>
        <w:t xml:space="preserve"> </w:t>
      </w:r>
      <w:r>
        <w:t>3+</w:t>
      </w:r>
      <w:r>
        <w:t xml:space="preserve"> </w:t>
      </w:r>
      <w:r>
        <w:t>定义正交近红外发射流形。通过将化学上不同的光学中心整合到一个晶格中，组成无序从单纯的熵稳定图案转变为可定制的发射拱</w:t>
      </w:r>
    </w:p>
    <w:p>
      <w:pPr>
        <w:spacing w:before="0" w:after="200" w:lineRule="auto" w:line="276"/>
      </w:pPr>
      <w:r>
        <w:rPr>
          <w:b/>
        </w:rPr>
        <w:t xml:space="preserve">Abstract (EN): </w:t>
      </w:r>
      <w:r>
        <w:t>The high‐entropy halide‐perovskite field has expanded rapidly, yet two central chemical questions remain insufficiently understood: how compositional disorder in complex ionic lattices can be converted into predictable, component‐differentiated photophysical behavior with tailorable functionality, and what atomistic origin underlies the enhanced environmental robustness. Here we address these questions using entropy‐engineered rare‐earth halide double‐perovskite single crystals, Cs</w:t>
      </w:r>
      <w:r>
        <w:rPr>
          <w:vertAlign w:val="subscript"/>
        </w:rPr>
        <w:t>2</w:t>
      </w:r>
      <w:r>
        <w:t>Na(Sb, RE)Cl</w:t>
      </w:r>
      <w:r>
        <w:rPr>
          <w:vertAlign w:val="subscript"/>
        </w:rPr>
        <w:t>6</w:t>
      </w:r>
      <w:r>
        <w:t>(RE</w:t>
      </w:r>
      <w:r>
        <w:t xml:space="preserve"> </w:t>
      </w:r>
      <w:r>
        <w:t>3+</w:t>
      </w:r>
      <w:r>
        <w:t xml:space="preserve"> </w:t>
      </w:r>
      <w:r>
        <w:t>= Sc</w:t>
      </w:r>
      <w:r>
        <w:t xml:space="preserve"> </w:t>
      </w:r>
      <w:r>
        <w:t>3+</w:t>
      </w:r>
      <w:r>
        <w:t xml:space="preserve"> </w:t>
      </w:r>
      <w:r>
        <w:t>, Er</w:t>
      </w:r>
      <w:r>
        <w:t xml:space="preserve"> </w:t>
      </w:r>
      <w:r>
        <w:t>3+</w:t>
      </w:r>
      <w:r>
        <w:t xml:space="preserve"> </w:t>
      </w:r>
      <w:r>
        <w:t>, Yb</w:t>
      </w:r>
      <w:r>
        <w:t xml:space="preserve"> </w:t>
      </w:r>
      <w:r>
        <w:t>3+</w:t>
      </w:r>
      <w:r>
        <w:t xml:space="preserve"> </w:t>
      </w:r>
      <w:r>
        <w:t>, and Tm</w:t>
      </w:r>
      <w:r>
        <w:t xml:space="preserve"> </w:t>
      </w:r>
      <w:r>
        <w:t>3+</w:t>
      </w:r>
      <w:r>
        <w:t xml:space="preserve"> </w:t>
      </w:r>
      <w:r>
        <w:t>), as a composition‐tunable platform. Near‐equiatomic B(III)‐site alloying yields a single‐phase high‐entropy solid solution (Δ</w:t>
      </w:r>
      <w:r>
        <w:t xml:space="preserve"> </w:t>
      </w:r>
      <w:r>
        <w:t>S</w:t>
      </w:r>
      <w:r>
        <w:t xml:space="preserve"> </w:t>
      </w:r>
      <w:r>
        <w:t>config</w:t>
      </w:r>
      <w:r>
        <w:t xml:space="preserve"> </w:t>
      </w:r>
      <w:r>
        <w:t>≈ 1.6R), where cations assume complementary, component‐specific photophysical functions. The ns</w:t>
      </w:r>
      <w:r>
        <w:rPr>
          <w:vertAlign w:val="subscript"/>
        </w:rPr>
        <w:t>2</w:t>
      </w:r>
      <w:r>
        <w:t>‐configured Sb</w:t>
      </w:r>
      <w:r>
        <w:t xml:space="preserve"> </w:t>
      </w:r>
      <w:r>
        <w:t>3+</w:t>
      </w:r>
      <w:r>
        <w:t xml:space="preserve"> </w:t>
      </w:r>
      <w:r>
        <w:t>centers provide broadband absorption and sensitization, whereas RE</w:t>
      </w:r>
      <w:r>
        <w:t xml:space="preserve"> </w:t>
      </w:r>
      <w:r>
        <w:t>3+</w:t>
      </w:r>
      <w:r>
        <w:t xml:space="preserve"> </w:t>
      </w:r>
      <w:r>
        <w:t>define orthogonal NIR emissive manifolds. By integrating chemically distinct optical centers within one lattice, compositional disorder is converted from a mere entropy‐stabilization motif into a tailorable emissive architecture, producing multipeak NIR emission across ∼850–1600 nm for self‐referenced ratiometric sensing. Accelerated aging verifies relatively improved phase and emission stability, while combined DFT and MD analyses provide, a mechanistic, simulation‐supported rationalization of high‐entropy stabilization in halide double perovskites: configurational entropy thermodynamically disfavors decomposition, whereas suppressed RE</w:t>
      </w:r>
      <w:r>
        <w:t xml:space="preserve"> </w:t>
      </w:r>
      <w:r>
        <w:t>3+</w:t>
      </w:r>
      <w:r>
        <w:t xml:space="preserve"> </w:t>
      </w:r>
      <w:r>
        <w:t>/Cl</w:t>
      </w:r>
      <w:r>
        <w:t xml:space="preserve"> </w:t>
      </w:r>
      <w:r>
        <w:t>−</w:t>
      </w:r>
      <w:r>
        <w:t>self‐diffusion kinetically retards ion‐migration‐assisted reconstruction and degradation. Together, these results translate role‐differentiated emission into stable broadband NIR LEDs, validating entropy engineering for durable perovskite photonics.</w:t>
      </w:r>
    </w:p>
    <w:p>
      <w:pPr>
        <w:spacing w:before="120" w:after="120"/>
      </w:pPr>
      <w:r>
        <w:rPr>
          <w:sz w:val="18"/>
        </w:rPr>
        <w:t>——————————————————————————————————————————————————————————————————————</w:t>
      </w:r>
    </w:p>
    <w:p>
      <w:pPr>
        <w:spacing w:before="160" w:after="40" w:line="240" w:lineRule="auto"/>
      </w:pPr>
      <w:r>
        <w:rPr>
          <w:b/>
        </w:rPr>
        <w:t xml:space="preserve">[612] </w:t>
      </w:r>
      <w:hyperlink r:id="rId1757">
        <w:r>
          <w:rPr>
            <w:color w:val="1155CC"/>
            <w:u w:val="single"/>
          </w:rPr>
          <w:t>尿素氧化电催化 Ni dz2 轨道描述符的操作鉴定</w:t>
        </w:r>
      </w:hyperlink>
    </w:p>
    <w:p>
      <w:pPr>
        <w:spacing w:before="0" w:after="80"/>
      </w:pPr>
      <w:r>
        <w:rPr>
          <w:i/>
          <w:sz w:val="20"/>
        </w:rPr>
        <w:t>EN: Operando Identification of Ni dz2 Orbital Descriptor Governing Urea Oxidation Electrocatalysis</w:t>
      </w:r>
    </w:p>
    <w:p>
      <w:pPr>
        <w:spacing w:before="0" w:after="120"/>
      </w:pPr>
      <w:r>
        <w:rPr>
          <w:b/>
        </w:rPr>
        <w:t xml:space="preserve">Source: </w:t>
      </w:r>
      <w:r>
        <w:t>Wiley: Angewandte Chemie International Edition: Table of Contents</w:t>
      </w:r>
      <w:r>
        <w:t xml:space="preserve">    </w:t>
      </w:r>
      <w:r>
        <w:rPr>
          <w:b/>
        </w:rPr>
        <w:t xml:space="preserve">Pub date: </w:t>
      </w:r>
      <w:r>
        <w:t>2026-08-19 14:08:01+00:00</w:t>
      </w:r>
      <w:r>
        <w:t xml:space="preserve">    </w:t>
      </w:r>
      <w:r>
        <w:rPr>
          <w:b/>
        </w:rPr>
        <w:t xml:space="preserve">DOI: </w:t>
      </w:r>
      <w:hyperlink r:id="rId1758">
        <w:r>
          <w:rPr>
            <w:color w:val="1155CC"/>
            <w:u w:val="single"/>
          </w:rPr>
          <w:t>10.1002/anie.4712106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尿素氧化反应（UOR）为析氧反应提供了一种低热力学势的替代方案，但镍的真实反应状态和控制活性的定量电子描述符仍未解决。在这里，我们构建了一个明确的催化剂-载体相互作用平台，通过镍酞菁（NiPc）和曲率可调的碳载体之间的π-π耦合，能够动态调节Ni 3d电子结构。至关重要的是，原位 X 射线吸收光谱、Kβ X 射线发射光谱和高能分辨率荧光检测 XAS 明确证明，增强的 UOR 活性源自 Ni 3d 轨道的动态重新分布，而不是氧化态演化，从而解决了镍基催化中长期存在的争议。操作结果进一步证实 Ni</w:t>
      </w:r>
      <w:r>
        <w:t xml:space="preserve"> </w:t>
      </w:r>
      <w:r>
        <w:t>2+</w:t>
      </w:r>
      <w:r>
        <w:t xml:space="preserve"> </w:t>
      </w:r>
      <w:r>
        <w:t>在整个反应过程中保持催化活性状态并确定 3dz 的占用</w:t>
      </w:r>
      <w:r>
        <w:rPr>
          <w:vertAlign w:val="subscript"/>
        </w:rPr>
        <w:t>2</w:t>
      </w:r>
      <w:r>
        <w:t>轨道作为控制内在活动的定量电子描述符。 2 nm 碳纳米管支持的 NiPc 实现了 1.67 s 的周转频率</w:t>
      </w:r>
      <w:r>
        <w:t xml:space="preserve"> </w:t>
      </w:r>
      <w:r>
        <w:t>−1</w:t>
      </w:r>
      <w:r>
        <w:t xml:space="preserve"> </w:t>
      </w:r>
      <w:r>
        <w:t>与 RHE 相比，电压为 1.45 V，优于平面和弱相互作用的对应物，其中强界面相互作用诱导高自旋 Ni(II) 构型，具有近半填充的 3dz</w:t>
      </w:r>
      <w:r>
        <w:rPr>
          <w:vertAlign w:val="subscript"/>
        </w:rPr>
        <w:t>2</w:t>
      </w:r>
      <w:r>
        <w:t>轨道。这项研究建立了操作v</w:t>
      </w:r>
    </w:p>
    <w:p>
      <w:pPr>
        <w:spacing w:before="0" w:after="200" w:lineRule="auto" w:line="276"/>
      </w:pPr>
      <w:r>
        <w:rPr>
          <w:b/>
        </w:rPr>
        <w:t xml:space="preserve">Abstract (EN): </w:t>
      </w:r>
      <w:r>
        <w:t>Electrocatalytic urea oxidation reaction (UOR) offers a low‐thermodynamic‐potential alternative to the oxygen evolution reaction, yet the true reactive state of nickel and a quantitative electronic descriptor governing activity remain unresolved. Here, we construct a well‐defined catalyst–support interaction platform that enables dynamic regulation of the Ni 3d electronic structure through π–π coupling between nickel phthalocyanine (NiPc) and carbon supports with tunable curvature. Crucially, operando x‐ray absorption spectroscopy, Kβ x‐ray emission spectroscopy, and high‐energy‐resolution fluorescence‐detected XAS unambiguously demonstrate that enhanced UOR activity originates from dynamic redistribution of Ni 3d orbitals rather than oxidation‐state evolution, thereby resolving a long‐standing controversy in Ni‐based catalysis. The operando results further confirm that Ni</w:t>
      </w:r>
      <w:r>
        <w:t xml:space="preserve"> </w:t>
      </w:r>
      <w:r>
        <w:t>2+</w:t>
      </w:r>
      <w:r>
        <w:t xml:space="preserve"> </w:t>
      </w:r>
      <w:r>
        <w:t>remains the catalytically active state throughout the reaction and identify the occupancy of the 3dz</w:t>
      </w:r>
      <w:r>
        <w:rPr>
          <w:vertAlign w:val="subscript"/>
        </w:rPr>
        <w:t>2</w:t>
      </w:r>
      <w:r>
        <w:t>orbital as a quantitative electronic descriptor governing intrinsic activity. NiPc supported on 2 nm carbon nanotubes achieves a turnover frequency of 1.67 s</w:t>
      </w:r>
      <w:r>
        <w:t xml:space="preserve"> </w:t>
      </w:r>
      <w:r>
        <w:t>−1</w:t>
      </w:r>
      <w:r>
        <w:t xml:space="preserve"> </w:t>
      </w:r>
      <w:r>
        <w:t>at 1.45 V versus RHE, outperforming its planar and weakly interacting counterparts, in which strong interfacial interaction induces a high‐spin Ni(II) configuration with a nearly half‐filled 3dz</w:t>
      </w:r>
      <w:r>
        <w:rPr>
          <w:vertAlign w:val="subscript"/>
        </w:rPr>
        <w:t>2</w:t>
      </w:r>
      <w:r>
        <w:t>orbital. This study establishes operando‐validated frontier orbital engineering via catalyst–support interactions as a rational strategy for advanced electrocatalyst design.</w:t>
      </w:r>
    </w:p>
    <w:p>
      <w:pPr>
        <w:spacing w:before="120" w:after="120"/>
      </w:pPr>
      <w:r>
        <w:rPr>
          <w:sz w:val="18"/>
        </w:rPr>
        <w:t>——————————————————————————————————————————————————————————————————————</w:t>
      </w:r>
    </w:p>
    <w:p>
      <w:pPr>
        <w:spacing w:before="160" w:after="40" w:line="240" w:lineRule="auto"/>
      </w:pPr>
      <w:r>
        <w:rPr>
          <w:b/>
        </w:rPr>
        <w:t xml:space="preserve">[613] </w:t>
      </w:r>
      <w:hyperlink r:id="rId1759">
        <w:r>
          <w:rPr>
            <w:color w:val="1155CC"/>
            <w:u w:val="single"/>
          </w:rPr>
          <w:t>利用光开关调制的动态 C-N 键对共价组件进行远程控制</w:t>
        </w:r>
      </w:hyperlink>
    </w:p>
    <w:p>
      <w:pPr>
        <w:spacing w:before="0" w:after="80"/>
      </w:pPr>
      <w:r>
        <w:rPr>
          <w:i/>
          <w:sz w:val="20"/>
        </w:rPr>
        <w:t>EN: Remote Control Over Covalent Assemblies With Photoswitch‐Modulated Dynamic C–N Bonds</w:t>
      </w:r>
    </w:p>
    <w:p>
      <w:pPr>
        <w:spacing w:before="0" w:after="120"/>
      </w:pPr>
      <w:r>
        <w:rPr>
          <w:b/>
        </w:rPr>
        <w:t xml:space="preserve">Source: </w:t>
      </w:r>
      <w:r>
        <w:t>Wiley: Angewandte Chemie International Edition: Table of Contents</w:t>
      </w:r>
      <w:r>
        <w:t xml:space="preserve">    </w:t>
      </w:r>
      <w:r>
        <w:rPr>
          <w:b/>
        </w:rPr>
        <w:t xml:space="preserve">Pub date: </w:t>
      </w:r>
      <w:r>
        <w:t>2026-08-19 14:09:55+00:00</w:t>
      </w:r>
      <w:r>
        <w:t xml:space="preserve">    </w:t>
      </w:r>
      <w:r>
        <w:rPr>
          <w:b/>
        </w:rPr>
        <w:t xml:space="preserve">DOI: </w:t>
      </w:r>
      <w:hyperlink r:id="rId1760">
        <w:r>
          <w:rPr>
            <w:color w:val="1155CC"/>
            <w:u w:val="single"/>
          </w:rPr>
          <w:t>10.1002/anie.2812801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态共价组装体提供了充足的结构和功能多样性，由于稳定性和可逆性之间的固有冲突，具有可调稳定性和受控键转变的动态键合系统很难实现。在此，我们报告了一种基于新颖分子设计的光开关介导的C-N键策略，该策略克服了这一限制，能够对动态共价大环和聚合物进行远程和多重调控。二噻吩乙烯 (DTE) 与磺内酰胺衍生的半缩醛胺的整合提供了光控反应性切换，其中闭环形式容易发生 C-N 键形成/断裂，而开环形式保持动力学锁定。这种光切换平台允许通过模块化合成合并多个反应位点来构建分子内/分子间大环化合物。通过光和酸/碱刺激实现了分子内大环与其线性支架之间的按需可逆拓扑转变。此外，照射波长的变化实现了竞争性分子间大环系统中的动力学选择性和光程序自排序的逆转，进一步锁定了光的非平衡态和时间成分分布。最后，该策略用于光控聚合物降解和聚合物到大环的转化。这项工作展示了基于磺酰胺的光寻址动态 C-N 键构建不同结构的能力，并为适应奠定了基础。</w:t>
      </w:r>
    </w:p>
    <w:p>
      <w:pPr>
        <w:spacing w:before="0" w:after="200" w:lineRule="auto" w:line="276"/>
      </w:pPr>
      <w:r>
        <w:rPr>
          <w:b/>
        </w:rPr>
        <w:t xml:space="preserve">Abstract (EN): </w:t>
      </w:r>
      <w:r>
        <w:t>Dynamic covalent assemblies offer ample structural and functional diversity, and dynamic bonding systems with tunable stability and controlled bond transformation are challenging to achieve due to the inherent conflict between the stability and the reversibility. Herein we report a photoswitching‐mediated C–N bond strategy based on a novel molecular design that overcomes this limitation, enabling remote and multiple regulation of dynamic covalent macrocycles and polymers. The integration of dithienylethene (DTE) with sultam‐derived hemiaminal provided photocontrolled switching of reactivity, where the closed‐ring form undergoes facile C–N bond making/breaking while the open‐ring form remains kinetically locked. This photoswitchable platform allowed the construction of intramolecular/intermolecular macrocycles by incorporating multiple reactive sites via modular synthesis. On‐demand reversible topological transformation between an intramolecular macrocycle and its linear scaffold was realized with light and acid/base stimuli. Moreover, the change of irradiation wavelength achieved reversal of kinetic selectivity and photoprogrammed self‐sorting in competing intermolecular macrocycle systems, further locking non‐equilibrium states and temporal component distribution with light. Finally, the strategy was employed for photocontrolled polymer degradation and polymer‐to‐macrocycle conversion. This work showcases the capability of sulfonamide‐based photoaddressed dynamic C–N bonds for constructing diverse architectures and should set the stage for adaptive materials and responsive systems.</w:t>
      </w:r>
    </w:p>
    <w:p>
      <w:pPr>
        <w:spacing w:before="120" w:after="120"/>
      </w:pPr>
      <w:r>
        <w:rPr>
          <w:sz w:val="18"/>
        </w:rPr>
        <w:t>——————————————————————————————————————————————————————————————————————</w:t>
      </w:r>
    </w:p>
    <w:p>
      <w:pPr>
        <w:spacing w:before="160" w:after="40" w:line="240" w:lineRule="auto"/>
      </w:pPr>
      <w:r>
        <w:rPr>
          <w:b/>
        </w:rPr>
        <w:t xml:space="preserve">[614] </w:t>
      </w:r>
      <w:hyperlink r:id="rId1761">
        <w:r>
          <w:rPr>
            <w:color w:val="1155CC"/>
            <w:u w:val="single"/>
          </w:rPr>
          <w:t>手性超分子模板能够在杂化硫氰酸锌中产生可调谐的二次谐波</w:t>
        </w:r>
      </w:hyperlink>
    </w:p>
    <w:p>
      <w:pPr>
        <w:spacing w:before="0" w:after="80"/>
      </w:pPr>
      <w:r>
        <w:rPr>
          <w:i/>
          <w:sz w:val="20"/>
        </w:rPr>
        <w:t>EN: Chiral Supramolecular Templating Enables Tunable Second‐Harmonic Generation in Hybrid Zinc Thiocyanates</w:t>
      </w:r>
    </w:p>
    <w:p>
      <w:pPr>
        <w:spacing w:before="0" w:after="120"/>
      </w:pPr>
      <w:r>
        <w:rPr>
          <w:b/>
        </w:rPr>
        <w:t xml:space="preserve">Source: </w:t>
      </w:r>
      <w:r>
        <w:t>Wiley: Angewandte Chemie International Edition: Table of Contents</w:t>
      </w:r>
      <w:r>
        <w:t xml:space="preserve">    </w:t>
      </w:r>
      <w:r>
        <w:rPr>
          <w:b/>
        </w:rPr>
        <w:t xml:space="preserve">Pub date: </w:t>
      </w:r>
      <w:r>
        <w:t>2026-08-19 14:11:42+00:00</w:t>
      </w:r>
      <w:r>
        <w:t xml:space="preserve">    </w:t>
      </w:r>
      <w:r>
        <w:rPr>
          <w:b/>
        </w:rPr>
        <w:t xml:space="preserve">DOI: </w:t>
      </w:r>
      <w:hyperlink r:id="rId1762">
        <w:r>
          <w:rPr>
            <w:color w:val="1155CC"/>
            <w:u w:val="single"/>
          </w:rPr>
          <w:t>10.1002/anie.2118217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有机分子已被广泛用于构建具有二次谐波产生（SHG）活性的混合非线性光学（NLO）材料。然而，手性构件的多样性有限限制了结构多样性和倍频性能。在此，我们介绍了一种手性超分子模板策略，用于工程化具有可调 SHG 响应的杂化硫氰酸锌。碱金属或碱土金属离子和天然氨基酸协同组装成一维（1D）手性配位聚合物，作为超分子模板，而软硬酸碱原理则抑制氨基酸配体和锌离子之间不需要的配位。这种配位正交性使得不同的手性超分子模板能够指导SHG活性[Zn(SCN)</w:t>
      </w:r>
      <w:r>
        <w:rPr>
          <w:vertAlign w:val="subscript"/>
        </w:rPr>
        <w:t>4</w:t>
      </w:r>
      <w:r>
        <w:t>]</w:t>
      </w:r>
      <w:r>
        <w:t xml:space="preserve"> </w:t>
      </w:r>
      <w:r>
        <w:t>2−</w:t>
      </w:r>
      <w:r>
        <w:t>单位。由此产生的混合固体结合了宽光学带隙、相位匹配双折射和不同的倍频响应。值得注意的是，[K</w:t>
      </w:r>
      <w:r>
        <w:rPr>
          <w:vertAlign w:val="subscript"/>
        </w:rPr>
        <w:t>2</w:t>
      </w:r>
      <w:r>
        <w:t>(L-ser)][Zn(SCN)</w:t>
      </w:r>
      <w:r>
        <w:rPr>
          <w:vertAlign w:val="subscript"/>
        </w:rPr>
        <w:t>4</w:t>
      </w:r>
      <w:r>
        <w:t>] 表现出 8.0 × KH 的倍频强度</w:t>
      </w:r>
      <w:r>
        <w:rPr>
          <w:vertAlign w:val="subscript"/>
        </w:rPr>
        <w:t>2</w:t>
      </w:r>
      <w:r>
        <w:t>采购订单</w:t>
      </w:r>
      <w:r>
        <w:rPr>
          <w:vertAlign w:val="subscript"/>
        </w:rPr>
        <w:t>4</w:t>
      </w:r>
      <w:r>
        <w:t>，代表了迄今为止报道的源自天然氨基酸的纯手性锌基材料的最强反应。理论分析表明[Zn(SCN)</w:t>
      </w:r>
      <w:r>
        <w:rPr>
          <w:vertAlign w:val="subscript"/>
        </w:rPr>
        <w:t>4</w:t>
      </w:r>
      <w:r>
        <w:t>]</w:t>
      </w:r>
      <w:r>
        <w:t xml:space="preserve"> </w:t>
      </w:r>
      <w:r>
        <w:t>2−</w:t>
      </w:r>
      <w:r>
        <w:t>大学</w:t>
      </w:r>
    </w:p>
    <w:p>
      <w:pPr>
        <w:spacing w:before="0" w:after="200" w:lineRule="auto" w:line="276"/>
      </w:pPr>
      <w:r>
        <w:rPr>
          <w:b/>
        </w:rPr>
        <w:t xml:space="preserve">Abstract (EN): </w:t>
      </w:r>
      <w:r>
        <w:t>Chiral organic molecules have been widely used to construct hybrid nonlinear optical (NLO) materials with second‐harmonic generation (SHG) activity. However, the limited diversity of chiral building blocks has restricted both structural diversity and SHG performance. Herein, we introduce a chiral supramolecular templating strategy for engineering hybrid zinc thiocyanates with tunable SHG responses. Alkali or alkaline‐earth metal ions and natural amino acids cooperatively assemble into one‐dimensional (1D) chiral coordination polymers that serve as supramolecular templates, while the hard‐soft acid‐base principle suppresses undesired coordination between amino acid ligands and zinc ions. This coordination orthogonality enables different chiral supramolecular templates to direct the spatial organization of the SHG‐active [Zn(SCN)</w:t>
      </w:r>
      <w:r>
        <w:rPr>
          <w:vertAlign w:val="subscript"/>
        </w:rPr>
        <w:t>4</w:t>
      </w:r>
      <w:r>
        <w:t>]</w:t>
      </w:r>
      <w:r>
        <w:t xml:space="preserve"> </w:t>
      </w:r>
      <w:r>
        <w:t>2−</w:t>
      </w:r>
      <w:r>
        <w:t>units. The resulting hybrid solids combine wide optical bandgaps, phase‐matchable birefringence, and diverse SHG responses. Notably, [K</w:t>
      </w:r>
      <w:r>
        <w:rPr>
          <w:vertAlign w:val="subscript"/>
        </w:rPr>
        <w:t>2</w:t>
      </w:r>
      <w:r>
        <w:t>(L‐ser)][Zn(SCN)</w:t>
      </w:r>
      <w:r>
        <w:rPr>
          <w:vertAlign w:val="subscript"/>
        </w:rPr>
        <w:t>4</w:t>
      </w:r>
      <w:r>
        <w:t>] exhibits an SHG intensity of 8.0 × KH</w:t>
      </w:r>
      <w:r>
        <w:rPr>
          <w:vertAlign w:val="subscript"/>
        </w:rPr>
        <w:t>2</w:t>
      </w:r>
      <w:r>
        <w:t>PO</w:t>
      </w:r>
      <w:r>
        <w:rPr>
          <w:vertAlign w:val="subscript"/>
        </w:rPr>
        <w:t>4</w:t>
      </w:r>
      <w:r>
        <w:t>, representing the strongest response reported to date for homochiral zinc‐based materials derived from natural amino acids. Theoretical analyses reveal that the [Zn(SCN)</w:t>
      </w:r>
      <w:r>
        <w:rPr>
          <w:vertAlign w:val="subscript"/>
        </w:rPr>
        <w:t>4</w:t>
      </w:r>
      <w:r>
        <w:t>]</w:t>
      </w:r>
      <w:r>
        <w:t xml:space="preserve"> </w:t>
      </w:r>
      <w:r>
        <w:t>2−</w:t>
      </w:r>
      <w:r>
        <w:t>units dominate the SHG response, establishing chiral supramolecular templating as a general strategy for designing high‐performance hybrid NLO materials.</w:t>
      </w:r>
    </w:p>
    <w:p>
      <w:pPr>
        <w:spacing w:before="120" w:after="120"/>
      </w:pPr>
      <w:r>
        <w:rPr>
          <w:sz w:val="18"/>
        </w:rPr>
        <w:t>——————————————————————————————————————————————————————————————————————</w:t>
      </w:r>
    </w:p>
    <w:p>
      <w:pPr>
        <w:spacing w:before="160" w:after="40" w:line="240" w:lineRule="auto"/>
      </w:pPr>
      <w:r>
        <w:rPr>
          <w:b/>
        </w:rPr>
        <w:t xml:space="preserve">[615] </w:t>
      </w:r>
      <w:hyperlink r:id="rId1763">
        <w:r>
          <w:rPr>
            <w:color w:val="1155CC"/>
            <w:u w:val="single"/>
          </w:rPr>
          <w:t>用于多功能合成羰基功能化硼基多重共振发射体的区域选择性酰化</w:t>
        </w:r>
      </w:hyperlink>
    </w:p>
    <w:p>
      <w:pPr>
        <w:spacing w:before="0" w:after="80"/>
      </w:pPr>
      <w:r>
        <w:rPr>
          <w:i/>
          <w:sz w:val="20"/>
        </w:rPr>
        <w:t>EN: Regioselective Acylation for the Versatile Synthesis of Carbonyl‑Functionalized Boron‐Based Multiple Resonance Emitters</w:t>
      </w:r>
    </w:p>
    <w:p>
      <w:pPr>
        <w:spacing w:before="0" w:after="120"/>
      </w:pPr>
      <w:r>
        <w:rPr>
          <w:b/>
        </w:rPr>
        <w:t xml:space="preserve">Source: </w:t>
      </w:r>
      <w:r>
        <w:t>Wiley: Angewandte Chemie International Edition: Table of Contents</w:t>
      </w:r>
      <w:r>
        <w:t xml:space="preserve">    </w:t>
      </w:r>
      <w:r>
        <w:rPr>
          <w:b/>
        </w:rPr>
        <w:t xml:space="preserve">Pub date: </w:t>
      </w:r>
      <w:r>
        <w:t>2026-08-19 14:13:51+00:00</w:t>
      </w:r>
      <w:r>
        <w:t xml:space="preserve">    </w:t>
      </w:r>
      <w:r>
        <w:rPr>
          <w:b/>
        </w:rPr>
        <w:t xml:space="preserve">DOI: </w:t>
      </w:r>
      <w:hyperlink r:id="rId1764">
        <w:r>
          <w:rPr>
            <w:color w:val="1155CC"/>
            <w:u w:val="single"/>
          </w:rPr>
          <w:t>10.1002/anie.2809640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谐振（MR）发射器由于其窄带发射和有机发光二极管（OLED）的高效率而引起了广泛关注。尽管将羰基引入MR骨架是增强自旋相关激发态过程的有效策略，但将羰基引入MR骨架的合成方法仍然非常有限。在此，我们报告了一种使用易于获得的酰基氯的硼基MR发射体的区域选择性后期酰化策略。该反应无需路易斯酸催化剂即可进行，并表现出广泛的底物范围和优异的区域选择性。比较实验和 DFT 计算表明，DABNA 框架独特的 MR 型电子结构比传统的 N-酰化途径促进了不同寻常的区域选择性 C─C 键形成。所得酰化中间体通过分子内交叉偶联反应进一步转化为稠环羰基功能化的MR发射体。此外，所得酰化中间体可作为开发先进磁流变发射器的通用合成平台。光物理和理论分析表明，羰基的掺入增强了自旋轨道耦合 (SOC) 并激活了 ISC/RISC 过程，从而导致明显的热激活延迟荧光行为。该策略大大扩展了 MR 发射器的可利用化学空间，并为开发先进的 MR-TADF 材料提供了一个多功能平台。</w:t>
      </w:r>
    </w:p>
    <w:p>
      <w:pPr>
        <w:spacing w:before="0" w:after="200" w:lineRule="auto" w:line="276"/>
      </w:pPr>
      <w:r>
        <w:rPr>
          <w:b/>
        </w:rPr>
        <w:t xml:space="preserve">Abstract (EN): </w:t>
      </w:r>
      <w:r>
        <w:t>Multiple resonance (MR) emitters have attracted considerable attention owing to their narrowband emission and high efficiency in organic light‐emitting diodes (OLEDs). Although carbonyl incorporation into MR frameworks is an effective strategy for enhancing spin‐related excited‐state processes, synthetic approaches for introducing carbonyl groups into MR skeletons remain highly limited. Herein, we report a regioselective late‐stage acylation strategy for boron‐based MR emitters using readily accessible acid chlorides. The reaction proceeds without Lewis acid catalysts and exhibits broad substrate scope with excellent regioselectivity. Comparative experiments together with DFT calculations revealed that the unique MR‐type electronic structure of the DABNA framework promotes unusual regioselective C─C bond formation over conventional N‐acylation pathways. The resulting acylated intermediates were further transformed into fused‐ring carbonyl‐functionalized MR emitters through intramolecular cross‐coupling reactions. Furthermore, the resulting acylated intermediates serve as versatile synthetic platforms for the development of advanced MR emitters. Photophysical and theoretical analyses demonstrated that carbonyl incorporation enhances spin–orbit coupling (SOC) and activates ISC/RISC processes, leading to distinct thermally activated delayed fluorescence behavior. This strategy substantially expands the accessible chemical space of MR emitters and provides a versatile platform for developing advanced MR‐TADF materials.</w:t>
      </w:r>
    </w:p>
    <w:p>
      <w:pPr>
        <w:spacing w:before="120" w:after="120"/>
      </w:pPr>
      <w:r>
        <w:rPr>
          <w:sz w:val="18"/>
        </w:rPr>
        <w:t>——————————————————————————————————————————————————————————————————————</w:t>
      </w:r>
    </w:p>
    <w:p>
      <w:pPr>
        <w:spacing w:before="160" w:after="40" w:line="240" w:lineRule="auto"/>
      </w:pPr>
      <w:r>
        <w:rPr>
          <w:b/>
        </w:rPr>
        <w:t xml:space="preserve">[616] </w:t>
      </w:r>
      <w:hyperlink r:id="rId1765">
        <w:r>
          <w:rPr>
            <w:color w:val="1155CC"/>
            <w:u w:val="single"/>
          </w:rPr>
          <w:t>原子有序的 Pd-Zn 对位点实现电化学辅助的炔醇双半氢化</w:t>
        </w:r>
      </w:hyperlink>
    </w:p>
    <w:p>
      <w:pPr>
        <w:spacing w:before="0" w:after="80"/>
      </w:pPr>
      <w:r>
        <w:rPr>
          <w:i/>
          <w:sz w:val="20"/>
        </w:rPr>
        <w:t>EN: Atomically Ordered Pd‐Zn Pair Sites Enable Electrochemistry‐Assisted Dual Semi‐Hydrogenation of Alkynols</w:t>
      </w:r>
    </w:p>
    <w:p>
      <w:pPr>
        <w:spacing w:before="0" w:after="120"/>
      </w:pPr>
      <w:r>
        <w:rPr>
          <w:b/>
        </w:rPr>
        <w:t xml:space="preserve">Source: </w:t>
      </w:r>
      <w:r>
        <w:t>Wiley: Angewandte Chemie International Edition: Table of Contents</w:t>
      </w:r>
      <w:r>
        <w:t xml:space="preserve">    </w:t>
      </w:r>
      <w:r>
        <w:rPr>
          <w:b/>
        </w:rPr>
        <w:t xml:space="preserve">Pub date: </w:t>
      </w:r>
      <w:r>
        <w:t>2026-08-19 14:14:00+00:00</w:t>
      </w:r>
      <w:r>
        <w:t xml:space="preserve">    </w:t>
      </w:r>
      <w:r>
        <w:rPr>
          <w:b/>
        </w:rPr>
        <w:t xml:space="preserve">DOI: </w:t>
      </w:r>
      <w:hyperlink r:id="rId1766">
        <w:r>
          <w:rPr>
            <w:color w:val="1155CC"/>
            <w:u w:val="single"/>
          </w:rPr>
          <w:t>10.1002/anie.9591876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能源驱动的电化学半氢化（ECH）是常温条件下有机合成的一种有前景的路线，但传统工艺存在能耗高、选择性差和法拉第效率（FE）有限的问题。在这项研究中，我们报告了通过电化学相变方法合成的具有原子有序 Pd-Zn 对位点（np-PdZn）的纳米多孔 PdZn，作为炔醇电催化半氢化为烯醇的有效催化剂。原位光谱研究和理论计算表明，np-PdZn的优异性能源于其原子有序的Pd-Zn对位点，其中Pd位点促进炔醇吸附/活化，而Zn位点促进水吸附/解离。有序 Pd-Zn 对位点固有的强大电子相互作用调节 d 带中心，通过烯醇的有效解吸促进活性位点的动态再生，从而抑制不需要的 HER 和过度氢化。我们进一步设计了一种电化学辅助双半加氢系统，以np-PdZn为电催化剂，结合了炔醇的化学和阴极半加氢，实现了炔醇的并发电化学双半加氢，具有接近零的起始电压、接近200%的FE和0.19 kWh kg的超低能耗。</w:t>
      </w:r>
      <w:r>
        <w:t xml:space="preserve"> </w:t>
      </w:r>
      <w:r>
        <w:t>−1</w:t>
      </w:r>
      <w:r>
        <w:t xml:space="preserve"> </w:t>
      </w:r>
      <w:r>
        <w:t>。这项工作建立了设计原子有序配对位点的新范例</w:t>
      </w:r>
    </w:p>
    <w:p>
      <w:pPr>
        <w:spacing w:before="0" w:after="200" w:lineRule="auto" w:line="276"/>
      </w:pPr>
      <w:r>
        <w:rPr>
          <w:b/>
        </w:rPr>
        <w:t xml:space="preserve">Abstract (EN): </w:t>
      </w:r>
      <w:r>
        <w:t>Electrochemical semi‐hydrogenation (ECH) driven by renewable energy sources is a promising route for organic synthesis under ambient conditions, but conventional processes suffer from high energy consumption, poor selectivity, and limited Faradaic efficiency (FE). In this study, we report nanoporous PdZn with atomically ordered Pd‐Zn pair sites (np‐PdZn), synthesized via an electrochemical phase transformation approach, as an efficient catalyst for the electrocatalytic semi‐hydrogenation of alkynols to alkenols. In situ spectroscopic studies and theoretical calculations reveal that the exceptional performance of np‐PdZn originates from its atomically ordered Pd‐Zn pair sites, wherein the Pd sites facilitate alkynol adsorption/activation while the Zn sites promote water adsorption/dissociation. The robust electronic interactions inherent to ordered Pd‐Zn pair sites modulate the d‐band center, promoting the dynamic regeneration of active sites through efficient desorption of alkenols, thereby suppressing undesired HER and over‐hydrogenation. We further design an electrochemistry‐assisted dual semi‐hydrogenation system that combines the chemical and cathodic semi‐hydrogenation of alkynols using np‐PdZn as the electrocatalyst, which achieves concurrent electrochemical dual semi‐hydrogenation of alkynols with a near‐zero onset voltage, an FE approaching 200%, and an ultralow energy consumption of 0.19 kWh kg</w:t>
      </w:r>
      <w:r>
        <w:t xml:space="preserve"> </w:t>
      </w:r>
      <w:r>
        <w:t>−1</w:t>
      </w:r>
      <w:r>
        <w:t xml:space="preserve"> </w:t>
      </w:r>
      <w:r>
        <w:t>. This work establishes a new paradigm for designing atomically ordered pair‐site catalysts and electrochemistry‐assisted dual semi‐hydrogenation systems for energy‐efficient hydrogenation.</w:t>
      </w:r>
    </w:p>
    <w:p>
      <w:pPr>
        <w:spacing w:before="120" w:after="120"/>
      </w:pPr>
      <w:r>
        <w:rPr>
          <w:sz w:val="18"/>
        </w:rPr>
        <w:t>——————————————————————————————————————————————————————————————————————</w:t>
      </w:r>
    </w:p>
    <w:p>
      <w:pPr>
        <w:spacing w:before="160" w:after="40" w:line="240" w:lineRule="auto"/>
      </w:pPr>
      <w:r>
        <w:rPr>
          <w:b/>
        </w:rPr>
        <w:t xml:space="preserve">[617] </w:t>
      </w:r>
      <w:hyperlink r:id="rId1767">
        <w:r>
          <w:rPr>
            <w:color w:val="1155CC"/>
            <w:u w:val="single"/>
          </w:rPr>
          <w:t>用于有机短波长红外成像仪的窄带隙熔环受体</w:t>
        </w:r>
      </w:hyperlink>
    </w:p>
    <w:p>
      <w:pPr>
        <w:spacing w:before="0" w:after="80"/>
      </w:pPr>
      <w:r>
        <w:rPr>
          <w:i/>
          <w:sz w:val="20"/>
        </w:rPr>
        <w:t>EN: A Narrow‐Bandgap Fused‐Ring Acceptor for Organic Short‐Wavelength Infrared Imager</w:t>
      </w:r>
    </w:p>
    <w:p>
      <w:pPr>
        <w:spacing w:before="0" w:after="120"/>
      </w:pPr>
      <w:r>
        <w:rPr>
          <w:b/>
        </w:rPr>
        <w:t xml:space="preserve">Source: </w:t>
      </w:r>
      <w:r>
        <w:t>Wiley: Angewandte Chemie International Edition: Table of Contents</w:t>
      </w:r>
      <w:r>
        <w:t xml:space="preserve">    </w:t>
      </w:r>
      <w:r>
        <w:rPr>
          <w:b/>
        </w:rPr>
        <w:t xml:space="preserve">Pub date: </w:t>
      </w:r>
      <w:r>
        <w:t>2026-08-19 14:18:49+00:00</w:t>
      </w:r>
      <w:r>
        <w:t xml:space="preserve">    </w:t>
      </w:r>
      <w:r>
        <w:rPr>
          <w:b/>
        </w:rPr>
        <w:t xml:space="preserve">DOI: </w:t>
      </w:r>
      <w:hyperlink r:id="rId1768">
        <w:r>
          <w:rPr>
            <w:color w:val="1155CC"/>
            <w:u w:val="single"/>
          </w:rPr>
          <w:t>10.1002/anie.8903659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有机短波红外 (SWIR) 成像对于消费电子产品和广泛的其他应用来说是一项很有前景的技术。有机短波红外成像的瓶颈是缺乏超小带隙的电子受体。在这里，我们通过用四氟苯部分环化典型受体-供体-受体（A-D-A）电子受体的外环亚乙烯基连接体来开发超小带隙电子受体。这种四氟苯环化使吸收光谱红移 224 nm，并将纯膜的陷阱态密度降低了近一个数量级。由此产生的有机光电探测器表现出 0.36 A W 的峰值响应度</w:t>
      </w:r>
      <w:r>
        <w:t xml:space="preserve"> </w:t>
      </w:r>
      <w:r>
        <w:t>−1</w:t>
      </w:r>
      <w:r>
        <w:t xml:space="preserve"> </w:t>
      </w:r>
      <w:r>
        <w:t>，噪声电流为 1.41 × 10</w:t>
      </w:r>
      <w:r>
        <w:t xml:space="preserve"> </w:t>
      </w:r>
      <w:r>
        <w:t>−11</w:t>
      </w:r>
      <w:r>
        <w:t xml:space="preserve"> </w:t>
      </w:r>
      <w:r>
        <w:t>赫兹</w:t>
      </w:r>
      <w:r>
        <w:t xml:space="preserve"> </w:t>
      </w:r>
      <w:r>
        <w:t>−1/2</w:t>
      </w:r>
      <w:r>
        <w:t xml:space="preserve"> </w:t>
      </w:r>
      <w:r>
        <w:t>在 1 kHz 时，比探测率超过 10</w:t>
      </w:r>
      <w:r>
        <w:rPr>
          <w:vertAlign w:val="subscript"/>
        </w:rPr>
        <w:t>9</w:t>
      </w:r>
      <w:r>
        <w:t>Jones 在 -1 V 偏压下在 1140 nm 处工作，线性动态范围为 82 dB。这种有机光电探测器与薄膜晶体管阵列的单片集成产生了能够进行高对比度短波红外成像的 256 × 256 像素成像器。这项工作将四氟苯环化建立为超小带隙有机半导体的强大分子范例，为消费电子产品中低成本、无重金属的短波红外成像仪铺平了道路。</w:t>
      </w:r>
    </w:p>
    <w:p>
      <w:pPr>
        <w:spacing w:before="0" w:after="200" w:lineRule="auto" w:line="276"/>
      </w:pPr>
      <w:r>
        <w:rPr>
          <w:b/>
        </w:rPr>
        <w:t xml:space="preserve">Abstract (EN): </w:t>
      </w:r>
      <w:r>
        <w:t>Organic short‐wavelength infrared (SWIR) imaging is a promising technology for consumer electronics and a broad range of other applications. The bottleneck of organic SWIR imaging is the lack of electron acceptors with ultrasmall bandgaps. Herein, we develop ultrasmall‐bandgap electron acceptors by cyclizing the exocyclic vinylene linkers of a typical acceptor–donor–acceptor (A–D–A) electron acceptor with tetrafluorobenzene moieties. This tetrafluorobenzene cyclization redshifts the absorption spectrum by 224 nm and reduces the trap density of states of the neat film by nearly one order of magnitude. The resulting organic photodetector exhibits a peak responsivity of 0.36 A W</w:t>
      </w:r>
      <w:r>
        <w:t xml:space="preserve"> </w:t>
      </w:r>
      <w:r>
        <w:t>−1</w:t>
      </w:r>
      <w:r>
        <w:t xml:space="preserve"> </w:t>
      </w:r>
      <w:r>
        <w:t>, a noise current of 1.41 × 10</w:t>
      </w:r>
      <w:r>
        <w:t xml:space="preserve"> </w:t>
      </w:r>
      <w:r>
        <w:t>−11</w:t>
      </w:r>
      <w:r>
        <w:t xml:space="preserve"> </w:t>
      </w:r>
      <w:r>
        <w:t>A Hz</w:t>
      </w:r>
      <w:r>
        <w:t xml:space="preserve"> </w:t>
      </w:r>
      <w:r>
        <w:t>−1/2</w:t>
      </w:r>
      <w:r>
        <w:t xml:space="preserve"> </w:t>
      </w:r>
      <w:r>
        <w:t>at 1 kHz, a specific detectivity exceeding 10</w:t>
      </w:r>
      <w:r>
        <w:rPr>
          <w:vertAlign w:val="subscript"/>
        </w:rPr>
        <w:t>9</w:t>
      </w:r>
      <w:r>
        <w:t>Jones at 1140 nm under −1 V bias, and a linear dynamic range of 82 dB. Monolithic integration of this organic photodetector with thin‐film transistor arrays yields a 256 × 256 pixel imager capable of high‐contrast SWIR imaging. This work establishes tetrafluorobenzene cyclization as a powerful molecular paradigm for ultrasmall bandgap organic semiconductors, paving the way for low‐cost, heavy‐metal‐free SWIR imagers in consumer electronics.</w:t>
      </w:r>
    </w:p>
    <w:p>
      <w:pPr>
        <w:spacing w:before="120" w:after="120"/>
      </w:pPr>
      <w:r>
        <w:rPr>
          <w:sz w:val="18"/>
        </w:rPr>
        <w:t>——————————————————————————————————————————————————————————————————————</w:t>
      </w:r>
    </w:p>
    <w:p>
      <w:pPr>
        <w:spacing w:before="160" w:after="40" w:line="240" w:lineRule="auto"/>
      </w:pPr>
      <w:r>
        <w:rPr>
          <w:b/>
        </w:rPr>
        <w:t xml:space="preserve">[618] </w:t>
      </w:r>
      <w:hyperlink r:id="rId1769">
        <w:r>
          <w:rPr>
            <w:color w:val="1155CC"/>
            <w:u w:val="single"/>
          </w:rPr>
          <w:t>使用二维反卷积框架解决 4D 脂质组学中的光谱复杂性</w:t>
        </w:r>
      </w:hyperlink>
    </w:p>
    <w:p>
      <w:pPr>
        <w:spacing w:before="0" w:after="80"/>
      </w:pPr>
      <w:r>
        <w:rPr>
          <w:i/>
          <w:sz w:val="20"/>
        </w:rPr>
        <w:t>EN: Resolving Spectral Complexity in 4D Lipidomics Using a Two‐Dimensional Deconvolution Framework</w:t>
      </w:r>
    </w:p>
    <w:p>
      <w:pPr>
        <w:spacing w:before="0" w:after="120"/>
      </w:pPr>
      <w:r>
        <w:rPr>
          <w:b/>
        </w:rPr>
        <w:t xml:space="preserve">Source: </w:t>
      </w:r>
      <w:r>
        <w:t>Wiley: Angewandte Chemie International Edition: Table of Contents</w:t>
      </w:r>
      <w:r>
        <w:t xml:space="preserve">    </w:t>
      </w:r>
      <w:r>
        <w:rPr>
          <w:b/>
        </w:rPr>
        <w:t xml:space="preserve">Pub date: </w:t>
      </w:r>
      <w:r>
        <w:t>2026-08-19 14:19:59+00:00</w:t>
      </w:r>
      <w:r>
        <w:t xml:space="preserve">    </w:t>
      </w:r>
      <w:r>
        <w:rPr>
          <w:b/>
        </w:rPr>
        <w:t xml:space="preserve">DOI: </w:t>
      </w:r>
      <w:hyperlink r:id="rId1770">
        <w:r>
          <w:rPr>
            <w:color w:val="1155CC"/>
            <w:u w:val="single"/>
          </w:rPr>
          <w:t>10.1002/anie.6117030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数据独立采集（DIA）在4D脂质组学中的应用受到碎片离子重叠导致的光谱干扰的限制，这是现有一维反卷积方法无法完全解决的瓶颈。在这里，我们通过引入二维液相色谱离子淌度 (LC-IM) 解卷积框架克服了这一限制，该框架释放了 4D 脂质组学的全部潜力。通过对正交 LC-IM 分离维度进行数学建模，我们的方法从高度复杂的 DIA 数据重建高质量的 MS/MS 谱图，有效消除共洗脱脂质干扰。我们通过以 1% 的错误发现率注释 1 µL 人血浆中的 491 种脂质，展示了这种方法的威力，与传统方法相比，覆盖率提高了一倍。除了批量分析之外，我们还展示了其独特的空间脂质组学功能，能够对相当于数百个细胞的激光显微切割组织区域进行深入分析，揭示人类肝细胞癌中的代谢重编程。我们进一步将此工作流程与六重同量异位标记相结合，以实现空间组织绘图中的高通量、高精度定量。这种从一维反卷积到二维反卷积的转变为深度脂质组表征建立了一个强大、灵敏的平台，弥合了蛋白质组学级通量和脂质组结构复杂性之间的差距。</w:t>
      </w:r>
    </w:p>
    <w:p>
      <w:pPr>
        <w:spacing w:before="0" w:after="200" w:lineRule="auto" w:line="276"/>
      </w:pPr>
      <w:r>
        <w:rPr>
          <w:b/>
        </w:rPr>
        <w:t xml:space="preserve">Abstract (EN): </w:t>
      </w:r>
      <w:r>
        <w:t>The application of data‐independent acquisition (DIA) in 4D lipidomics has been constrained by spectral interference due to fragment ion overlap, a bottleneck that existing one‐dimensional deconvolution methods fail to fully resolve. Here, we overcome this limitation by introducing a two‐dimensional liquid chromatography‐ion mobility (LC‐IM) deconvolution framework that unlocks the full potential of 4D lipidomics. By mathematically modeling the orthogonal LC‐IM separation dimensions, our method reconstructs high‐quality MS/MS spectra from highly complex DIA data, effectively disentangling co‐eluting lipid interferences. We demonstrate the power of this approach by annotating 491 lipids from 1 µL human plasma at a 1% false discovery rate, a two‐fold increase in coverage compared to traditional methods. Beyond bulk analysis, we showcase its unique capability for spatial lipidomics, enabling deep profiling of laser‐microdissected tissue regions equivalent to only hundreds of cells, revealing metabolic reprogramming in human hepatocellular carcinoma. We further integrate this workflow with six‐plex isobaric labeling to achieve high‐throughput, high‐accuracy quantification in spatial tissue mapping. This transition from one‐ to two‐dimensional deconvolution establishes a robust, sensitive platform for deep lipidome characterization, bridging the gap between proteomics‐grade throughput and lipidomic structural complexity.</w:t>
      </w:r>
    </w:p>
    <w:p>
      <w:pPr>
        <w:spacing w:before="120" w:after="120"/>
      </w:pPr>
      <w:r>
        <w:rPr>
          <w:sz w:val="18"/>
        </w:rPr>
        <w:t>——————————————————————————————————————————————————————————————————————</w:t>
      </w:r>
    </w:p>
    <w:p>
      <w:pPr>
        <w:spacing w:before="160" w:after="40" w:line="240" w:lineRule="auto"/>
      </w:pPr>
      <w:r>
        <w:rPr>
          <w:b/>
        </w:rPr>
        <w:t xml:space="preserve">[619] </w:t>
      </w:r>
      <w:hyperlink r:id="rId1771">
        <w:r>
          <w:rPr>
            <w:color w:val="1155CC"/>
            <w:u w:val="single"/>
          </w:rPr>
          <w:t>生物素和氯烷修饰的核苷酸通过链霉亲和素和 Halotag 结合在 DNA 上双重展示蛋白质</w:t>
        </w:r>
      </w:hyperlink>
    </w:p>
    <w:p>
      <w:pPr>
        <w:spacing w:before="0" w:after="80"/>
      </w:pPr>
      <w:r>
        <w:rPr>
          <w:i/>
          <w:sz w:val="20"/>
        </w:rPr>
        <w:t>EN: Biotin‐ and Chloroalkane‐Modified Nucleotides for Dual Display of Proteins on DNA Through Streptavidin and Halotag Binding</w:t>
      </w:r>
    </w:p>
    <w:p>
      <w:pPr>
        <w:spacing w:before="0" w:after="120"/>
      </w:pPr>
      <w:r>
        <w:rPr>
          <w:b/>
        </w:rPr>
        <w:t xml:space="preserve">Source: </w:t>
      </w:r>
      <w:r>
        <w:t>Wiley: Angewandte Chemie International Edition: Table of Contents</w:t>
      </w:r>
      <w:r>
        <w:t xml:space="preserve">    </w:t>
      </w:r>
      <w:r>
        <w:rPr>
          <w:b/>
        </w:rPr>
        <w:t xml:space="preserve">Pub date: </w:t>
      </w:r>
      <w:r>
        <w:t>2026-08-19 14:29:09+00:00</w:t>
      </w:r>
      <w:r>
        <w:t xml:space="preserve">    </w:t>
      </w:r>
      <w:r>
        <w:rPr>
          <w:b/>
        </w:rPr>
        <w:t xml:space="preserve">DOI: </w:t>
      </w:r>
      <w:hyperlink r:id="rId1772">
        <w:r>
          <w:rPr>
            <w:color w:val="1155CC"/>
            <w:u w:val="single"/>
          </w:rPr>
          <w:t>10.1002/anie.6259985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我们设计并合成了 2'-脱氧核糖核苷三磷酸 (dNTP)，其带有氯己基和生物素修饰，连接到 7-脱氮腺嘌呤的 7 位或胞嘧啶的 5 位。修饰的 dNTP 在带有一种修饰或两种修饰组合的 DNA 酶促构建中充当 KOD XL DNA 聚合酶的底物。氯己基连接的 DNA 与 halotag 蛋白发生共价反应，而生物素连接的 DNA 与单体链霉亲和素形成稳定的非共价复合物。双重修饰的 DNA 具有彼此间隔不同距离的两种修饰，用于序列特异性、空间限定的卤标签和链霉亲和素蛋白的展示。该研究为在 DNA 标尺上展示蛋白质提供了基础。</w:t>
      </w:r>
    </w:p>
    <w:p>
      <w:pPr>
        <w:spacing w:before="0" w:after="200" w:lineRule="auto" w:line="276"/>
      </w:pPr>
      <w:r>
        <w:rPr>
          <w:b/>
        </w:rPr>
        <w:t xml:space="preserve">Abstract (EN): </w:t>
      </w:r>
      <w:r>
        <w:t>We designed and synthesized 2’‐deoxyribonucleoside triphosphates (dNTPs) bearing chlorohexyl and biotin modifications attached to position 7 of 7‐deazaadenine or to position 5 of cytosine. The modified dNTPs served as substrates for KOD XL DNA polymerase in the enzymatic construction of DNA bearing either one or a combination of the two modifications. The chlorohexyl‐linked DNA underwent covalent reactions with halotag protein, while the biotin‐linked DNA formed stable non‐covalent complexes with monomeric streptavidin. The dually modified DNA bearing both modifications at different distances apart from each other were used for sequence‐specific, spatially defined display of both halotag and streptavidin proteins. The study provides the foundation for display of proteins on DNA rulers.</w:t>
      </w:r>
    </w:p>
    <w:p>
      <w:pPr>
        <w:spacing w:before="120" w:after="120"/>
      </w:pPr>
      <w:r>
        <w:rPr>
          <w:sz w:val="18"/>
        </w:rPr>
        <w:t>——————————————————————————————————————————————————————————————————————</w:t>
      </w:r>
    </w:p>
    <w:p>
      <w:pPr>
        <w:spacing w:before="160" w:after="40" w:line="240" w:lineRule="auto"/>
      </w:pPr>
      <w:r>
        <w:rPr>
          <w:b/>
        </w:rPr>
        <w:t xml:space="preserve">[620] </w:t>
      </w:r>
      <w:hyperlink r:id="rId1773">
        <w:r>
          <w:rPr>
            <w:color w:val="1155CC"/>
            <w:u w:val="single"/>
          </w:rPr>
          <w:t>大规模光学活性纳米材料：合成、结构调制和功能集成</w:t>
        </w:r>
      </w:hyperlink>
    </w:p>
    <w:p>
      <w:pPr>
        <w:spacing w:before="0" w:after="80"/>
      </w:pPr>
      <w:r>
        <w:rPr>
          <w:i/>
          <w:sz w:val="20"/>
        </w:rPr>
        <w:t>EN: Large-scale optically active nanomaterials: Synthesis, structural modulation, and functional integration</w:t>
      </w:r>
    </w:p>
    <w:p>
      <w:pPr>
        <w:spacing w:before="0" w:after="120"/>
      </w:pPr>
      <w:r>
        <w:rPr>
          <w:b/>
        </w:rPr>
        <w:t xml:space="preserve">Source: </w:t>
      </w:r>
      <w:r>
        <w:t>Matter</w:t>
      </w:r>
      <w:r>
        <w:t xml:space="preserve">    </w:t>
      </w:r>
      <w:r>
        <w:rPr>
          <w:b/>
        </w:rPr>
        <w:t xml:space="preserve">Pub date: </w:t>
      </w:r>
      <w:r>
        <w:t>2026-08-20 00:00:00+00:00</w:t>
      </w:r>
      <w:r>
        <w:t xml:space="preserve">    </w:t>
      </w:r>
      <w:r>
        <w:rPr>
          <w:b/>
        </w:rPr>
        <w:t xml:space="preserve">DOI: </w:t>
      </w:r>
      <w:hyperlink r:id="rId1774">
        <w:r>
          <w:rPr>
            <w:color w:val="1155CC"/>
            <w:u w:val="single"/>
          </w:rPr>
          <w:t>10.1016/j.matt.2026.102972</w:t>
        </w:r>
      </w:hyperlink>
    </w:p>
    <w:p>
      <w:pPr>
        <w:spacing w:before="0" w:after="120"/>
      </w:pPr>
      <w:r>
        <w:rPr>
          <w:b/>
        </w:rPr>
        <w:t xml:space="preserve">Notes: </w:t>
      </w:r>
      <w:r>
        <w:t>abstract_source=rss_cell</w:t>
      </w:r>
    </w:p>
    <w:p>
      <w:pPr>
        <w:spacing w:before="0" w:after="80" w:lineRule="auto" w:line="276"/>
      </w:pPr>
      <w:r>
        <w:rPr>
          <w:b/>
        </w:rPr>
        <w:t xml:space="preserve">摘要（ZH）: </w:t>
      </w:r>
      <w:r>
        <w:t>大规模光学活性纳米材料因其增强的手性光学响应和广泛的应用潜力而引起了广泛的关注。该综述系统地总结了其制造策略、结构调控和功能应用的最新进展，并强调了结构参数与光学活性之间的关系。它还概述了光学活性纳米材料进一步发展的当前挑战和潜在方向。</w:t>
      </w:r>
    </w:p>
    <w:p>
      <w:pPr>
        <w:spacing w:before="0" w:after="200" w:lineRule="auto" w:line="276"/>
      </w:pPr>
      <w:r>
        <w:rPr>
          <w:b/>
        </w:rPr>
        <w:t xml:space="preserve">Abstract (EN): </w:t>
      </w:r>
      <w:r>
        <w:t>Large-scale optically active nanomaterials have attracted considerable attention because of their enhanced chiroptical responses and broad application potential. This review systematically summarizes recent advances in their fabrication strategies, structural regulation, and functional applications, and highlights the relationships between structural parameters and optical activity. It also outlines current challenges and potential directions for the further development of optically active nanomaterials.</w:t>
      </w:r>
    </w:p>
    <w:p>
      <w:pPr>
        <w:spacing w:before="120" w:after="120"/>
      </w:pPr>
      <w:r>
        <w:rPr>
          <w:sz w:val="18"/>
        </w:rPr>
        <w:t>——————————————————————————————————————————————————————————————————————</w:t>
      </w:r>
    </w:p>
    <w:p>
      <w:pPr>
        <w:spacing w:before="160" w:after="40" w:line="240" w:lineRule="auto"/>
      </w:pPr>
      <w:r>
        <w:rPr>
          <w:b/>
        </w:rPr>
        <w:t xml:space="preserve">[621] </w:t>
      </w:r>
      <w:hyperlink r:id="rId1775">
        <w:r>
          <w:rPr>
            <w:color w:val="1155CC"/>
            <w:u w:val="single"/>
          </w:rPr>
          <w:t>一种酶促原位自组装放射增敏剂，用于通过低功率 X 射线诱导细胞焦亡进行缺氧肿瘤放射免疫治疗</w:t>
        </w:r>
      </w:hyperlink>
    </w:p>
    <w:p>
      <w:pPr>
        <w:spacing w:before="0" w:after="80"/>
      </w:pPr>
      <w:r>
        <w:rPr>
          <w:i/>
          <w:sz w:val="20"/>
        </w:rPr>
        <w:t>EN: An Enzymatic in situ Self-Assembly Radiosensitizer for Hypoxic Tumor Radio-Immunotherapy via Low-Power X-ray-Induced Pyroptosis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776">
        <w:r>
          <w:rPr>
            <w:color w:val="1155CC"/>
            <w:u w:val="single"/>
          </w:rPr>
          <w:t>10.1021/jacs.6c13005</w:t>
        </w:r>
      </w:hyperlink>
    </w:p>
    <w:p>
      <w:pPr>
        <w:spacing w:before="0" w:after="120"/>
      </w:pPr>
      <w:r>
        <w:rPr>
          <w:b/>
        </w:rPr>
        <w:t xml:space="preserve">Notes: </w:t>
      </w:r>
      <w:r>
        <w:t>abstract_source=crossref</w:t>
      </w:r>
    </w:p>
    <w:p>
      <w:pPr>
        <w:spacing w:before="0" w:after="80" w:lineRule="auto" w:line="276"/>
      </w:pPr>
      <w:r>
        <w:rPr>
          <w:b/>
        </w:rPr>
        <w:t xml:space="preserve">摘要（ZH）: </w:t>
      </w:r>
      <w:r>
        <w:t>摘要 X 射线诱导的细胞焦亡是增强抗肿瘤免疫的一种有前景的策略。然而，现有的临床放射增敏剂因肿瘤靶向性不足和触发细胞焦亡效率低而受到阻碍，限制了放射免疫疗法的全部潜力。在此，我们引入 P-Ni-RGD，一种酶促原位自组装放射增敏剂，作为焦亡诱导剂来改善癌症放射免疫治疗。 P-Ni-RGD 包含碱性磷酸酶 (ALP) 响应性自组装支架、环状 RGD 配体和硝基咪唑 (Ni) 拟氧放射增敏剂。全身给药后，P-Ni-RGD 在肿瘤微环境中自组装成纳米颗粒，特别是响应 ALP 激活，增强肿瘤积累并实现放射增敏剂和靶向配体的肿瘤靶向递送。原位自组装导致近红外荧光和光声双峰成像信号的调制。在这些成像方式的指导下，原位乳腺 4T1 肿瘤的低剂量 X 射线照射 (2 Gy) 会诱导活性氧，并促进硝基还原酶介导的 Ni 还原为肿瘤细胞内的活性中间体。该级联触发 DNA 修复蛋白的标记，上调参与氧化应激和 DNA 损伤反应的关键分子，破坏氧化还原稳态，放大氧化 DNA 损伤，并损害 DNA 修复。累积的 DNA 损伤会激活 AIM2 炎症小体，最终导致 Gasdermin D (GSDMD) 依赖性细胞焦亡。这个机制不仅扰乱了</w:t>
      </w:r>
    </w:p>
    <w:p>
      <w:pPr>
        <w:spacing w:before="0" w:after="200" w:lineRule="auto" w:line="276"/>
      </w:pPr>
      <w:r>
        <w:rPr>
          <w:b/>
        </w:rPr>
        <w:t xml:space="preserve">Abstract (EN): </w:t>
      </w:r>
      <w:r>
        <w:t>X-ray-induced cell pyroptosis represents a promising strategy for enhancing antitumor immunity. However, existing clinical radiosensitizers are hindered by inadequate tumor targeting and inefficiency in triggering pyroptosis, limiting the full potential of radioimmunotherapy. Herein, we introduce P–Ni-RGD, an enzymatically triggered in situ self-assembly radiosensitizer, as a pyroptosis inducer to improve cancer radioimmunotherapy. P–Ni-RGD incorporates an alkaline phosphatase (ALP)-responsive self-assembly scaffold, a cyclic RGD ligand, and a nitroimidazole (Ni) oxygen-mimetic radiosensitizer. Following systemic administration, P–Ni-RGD self-assembles into nanoparticles within the tumor microenvironment, specifically in response to ALP activation, enhancing tumor accumulation and enabling tumor-targeted delivery of the radiosensitizer and targeting ligand. In situ self-assembly results in the modulation of near-infrared fluorescence and photoacoustic bimodal imaging signals. Guided by these imaging modalities, low-dose X-ray irradiation (2 Gy) of orthotopic breast 4T1 tumors induces reactive oxygen species and promotes nitroreductase-mediated reduction of Ni to reactive intermediates within tumor cells. This cascade triggers the labeling of DNA repair proteins, upregulates key molecules involved in oxidative stress and DNA damage response, disrupts redox homeostasis, amplifies oxidative DNA damage, and impairs DNA repair. Accumulating DNA damage activates the AIM2 inflammasome, culminating in gasdermin D (GSDMD) dependent pyroptosis. This mechanism not only disrupts tumor cell viability but also provokes a potent antitumor immune response, significantly inhibiting primary and distant 4T1 tumors and prolonging survival. Our findings highlight the promise of combining enzymatic in situ self-assembly with low-dose X-rays to induce tumor-specific pyroptosis, offering an approach to enhance radiotherapeutic outcomes in hypoxic tumors.</w:t>
      </w:r>
    </w:p>
    <w:p>
      <w:pPr>
        <w:spacing w:before="120" w:after="120"/>
      </w:pPr>
      <w:r>
        <w:rPr>
          <w:sz w:val="18"/>
        </w:rPr>
        <w:t>——————————————————————————————————————————————————————————————————————</w:t>
      </w:r>
    </w:p>
    <w:p>
      <w:pPr>
        <w:spacing w:before="160" w:after="40" w:line="240" w:lineRule="auto"/>
      </w:pPr>
      <w:r>
        <w:rPr>
          <w:b/>
        </w:rPr>
        <w:t xml:space="preserve">[622] </w:t>
      </w:r>
      <w:hyperlink r:id="rId1777">
        <w:r>
          <w:rPr>
            <w:color w:val="1155CC"/>
            <w:u w:val="single"/>
          </w:rPr>
          <w:t>生物分子缩合物决定蛋白质α螺旋的折叠景观</w:t>
        </w:r>
      </w:hyperlink>
    </w:p>
    <w:p>
      <w:pPr>
        <w:spacing w:before="0" w:after="80"/>
      </w:pPr>
      <w:r>
        <w:rPr>
          <w:i/>
          <w:sz w:val="20"/>
        </w:rPr>
        <w:t>EN: Biomolecular Condensates Dictate the Folding Landscape of Protein Alpha-Helices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778">
        <w:r>
          <w:rPr>
            <w:color w:val="1155CC"/>
            <w:u w:val="single"/>
          </w:rPr>
          <w:t>10.1021/jacs.6c01403</w:t>
        </w:r>
      </w:hyperlink>
    </w:p>
    <w:p>
      <w:pPr>
        <w:spacing w:before="0" w:after="120"/>
      </w:pPr>
      <w:r>
        <w:rPr>
          <w:b/>
        </w:rPr>
        <w:t xml:space="preserve">Notes: </w:t>
      </w:r>
      <w:r>
        <w:t>abstract_source=crossref</w:t>
      </w:r>
    </w:p>
    <w:p>
      <w:pPr>
        <w:spacing w:before="0" w:after="80" w:lineRule="auto" w:line="276"/>
      </w:pPr>
      <w:r>
        <w:rPr>
          <w:b/>
        </w:rPr>
        <w:t xml:space="preserve">摘要（ZH）: </w:t>
      </w:r>
      <w:r>
        <w:t>摘要 蛋白质结构对周围的化学环境非常敏感，许多蛋白质在细胞内会遇到复杂的环境。重要的是，许多蛋白质组织成生物分子缩合物——具有不同物理化学性质的致密大分子组装体。这就提出了一个基本问题：凝聚物如何重塑蛋白质结构和动力学？在这里，我们使用蛋白质 α 螺旋作为模型折叠域，研究蛋白质折叠景观如何在凝聚物内改变。原子模拟表明，冷凝物中的螺旋-螺旋转变与其在稀溶液或存在惰性聚集器的情况下的行为明显不同。然后，我们使用贝叶斯优化开发化学特异性的残基分辨率模型，用于量化 α 螺旋折叠，并将其应用于表征不同的螺旋，包括来自疾病相关蛋白 TDP-43、膜联蛋白 A11 和雄激素受体的 α 螺旋结构域，以及不同理化性质的凝聚物。我们的结果支持一个框架，其中多价相互作用驱动展开，而拥挤促进折叠，并且凝聚物内的α-螺旋构象整体从这种平衡中出现。此外，我们还发现，螺旋折叠转变在凝聚物内部在动力学上受到挫败，因为它们与共凝聚物蛋白质接触重排的时间尺度有关。因此，凝聚体中的 α 螺旋折叠景观具有双重序列依赖性，由 α 螺旋结构域和共凝聚体蛋白质的序列告知。</w:t>
      </w:r>
    </w:p>
    <w:p>
      <w:pPr>
        <w:spacing w:before="0" w:after="200" w:lineRule="auto" w:line="276"/>
      </w:pPr>
      <w:r>
        <w:rPr>
          <w:b/>
        </w:rPr>
        <w:t xml:space="preserve">Abstract (EN): </w:t>
      </w:r>
      <w:r>
        <w:t>Protein structure is exquisitely sensitive to the surrounding chemical environment, and many proteins encounter complex environments within cells. Importantly, numerous proteins organize into biomolecular condensates─dense macromolecular assemblies with distinct physicochemical properties. This raises a fundamental question: how do condensates reshape protein structure and dynamics? Here, we investigate how protein folding landscapes are altered inside condensates, using the protein α-helix as a model folded domain. Atomistic simulations suggest the helix–coil transition within condensates differs markedly from its behavior in dilute solution or in the presence of inert crowders. We then use Bayesian optimization to develop a chemically specific, residue-resolution model for quantification of α-helical folding and apply it to characterize diverse helices, including α-helical domains from the disease-associated proteins TDP-43, Annexin A11, and Androgen Receptor, within condensates of varying physicochemical properties. Our results support a framework in which multivalent interactions drive unfolding while crowding promotes folding, and α-helix conformational ensembles inside condensates emerge from this balance. Additionally, we show that helix folding transitions are kinetically frustrated inside condensates because they are coupled to the time scale of contact rearrangement with co-condensate proteins. As such, α-helix folding landscapes within condensates are dually sequence-dependent, informed by both the sequence of the α-helical domain and co-condensate proteins. Together, our work has implications for understanding condensate-mediated proteinopathies, targeting aberrant condensates, and designing condensates to program protein function across scales.</w:t>
      </w:r>
    </w:p>
    <w:p>
      <w:pPr>
        <w:spacing w:before="120" w:after="120"/>
      </w:pPr>
      <w:r>
        <w:rPr>
          <w:sz w:val="18"/>
        </w:rPr>
        <w:t>——————————————————————————————————————————————————————————————————————</w:t>
      </w:r>
    </w:p>
    <w:p>
      <w:pPr>
        <w:spacing w:before="160" w:after="40" w:line="240" w:lineRule="auto"/>
      </w:pPr>
      <w:r>
        <w:rPr>
          <w:b/>
        </w:rPr>
        <w:t xml:space="preserve">[623] </w:t>
      </w:r>
      <w:hyperlink r:id="rId1779">
        <w:r>
          <w:rPr>
            <w:color w:val="1155CC"/>
            <w:u w:val="single"/>
          </w:rPr>
          <w:t>Moderna 癌症疫苗可阻止黑色素瘤复发：个性化治疗的下一步是什么？</w:t>
        </w:r>
      </w:hyperlink>
    </w:p>
    <w:p>
      <w:pPr>
        <w:spacing w:before="0" w:after="80"/>
      </w:pPr>
      <w:r>
        <w:rPr>
          <w:i/>
          <w:sz w:val="20"/>
        </w:rPr>
        <w:t>EN: Moderna cancer vaccine stops melanoma returning: what’s next for personalized treatments?</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80">
        <w:r>
          <w:rPr>
            <w:color w:val="1155CC"/>
            <w:u w:val="single"/>
          </w:rPr>
          <w:t>10.1038/d41586-026-02612-3</w:t>
        </w:r>
      </w:hyperlink>
    </w:p>
    <w:p>
      <w:pPr>
        <w:spacing w:before="0" w:after="120"/>
      </w:pPr>
      <w:r>
        <w:rPr>
          <w:b/>
        </w:rPr>
        <w:t xml:space="preserve">Notes: </w:t>
      </w:r>
      <w:r>
        <w:t>abstract_source=rss_nature</w:t>
      </w:r>
    </w:p>
    <w:p>
      <w:pPr>
        <w:spacing w:before="0" w:after="80" w:lineRule="auto" w:line="276"/>
      </w:pPr>
      <w:r>
        <w:rPr>
          <w:b/>
        </w:rPr>
        <w:t xml:space="preserve">摘要（ZH）: </w:t>
      </w:r>
      <w:r>
        <w:t>有希望的试验结果表明癌症疫苗有效，并且可以用于治疗其他肿瘤。</w:t>
      </w:r>
    </w:p>
    <w:p>
      <w:pPr>
        <w:spacing w:before="0" w:after="200" w:lineRule="auto" w:line="276"/>
      </w:pPr>
      <w:r>
        <w:rPr>
          <w:b/>
        </w:rPr>
        <w:t xml:space="preserve">Abstract (EN): </w:t>
      </w:r>
      <w:r>
        <w:t>Promising trial results suggest cancer vaccines work and could be used to target other tumours.</w:t>
      </w:r>
    </w:p>
    <w:p>
      <w:pPr>
        <w:spacing w:before="120" w:after="120"/>
      </w:pPr>
      <w:r>
        <w:rPr>
          <w:sz w:val="18"/>
        </w:rPr>
        <w:t>——————————————————————————————————————————————————————————————————————</w:t>
      </w:r>
    </w:p>
    <w:p>
      <w:pPr>
        <w:spacing w:before="160" w:after="40" w:line="240" w:lineRule="auto"/>
      </w:pPr>
      <w:r>
        <w:rPr>
          <w:b/>
        </w:rPr>
        <w:t xml:space="preserve">[624] </w:t>
      </w:r>
      <w:hyperlink r:id="rId1781">
        <w:r>
          <w:rPr>
            <w:color w:val="1155CC"/>
            <w:u w:val="single"/>
          </w:rPr>
          <w:t>独家：美国国家科学基金会将发放四十年来最低数量的新拨款</w:t>
        </w:r>
      </w:hyperlink>
    </w:p>
    <w:p>
      <w:pPr>
        <w:spacing w:before="0" w:after="80"/>
      </w:pPr>
      <w:r>
        <w:rPr>
          <w:i/>
          <w:sz w:val="20"/>
        </w:rPr>
        <w:t>EN: Exclusive: NSF set to issue lowest number of new grants in four decades</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82">
        <w:r>
          <w:rPr>
            <w:color w:val="1155CC"/>
            <w:u w:val="single"/>
          </w:rPr>
          <w:t>10.1038/d41586-026-02574-6</w:t>
        </w:r>
      </w:hyperlink>
    </w:p>
    <w:p>
      <w:pPr>
        <w:spacing w:before="0" w:after="120"/>
      </w:pPr>
      <w:r>
        <w:rPr>
          <w:b/>
        </w:rPr>
        <w:t xml:space="preserve">Notes: </w:t>
      </w:r>
      <w:r>
        <w:t>abstract_source=rss_nature</w:t>
      </w:r>
    </w:p>
    <w:p>
      <w:pPr>
        <w:spacing w:before="0" w:after="80" w:lineRule="auto" w:line="276"/>
      </w:pPr>
      <w:r>
        <w:rPr>
          <w:b/>
        </w:rPr>
        <w:t xml:space="preserve">摘要（ZH）: </w:t>
      </w:r>
      <w:r>
        <w:t>美国科学资助机构将扣留 10 亿美元的预算，以便将这笔钱用于白宫的一个特殊项目。</w:t>
      </w:r>
    </w:p>
    <w:p>
      <w:pPr>
        <w:spacing w:before="0" w:after="200" w:lineRule="auto" w:line="276"/>
      </w:pPr>
      <w:r>
        <w:rPr>
          <w:b/>
        </w:rPr>
        <w:t xml:space="preserve">Abstract (EN): </w:t>
      </w:r>
      <w:r>
        <w:t>The US science-funding agency is withholding $1 billion of its budget so that the money can go to a special White House project.</w:t>
      </w:r>
    </w:p>
    <w:p>
      <w:pPr>
        <w:spacing w:before="120" w:after="120"/>
      </w:pPr>
      <w:r>
        <w:rPr>
          <w:sz w:val="18"/>
        </w:rPr>
        <w:t>——————————————————————————————————————————————————————————————————————</w:t>
      </w:r>
    </w:p>
    <w:p>
      <w:pPr>
        <w:spacing w:before="160" w:after="40" w:line="240" w:lineRule="auto"/>
      </w:pPr>
      <w:r>
        <w:rPr>
          <w:b/>
        </w:rPr>
        <w:t xml:space="preserve">[625] </w:t>
      </w:r>
      <w:hyperlink r:id="rId1783">
        <w:r>
          <w:rPr>
            <w:color w:val="1155CC"/>
            <w:u w:val="single"/>
          </w:rPr>
          <w:t>基于手性光子晶体薄膜的多维手性光学物理不可克隆函数</w:t>
        </w:r>
      </w:hyperlink>
    </w:p>
    <w:p>
      <w:pPr>
        <w:spacing w:before="0" w:after="80"/>
      </w:pPr>
      <w:r>
        <w:rPr>
          <w:i/>
          <w:sz w:val="20"/>
        </w:rPr>
        <w:t>EN: Multidimensional chiroptical physical unclonable functions based on chiral photonic crystal film</w:t>
      </w:r>
    </w:p>
    <w:p>
      <w:pPr>
        <w:spacing w:before="0" w:after="120"/>
      </w:pPr>
      <w:r>
        <w:rPr>
          <w:b/>
        </w:rPr>
        <w:t xml:space="preserve">Source: </w:t>
      </w:r>
      <w:r>
        <w:t>Matter</w:t>
      </w:r>
      <w:r>
        <w:t xml:space="preserve">    </w:t>
      </w:r>
      <w:r>
        <w:rPr>
          <w:b/>
        </w:rPr>
        <w:t xml:space="preserve">Pub date: </w:t>
      </w:r>
      <w:r>
        <w:t>2026-08-20 00:00:00+00:00</w:t>
      </w:r>
      <w:r>
        <w:t xml:space="preserve">    </w:t>
      </w:r>
      <w:r>
        <w:rPr>
          <w:b/>
        </w:rPr>
        <w:t xml:space="preserve">DOI: </w:t>
      </w:r>
      <w:hyperlink r:id="rId1784">
        <w:r>
          <w:rPr>
            <w:color w:val="1155CC"/>
            <w:u w:val="single"/>
          </w:rPr>
          <w:t>10.1016/j.matt.2026.102974</w:t>
        </w:r>
      </w:hyperlink>
    </w:p>
    <w:p>
      <w:pPr>
        <w:spacing w:before="0" w:after="120"/>
      </w:pPr>
      <w:r>
        <w:rPr>
          <w:b/>
        </w:rPr>
        <w:t xml:space="preserve">Notes: </w:t>
      </w:r>
      <w:r>
        <w:t>abstract_source=rss_cell</w:t>
      </w:r>
    </w:p>
    <w:p>
      <w:pPr>
        <w:spacing w:before="0" w:after="80" w:lineRule="auto" w:line="276"/>
      </w:pPr>
      <w:r>
        <w:rPr>
          <w:b/>
        </w:rPr>
        <w:t xml:space="preserve">摘要（ZH）: </w:t>
      </w:r>
      <w:r>
        <w:t>随机光学标签通常面临因编码尺寸受限或需要复杂的读出系统而产生的限制。手性光子晶体薄膜产生多维光学指纹，将传统光学特征与偏振态信息相结合，为下一代信息安全应用提供高熵且易于验证的身份验证。</w:t>
      </w:r>
    </w:p>
    <w:p>
      <w:pPr>
        <w:spacing w:before="0" w:after="200" w:lineRule="auto" w:line="276"/>
      </w:pPr>
      <w:r>
        <w:rPr>
          <w:b/>
        </w:rPr>
        <w:t xml:space="preserve">Abstract (EN): </w:t>
      </w:r>
      <w:r>
        <w:t>Random optical labels often face limitations arising from restricted encoding dimensions or the need for complex readout systems. Chiral photonic crystal films generate multidimensional optical fingerprints that integrate conventional optical features with polarization-state information, enabling high-entropy and readily verifiable authentication for next-generation information security applications.</w:t>
      </w:r>
    </w:p>
    <w:p>
      <w:pPr>
        <w:spacing w:before="120" w:after="120"/>
      </w:pPr>
      <w:r>
        <w:rPr>
          <w:sz w:val="18"/>
        </w:rPr>
        <w:t>——————————————————————————————————————————————————————————————————————</w:t>
      </w:r>
    </w:p>
    <w:p>
      <w:pPr>
        <w:spacing w:before="160" w:after="40" w:line="240" w:lineRule="auto"/>
      </w:pPr>
      <w:r>
        <w:rPr>
          <w:b/>
        </w:rPr>
        <w:t xml:space="preserve">[626] </w:t>
      </w:r>
      <w:hyperlink r:id="rId1785">
        <w:r>
          <w:rPr>
            <w:color w:val="1155CC"/>
            <w:u w:val="single"/>
          </w:rPr>
          <w:t>投资者抢先看：这个人工智能工具能否发现可带来专利的科学原理？</w:t>
        </w:r>
      </w:hyperlink>
    </w:p>
    <w:p>
      <w:pPr>
        <w:spacing w:before="0" w:after="80"/>
      </w:pPr>
      <w:r>
        <w:rPr>
          <w:i/>
          <w:sz w:val="20"/>
        </w:rPr>
        <w:t>EN: Investors’ sneak peak: can this AI tool spot the science that will lead to patents?</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86">
        <w:r>
          <w:rPr>
            <w:color w:val="1155CC"/>
            <w:u w:val="single"/>
          </w:rPr>
          <w:t>10.1038/d41586-026-02549-7</w:t>
        </w:r>
      </w:hyperlink>
    </w:p>
    <w:p>
      <w:pPr>
        <w:spacing w:before="0" w:after="120"/>
      </w:pPr>
      <w:r>
        <w:rPr>
          <w:b/>
        </w:rPr>
        <w:t xml:space="preserve">Notes: </w:t>
      </w:r>
      <w:r>
        <w:t>abstract_source=rss_nature</w:t>
      </w:r>
    </w:p>
    <w:p>
      <w:pPr>
        <w:spacing w:before="0" w:after="80" w:lineRule="auto" w:line="276"/>
      </w:pPr>
      <w:r>
        <w:rPr>
          <w:b/>
        </w:rPr>
        <w:t xml:space="preserve">摘要（ZH）: </w:t>
      </w:r>
      <w:r>
        <w:t>这种方法可以加快投资决策，但研究人员表示它存在缺陷。</w:t>
      </w:r>
    </w:p>
    <w:p>
      <w:pPr>
        <w:spacing w:before="0" w:after="200" w:lineRule="auto" w:line="276"/>
      </w:pPr>
      <w:r>
        <w:rPr>
          <w:b/>
        </w:rPr>
        <w:t xml:space="preserve">Abstract (EN): </w:t>
      </w:r>
      <w:r>
        <w:t>The approach could speed up investment decisions, but researchers say it has flaws.</w:t>
      </w:r>
    </w:p>
    <w:p>
      <w:pPr>
        <w:spacing w:before="120" w:after="120"/>
      </w:pPr>
      <w:r>
        <w:rPr>
          <w:sz w:val="18"/>
        </w:rPr>
        <w:t>——————————————————————————————————————————————————————————————————————</w:t>
      </w:r>
    </w:p>
    <w:p>
      <w:pPr>
        <w:spacing w:before="160" w:after="40" w:line="240" w:lineRule="auto"/>
      </w:pPr>
      <w:r>
        <w:rPr>
          <w:b/>
        </w:rPr>
        <w:t xml:space="preserve">[627] </w:t>
      </w:r>
      <w:hyperlink r:id="rId1787">
        <w:r>
          <w:rPr>
            <w:color w:val="1155CC"/>
            <w:u w:val="single"/>
          </w:rPr>
          <w:t>令人震惊的是，90% 的生物医学论文现在显示出人工智能帮助的迹象</w:t>
        </w:r>
      </w:hyperlink>
    </w:p>
    <w:p>
      <w:pPr>
        <w:spacing w:before="0" w:after="80"/>
      </w:pPr>
      <w:r>
        <w:rPr>
          <w:i/>
          <w:sz w:val="20"/>
        </w:rPr>
        <w:t>EN: Staggering 90% of biomedical papers now show signs of AI help</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88">
        <w:r>
          <w:rPr>
            <w:color w:val="1155CC"/>
            <w:u w:val="single"/>
          </w:rPr>
          <w:t>10.1038/d41586-026-02551-z</w:t>
        </w:r>
      </w:hyperlink>
    </w:p>
    <w:p>
      <w:pPr>
        <w:spacing w:before="0" w:after="120"/>
      </w:pPr>
      <w:r>
        <w:rPr>
          <w:b/>
        </w:rPr>
        <w:t xml:space="preserve">Notes: </w:t>
      </w:r>
      <w:r>
        <w:t>abstract_source=rss_nature</w:t>
      </w:r>
    </w:p>
    <w:p>
      <w:pPr>
        <w:spacing w:before="0" w:after="80" w:lineRule="auto" w:line="276"/>
      </w:pPr>
      <w:r>
        <w:rPr>
          <w:b/>
        </w:rPr>
        <w:t xml:space="preserve">摘要（ZH）: </w:t>
      </w:r>
      <w:r>
        <w:t>该数字远高于之前对大型语言模型使用情况的估计，适用于 12 月发表并存档于 PubMed 的论文</w:t>
      </w:r>
    </w:p>
    <w:p>
      <w:pPr>
        <w:spacing w:before="0" w:after="200" w:lineRule="auto" w:line="276"/>
      </w:pPr>
      <w:r>
        <w:rPr>
          <w:b/>
        </w:rPr>
        <w:t xml:space="preserve">Abstract (EN): </w:t>
      </w:r>
      <w:r>
        <w:t>The figure, which is much higher than previous estimates of Large Language Model use, is for papers published in December and archived in PubMed</w:t>
      </w:r>
    </w:p>
    <w:p>
      <w:pPr>
        <w:spacing w:before="120" w:after="120"/>
      </w:pPr>
      <w:r>
        <w:rPr>
          <w:sz w:val="18"/>
        </w:rPr>
        <w:t>——————————————————————————————————————————————————————————————————————</w:t>
      </w:r>
    </w:p>
    <w:p>
      <w:pPr>
        <w:spacing w:before="160" w:after="40" w:line="240" w:lineRule="auto"/>
      </w:pPr>
      <w:r>
        <w:rPr>
          <w:b/>
        </w:rPr>
        <w:t xml:space="preserve">[628] </w:t>
      </w:r>
      <w:hyperlink r:id="rId1789">
        <w:r>
          <w:rPr>
            <w:color w:val="1155CC"/>
            <w:u w:val="single"/>
          </w:rPr>
          <w:t>研究员，治愈你自己：认识研究自己疾病的科学家</w:t>
        </w:r>
      </w:hyperlink>
    </w:p>
    <w:p>
      <w:pPr>
        <w:spacing w:before="0" w:after="80"/>
      </w:pPr>
      <w:r>
        <w:rPr>
          <w:i/>
          <w:sz w:val="20"/>
        </w:rPr>
        <w:t>EN: Researcher, heal thyself: meet the scientists studying their own diseases</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90">
        <w:r>
          <w:rPr>
            <w:color w:val="1155CC"/>
            <w:u w:val="single"/>
          </w:rPr>
          <w:t>10.1038/d41586-026-02455-y</w:t>
        </w:r>
      </w:hyperlink>
    </w:p>
    <w:p>
      <w:pPr>
        <w:spacing w:before="0" w:after="120"/>
      </w:pPr>
      <w:r>
        <w:rPr>
          <w:b/>
        </w:rPr>
        <w:t xml:space="preserve">Notes: </w:t>
      </w:r>
      <w:r>
        <w:t>abstract_source=rss_nature</w:t>
      </w:r>
    </w:p>
    <w:p>
      <w:pPr>
        <w:spacing w:before="0" w:after="80" w:lineRule="auto" w:line="276"/>
      </w:pPr>
      <w:r>
        <w:rPr>
          <w:b/>
        </w:rPr>
        <w:t xml:space="preserve">摘要（ZH）: </w:t>
      </w:r>
      <w:r>
        <w:t>在诊断出某种疾病后对其进行研究可能是有益的，但也带来了一些伦理和心理挑战。</w:t>
      </w:r>
    </w:p>
    <w:p>
      <w:pPr>
        <w:spacing w:before="0" w:after="200" w:lineRule="auto" w:line="276"/>
      </w:pPr>
      <w:r>
        <w:rPr>
          <w:b/>
        </w:rPr>
        <w:t xml:space="preserve">Abstract (EN): </w:t>
      </w:r>
      <w:r>
        <w:t>Studying a condition after being diagnosed with it can be rewarding but also presents some ethical and psychological challenges.</w:t>
      </w:r>
    </w:p>
    <w:p>
      <w:pPr>
        <w:spacing w:before="120" w:after="120"/>
      </w:pPr>
      <w:r>
        <w:rPr>
          <w:sz w:val="18"/>
        </w:rPr>
        <w:t>——————————————————————————————————————————————————————————————————————</w:t>
      </w:r>
    </w:p>
    <w:p>
      <w:pPr>
        <w:spacing w:before="160" w:after="40" w:line="240" w:lineRule="auto"/>
      </w:pPr>
      <w:r>
        <w:rPr>
          <w:b/>
        </w:rPr>
        <w:t xml:space="preserve">[629] </w:t>
      </w:r>
      <w:hyperlink r:id="rId1791">
        <w:r>
          <w:rPr>
            <w:color w:val="1155CC"/>
            <w:u w:val="single"/>
          </w:rPr>
          <w:t>这些树木使城市空气质量恶化</w:t>
        </w:r>
      </w:hyperlink>
    </w:p>
    <w:p>
      <w:pPr>
        <w:spacing w:before="0" w:after="80"/>
      </w:pPr>
      <w:r>
        <w:rPr>
          <w:i/>
          <w:sz w:val="20"/>
        </w:rPr>
        <w:t>EN: These trees are making air quality in cities worse</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92">
        <w:r>
          <w:rPr>
            <w:color w:val="1155CC"/>
            <w:u w:val="single"/>
          </w:rPr>
          <w:t>10.1038/d41586-026-02586-2</w:t>
        </w:r>
      </w:hyperlink>
    </w:p>
    <w:p>
      <w:pPr>
        <w:spacing w:before="0" w:after="120"/>
      </w:pPr>
      <w:r>
        <w:rPr>
          <w:b/>
        </w:rPr>
        <w:t xml:space="preserve">Notes: </w:t>
      </w:r>
      <w:r>
        <w:t>abstract_source=rss_nature</w:t>
      </w:r>
    </w:p>
    <w:p>
      <w:pPr>
        <w:spacing w:before="0" w:after="80" w:lineRule="auto" w:line="276"/>
      </w:pPr>
      <w:r>
        <w:rPr>
          <w:b/>
        </w:rPr>
        <w:t xml:space="preserve">摘要（ZH）: </w:t>
      </w:r>
      <w:r>
        <w:t>它们释放的化合物会导致臭氧排放，而气温升高可能会加剧这一问题。</w:t>
      </w:r>
    </w:p>
    <w:p>
      <w:pPr>
        <w:spacing w:before="0" w:after="200" w:lineRule="auto" w:line="276"/>
      </w:pPr>
      <w:r>
        <w:rPr>
          <w:b/>
        </w:rPr>
        <w:t xml:space="preserve">Abstract (EN): </w:t>
      </w:r>
      <w:r>
        <w:t>They release compounds that contribute to ozone emissions, and rising temperatures could exacerbate the problem.</w:t>
      </w:r>
    </w:p>
    <w:p>
      <w:pPr>
        <w:spacing w:before="120" w:after="120"/>
      </w:pPr>
      <w:r>
        <w:rPr>
          <w:sz w:val="18"/>
        </w:rPr>
        <w:t>——————————————————————————————————————————————————————————————————————</w:t>
      </w:r>
    </w:p>
    <w:p>
      <w:pPr>
        <w:spacing w:before="160" w:after="40" w:line="240" w:lineRule="auto"/>
      </w:pPr>
      <w:r>
        <w:rPr>
          <w:b/>
        </w:rPr>
        <w:t xml:space="preserve">[630] </w:t>
      </w:r>
      <w:hyperlink r:id="rId1793">
        <w:r>
          <w:rPr>
            <w:color w:val="1155CC"/>
            <w:u w:val="single"/>
          </w:rPr>
          <w:t>用于小分子和蛋白质中碳硫键形成的最小光反应金属辅因子</w:t>
        </w:r>
      </w:hyperlink>
    </w:p>
    <w:p>
      <w:pPr>
        <w:spacing w:before="0" w:after="80"/>
      </w:pPr>
      <w:r>
        <w:rPr>
          <w:i/>
          <w:sz w:val="20"/>
        </w:rPr>
        <w:t>EN: A minimal photoreactive metallocofactor for carbon–sulfur bond formation in small molecules and proteins</w:t>
      </w:r>
    </w:p>
    <w:p>
      <w:pPr>
        <w:spacing w:before="0" w:after="120"/>
      </w:pPr>
      <w:r>
        <w:rPr>
          <w:b/>
        </w:rPr>
        <w:t xml:space="preserve">Source: </w:t>
      </w:r>
      <w:r>
        <w:t>Chem</w:t>
      </w:r>
      <w:r>
        <w:t xml:space="preserve">    </w:t>
      </w:r>
      <w:r>
        <w:rPr>
          <w:b/>
        </w:rPr>
        <w:t xml:space="preserve">Pub date: </w:t>
      </w:r>
      <w:r>
        <w:t>2026-08-20 00:00:00+00:00</w:t>
      </w:r>
      <w:r>
        <w:t xml:space="preserve">    </w:t>
      </w:r>
      <w:r>
        <w:rPr>
          <w:b/>
        </w:rPr>
        <w:t xml:space="preserve">DOI: </w:t>
      </w:r>
      <w:hyperlink r:id="rId1794">
        <w:r>
          <w:rPr>
            <w:color w:val="1155CC"/>
            <w:u w:val="single"/>
          </w:rPr>
          <w:t>10.1016/j.chempr.2026.103205</w:t>
        </w:r>
      </w:hyperlink>
    </w:p>
    <w:p>
      <w:pPr>
        <w:spacing w:before="0" w:after="120"/>
      </w:pPr>
      <w:r>
        <w:rPr>
          <w:b/>
        </w:rPr>
        <w:t xml:space="preserve">Notes: </w:t>
      </w:r>
      <w:r>
        <w:t>abstract_source=rss_cell</w:t>
      </w:r>
    </w:p>
    <w:p>
      <w:pPr>
        <w:spacing w:before="0" w:after="80" w:lineRule="auto" w:line="276"/>
      </w:pPr>
      <w:r>
        <w:rPr>
          <w:b/>
        </w:rPr>
        <w:t xml:space="preserve">摘要（ZH）: </w:t>
      </w:r>
      <w:r>
        <w:t>结构上最小的硫醇镍络合物既充当光吸收剂又充当光化学碳硫键形成的反应中心。基态和激发态表征将单核硫醇镍基序识别为紧凑的光反应辅助因子，其反应性可以通过核性、底物结构和溶剂环境进行调节。在这些结构和反应性要求的指导下，硫醇镍基序被整合到蛋白质中，同时保留光化学活性，为人工光反应金属蛋白的设计提供了基础。</w:t>
      </w:r>
    </w:p>
    <w:p>
      <w:pPr>
        <w:spacing w:before="0" w:after="200" w:lineRule="auto" w:line="276"/>
      </w:pPr>
      <w:r>
        <w:rPr>
          <w:b/>
        </w:rPr>
        <w:t xml:space="preserve">Abstract (EN): </w:t>
      </w:r>
      <w:r>
        <w:t>Structurally minimal nickel-thiolate complexes function as both light absorbers and reactive centers for photochemical carbon–sulfur bond formation. Ground- and excited-state characterization identifies mononuclear nickel-thiolate motifs as compact photoreactive cofactors whose reactivity can be tuned through nuclearity, substrate structure, and solvent environment. Guided by these structural and reactivity requirements, nickel-thiolate motifs were incorporated into proteins while retaining photochemical activity, providing a foundation for the design of artificial photoreactive metalloproteins.</w:t>
      </w:r>
    </w:p>
    <w:p>
      <w:pPr>
        <w:spacing w:before="120" w:after="120"/>
      </w:pPr>
      <w:r>
        <w:rPr>
          <w:sz w:val="18"/>
        </w:rPr>
        <w:t>——————————————————————————————————————————————————————————————————————</w:t>
      </w:r>
    </w:p>
    <w:p>
      <w:pPr>
        <w:spacing w:before="160" w:after="40" w:line="240" w:lineRule="auto"/>
      </w:pPr>
      <w:r>
        <w:rPr>
          <w:b/>
        </w:rPr>
        <w:t xml:space="preserve">[631] </w:t>
      </w:r>
      <w:hyperlink r:id="rId1795">
        <w:r>
          <w:rPr>
            <w:color w:val="1155CC"/>
            <w:u w:val="single"/>
          </w:rPr>
          <w:t>通过由氯代甲硼烷衍生的热力学稳定的硼硅烯类化合物来补充二烷基硅烯</w:t>
        </w:r>
      </w:hyperlink>
    </w:p>
    <w:p>
      <w:pPr>
        <w:spacing w:before="0" w:after="80"/>
      </w:pPr>
      <w:r>
        <w:rPr>
          <w:i/>
          <w:sz w:val="20"/>
        </w:rPr>
        <w:t>EN: A Complementary Approach to Dialkylsilylenes via Thermodynamically Stable Boron-Ate Silylenoids Derived from Chlorosilylboranes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796">
        <w:r>
          <w:rPr>
            <w:color w:val="1155CC"/>
            <w:u w:val="single"/>
          </w:rPr>
          <w:t>10.1021/jacs.6c05205</w:t>
        </w:r>
      </w:hyperlink>
    </w:p>
    <w:p>
      <w:pPr>
        <w:spacing w:before="0" w:after="120"/>
      </w:pPr>
      <w:r>
        <w:rPr>
          <w:b/>
        </w:rPr>
        <w:t xml:space="preserve">Notes: </w:t>
      </w:r>
      <w:r>
        <w:t>abstract_source=crossref</w:t>
      </w:r>
    </w:p>
    <w:p>
      <w:pPr>
        <w:spacing w:before="0" w:after="80" w:lineRule="auto" w:line="276"/>
      </w:pPr>
      <w:r>
        <w:rPr>
          <w:b/>
        </w:rPr>
        <w:t xml:space="preserve">摘要（ZH）: </w:t>
      </w:r>
      <w:r>
        <w:t>摘要 硅烯是高反应性的二价硅物种，可以通过 σ 插入和 π 加成到硅烯受体上实现多种转化，因此是将硅部分掺入各种化学键的关键中间体。然而，硅烯作为有用的硅合成子的实际应用仍然受到限制，因为目前需要特定的稳定取代基以抑制自缩合和低聚。在此，我们报告了一种新策略，通过与缺电子芳基锂反应生成多种取代的硅烯，形成源自可分离的氯甲硅烷基硼烷前体的硼酸甲硅烷基化合物。通过二烷基茴香基硅烷的 Si-H 硼基化并随后对茴香基进行氯化，或者通过二氢硅烷的单硼基化，然后对剩余的氢化物基团进行氯化，可以轻松制备几种氯甲硅烷基硼烷。生成的硅烯表现出与游离硅烯相关的固有反应性，即σ-插入到Si-H键中以及π-加成到烯烃和羰基化合物上。机理研究表明，由于硼-锂交换的热力学和动力学不利，锂甲硅烷基和随后的甲硅烷基的浓度仍然低于硼酸盐甲硅烷基的浓度。由于生成的亚硅基浓度低，它选择性地与亚硅基受体反应，而不是参与自缩合和低聚等副反应，而这些副反应在二氯还原中是有问题的。</w:t>
      </w:r>
    </w:p>
    <w:p>
      <w:pPr>
        <w:spacing w:before="0" w:after="200" w:lineRule="auto" w:line="276"/>
      </w:pPr>
      <w:r>
        <w:rPr>
          <w:b/>
        </w:rPr>
        <w:t xml:space="preserve">Abstract (EN): </w:t>
      </w:r>
      <w:r>
        <w:t>Silylenes are highly reactive divalent silicon species that enable diverse transformations via σ-insertion and π-addition to silylene acceptors, and thus represent key intermediates for the incorporation of silicon moieties into various chemical bonds. However, the practical use of silylenes as useful silicon synthons remains limited, as specific stabilizing substituents are currently required in order to suppress self-condensation and oligomerization. Herein, we report a novel strategy to generate diversely substituted silylenes through a reaction with an electron-deficient aryllithium to form boron-ate silylenoids derived from isolable chlorosilylborane precursors. Several chlorosilylboranes were readily prepared via the Si–H borylation of dialkylanisylsilanes and subsequent chlorination of the anisyl group, or via the monoborylation of dihydrosilanes followed by chlorination of the remaining hydride group. The generated silylenes exhibit the inherent reactivity associated with free silylenes, i.e., σ-insertions into Si–H bonds and π-additions to alkene and carbonyl compounds. Mechanistic studies revealed that the concentrations of the lithium silylenoid and the subsequent silylene remained lower than that of the boron-ate silylenoid due to the thermodynamic and kinetic unfavorability of the boron–lithium exchange. As a result of the low concentration of the generated silylene, it selectively reacts with the silylene acceptor rather than participating in side reactions such as self-condensation and oligomerization, which are problematic in the reduction of dichlorosilanes. Consequently, this work represents a reliable strategy to harness silylenes as versatile silicon synthons for transformations that are difficult to realize via the more conventional alkali-metal-mediated reduction of dihalosilanes.</w:t>
      </w:r>
    </w:p>
    <w:p>
      <w:pPr>
        <w:spacing w:before="120" w:after="120"/>
      </w:pPr>
      <w:r>
        <w:rPr>
          <w:sz w:val="18"/>
        </w:rPr>
        <w:t>——————————————————————————————————————————————————————————————————————</w:t>
      </w:r>
    </w:p>
    <w:p>
      <w:pPr>
        <w:spacing w:before="160" w:after="40" w:line="240" w:lineRule="auto"/>
      </w:pPr>
      <w:r>
        <w:rPr>
          <w:b/>
        </w:rPr>
        <w:t xml:space="preserve">[632] </w:t>
      </w:r>
      <w:hyperlink r:id="rId1797">
        <w:r>
          <w:rPr>
            <w:color w:val="1155CC"/>
            <w:u w:val="single"/>
          </w:rPr>
          <w:t>隐藏的火山暗示月球动荡的过去</w:t>
        </w:r>
      </w:hyperlink>
    </w:p>
    <w:p>
      <w:pPr>
        <w:spacing w:before="0" w:after="80"/>
      </w:pPr>
      <w:r>
        <w:rPr>
          <w:i/>
          <w:sz w:val="20"/>
        </w:rPr>
        <w:t>EN: Hidden volcanoes hint at Moon’s turbulent past</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798">
        <w:r>
          <w:rPr>
            <w:color w:val="1155CC"/>
            <w:u w:val="single"/>
          </w:rPr>
          <w:t>10.1038/d41586-026-02555-9</w:t>
        </w:r>
      </w:hyperlink>
    </w:p>
    <w:p>
      <w:pPr>
        <w:spacing w:before="0" w:after="120"/>
      </w:pPr>
      <w:r>
        <w:rPr>
          <w:b/>
        </w:rPr>
        <w:t xml:space="preserve">Notes: </w:t>
      </w:r>
      <w:r>
        <w:t>abstract_source=nature_html</w:t>
      </w:r>
    </w:p>
    <w:p>
      <w:pPr>
        <w:spacing w:before="0" w:after="80" w:lineRule="auto" w:line="276"/>
      </w:pPr>
      <w:r>
        <w:rPr>
          <w:b/>
        </w:rPr>
        <w:t xml:space="preserve">摘要（ZH）: </w:t>
      </w:r>
      <w:r>
        <w:t>月球飞船已经精确定位到了两座巨大的盾状火山。</w:t>
      </w:r>
    </w:p>
    <w:p>
      <w:pPr>
        <w:spacing w:before="0" w:after="200" w:lineRule="auto" w:line="276"/>
      </w:pPr>
      <w:r>
        <w:rPr>
          <w:b/>
        </w:rPr>
        <w:t xml:space="preserve">Abstract (EN): </w:t>
      </w:r>
      <w:r>
        <w:t>A pair of massive shield volcanoes have been pinpointed by lunar spacecraft.</w:t>
      </w:r>
    </w:p>
    <w:p>
      <w:pPr>
        <w:spacing w:before="120" w:after="120"/>
      </w:pPr>
      <w:r>
        <w:rPr>
          <w:sz w:val="18"/>
        </w:rPr>
        <w:t>——————————————————————————————————————————————————————————————————————</w:t>
      </w:r>
    </w:p>
    <w:p>
      <w:pPr>
        <w:spacing w:before="160" w:after="40" w:line="240" w:lineRule="auto"/>
      </w:pPr>
      <w:r>
        <w:rPr>
          <w:b/>
        </w:rPr>
        <w:t xml:space="preserve">[633] </w:t>
      </w:r>
      <w:hyperlink r:id="rId1799">
        <w:r>
          <w:rPr>
            <w:color w:val="1155CC"/>
            <w:u w:val="single"/>
          </w:rPr>
          <w:t>永久冻土融化扩大了北极-北方地区自然点燃野火的烧毁面积比例</w:t>
        </w:r>
      </w:hyperlink>
    </w:p>
    <w:p>
      <w:pPr>
        <w:spacing w:before="0" w:after="80"/>
      </w:pPr>
      <w:r>
        <w:rPr>
          <w:i/>
          <w:sz w:val="20"/>
        </w:rPr>
        <w:t>EN: Permafrost thaw has enlarged the burned area proportion from naturally-ignited wildfires in arctic-boreal regions</w:t>
      </w:r>
    </w:p>
    <w:p>
      <w:pPr>
        <w:spacing w:before="0" w:after="120"/>
      </w:pPr>
      <w:r>
        <w:rPr>
          <w:b/>
        </w:rPr>
        <w:t xml:space="preserve">Source: </w:t>
      </w:r>
      <w:r>
        <w:t>National Science Review Advance Access</w:t>
      </w:r>
      <w:r>
        <w:t xml:space="preserve">    </w:t>
      </w:r>
      <w:r>
        <w:rPr>
          <w:b/>
        </w:rPr>
        <w:t xml:space="preserve">Pub date: </w:t>
      </w:r>
      <w:r>
        <w:t>2026-08-20 00:00:00+00:00</w:t>
      </w:r>
      <w:r>
        <w:t xml:space="preserve">    </w:t>
      </w:r>
      <w:r>
        <w:rPr>
          <w:b/>
        </w:rPr>
        <w:t xml:space="preserve">DOI: </w:t>
      </w:r>
      <w:hyperlink r:id="rId1800">
        <w:r>
          <w:rPr>
            <w:color w:val="1155CC"/>
            <w:u w:val="single"/>
          </w:rPr>
          <w:t>10.1093/nsr/nwag515</w:t>
        </w:r>
      </w:hyperlink>
    </w:p>
    <w:p>
      <w:pPr>
        <w:spacing w:before="0" w:after="120"/>
      </w:pPr>
      <w:r>
        <w:rPr>
          <w:b/>
        </w:rPr>
        <w:t xml:space="preserve">Notes: </w:t>
      </w:r>
      <w:r>
        <w:t>abstract_source=rss_oup</w:t>
      </w:r>
    </w:p>
    <w:p>
      <w:pPr>
        <w:spacing w:before="0" w:after="80" w:lineRule="auto" w:line="276"/>
      </w:pPr>
      <w:r>
        <w:rPr>
          <w:b/>
        </w:rPr>
        <w:t xml:space="preserve">摘要（ZH）: </w:t>
      </w:r>
      <w:r>
        <w:t>最近的研究表明，自 2000 年以来，北极-北方野火和永久冻土融化同时增加。尽管人们一致认为野火会加速永久冻土融化，但目前尚不清楚永久冻土融化是否会使景观更容易发生野火。我们的研究开发了一种基于模型的方法来解决自然和人为引发的野火。历史模拟表明，2010年左右发生的北极-北方地区自然引发的野火烧毁面积的比例急剧增加。烧毁面积比例的增加是由于多年冻土融化导致浅层土壤干燥所致。模型结果和观测证实了2000年代初期永久冻土快速融化，随后土壤干燥滞后了4.29±1.52年。在自然野火占主导地位的永久冻土地区，可以增强燃料可燃性的浅层土壤干燥更为明显。我们的研究表明，永久冻土融化已成为北极-北方野火的关键驱动因素，特别是对于永久冻土中平均每次事件燃烧面积较大的自然引发的火灾。由此产生的积极反馈，即永久冻土融化促进更多火灾，而火灾进一步加速融化，可能预示着深刻的气候影响。</w:t>
      </w:r>
    </w:p>
    <w:p>
      <w:pPr>
        <w:spacing w:before="0" w:after="200" w:lineRule="auto" w:line="276"/>
      </w:pPr>
      <w:r>
        <w:rPr>
          <w:b/>
        </w:rPr>
        <w:t xml:space="preserve">Abstract (EN): </w:t>
      </w:r>
      <w:r>
        <w:t>Recent studies revealed a simultaneous increase in arctic-boreal wildfires and permafrost thaw since 2000. Despite the agreement that wildfires accelerate permafrost thaw, it remains unclear whether permafrost thaw makes the landscapes more prone to wildfires. Our study developed a model-based approach to disentangle wildfires ignited naturally and anthropogenically. The historical simulation demonstrates an abrupt increase in the proportion of burned area by naturally-ignited wildfires that occurred around 2010 in the arctic-boreal regions. The increase in burned area proportion results from the shallow-layer soil drying due to permafrost thaw. Model results and observations verified rapid permafrost thaw in the early 2000s, followed by soil drying lagged by 4.29±1.52 years. The shallow soil drying that can enhance fuel combustibility is more pronounced in permafrost regions with natural wildfires dominated. Our study demonstrated that permafrost thaw has become a critical driver of arctic-boreal wildfires, especially for the naturally-ignited fires that have a larger burned area on average per event in permafrost. The resulting positive feedback, namely, permafrost thaw promoting more fires, and fires further accelerating thaw, could foreshadow profound climate repercussions.</w:t>
      </w:r>
    </w:p>
    <w:p>
      <w:pPr>
        <w:spacing w:before="120" w:after="120"/>
      </w:pPr>
      <w:r>
        <w:rPr>
          <w:sz w:val="18"/>
        </w:rPr>
        <w:t>——————————————————————————————————————————————————————————————————————</w:t>
      </w:r>
    </w:p>
    <w:p>
      <w:pPr>
        <w:spacing w:before="160" w:after="40" w:line="240" w:lineRule="auto"/>
      </w:pPr>
      <w:r>
        <w:rPr>
          <w:b/>
        </w:rPr>
        <w:t xml:space="preserve">[634] </w:t>
      </w:r>
      <w:hyperlink r:id="rId1801">
        <w:r>
          <w:rPr>
            <w:color w:val="1155CC"/>
            <w:u w:val="single"/>
          </w:rPr>
          <w:t>宇航员背心将辐射暴露减少一半</w:t>
        </w:r>
      </w:hyperlink>
    </w:p>
    <w:p>
      <w:pPr>
        <w:spacing w:before="0" w:after="80"/>
      </w:pPr>
      <w:r>
        <w:rPr>
          <w:i/>
          <w:sz w:val="20"/>
        </w:rPr>
        <w:t>EN: Astronaut vest cuts radiation exposure in half</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802">
        <w:r>
          <w:rPr>
            <w:color w:val="1155CC"/>
            <w:u w:val="single"/>
          </w:rPr>
          <w:t>10.1038/d41586-026-02556-8</w:t>
        </w:r>
      </w:hyperlink>
    </w:p>
    <w:p>
      <w:pPr>
        <w:spacing w:before="0" w:after="120"/>
      </w:pPr>
      <w:r>
        <w:rPr>
          <w:b/>
        </w:rPr>
        <w:t xml:space="preserve">Notes: </w:t>
      </w:r>
      <w:r>
        <w:t>abstract_source=rss_nature</w:t>
      </w:r>
    </w:p>
    <w:p>
      <w:pPr>
        <w:spacing w:before="0" w:after="80" w:lineRule="auto" w:line="276"/>
      </w:pPr>
      <w:r>
        <w:rPr>
          <w:b/>
        </w:rPr>
        <w:t xml:space="preserve">摘要（ZH）: </w:t>
      </w:r>
      <w:r>
        <w:t>美国宇航局无人飞行任务的测试表明，服装可以使宇航员免受太阳风暴的最严重影响。</w:t>
      </w:r>
    </w:p>
    <w:p>
      <w:pPr>
        <w:spacing w:before="0" w:after="200" w:lineRule="auto" w:line="276"/>
      </w:pPr>
      <w:r>
        <w:rPr>
          <w:b/>
        </w:rPr>
        <w:t xml:space="preserve">Abstract (EN): </w:t>
      </w:r>
      <w:r>
        <w:t>Tests on uncrewed NASA mission showed garment could spare astronauts the worst effects of solar storms.</w:t>
      </w:r>
    </w:p>
    <w:p>
      <w:pPr>
        <w:spacing w:before="120" w:after="120"/>
      </w:pPr>
      <w:r>
        <w:rPr>
          <w:sz w:val="18"/>
        </w:rPr>
        <w:t>——————————————————————————————————————————————————————————————————————</w:t>
      </w:r>
    </w:p>
    <w:p>
      <w:pPr>
        <w:spacing w:before="160" w:after="40" w:line="240" w:lineRule="auto"/>
      </w:pPr>
      <w:r>
        <w:rPr>
          <w:b/>
        </w:rPr>
        <w:t xml:space="preserve">[635] </w:t>
      </w:r>
      <w:hyperlink r:id="rId1803">
        <w:r>
          <w:rPr>
            <w:color w:val="1155CC"/>
            <w:u w:val="single"/>
          </w:rPr>
          <w:t>QuantumPioneer：溶液相氢转移反应的量子化学数据的可扩展生成</w:t>
        </w:r>
      </w:hyperlink>
    </w:p>
    <w:p>
      <w:pPr>
        <w:spacing w:before="0" w:after="80"/>
      </w:pPr>
      <w:r>
        <w:rPr>
          <w:i/>
          <w:sz w:val="20"/>
        </w:rPr>
        <w:t>EN: QuantumPioneer: Scalable Generation of Quantum Chemical Data for Solution-Phase Hydrogen Transfer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04">
        <w:r>
          <w:rPr>
            <w:color w:val="1155CC"/>
            <w:u w:val="single"/>
          </w:rPr>
          <w:t>10.1021/jacs.6c10371</w:t>
        </w:r>
      </w:hyperlink>
    </w:p>
    <w:p>
      <w:pPr>
        <w:spacing w:before="0" w:after="120"/>
      </w:pPr>
      <w:r>
        <w:rPr>
          <w:b/>
        </w:rPr>
        <w:t xml:space="preserve">Notes: </w:t>
      </w:r>
      <w:r>
        <w:t>abstract_source=crossref</w:t>
      </w:r>
    </w:p>
    <w:p>
      <w:pPr>
        <w:spacing w:before="0" w:after="80" w:lineRule="auto" w:line="276"/>
      </w:pPr>
      <w:r>
        <w:rPr>
          <w:b/>
        </w:rPr>
        <w:t xml:space="preserve">摘要（ZH）: </w:t>
      </w:r>
      <w:r>
        <w:t>摘要 联合解决大规模反应热化学、动力学和溶剂化问题的高保真量子化学 (QM) 数据集仍然稀缺，特别是对于自由基化学。我们推出了 QuantumPioneer，这是一个以反应为中心的开放式 QM 数据库和小有机分子工作流程，专注于过氧介导的氢原子转移 (HAT) 和相应的均裂键解离反应。 QuantumPioneer 包含 348,258 个物质（2-21 个重原子）、167,237 个经过验证的 HAT 过渡态 (TS) 以及相应的反应能和均解键解离能 (BDE)，以及 295 种溶剂的超过 1 亿个 COSMO-RS 溶剂化自由能 (ΔGsolv*) 和焓 (ΔHsolv*)。该工作流程在单个高通量管道中使用 ωB97X-D/def2-SVP 几何结构、DLPNO–CCSD(T)-F12d/cc-pVTZ-F12 单点能量、经验热化学校正、过渡态理论和 COSMO-RS BP-TZVPD-FINE 溶剂化。我们的基准显示出可靠的准确性，与实验和高水平 QM 参考数据相比，平均绝对误差 (MAE) 为：气相形成焓为 0.82 kcal/mol，C-H BDE 为 1.60 kcal/mol，HAT 势垒为 1.45 kcal/mol，ΔGsolv* 值为 0.57 kcal/mol。我们演示了两种预测应用。首先，我们证明，结合 BDE 和 HAT 屏障模型可以识别实验观察到的类药分子中的氧化降解位点，其 top-5 命中率为 91%，位点级召回率为 82%。其次，我们表明 QM 参数化的 Abraham 模型能够以接近 COSMO-RS 的精度快速估计溶剂化能量</w:t>
      </w:r>
    </w:p>
    <w:p>
      <w:pPr>
        <w:spacing w:before="0" w:after="200" w:lineRule="auto" w:line="276"/>
      </w:pPr>
      <w:r>
        <w:rPr>
          <w:b/>
        </w:rPr>
        <w:t xml:space="preserve">Abstract (EN): </w:t>
      </w:r>
      <w:r>
        <w:t>High-fidelity quantum chemical (QM) data sets that jointly resolve reaction thermochemistry, kinetics, and solvation at scale remain scarce, especially for radical chemistry. We introduce QuantumPioneer, an open-access reaction-centered QM database and workflow for small organic molecules, focused on peroxyl-mediated hydrogen atom transfer (HAT) and the corresponding homolytic bond dissociation reactions. QuantumPioneer contains 348,258 species (2–21 heavy atoms), 167,237 validated HAT transition states (TS) with corresponding reaction energies and homolytic bond dissociation energies (BDEs), and over 100 million COSMO-RS solvation free energies(ΔGsolv*) and enthalpies (ΔHsolv*) across 295 solvents. The workflow uses ωB97X-D/def2-SVP geometries, DLPNO–CCSD(T)-F12d/cc-pVTZ-F12 single-point energies, empirical thermochemical corrections, transition-state theory, and COSMO-RS BP-TZVPD-FINE solvation in a single high-throughput pipeline. Our benchmarks show reliable accuracy, with mean absolute errors (MAEs) compared to experimental and high-level QM reference data of 0.82 kcal/mol for gas-phase enthalpies of formation, 1.60 kcal/mol for C–H BDEs, 1.45 kcal/mol for HAT barriers, and 0.57 kcal/mol for ΔGsolv* values. We demonstrate two predictive applications. First, we show that combining BDE and HAT-barrier models identifies experimentally observed oxidative degradation sites in drug-like molecules with a 91% top-5 hit rate and 82% site-level recall. Second, we show that a QM-parametrized Abraham model enables rapid solvation energy estimates at near-COSMO-RS accuracy within its training domain, reproducing computed ΔGsolv* and ΔHsolv* values with MAEs of 0.16 and 0.18 kcal/mol, respectively, though performance on experimental ΔGsolv*values for unseen solutes was worse, with an MAE of 1.32 kcal/mol. This work provides a scalable template for other reaction families, unifying equilibrium species, validated TS, thermochemistry, kinetics, and solvation into one workflow.</w:t>
      </w:r>
    </w:p>
    <w:p>
      <w:pPr>
        <w:spacing w:before="120" w:after="120"/>
      </w:pPr>
      <w:r>
        <w:rPr>
          <w:sz w:val="18"/>
        </w:rPr>
        <w:t>——————————————————————————————————————————————————————————————————————</w:t>
      </w:r>
    </w:p>
    <w:p>
      <w:pPr>
        <w:spacing w:before="160" w:after="40" w:line="240" w:lineRule="auto"/>
      </w:pPr>
      <w:r>
        <w:rPr>
          <w:b/>
        </w:rPr>
        <w:t xml:space="preserve">[636] </w:t>
      </w:r>
      <w:hyperlink r:id="rId1805">
        <w:r>
          <w:rPr>
            <w:color w:val="1155CC"/>
            <w:u w:val="single"/>
          </w:rPr>
          <w:t>为了保护胎儿，将蛋白质与这些药物连接起来</w:t>
        </w:r>
      </w:hyperlink>
    </w:p>
    <w:p>
      <w:pPr>
        <w:spacing w:before="0" w:after="80"/>
      </w:pPr>
      <w:r>
        <w:rPr>
          <w:i/>
          <w:sz w:val="20"/>
        </w:rPr>
        <w:t>EN: To shield the fetus, link a protein to these drugs</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806">
        <w:r>
          <w:rPr>
            <w:color w:val="1155CC"/>
            <w:u w:val="single"/>
          </w:rPr>
          <w:t>10.1038/d41586-026-02553-x</w:t>
        </w:r>
      </w:hyperlink>
    </w:p>
    <w:p>
      <w:pPr>
        <w:spacing w:before="0" w:after="120"/>
      </w:pPr>
      <w:r>
        <w:rPr>
          <w:b/>
        </w:rPr>
        <w:t xml:space="preserve">Notes: </w:t>
      </w:r>
      <w:r>
        <w:t>abstract_source=rss_nature</w:t>
      </w:r>
    </w:p>
    <w:p>
      <w:pPr>
        <w:spacing w:before="0" w:after="80" w:lineRule="auto" w:line="276"/>
      </w:pPr>
      <w:r>
        <w:rPr>
          <w:b/>
        </w:rPr>
        <w:t xml:space="preserve">摘要（ZH）: </w:t>
      </w:r>
      <w:r>
        <w:t>在流行的基于抗体的药物中添加白蛋白有助于阻止其通过胎盘。</w:t>
      </w:r>
    </w:p>
    <w:p>
      <w:pPr>
        <w:spacing w:before="0" w:after="200" w:lineRule="auto" w:line="276"/>
      </w:pPr>
      <w:r>
        <w:rPr>
          <w:b/>
        </w:rPr>
        <w:t xml:space="preserve">Abstract (EN): </w:t>
      </w:r>
      <w:r>
        <w:t>Adding albumin to popular antibody-based medicines helps to block their passage through the placenta.</w:t>
      </w:r>
    </w:p>
    <w:p>
      <w:pPr>
        <w:spacing w:before="120" w:after="120"/>
      </w:pPr>
      <w:r>
        <w:rPr>
          <w:sz w:val="18"/>
        </w:rPr>
        <w:t>——————————————————————————————————————————————————————————————————————</w:t>
      </w:r>
    </w:p>
    <w:p>
      <w:pPr>
        <w:spacing w:before="160" w:after="40" w:line="240" w:lineRule="auto"/>
      </w:pPr>
      <w:r>
        <w:rPr>
          <w:b/>
        </w:rPr>
        <w:t xml:space="preserve">[637] </w:t>
      </w:r>
      <w:hyperlink r:id="rId1807">
        <w:r>
          <w:rPr>
            <w:color w:val="1155CC"/>
            <w:u w:val="single"/>
          </w:rPr>
          <w:t>建筑进化释放了共价有机框架中埋藏地点的功能潜力</w:t>
        </w:r>
      </w:hyperlink>
    </w:p>
    <w:p>
      <w:pPr>
        <w:spacing w:before="0" w:after="80"/>
      </w:pPr>
      <w:r>
        <w:rPr>
          <w:i/>
          <w:sz w:val="20"/>
        </w:rPr>
        <w:t>EN: Architectural Evolution Unlocks the Functional Potential of Buried Sites in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08">
        <w:r>
          <w:rPr>
            <w:color w:val="1155CC"/>
            <w:u w:val="single"/>
          </w:rPr>
          <w:t>10.1021/jacs.6c11748</w:t>
        </w:r>
      </w:hyperlink>
    </w:p>
    <w:p>
      <w:pPr>
        <w:spacing w:before="0" w:after="120"/>
      </w:pPr>
      <w:r>
        <w:rPr>
          <w:b/>
        </w:rPr>
        <w:t xml:space="preserve">Notes: </w:t>
      </w:r>
      <w:r>
        <w:t>abstract_source=crossref</w:t>
      </w:r>
    </w:p>
    <w:p>
      <w:pPr>
        <w:spacing w:before="0" w:after="80" w:lineRule="auto" w:line="276"/>
      </w:pPr>
      <w:r>
        <w:rPr>
          <w:b/>
        </w:rPr>
        <w:t xml:space="preserve">摘要（ZH）: </w:t>
      </w:r>
      <w:r>
        <w:t>摘要 在共价有机框架（COF）中，框架结构如何调节化学存在但空间受限的位点的功能可及性仍然知之甚少。在这里，通过巧妙地修改一个构建单元，我们合成了三种化学相关的亚胺连接的 COF，它们跨越了从分层 2D kgm 和 2D sql 框架到纠缠的 3D sql 框架的架构序列。这种结构的演变破坏了扩展的平面堆积，减少了亚胺键周围的限制，并生成了一个相互连接的、可与水接触的孔隙网络。与这些结构特征一致，尽管总吸水量仅略有增加，但纠缠的 3D COF 的质子电导率比两层类似物高出约 5 个数量级。随后亚胺键温和氧化为酰胺键，进一步增强了质子传输，同时很大程度上保留了缠结框架的结晶度。这项工作表明，结构演化可以激活埋藏极性连接的潜在功能，为功能性多孔材料提供了设计原则。</w:t>
      </w:r>
    </w:p>
    <w:p>
      <w:pPr>
        <w:spacing w:before="0" w:after="200" w:lineRule="auto" w:line="276"/>
      </w:pPr>
      <w:r>
        <w:rPr>
          <w:b/>
        </w:rPr>
        <w:t xml:space="preserve">Abstract (EN): </w:t>
      </w:r>
      <w:r>
        <w:t>In covalent organic frameworks (COFs), how framework architecture regulates the functional accessibility of chemically present yet spatially confined sites remains poorly understood. Here, by subtly modifying one building unit, we synthesized three chemically related imine-linked COFs that span an architectural sequence from layered 2D kgm and 2D sql frameworks to an entangled 3D sql framework. This architectural evolution disrupts extended planar packing, reduces confinement around the imine linkages, and generates an interconnected, water-accessible pore network. Consistent with these architectural features, the entangled 3D COF exhibits a proton conductivity approximately 5 orders of magnitude higher than those of the two layered analogues, despite only a modest increase in total water uptake. Subsequent mild oxidation of imine linkages to amide linkages further enhanced proton transport while largely preserving the crystallinity of the entangled framework. This work demonstrates that architectural evolution can activate the latent functionality of buried polar linkages, providing a design principle for functional porous materials.</w:t>
      </w:r>
    </w:p>
    <w:p>
      <w:pPr>
        <w:spacing w:before="120" w:after="120"/>
      </w:pPr>
      <w:r>
        <w:rPr>
          <w:sz w:val="18"/>
        </w:rPr>
        <w:t>——————————————————————————————————————————————————————————————————————</w:t>
      </w:r>
    </w:p>
    <w:p>
      <w:pPr>
        <w:spacing w:before="160" w:after="40" w:line="240" w:lineRule="auto"/>
      </w:pPr>
      <w:r>
        <w:rPr>
          <w:b/>
        </w:rPr>
        <w:t xml:space="preserve">[638] </w:t>
      </w:r>
      <w:hyperlink r:id="rId1809">
        <w:r>
          <w:rPr>
            <w:color w:val="1155CC"/>
            <w:u w:val="single"/>
          </w:rPr>
          <w:t>重新定义空气-水界面上的纤维蛋白原自组装：一个有趣的多层故事</w:t>
        </w:r>
      </w:hyperlink>
    </w:p>
    <w:p>
      <w:pPr>
        <w:spacing w:before="0" w:after="80"/>
      </w:pPr>
      <w:r>
        <w:rPr>
          <w:i/>
          <w:sz w:val="20"/>
        </w:rPr>
        <w:t>EN: Redefining Fibrinogen Self-Assembly at the Air–Water Interface: An Intriguing Story with Multiple Layers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10">
        <w:r>
          <w:rPr>
            <w:color w:val="1155CC"/>
            <w:u w:val="single"/>
          </w:rPr>
          <w:t>10.1021/jacs.6c11928</w:t>
        </w:r>
      </w:hyperlink>
    </w:p>
    <w:p>
      <w:pPr>
        <w:spacing w:before="0" w:after="120"/>
      </w:pPr>
      <w:r>
        <w:rPr>
          <w:b/>
        </w:rPr>
        <w:t xml:space="preserve">Notes: </w:t>
      </w:r>
      <w:r>
        <w:t>abstract_source=crossref</w:t>
      </w:r>
    </w:p>
    <w:p>
      <w:pPr>
        <w:spacing w:before="0" w:after="80" w:lineRule="auto" w:line="276"/>
      </w:pPr>
      <w:r>
        <w:rPr>
          <w:b/>
        </w:rPr>
        <w:t xml:space="preserve">摘要（ZH）: </w:t>
      </w:r>
      <w:r>
        <w:t>摘要：利用中子反射测量和补充技术，在流体界面上解析了凝血糖蛋白纤维蛋白原的层层自组装结构，揭示了与长期建立的吸附模型相矛盾的意想不到的机制。广泛接受的单层倾斜模型是二十多年前根据椭圆光度数据推断出来的，涉及单层纤维蛋白原分子从平行于界面逐渐倾斜，增加界面覆盖率，直到饱和时，分子采用更垂直的构象。我们的新结构框架具有根本的不同，因为纤维蛋白原明确地显示为与多个离散层中的界面平行取向，并且随着体积浓度的增加，层厚度增加，浸没层的覆盖范围更大，并且在某些情况下还存在附加层。不同的层厚度归因于界面处不同单体/二聚体相互作用的构象自由度的变化。从分子间静电相互作用、氢键和水合以及构象适应性方面讨论了层层自组装的驱动力。我们的新模型的普遍相关性通过在酸性和碱性缓冲液中在各种体积浓度和不同离子强度下进行的实验数据得到证明。我们的新发现对界面蛋白行为具有广泛的影响，因为它们有助于解释通过结痂形式密封开放性伤口的机制</w:t>
      </w:r>
    </w:p>
    <w:p>
      <w:pPr>
        <w:spacing w:before="0" w:after="200" w:lineRule="auto" w:line="276"/>
      </w:pPr>
      <w:r>
        <w:rPr>
          <w:b/>
        </w:rPr>
        <w:t xml:space="preserve">Abstract (EN): </w:t>
      </w:r>
      <w:r>
        <w:t>Layer-by-layer self-assembled structures of the blood-clotting glycoprotein fibrinogen have been resolved at a fluid interface using neutron reflectometry and complementary techniques to reveal an unexpected mechanism that contradicts a long-established adsorption model. The widely accepted monolayer tilt model, inferred over two decades ago from ellipsometry data, involves progressive tilting of a monolayer of fibrinogen molecules from parallel with the interface with increasing interfacial coverage until, at saturation, the molecules adopt a more vertical conformation. Our new structural framework is fundamentally different in that fibrinogen is shown unequivocally to orient parallel with the interface in multiple discrete layers, and, with increasing bulk concentration, there is enhanced layer thickness, greater coverage of the submerged layers and, in cases, the presence of additional layers. The varying layer thickness is attributed to changes in the conformational freedom of different monomer/dimer interactions at the interface. The driving forces for the layer-by-layer self-assembly are discussed in terms of intermolecular electrostatic interactions, hydrogen bonding and hydration, and conformational adaptability. The universal relevance of our new model is demonstrated by data from experiments performed in acidic and basic buffers over a wide range of bulk concentrations and at different ionic strengths. Our new findings have broad implications for interfacial protein behavior, as they help to explain the mechanism of sealing open wounds through scab formation at the protein-rich fluid interface of blood, the enhanced competition for interfacial area from plasma proteins over phospholipids impairing lung function in patients with acute respiratory distress syndrome, and the strong innate immune recognition in nanoparticle protein coronas.</w:t>
      </w:r>
    </w:p>
    <w:p>
      <w:pPr>
        <w:spacing w:before="120" w:after="120"/>
      </w:pPr>
      <w:r>
        <w:rPr>
          <w:sz w:val="18"/>
        </w:rPr>
        <w:t>——————————————————————————————————————————————————————————————————————</w:t>
      </w:r>
    </w:p>
    <w:p>
      <w:pPr>
        <w:spacing w:before="160" w:after="40" w:line="240" w:lineRule="auto"/>
      </w:pPr>
      <w:r>
        <w:rPr>
          <w:b/>
        </w:rPr>
        <w:t xml:space="preserve">[639] </w:t>
      </w:r>
      <w:hyperlink r:id="rId1811">
        <w:r>
          <w:rPr>
            <w:color w:val="1155CC"/>
            <w:u w:val="single"/>
          </w:rPr>
          <w:t>使用高分辨率光电子能谱探讨 HCCH–H2CC 异构化中分子内振动能量重新分布的量子性质</w:t>
        </w:r>
      </w:hyperlink>
    </w:p>
    <w:p>
      <w:pPr>
        <w:spacing w:before="0" w:after="80"/>
      </w:pPr>
      <w:r>
        <w:rPr>
          <w:i/>
          <w:sz w:val="20"/>
        </w:rPr>
        <w:t>EN: Probing the Quantum Nature of Intramolecular Vibrational Energy Redistribution in HCCH–H2CC Isomerization Using High-Resolution Photoelectron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12">
        <w:r>
          <w:rPr>
            <w:color w:val="1155CC"/>
            <w:u w:val="single"/>
          </w:rPr>
          <w:t>10.1021/jacs.6c07569</w:t>
        </w:r>
      </w:hyperlink>
    </w:p>
    <w:p>
      <w:pPr>
        <w:spacing w:before="0" w:after="120"/>
      </w:pPr>
      <w:r>
        <w:rPr>
          <w:b/>
        </w:rPr>
        <w:t xml:space="preserve">Notes: </w:t>
      </w:r>
      <w:r>
        <w:t>abstract_source=crossref</w:t>
      </w:r>
    </w:p>
    <w:p>
      <w:pPr>
        <w:spacing w:before="0" w:after="80" w:lineRule="auto" w:line="276"/>
      </w:pPr>
      <w:r>
        <w:rPr>
          <w:b/>
        </w:rPr>
        <w:t xml:space="preserve">摘要（ZH）: </w:t>
      </w:r>
      <w:r>
        <w:t>摘要：利用低温冷却阴离子 (cryo-SEVI) 慢电子速度图成像的变化，报道了亚乙烯基阴离子（H2CC– 和 D2CC–）的高分辨率光电子能谱。这项工作建立在之前旨在探索中性 H2CC 和 HCCH 异构体之间耦合的研究的基础上。具有改进的冷却和信号水平的单光子光脱离 (PD) 光谱可探测到 H2CC 振动能级的非常微弱的跃迁，其中 ν6 摇摆模式被激发；这是与异构化耦合最强烈的振动模式。此外，还进行了振动共振双光子分离（VR2PD）实验，探测从振动激发阴离子能级到相同中性ν6态和中性亚乙烯基的其他低振动能级的PD。实验光谱显示，H2CC→HCCH 异构化的预测势垒高度附近的光谱复杂度有清晰的边界，表明势垒上方的亚乙烯基和乙炔态强烈混合，而势垒下方的态主要集中在各自的井中。然而，这种混合在 D2CC– 的冷冻 SEVI 光谱中基本上不存在。与基于精确全维势能面的量子动力学计算进行比较，可以深入了解H2CC-HCCH异构化反应与亚乙烯基振动结构之间的联系，揭示该原型系统量子态空间中分子内振动能量流的路径。</w:t>
      </w:r>
    </w:p>
    <w:p>
      <w:pPr>
        <w:spacing w:before="0" w:after="200" w:lineRule="auto" w:line="276"/>
      </w:pPr>
      <w:r>
        <w:rPr>
          <w:b/>
        </w:rPr>
        <w:t xml:space="preserve">Abstract (EN): </w:t>
      </w:r>
      <w:r>
        <w:t>High resolution photoelectron spectra of vinylidene anions (H2CC– and D2CC–) are reported using variations on slow electron velocity-map imaging of cryogenically cooled anions (cryo-SEVI). This work builds on previous studies aimed at exploring the coupling between neutral H2CC and HCCH isomers. One-photon photodetachment (PD) spectra with improved cooling and signal levels probe very weak transitions to vibrational levels of H2CC in which the ν6 rocking mode is excited; this is the vibrational mode most strongly coupled to isomerization. In addition, vibrationally resonant two-photon detachment (VR2PD) experiments are carried out that probe PD from vibrationally excited anion levels to the same neutral ν6 states and other low-lying vibrational levels of neutral vinylidene. The experimental spectra show a clear boundary in spectral complexity near the predicted barrier height for H2CC→HCCH isomerization, indicating that vinylidene and acetylene states above the barrier are strongly mixed whereas states below the barrier are largely localized in their respective wells. This mixing is, however, largely absent in the cryo-SEVI spectra of D2CC–. Comparison with quantum dynamics calculations based on an accurate full dimensional potential energy surface provides insight into the connection between the H2CC–HCCH isomerization reaction and the vibrational structure of vinylidene, revealing pathways of intramolecular vibrational energy flow in the quantum state space of this prototypical system.</w:t>
      </w:r>
    </w:p>
    <w:p>
      <w:pPr>
        <w:spacing w:before="120" w:after="120"/>
      </w:pPr>
      <w:r>
        <w:rPr>
          <w:sz w:val="18"/>
        </w:rPr>
        <w:t>——————————————————————————————————————————————————————————————————————</w:t>
      </w:r>
    </w:p>
    <w:p>
      <w:pPr>
        <w:spacing w:before="160" w:after="40" w:line="240" w:lineRule="auto"/>
      </w:pPr>
      <w:r>
        <w:rPr>
          <w:b/>
        </w:rPr>
        <w:t xml:space="preserve">[640] </w:t>
      </w:r>
      <w:hyperlink r:id="rId1813">
        <w:r>
          <w:rPr>
            <w:color w:val="1155CC"/>
            <w:u w:val="single"/>
          </w:rPr>
          <w:t>结合 2D 单晶 COF 的膜可实现卓越的分离性能：3D 图像信息反作用力场建模和可扩展混合矩阵系统</w:t>
        </w:r>
      </w:hyperlink>
    </w:p>
    <w:p>
      <w:pPr>
        <w:spacing w:before="0" w:after="80"/>
      </w:pPr>
      <w:r>
        <w:rPr>
          <w:i/>
          <w:sz w:val="20"/>
        </w:rPr>
        <w:t>EN: Membranes Incorporating 2D Single-Crystalline COFs for Superior Separation Performance: 3D Image-Informed Reactive Force Field Modeling and Scalable Mixed-Matrix Systems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14">
        <w:r>
          <w:rPr>
            <w:color w:val="1155CC"/>
            <w:u w:val="single"/>
          </w:rPr>
          <w:t>10.1021/jacs.6c10184</w:t>
        </w:r>
      </w:hyperlink>
    </w:p>
    <w:p>
      <w:pPr>
        <w:spacing w:before="0" w:after="120"/>
      </w:pPr>
      <w:r>
        <w:rPr>
          <w:b/>
        </w:rPr>
        <w:t xml:space="preserve">Notes: </w:t>
      </w:r>
      <w:r>
        <w:t>abstract_source=crossref</w:t>
      </w:r>
    </w:p>
    <w:p>
      <w:pPr>
        <w:spacing w:before="0" w:after="80" w:lineRule="auto" w:line="276"/>
      </w:pPr>
      <w:r>
        <w:rPr>
          <w:b/>
        </w:rPr>
        <w:t xml:space="preserve">摘要（ZH）: </w:t>
      </w:r>
      <w:r>
        <w:t>摘要 将原子级精确的材料设计与可扩展的膜制造结合起来仍然是分离科学中的一个核心挑战。二维共价有机框架（2D COF）提供可调节的孔隙率和化学性质，但较差的结晶度和可加工性限制了它们在膜中的性能。在这里，我们证明，将单晶 2D COF 融入阳极氧化铝载体和可扩展的混合基质膜中，可实现卓越的分离性能，实现超高渗透性（MMM-SC-0.6：己烷和甲醇分别为 8764 和 4531 L m–2 h–1 bar–1）以及对纳米级溶质的近乎定量的截留。通过多层 COF 模型进行的反作用力场模拟揭示了通过空间选通实现快速溶剂传输和尺寸选择性的起源。这些结果将高度结晶的 COF 确立为实用的高性能膜材料，并为化学、环境和工业技术领域的节能分离指明了新途径。</w:t>
      </w:r>
    </w:p>
    <w:p>
      <w:pPr>
        <w:spacing w:before="0" w:after="200" w:lineRule="auto" w:line="276"/>
      </w:pPr>
      <w:r>
        <w:rPr>
          <w:b/>
        </w:rPr>
        <w:t xml:space="preserve">Abstract (EN): </w:t>
      </w:r>
      <w:r>
        <w:t>Bridging atomically precise materials design with scalable membrane manufacturing remains a central challenge in separation science. Two-dimensional covalent organic frameworks (2D COFs) offer tunable porosity and chemistry, but poor crystallinity and processability have limited their performance in membranes. Here we demonstrate that incorporating single-crystalline 2D COFs into anodic aluminum oxide supports and scalable mixed-matrix membrane enables exceptional separation performance, achieving ultrahigh permeance (MMM-SC-0.6: 8764 and 4531 L m–2 h–1 bar–1 for hexane and methanol, respectively) and near-quantitative rejection of nanoscale solutes. Reactive force field simulations through a multilayer COF model reveal the origins of rapid solvent transport and size selectivity through steric gating. These results establish highly crystalline COFs as practical, high-performance membrane materials and point to new routes for energy-efficient separations across chemical, environmental, and industrial technologies.</w:t>
      </w:r>
    </w:p>
    <w:p>
      <w:pPr>
        <w:spacing w:before="120" w:after="120"/>
      </w:pPr>
      <w:r>
        <w:rPr>
          <w:sz w:val="18"/>
        </w:rPr>
        <w:t>——————————————————————————————————————————————————————————————————————</w:t>
      </w:r>
    </w:p>
    <w:p>
      <w:pPr>
        <w:spacing w:before="160" w:after="40" w:line="240" w:lineRule="auto"/>
      </w:pPr>
      <w:r>
        <w:rPr>
          <w:b/>
        </w:rPr>
        <w:t xml:space="preserve">[641] </w:t>
      </w:r>
      <w:hyperlink r:id="rId1815">
        <w:r>
          <w:rPr>
            <w:color w:val="1155CC"/>
            <w:u w:val="single"/>
          </w:rPr>
          <w:t>[M(二亚胺)(二硫醇盐)]配合物的不同激发态中结构重组与金属-配体共价之间的相互作用</w:t>
        </w:r>
      </w:hyperlink>
    </w:p>
    <w:p>
      <w:pPr>
        <w:spacing w:before="0" w:after="80"/>
      </w:pPr>
      <w:r>
        <w:rPr>
          <w:i/>
          <w:sz w:val="20"/>
        </w:rPr>
        <w:t>EN: Interplay between Structural Reorganization and Metal – Ligand Covalency in the Distinct Excited States of [M(diimine)(dithiolate)]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16">
        <w:r>
          <w:rPr>
            <w:color w:val="1155CC"/>
            <w:u w:val="single"/>
          </w:rPr>
          <w:t>10.1021/jacs.6c08363</w:t>
        </w:r>
      </w:hyperlink>
    </w:p>
    <w:p>
      <w:pPr>
        <w:spacing w:before="0" w:after="120"/>
      </w:pPr>
      <w:r>
        <w:rPr>
          <w:b/>
        </w:rPr>
        <w:t xml:space="preserve">Notes: </w:t>
      </w:r>
      <w:r>
        <w:t>abstract_source=crossref</w:t>
      </w:r>
    </w:p>
    <w:p>
      <w:pPr>
        <w:spacing w:before="0" w:after="80" w:lineRule="auto" w:line="276"/>
      </w:pPr>
      <w:r>
        <w:rPr>
          <w:b/>
        </w:rPr>
        <w:t xml:space="preserve">摘要（ZH）: </w:t>
      </w:r>
      <w:r>
        <w:t>摘要 这项工作确定了共价金属-配体相互作用对联吡啶 (bpy) 和 1,2-二硫醇苯 (bdt) 配体的平面 [M(二亚胺)(二硫醇盐)] 配合物 (M = Pt, Ni) 激发态的影响。由于不成比例的强金属-二硫醇盐轨道混合，Pt(II)配合物的长寿命激发态长期以来被推测具有金属和二硫醇盐配体→二亚胺配体电荷转移（MLL'CT）特征，而不发光的Ni(II)络合物的较短寿命激发态的性质尚未被研究。本文提出了时间分辨 Pt 2p（L3 边缘）X 射线吸收近边缘结构 (XANES) 光谱，以明确证明金属中心和二硫醇配体之间的强轨道重叠产生了 [Pt(bpy)(bdt)] 中长寿命激发态的 MLL'CT 特征。对于 [Ni(bpy)(bdt)]，超快瞬态 Ni 1s（K 边缘）XANES 用于解析 MLL’CT 激励后的电子和结构弛豫动力学。结合电子结构计算，结果表明[Ni(bpy)(bdt)]中的低位Ni 3dyz轨道有利于亚皮秒形成配体场态对称的亚稳态三重激发态（3LF）。四面体结构弛豫动态地改变了不同的Ni-二亚胺和Ni-二硫醇共价，从而调节所产生的激发态电荷分布。发现完全松弛的 3LF 态的 Ni-and-bpy → bdt 电荷转移特性可以逆转配体到配体电荷转移所建立的方向性</w:t>
      </w:r>
    </w:p>
    <w:p>
      <w:pPr>
        <w:spacing w:before="0" w:after="200" w:lineRule="auto" w:line="276"/>
      </w:pPr>
      <w:r>
        <w:rPr>
          <w:b/>
        </w:rPr>
        <w:t xml:space="preserve">Abstract (EN): </w:t>
      </w:r>
      <w:r>
        <w:t>This work identifies the impact of covalent metal–ligand interactions on the excited states of planar [M(diimine)(dithiolate)] complexes (M = Pt, Ni) with bipyridyl (bpy) and benzene-1,2-dithiolate (bdt) ligands. The long-lived excited states of the Pt(II) complexes have long been surmised to have metal-and-dithiolate ligand → diimine ligand charge transfer (MLL’CT) character due to disproportionately strong metal–dithiolate orbital mixing, whereas the nature of the shorter-lived excited states of the nonluminescent Ni(II) complexes has not been investigated. Time-resolved Pt 2p (L3-edge) X-ray absorption near-edge structure (XANES) spectroscopy is presented herein to definitively prove that strong orbital overlap between the metal center and dithiolate ligand yields the MLL’CT character of the long-lived excited state in [Pt(bpy)(bdt)]. For [Ni(bpy)(bdt)], ultrafast transient Ni 1s (K-edge) XANES is used to resolve the electronic and structural relaxation dynamics following MLL’CT excitation. Combined with electronic structure calculations, the results show that the low-lying Ni 3dyz orbital in [Ni(bpy)(bdt)] facilitates subpicosecond formation of a metastable triplet excited state with ligand field state symmetry (3LF). Tetrahedral structural relaxation dynamically alters the differential Ni–diimine and Ni–dithiolate covalencies and thereby modulates the resulting excited state charge distribution. The Ni-and-bpy → bdt charge transfer character of the fully relaxed 3LF state is found to reverse the directionality of the ligand-to-ligand charge transfer established for the 3MLL’CT state of the Pt congener. Altogether, these results demonstrate that inequivalent metal–ligand covalencies in mixed-ligand donor–acceptor complexes could be applied to control excited state charge distributions within photoactive transition metal complexes.</w:t>
      </w:r>
    </w:p>
    <w:p>
      <w:pPr>
        <w:spacing w:before="120" w:after="120"/>
      </w:pPr>
      <w:r>
        <w:rPr>
          <w:sz w:val="18"/>
        </w:rPr>
        <w:t>——————————————————————————————————————————————————————————————————————</w:t>
      </w:r>
    </w:p>
    <w:p>
      <w:pPr>
        <w:spacing w:before="160" w:after="40" w:line="240" w:lineRule="auto"/>
      </w:pPr>
      <w:r>
        <w:rPr>
          <w:b/>
        </w:rPr>
        <w:t xml:space="preserve">[642] </w:t>
      </w:r>
      <w:hyperlink r:id="rId1817">
        <w:r>
          <w:rPr>
            <w:color w:val="1155CC"/>
            <w:u w:val="single"/>
          </w:rPr>
          <w:t>反应条件下稀合金催化剂稳定性的影响因素</w:t>
        </w:r>
      </w:hyperlink>
    </w:p>
    <w:p>
      <w:pPr>
        <w:spacing w:before="0" w:after="80"/>
      </w:pPr>
      <w:r>
        <w:rPr>
          <w:i/>
          <w:sz w:val="20"/>
        </w:rPr>
        <w:t>EN: Factors Governing the Stability of Dilute Alloy Catalysts under Reaction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18">
        <w:r>
          <w:rPr>
            <w:color w:val="1155CC"/>
            <w:u w:val="single"/>
          </w:rPr>
          <w:t>10.1021/jacs.6c08649</w:t>
        </w:r>
      </w:hyperlink>
    </w:p>
    <w:p>
      <w:pPr>
        <w:spacing w:before="0" w:after="120"/>
      </w:pPr>
      <w:r>
        <w:rPr>
          <w:b/>
        </w:rPr>
        <w:t xml:space="preserve">Notes: </w:t>
      </w:r>
      <w:r>
        <w:t>abstract_source=crossref</w:t>
      </w:r>
    </w:p>
    <w:p>
      <w:pPr>
        <w:spacing w:before="0" w:after="80" w:lineRule="auto" w:line="276"/>
      </w:pPr>
      <w:r>
        <w:rPr>
          <w:b/>
        </w:rPr>
        <w:t xml:space="preserve">摘要（ZH）: </w:t>
      </w:r>
      <w:r>
        <w:t>摘要 稀合金催化剂通常由分散在惰性更强的基质金属中的少量催化活性掺杂金属组成，是一类有前途的材料，可以潜在地规避传统催化剂的结垢关系限制。尽管最近的努力已经成功地发现了可以由稀合金催化剂催化的独特化学物质，但对这些催化剂在反应条件下的稳定性的关注相对较少。在这篇文章中，我们研究了不同稀合金催化剂的稳定性随反应条件的变化。我们表明，吸附物的特性和合金金属的混溶性是控制稀合金催化剂热稳定性的两个重要因素。我们表明，通过将掺杂剂原子固定在表面，与活性位点结合更牢固的吸附剂表现出更高的稳定性，而掺杂剂和主体金属之间的不混溶性减轻了表面掺杂剂原子溶解到主体金属块中，从而保留了表面掺杂剂原子。</w:t>
      </w:r>
    </w:p>
    <w:p>
      <w:pPr>
        <w:spacing w:before="0" w:after="200" w:lineRule="auto" w:line="276"/>
      </w:pPr>
      <w:r>
        <w:rPr>
          <w:b/>
        </w:rPr>
        <w:t xml:space="preserve">Abstract (EN): </w:t>
      </w:r>
      <w:r>
        <w:t>Dilute alloy catalysts, typically consisting of a small amount of catalytically active dopant metal dispersed in a more inert host metal, are a promising class of materials that can potentially circumvent the scaling-relation limitations of conventional catalysts. Although recent efforts have succeeded in discovering unique chemistries that can be catalyzed by dilute alloy catalysts, relatively little attention has been given to the stability of these catalysts under reaction conditions. In this contribution, we study the stability of different dilute alloy catalysts as a function of reaction conditions. We show that the identity of the adsorbate and the miscibility of the alloying metals are two important factors that govern the thermal stability of dilute alloy catalysts. We show that adsorbates that bind more strongly to the active sites exhibit an improved stability by pinning the dopant atoms at the surface, while the immiscibility between the dopant and host metals mitigates the dissolution of surface dopant atoms into the host-metal bulk, thereby preserving the surface dopant atoms.</w:t>
      </w:r>
    </w:p>
    <w:p>
      <w:pPr>
        <w:spacing w:before="120" w:after="120"/>
      </w:pPr>
      <w:r>
        <w:rPr>
          <w:sz w:val="18"/>
        </w:rPr>
        <w:t>——————————————————————————————————————————————————————————————————————</w:t>
      </w:r>
    </w:p>
    <w:p>
      <w:pPr>
        <w:spacing w:before="160" w:after="40" w:line="240" w:lineRule="auto"/>
      </w:pPr>
      <w:r>
        <w:rPr>
          <w:b/>
        </w:rPr>
        <w:t xml:space="preserve">[643] </w:t>
      </w:r>
      <w:hyperlink r:id="rId1819">
        <w:r>
          <w:rPr>
            <w:color w:val="1155CC"/>
            <w:u w:val="single"/>
          </w:rPr>
          <w:t>基于天冬氨酰 β-转角的二铑 (II) 金属肽对 Z-二取代烯烃的催化对映选择性氮丙啶化及催化剂支架多功能性的评估</w:t>
        </w:r>
      </w:hyperlink>
    </w:p>
    <w:p>
      <w:pPr>
        <w:spacing w:before="0" w:after="80"/>
      </w:pPr>
      <w:r>
        <w:rPr>
          <w:i/>
          <w:sz w:val="20"/>
        </w:rPr>
        <w:t>EN: Catalytic Enantioselective Aziridination of Z -Disubstituted Alkenes with Aspartyl β-Turn-Based Dirhodium(II) Metallopeptides and Assessment of Catalyst Scaffold Versatility</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20">
        <w:r>
          <w:rPr>
            <w:color w:val="1155CC"/>
            <w:u w:val="single"/>
          </w:rPr>
          <w:t>10.1021/jacs.6c10875</w:t>
        </w:r>
      </w:hyperlink>
    </w:p>
    <w:p>
      <w:pPr>
        <w:spacing w:before="0" w:after="120"/>
      </w:pPr>
      <w:r>
        <w:rPr>
          <w:b/>
        </w:rPr>
        <w:t xml:space="preserve">Notes: </w:t>
      </w:r>
      <w:r>
        <w:t>abstract_source=crossref</w:t>
      </w:r>
    </w:p>
    <w:p>
      <w:pPr>
        <w:spacing w:before="0" w:after="80" w:lineRule="auto" w:line="276"/>
      </w:pPr>
      <w:r>
        <w:rPr>
          <w:b/>
        </w:rPr>
        <w:t xml:space="preserve">摘要（ZH）: </w:t>
      </w:r>
      <w:r>
        <w:t>摘要：我们报道了开链 Z-二取代烯烃的对映选择性氮丙啶化反应，该反应由具有精细调节的 β 转角偏向肽基配体的二铑 (II) 金属肽实现。该方法可提供高达 99:1 的顺式氮丙啶，并对不同的芳基取代模式和外围官能团表现出广泛的耐受性。同时，我们探索了一个数据科学模型，该模型揭示了分子特征的模式，这些模式反映了二铑（II）金属肽催化的两个氮宾转移反应的对映选择性：此处报道的氮丙啶化反应和相关的苄基胺化反应。该模型针对催化剂和底物的分子描述符进行训练，并用于解释两个反应之间的差异。通过将新的合成方法与交叉反应、数据科学驱动的建模联系起来，这项研究既提供了获得有价值的氮丙啶支架的有效途径，也提供了分析跨机制多样化转化的对映体诱导的框架。</w:t>
      </w:r>
    </w:p>
    <w:p>
      <w:pPr>
        <w:spacing w:before="0" w:after="200" w:lineRule="auto" w:line="276"/>
      </w:pPr>
      <w:r>
        <w:rPr>
          <w:b/>
        </w:rPr>
        <w:t xml:space="preserve">Abstract (EN): </w:t>
      </w:r>
      <w:r>
        <w:t>We report an enantioselective aziridination of open-chain Z-disubstituted alkenes, enabled by a dirhodium(II) metallopeptide featuring finely tuned, β-turn-biased peptidyl ligands. This method affords cis-aziridines in up to 99:1 er and exhibits broad tolerance toward diverse aryl substitution patterns and peripheral functional groups. In conjunction, we explore a data science model that uncovers patterns in molecular features that reflect enantioselectivity across two nitrene transfer reactions catalyzed by dirhodium(II) metallopeptides: the aziridination reported here and a related benzylic amination reaction. This model is trained on molecular descriptors of both catalysts and substrates and used to interpret the differences between the two reactions. By linking a new synthetic methodology to cross-reaction, data science-driven modeling, this study offers both an efficient route to valuable aziridine scaffolds and a framework for analyzing enantioinduction across mechanistically diverse transformations.</w:t>
      </w:r>
    </w:p>
    <w:p>
      <w:pPr>
        <w:spacing w:before="120" w:after="120"/>
      </w:pPr>
      <w:r>
        <w:rPr>
          <w:sz w:val="18"/>
        </w:rPr>
        <w:t>——————————————————————————————————————————————————————————————————————</w:t>
      </w:r>
    </w:p>
    <w:p>
      <w:pPr>
        <w:spacing w:before="160" w:after="40" w:line="240" w:lineRule="auto"/>
      </w:pPr>
      <w:r>
        <w:rPr>
          <w:b/>
        </w:rPr>
        <w:t xml:space="preserve">[644] </w:t>
      </w:r>
      <w:hyperlink r:id="rId1821">
        <w:r>
          <w:rPr>
            <w:color w:val="1155CC"/>
            <w:u w:val="single"/>
          </w:rPr>
          <w:t>杂原子均裂取代合成二烷基醚</w:t>
        </w:r>
      </w:hyperlink>
    </w:p>
    <w:p>
      <w:pPr>
        <w:spacing w:before="0" w:after="80"/>
      </w:pPr>
      <w:r>
        <w:rPr>
          <w:i/>
          <w:sz w:val="20"/>
        </w:rPr>
        <w:t>EN: Dialkyl ether synthesis through heteroatom homolytic substitution</w:t>
      </w:r>
    </w:p>
    <w:p>
      <w:pPr>
        <w:spacing w:before="0" w:after="120"/>
      </w:pPr>
      <w:r>
        <w:rPr>
          <w:b/>
        </w:rPr>
        <w:t xml:space="preserve">Source: </w:t>
      </w:r>
      <w:r>
        <w:t>Nature</w:t>
      </w:r>
      <w:r>
        <w:t xml:space="preserve">    </w:t>
      </w:r>
      <w:r>
        <w:rPr>
          <w:b/>
        </w:rPr>
        <w:t xml:space="preserve">Pub date: </w:t>
      </w:r>
      <w:r>
        <w:t>2026-08-20 00:00:00+00:00</w:t>
      </w:r>
      <w:r>
        <w:t xml:space="preserve">    </w:t>
      </w:r>
      <w:r>
        <w:rPr>
          <w:b/>
        </w:rPr>
        <w:t xml:space="preserve">DOI: </w:t>
      </w:r>
      <w:hyperlink r:id="rId1822">
        <w:r>
          <w:rPr>
            <w:color w:val="1155CC"/>
            <w:u w:val="single"/>
          </w:rPr>
          <w:t>10.1038/s41586-026-11043-z</w:t>
        </w:r>
      </w:hyperlink>
    </w:p>
    <w:p>
      <w:pPr>
        <w:spacing w:before="0" w:after="120"/>
      </w:pPr>
      <w:r>
        <w:rPr>
          <w:b/>
        </w:rPr>
        <w:t xml:space="preserve">Notes: </w:t>
      </w:r>
      <w:r>
        <w:t>abstract_source=nature_html</w:t>
      </w:r>
    </w:p>
    <w:p>
      <w:pPr>
        <w:spacing w:before="0" w:after="80" w:lineRule="auto" w:line="276"/>
      </w:pPr>
      <w:r>
        <w:rPr>
          <w:b/>
        </w:rPr>
        <w:t xml:space="preserve">摘要（ZH）: </w:t>
      </w:r>
      <w:r>
        <w:t>二烷基醚的模块化和选择性合成，特别是空间拥挤的变体，仍然是药物发现和药物化学领域的长期挑战。1,2 鉴于受阻烷基醚在生物活性天然产物中的普遍存在和有利的物理化学性质，它们尤其受欢迎。3 传统上，二烷基醚合成依赖于亲核取代策略；然而，SN2 反应从根本上受到过渡态空间拥挤的限制，而 SN1 途径通过容易消除、重排和立体信息丢失的混杂碳阳离子中间体进行。4-6 在此，我们报告了一种基于自由基的通用二烷基醚合成范例，该范例通过未充分利用的杂原子均裂取代 (het-SH2) 机制实现。这种机械范式通过利用在温和条件下产生的对成键过渡态空间拥挤不敏感的碳中心自由基，克服了经典极性取代化学的内在局限性。利用钛基催化平台与可见光光氧化还原催化相结合，我们证明了羧酸衍生的氧化还原活性酯与醇在广泛的取代模式下的有效偶联，包括3°–2°、3°–1°、2°–2°和2°–1°结构。该策略允许进入通过传统方法基本上无法进入的二烷基醚化学空间，包括空间要求高的 BCP 醚生物等排体，并实现复杂制药的后期多样化</w:t>
      </w:r>
    </w:p>
    <w:p>
      <w:pPr>
        <w:spacing w:before="0" w:after="200" w:lineRule="auto" w:line="276"/>
      </w:pPr>
      <w:r>
        <w:rPr>
          <w:b/>
        </w:rPr>
        <w:t xml:space="preserve">Abstract (EN): </w:t>
      </w:r>
      <w:r>
        <w:t>The modular and selective synthesis of dialkyl ethers, particularly sterically congested variants, remains a longstanding challenge in drug discovery and medicinal chemistry.1,2 Hindered alkyl ethers are especially desirable given their prevalence in bioactive natural products and favorable physicochemical properties.3 Classically, dialkyl ether synthesis relies on nucleophilic substitution strategies; however, SN2 reactions are fundamentally limited by steric congestion at the transition state, while SN1 pathways proceed through promiscuous carbocation intermediates prone to elimination, rearrangement, and loss of stereogenic information.4–6 Herein, we report a radical-based paradigm for general dialkyl ether synthesis enabled by an underutilized heteroatom homolytic substitution (het-SH2) mechanism. This mechanistic paradigm overcomes the intrinsic limitations of classical polar substitution chemistry by leveraging carbon-centered radicals generated under mild conditions that are insensitive to steric congestion in the bond-forming transition state. Utilizing a titanium-based catalytic platform in combination with visible-light photoredox catalysis, we demonstrate the efficient coupling of carboxylic acid-derived redox-active esters with alcohols across a broad range of substitution patterns, including 3°–2°, 3°–1°, 2°–2°, and 2°–1° architectures. This strategy grants access to dialkyl ether chemical space largely inaccessible through conventional approaches, including sterically demanding BCP ether bioisosteres, and enables late-stage diversification of complex pharmaceutical scaffolds. This platform is expected to serve as a broadly applicable blueprint for radical-mediated heteroatom bond formation.</w:t>
      </w:r>
    </w:p>
    <w:p>
      <w:pPr>
        <w:spacing w:before="120" w:after="120"/>
      </w:pPr>
      <w:r>
        <w:rPr>
          <w:sz w:val="18"/>
        </w:rPr>
        <w:t>——————————————————————————————————————————————————————————————————————</w:t>
      </w:r>
    </w:p>
    <w:p>
      <w:pPr>
        <w:spacing w:before="160" w:after="40" w:line="240" w:lineRule="auto"/>
      </w:pPr>
      <w:r>
        <w:rPr>
          <w:b/>
        </w:rPr>
        <w:t xml:space="preserve">[645] </w:t>
      </w:r>
      <w:hyperlink r:id="rId1823">
        <w:r>
          <w:rPr>
            <w:color w:val="1155CC"/>
            <w:u w:val="single"/>
          </w:rPr>
          <w:t>气候-健康预警系统：走向多维、精准和协同</w:t>
        </w:r>
      </w:hyperlink>
    </w:p>
    <w:p>
      <w:pPr>
        <w:spacing w:before="0" w:after="80"/>
      </w:pPr>
      <w:r>
        <w:rPr>
          <w:i/>
          <w:sz w:val="20"/>
        </w:rPr>
        <w:t>EN: Climate–Health Warning Systems: Towards Multi-dimensionality, Precision, and Synergy</w:t>
      </w:r>
    </w:p>
    <w:p>
      <w:pPr>
        <w:spacing w:before="0" w:after="120"/>
      </w:pPr>
      <w:r>
        <w:rPr>
          <w:b/>
        </w:rPr>
        <w:t xml:space="preserve">Source: </w:t>
      </w:r>
      <w:r>
        <w:t>National Science Review Advance Access</w:t>
      </w:r>
      <w:r>
        <w:t xml:space="preserve">    </w:t>
      </w:r>
      <w:r>
        <w:rPr>
          <w:b/>
        </w:rPr>
        <w:t xml:space="preserve">Pub date: </w:t>
      </w:r>
      <w:r>
        <w:t>2026-08-20 00:00:00+00:00</w:t>
      </w:r>
      <w:r>
        <w:t xml:space="preserve">    </w:t>
      </w:r>
      <w:r>
        <w:rPr>
          <w:b/>
        </w:rPr>
        <w:t xml:space="preserve">DOI: </w:t>
      </w:r>
      <w:hyperlink r:id="rId1824">
        <w:r>
          <w:rPr>
            <w:color w:val="1155CC"/>
            <w:u w:val="single"/>
          </w:rPr>
          <w:t>10.1093/nsr/nwag514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[646] </w:t>
      </w:r>
      <w:hyperlink r:id="rId1825">
        <w:r>
          <w:rPr>
            <w:color w:val="1155CC"/>
            <w:u w:val="single"/>
          </w:rPr>
          <w:t>迈向长期生物电子接口：机械顺应性满足免疫相容性</w:t>
        </w:r>
      </w:hyperlink>
    </w:p>
    <w:p>
      <w:pPr>
        <w:spacing w:before="0" w:after="80"/>
      </w:pPr>
      <w:r>
        <w:rPr>
          <w:i/>
          <w:sz w:val="20"/>
        </w:rPr>
        <w:t>EN: Toward Long-Term Bioelectronic Interfaces: Mechanical Compliance Meets Immunocompatibility</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26">
        <w:r>
          <w:rPr>
            <w:color w:val="1155CC"/>
            <w:u w:val="single"/>
          </w:rPr>
          <w:t>10.1021/acsami.6c13701</w:t>
        </w:r>
      </w:hyperlink>
    </w:p>
    <w:p>
      <w:pPr>
        <w:spacing w:before="0" w:after="120"/>
      </w:pPr>
      <w:r>
        <w:rPr>
          <w:b/>
        </w:rPr>
        <w:t xml:space="preserve">Notes: </w:t>
      </w:r>
      <w:r>
        <w:t>abstract_source=crossref</w:t>
      </w:r>
    </w:p>
    <w:p>
      <w:pPr>
        <w:spacing w:before="0" w:after="80" w:lineRule="auto" w:line="276"/>
      </w:pPr>
      <w:r>
        <w:rPr>
          <w:b/>
        </w:rPr>
        <w:t xml:space="preserve">摘要（ZH）: </w:t>
      </w:r>
      <w:r>
        <w:t>摘要 要实现植入式生物电子学的长期稳定性，需要的不仅仅是强大的初始性能。它取决于机械顺应性、电化学功能和免疫相容性的协同整合，因为任何维度的故障都可能导致微运动引起的损伤、信号不稳定或慢性炎症。在这里，我们通过分析异物反应的多尺度触发因素，包括几何侵入、模量失配和界面化学，提出了一个在免疫监视下设计生物电子界面的框架。我们评估具有代表性的柔性和可拉伸金属基系统，这些系统可以改善机械匹配，但通常缺乏生物活性或免疫调节设计。然后，我们讨论导电水凝胶作为水合导体，可以桥接机械和电化学失配，同时强调它们的主体响应不能被假设，必须进行设计。最后，我们概述了材料级策略——掺杂剂选择、网络架构和分子功能化——并讨论了微/纳米制造、混合集成和面向应用的分子设计中剩余的挑战。</w:t>
      </w:r>
    </w:p>
    <w:p>
      <w:pPr>
        <w:spacing w:before="0" w:after="200" w:lineRule="auto" w:line="276"/>
      </w:pPr>
      <w:r>
        <w:rPr>
          <w:b/>
        </w:rPr>
        <w:t xml:space="preserve">Abstract (EN): </w:t>
      </w:r>
      <w:r>
        <w:t>Achieving chronic stability in implantable bioelectronics requires more than strong initial performance. It depends on the synergistic integration of mechanical compliance, electrochemical functionality, and immunocompatibility, because failure in any dimension can lead to micromotion-induced damage, signal instability, or chronic inflammation. Here, we present a framework for engineering bioelectronic interfaces under immune surveillance by analyzing multiscale triggers of the foreign body response, including geometric intrusion, modulus mismatch, and interfacial chemistry. We evaluate representative flexible and stretchable metal-based systems that improve mechanical matching but often lack bioactive or immunomodulatory design. We then discuss conductive hydrogels as hydrated conductors that can bridge mechanical and electrochemical mismatches, while emphasizing that their host response cannot be assumed and must be engineered. Finally, we outline material-level strategies—dopant selection, network architecture, and molecular functionalization—and discuss remaining challenges in micro/nanofabrication, hybrid integration, and application-oriented molecular design.</w:t>
      </w:r>
    </w:p>
    <w:p>
      <w:pPr>
        <w:spacing w:before="120" w:after="120"/>
      </w:pPr>
      <w:r>
        <w:rPr>
          <w:sz w:val="18"/>
        </w:rPr>
        <w:t>——————————————————————————————————————————————————————————————————————</w:t>
      </w:r>
    </w:p>
    <w:p>
      <w:pPr>
        <w:spacing w:before="160" w:after="40" w:line="240" w:lineRule="auto"/>
      </w:pPr>
      <w:r>
        <w:rPr>
          <w:b/>
        </w:rPr>
        <w:t xml:space="preserve">[647] </w:t>
      </w:r>
      <w:hyperlink r:id="rId1827">
        <w:r>
          <w:rPr>
            <w:color w:val="1155CC"/>
            <w:u w:val="single"/>
          </w:rPr>
          <w:t>对“固定链霉亲和素的交联网状磁珠用于高灵敏度捕获感兴趣的蛋白质”的更正</w:t>
        </w:r>
      </w:hyperlink>
    </w:p>
    <w:p>
      <w:pPr>
        <w:spacing w:before="0" w:after="80"/>
      </w:pPr>
      <w:r>
        <w:rPr>
          <w:i/>
          <w:sz w:val="20"/>
        </w:rPr>
        <w:t>EN: Correction to “Cross-Linked Reticular Magnetic Beads Immobilizing Streptavidin for Fishing the Protein of Interest with High Sensitivity”</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28">
        <w:r>
          <w:rPr>
            <w:color w:val="1155CC"/>
            <w:u w:val="single"/>
          </w:rPr>
          <w:t>10.1021/acsami.6c15853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[648] </w:t>
      </w:r>
      <w:hyperlink r:id="rId1829">
        <w:r>
          <w:rPr>
            <w:color w:val="1155CC"/>
            <w:u w:val="single"/>
          </w:rPr>
          <w:t>双效阳离子纳米颗粒滴眼剂通过清除活性氧和抑制炎症协同扰乱干眼病的病理周期</w:t>
        </w:r>
      </w:hyperlink>
    </w:p>
    <w:p>
      <w:pPr>
        <w:spacing w:before="0" w:after="80"/>
      </w:pPr>
      <w:r>
        <w:rPr>
          <w:i/>
          <w:sz w:val="20"/>
        </w:rPr>
        <w:t>EN: Dual-Action Cationic Nanoparticle Eye Drops Synergistically Disrupt the Pathological Cycle of Dry Eye Disease via ROS-Scavenging and Inflammation Inhibition</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30">
        <w:r>
          <w:rPr>
            <w:color w:val="1155CC"/>
            <w:u w:val="single"/>
          </w:rPr>
          <w:t>10.1021/acsami.6c13824</w:t>
        </w:r>
      </w:hyperlink>
    </w:p>
    <w:p>
      <w:pPr>
        <w:spacing w:before="0" w:after="120"/>
      </w:pPr>
      <w:r>
        <w:rPr>
          <w:b/>
        </w:rPr>
        <w:t xml:space="preserve">Notes: </w:t>
      </w:r>
      <w:r>
        <w:t>abstract_source=crossref</w:t>
      </w:r>
    </w:p>
    <w:p>
      <w:pPr>
        <w:spacing w:before="0" w:after="80" w:lineRule="auto" w:line="276"/>
      </w:pPr>
      <w:r>
        <w:rPr>
          <w:b/>
        </w:rPr>
        <w:t xml:space="preserve">摘要（ZH）: </w:t>
      </w:r>
      <w:r>
        <w:t>摘要 干眼病（DED）是一种日益普遍的眼表疾病，会引起不适，严重时会导致视力障碍。 DED 的一个核心特征是自我延续的氧化应激-炎症循环，其中过量的活性氧 (ROS) 产生引发并维持炎症损伤。因此，仅针对炎症的治疗可能无法完全控制。在这里，我们开发了自组装 PGED-TEMPO-2/纤连蛋白 (FN) 纳米颗粒滴眼剂，其中包含 ROS 清除阳离子聚合物和具有报道的免疫调节活性的细胞外基质蛋白。阳离子表面可能有利于与带负电的角膜粘蛋白相互作用，从而有助于延长眼表面保留时间。在体外和体内，PGED-TEMPO-2/FN 减少 ROS 积累，保留线粒体膜电位，降低促炎细胞因子表达，调节巨噬细胞极化，并减少细胞凋亡。在苯扎氯铵诱导的 DED 小鼠模型中，该制剂减少了眼表炎症，促进了角膜上皮修复，并且在测试方案下比环孢菌素产生了更大的平均改善。因此，PGED-TEMPO-2/FN 将抗氧化活性、蛋白质递送和眼部保留集成在用于 DED 治疗的单一局部平台中。</w:t>
      </w:r>
    </w:p>
    <w:p>
      <w:pPr>
        <w:spacing w:before="0" w:after="200" w:lineRule="auto" w:line="276"/>
      </w:pPr>
      <w:r>
        <w:rPr>
          <w:b/>
        </w:rPr>
        <w:t xml:space="preserve">Abstract (EN): </w:t>
      </w:r>
      <w:r>
        <w:t>Dry eye disease (DED) is an increasingly prevalent ocular surface disorder that causes discomfort and, in severe cases, visual impairment. A central feature of DED is a self-perpetuating oxidative stress–inflammation cycle, in which excessive reactive oxygen species (ROS) production initiates and sustains inflammatory injury. Treatments directed only at inflammation may therefore provide incomplete control. Here, we developed self-assembled PGED-TEMPO-2/fibronectin (FN) nanoparticle eye drops comprising a ROS-scavenging cationic polymer and an extracellular matrix protein with reported immunomodulatory activity. The cationic surface may favor interaction with negatively charged corneal mucins, thereby contributing to prolonged ocular surface retention. In vitro and in vivo, PGED-TEMPO-2/FN reduced ROS accumulation, preserved mitochondrial membrane potential, lowered pro-inflammatory cytokine expression, modulated macrophage polarization, and decreased apoptosis. In a benzalkonium chloride-induced mouse model of DED, the formulation reduced ocular surface inflammation, promoted corneal epithelial repair, and produced greater mean improvements than cyclosporine under the tested regimen. Thus, PGED-TEMPO-2/FN integrates antioxidant activity, protein delivery, and ocular retention in a single topical platform for DED treatment.</w:t>
      </w:r>
    </w:p>
    <w:p>
      <w:pPr>
        <w:spacing w:before="120" w:after="120"/>
      </w:pPr>
      <w:r>
        <w:rPr>
          <w:sz w:val="18"/>
        </w:rPr>
        <w:t>——————————————————————————————————————————————————————————————————————</w:t>
      </w:r>
    </w:p>
    <w:p>
      <w:pPr>
        <w:spacing w:before="160" w:after="40" w:line="240" w:lineRule="auto"/>
      </w:pPr>
      <w:r>
        <w:rPr>
          <w:b/>
        </w:rPr>
        <w:t xml:space="preserve">[649] </w:t>
      </w:r>
      <w:hyperlink r:id="rId1831">
        <w:r>
          <w:rPr>
            <w:color w:val="1155CC"/>
            <w:u w:val="single"/>
          </w:rPr>
          <w:t>通过非封装外泌体分散的脂联素受体激动剂可减轻衰老相关的心脏功能障碍</w:t>
        </w:r>
      </w:hyperlink>
    </w:p>
    <w:p>
      <w:pPr>
        <w:spacing w:before="0" w:after="80"/>
      </w:pPr>
      <w:r>
        <w:rPr>
          <w:i/>
          <w:sz w:val="20"/>
        </w:rPr>
        <w:t>EN: An Adiponectin Receptor Agonist Dispersed via Nonencapsulative Exosomes Alleviates Aging-Associated Cardiac Dysfunction</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32">
        <w:r>
          <w:rPr>
            <w:color w:val="1155CC"/>
            <w:u w:val="single"/>
          </w:rPr>
          <w:t>10.1021/acsami.6c08909</w:t>
        </w:r>
      </w:hyperlink>
    </w:p>
    <w:p>
      <w:pPr>
        <w:spacing w:before="0" w:after="120"/>
      </w:pPr>
      <w:r>
        <w:rPr>
          <w:b/>
        </w:rPr>
        <w:t xml:space="preserve">Notes: </w:t>
      </w:r>
      <w:r>
        <w:t>abstract_source=crossref</w:t>
      </w:r>
    </w:p>
    <w:p>
      <w:pPr>
        <w:spacing w:before="0" w:after="80" w:lineRule="auto" w:line="276"/>
      </w:pPr>
      <w:r>
        <w:rPr>
          <w:b/>
        </w:rPr>
        <w:t xml:space="preserve">摘要（ZH）: </w:t>
      </w:r>
      <w:r>
        <w:t>摘要 与衰老相关的心功能障碍是一个重大且日益严重的全球健康挑战，有效的治疗选择有限。虽然脂联素受体激活已被证明具有心脏保护潜力，但其转化为针对衰老心脏的可行疗法仍未实现。在这项研究中，我们开发了 CardiAdip (CAD)，这是一种对脂联素受体具有改进的预测结合亲和力的激动剂。在 d-半乳糖 (d-gal) 诱导的衰老 H9c2 心肌细胞中，CAD 减弱了衰老相关表型并减少了应激反应信号传导。在自然衰老的小鼠（24 个月）中，口服 CAD 显着改善心脏功能，减轻心肌肥厚和纤维化，并抑制心脏衰老的分子标志。转录组和分子分析表明，这些益处是通过恢复线粒体-内质网稳态和减轻老化心肌的氧化应激来介导的。为了实现有效的全身给药，我们通过外泌体辅助的非封装分散体将 CAD 重新配制为稳定的水分散体（CAD 簇）。这种方法将给药途径扩大到静脉注射，并显着增强了全身暴露。值得注意的是，静脉注射 CAD 簇的治疗效果与高剂量口服 CAD 相当，同时需要显着减少累积剂量。总之，这些发现表明 CAD 是治疗衰老相关心脏功能障碍的有效候选药物，并支持非封装性外切酶</w:t>
      </w:r>
    </w:p>
    <w:p>
      <w:pPr>
        <w:spacing w:before="0" w:after="200" w:lineRule="auto" w:line="276"/>
      </w:pPr>
      <w:r>
        <w:rPr>
          <w:b/>
        </w:rPr>
        <w:t xml:space="preserve">Abstract (EN): </w:t>
      </w:r>
      <w:r>
        <w:t>Aging-related cardiac dysfunction constitutes a major and growing global health challenge with limited effective treatment options. While adiponectin receptor activation has demonstrated cardioprotective potential, its translation into a viable therapy for the senescent heart remains unrealized. In this study, we developed CardiAdip (CAD), an agonist with improved predicted binding affinity for adiponectin receptors. In d-galactose (d-gal)-induced senescent H9c2 cardiomyocytes, CAD attenuated senescence-associated phenotypes and reduced stress-responsive signaling. In naturally aged mice (24 months), oral administration of CAD significantly improved cardiac function, alleviated myocardial hypertrophy and fibrosis, and suppressed molecular hallmarks of cardiac aging. Transcriptomic and molecular analyses indicated that these benefits were mediated through the restoration of mitochondrial–endoplasmic reticulum homeostasis and the alleviation of oxidative stress in aged myocardium. To enable effective systemic administration, we reformulated CAD into a stable aqueous dispersion (CAD-cluster) via exosome-assisted nonencapsulative dispersion. This approach expanded the administration route to intravenous injection and significantly enhanced systemic exposure. Remarkably, intravenous administration of CAD-cluster achieved therapeutic efficacy comparable to high-dose oral CAD while requiring a markedly reduced cumulative dose. Together, these findings identify CAD as an effective therapeutic candidate for aging-related cardiac dysfunction and support nonencapsulative exosome-assisted dispersion as a practical strategy to improve the translational feasibility of poorly soluble membrane-targeted small molecules.</w:t>
      </w:r>
    </w:p>
    <w:p>
      <w:pPr>
        <w:spacing w:before="120" w:after="120"/>
      </w:pPr>
      <w:r>
        <w:rPr>
          <w:sz w:val="18"/>
        </w:rPr>
        <w:t>——————————————————————————————————————————————————————————————————————</w:t>
      </w:r>
    </w:p>
    <w:p>
      <w:pPr>
        <w:spacing w:before="160" w:after="40" w:line="240" w:lineRule="auto"/>
      </w:pPr>
      <w:r>
        <w:rPr>
          <w:b/>
        </w:rPr>
        <w:t xml:space="preserve">[650] </w:t>
      </w:r>
      <w:hyperlink r:id="rId1833">
        <w:r>
          <w:rPr>
            <w:color w:val="1155CC"/>
            <w:u w:val="single"/>
          </w:rPr>
          <w:t>出版商更正：全木网有多发达？</w:t>
        </w:r>
      </w:hyperlink>
    </w:p>
    <w:p>
      <w:pPr>
        <w:spacing w:before="0" w:after="80"/>
      </w:pPr>
      <w:r>
        <w:rPr>
          <w:i/>
          <w:sz w:val="20"/>
        </w:rPr>
        <w:t>EN: Publisher Correction: How webby is the wood-wide web?</w:t>
      </w:r>
    </w:p>
    <w:p>
      <w:pPr>
        <w:spacing w:before="0" w:after="120"/>
      </w:pPr>
      <w:r>
        <w:rPr>
          <w:b/>
        </w:rPr>
        <w:t xml:space="preserve">Source: </w:t>
      </w:r>
      <w:r>
        <w:t>Nature Chemistry</w:t>
      </w:r>
      <w:r>
        <w:t xml:space="preserve">    </w:t>
      </w:r>
      <w:r>
        <w:rPr>
          <w:b/>
        </w:rPr>
        <w:t xml:space="preserve">Pub date: </w:t>
      </w:r>
      <w:r>
        <w:t>2026-08-20 00:00:00+00:00</w:t>
      </w:r>
      <w:r>
        <w:t xml:space="preserve">    </w:t>
      </w:r>
      <w:r>
        <w:rPr>
          <w:b/>
        </w:rPr>
        <w:t xml:space="preserve">DOI: </w:t>
      </w:r>
      <w:hyperlink r:id="rId1834">
        <w:r>
          <w:rPr>
            <w:color w:val="1155CC"/>
            <w:u w:val="single"/>
          </w:rPr>
          <w:t>10.1038/s41557-026-02250-2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[651] </w:t>
      </w:r>
      <w:hyperlink r:id="rId1835">
        <w:r>
          <w:rPr>
            <w:color w:val="1155CC"/>
            <w:u w:val="single"/>
          </w:rPr>
          <w:t>渗透压梯度诱导的面内双取向：超强、抗膨胀梯度水凝胶的多功能策略</w:t>
        </w:r>
      </w:hyperlink>
    </w:p>
    <w:p>
      <w:pPr>
        <w:spacing w:before="0" w:after="80"/>
      </w:pPr>
      <w:r>
        <w:rPr>
          <w:i/>
          <w:sz w:val="20"/>
        </w:rPr>
        <w:t>EN: Osmotic Pressure Gradient-Induced In-Plane Dual Orientation: A Versatile Strategy for Ultrastrong, Anti-Swelling Gradient Hydrogels</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36">
        <w:r>
          <w:rPr>
            <w:color w:val="1155CC"/>
            <w:u w:val="single"/>
          </w:rPr>
          <w:t>10.1021/acsami.6c08347</w:t>
        </w:r>
      </w:hyperlink>
    </w:p>
    <w:p>
      <w:pPr>
        <w:spacing w:before="0" w:after="120"/>
      </w:pPr>
      <w:r>
        <w:rPr>
          <w:b/>
        </w:rPr>
        <w:t xml:space="preserve">Notes: </w:t>
      </w:r>
      <w:r>
        <w:t>abstract_source=crossref</w:t>
      </w:r>
    </w:p>
    <w:p>
      <w:pPr>
        <w:spacing w:before="0" w:after="80" w:lineRule="auto" w:line="276"/>
      </w:pPr>
      <w:r>
        <w:rPr>
          <w:b/>
        </w:rPr>
        <w:t xml:space="preserve">摘要（ZH）: </w:t>
      </w:r>
      <w:r>
        <w:t>摘要：新兴的超强水凝胶有望应用于各种领域，但在潮湿环境中常常会因膨胀而变得脆弱，从而限制了实际应用。在此，我们报告了一种渗透压梯度介导的面内自取向（OPG-ISO）策略来制造超强、抗膨胀的双自取向梯度（DSOG）水凝胶。这种方法依赖于浓缩低分子量（LMW）聚阳离子与纤维素纳米纤维（CNF）和聚阴离子混合物之间的界面扩散络合。浓缩的LMW聚阳离子与聚阴离子复合形成梯度基质，同时产生渗透压梯度，从而诱导聚合物网络和CNF的定向消溶胀和面内自取向。同时，这些 LMW 聚阳离子还充当物理交联剂，以稳定排列的微观结构。得益于双重自取向结构、致密的物理交联和氢键，所得的DSOG复合水凝胶表现出优异的机械性能（强度：6.33 MPa，弹性模量：112.3 MPa，韧性：7.14 MJ/m3）和出色的抗溶胀性，在水中平衡后体积（∼3.14%）和拉伸强度（∼6.16%）的变化可以忽略不计。此外，电荷梯度赋予压敏自极化电势，使高度敏感的自供电离子皮肤能够检测细微的振动。 OPG-ISO 策略还允许可定制的三维 (3D) 配置，从而为</w:t>
      </w:r>
    </w:p>
    <w:p>
      <w:pPr>
        <w:spacing w:before="0" w:after="200" w:lineRule="auto" w:line="276"/>
      </w:pPr>
      <w:r>
        <w:rPr>
          <w:b/>
        </w:rPr>
        <w:t xml:space="preserve">Abstract (EN): </w:t>
      </w:r>
      <w:r>
        <w:t>Emerging ultrastrong hydrogels hold promise for various applications but often suffer from swelling-induced fragility in wet environments, limiting practical utility. Herein, we report an osmotic pressure gradient-mediated in-plane self-orientation (OPG-ISO) strategy to fabricate ultrastrong, anti-swelling dual self-oriented gradient (DSOG) hydrogels. This approach relies on interfacial diffusion−complexation between concentrated low-molecular-weight (LMW) polycations and a mixture of cellulose nanofibers (CNFs) and polyanions. The concentrated LMW polycations complex with the polyanions to form a gradient matrix while generating an osmotic pressure gradient that induces directional deswelling and in-plane self-orientation of both the polymer networks and CNFs. Concurrently, these LMW polycations also serve as physical cross-linkers to stabilize the aligned microstructure. Benefiting from the dual self-oriented architecture, dense physical cross-linking, and hydrogen bonding, the resulting DSOG composite hydrogels exhibit exceptional mechanical properties (strength: 6.33 MPa, elastic modulus: 112.3 MPa, and toughness: 7.14 MJ/m3) and outstanding swelling resistance, with negligible changes in volume (∼3.14%) and tensile strength (∼6.16%) after equilibration in water. Moreover, the charge gradient imparts a pressure-sensitive self-polarized potential, enabling a highly sensitive self-powered ionic skin capable of detecting subtle vibrations. The OPG-ISO strategy also allows customizable three-dimensional (3D) configurations, thereby offering a versatile platform for constructing ultrastrong, anti-swelling, and multifunctional hydrogels for engineering and biomedical applications.</w:t>
      </w:r>
    </w:p>
    <w:p>
      <w:pPr>
        <w:spacing w:before="120" w:after="120"/>
      </w:pPr>
      <w:r>
        <w:rPr>
          <w:sz w:val="18"/>
        </w:rPr>
        <w:t>——————————————————————————————————————————————————————————————————————</w:t>
      </w:r>
    </w:p>
    <w:p>
      <w:pPr>
        <w:spacing w:before="160" w:after="40" w:line="240" w:lineRule="auto"/>
      </w:pPr>
      <w:r>
        <w:rPr>
          <w:b/>
        </w:rPr>
        <w:t xml:space="preserve">[652] </w:t>
      </w:r>
      <w:hyperlink r:id="rId1837">
        <w:r>
          <w:rPr>
            <w:color w:val="1155CC"/>
            <w:u w:val="single"/>
          </w:rPr>
          <w:t>氮氧化物聚合物封装雷公藤甲素，通过靶向能量代谢和焦亡来安全有效地治疗小细胞肺癌</w:t>
        </w:r>
      </w:hyperlink>
    </w:p>
    <w:p>
      <w:pPr>
        <w:spacing w:before="0" w:after="80"/>
      </w:pPr>
      <w:r>
        <w:rPr>
          <w:i/>
          <w:sz w:val="20"/>
        </w:rPr>
        <w:t>EN: Nitroxide Polymer Encapsulating Triptolide for Safe and Effective Small Cell Lung Cancer Therapy by Targeting Energy Metabolism and Pyroptosis</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38">
        <w:r>
          <w:rPr>
            <w:color w:val="1155CC"/>
            <w:u w:val="single"/>
          </w:rPr>
          <w:t>10.1021/acsami.6c11746</w:t>
        </w:r>
      </w:hyperlink>
    </w:p>
    <w:p>
      <w:pPr>
        <w:spacing w:before="0" w:after="120"/>
      </w:pPr>
      <w:r>
        <w:rPr>
          <w:b/>
        </w:rPr>
        <w:t xml:space="preserve">Notes: </w:t>
      </w:r>
      <w:r>
        <w:t>abstract_source=crossref</w:t>
      </w:r>
    </w:p>
    <w:p>
      <w:pPr>
        <w:spacing w:before="0" w:after="80" w:lineRule="auto" w:line="276"/>
      </w:pPr>
      <w:r>
        <w:rPr>
          <w:b/>
        </w:rPr>
        <w:t xml:space="preserve">摘要（ZH）: </w:t>
      </w:r>
      <w:r>
        <w:t>摘要 小细胞肺癌（SCLC）是一种高度侵袭性的神经内分泌肿瘤，缺乏有效的治疗选择。雷公藤甲素 (TP) 是一种天然二萜三环氧化物，具有有效的抗肿瘤活性，但其在 SCLC 中的功效和潜在机制在很大程度上仍不清楚。在这里，我们证明 TP 能有效抑制 SCLC 所有分子亚型的细胞活力，其效力比非小细胞肺癌更强。从机制上讲，TP 转录抑制己糖激酶 1 和 2 (HK1/2)，从而破坏糖酵解-TCA-OXPHOS 轴并导致 ATP 耗竭。此外，TP 抑制 PI3K−Akt 和 MAPK 增殖信号，诱导细胞周期停滞，触发线粒体膜电位崩溃，并激活 Caspase-3 依赖性的 Gasdermin E (GSDME) 裂解，最终导致细胞焦亡。 GSDME 的基因消除显着减弱了 TP 诱导的体外和体内细胞毒性。为了克服与TP相关的溶解度差和全身毒性的临床限制，我们将其封装到硝基氧聚合物纳米载体PNO-PSA中以生成PNO-PSA@TP。这种纳米药物在体外保持有效的抗 SCLC 活性，同时显着增强皮下和 GEMM SCLC 小鼠模型的肿瘤抑制。重要的是，PNO-PSA@TP 大大降低了 TP 引起的肝毒性、肾毒性和睾丸损伤，有效保护男性生育能力。值得注意的是，我们发现 PNO-PSA 封装可减轻 TP 诱导的正常组织铁死亡，从而降低全身毒性。集体</w:t>
      </w:r>
    </w:p>
    <w:p>
      <w:pPr>
        <w:spacing w:before="0" w:after="200" w:lineRule="auto" w:line="276"/>
      </w:pPr>
      <w:r>
        <w:rPr>
          <w:b/>
        </w:rPr>
        <w:t xml:space="preserve">Abstract (EN): </w:t>
      </w:r>
      <w:r>
        <w:t>Small cell lung cancer (SCLC) is highly aggressive neuroendocrine tumor with a paucity of effective therapeutic option. Triptolide (TP), a natural diterpenoid triepoxide, exhibits potent antitumor activities, yet its efficacy and underlying mechanisms in SCLC remain largely undefined. Here, we demonstrate that TP effectively inhibits cell viability across all molecular subtypes of SCLC, with greater potency than in nonsmall cell lung cancer. Mechanistically, TP transcriptionally represses hexokinase 1 and 2 (HK1/2), thereby disrupting the glycolysis−TCA−OXPHOS axis and resulting in ATP depletion. Furthermore, TP suppresses PI3K−Akt and MAPK proliferative signaling, induces cell cycle arrest, triggers mitochondrial membrane potential collapse, and activates Caspase-3-dependent cleavage of Gasdermin E (GSDME), culminating in pyroptotic cell death. Genetic ablation of GSDME markedly attenuates TP‑induced cytotoxicity in vitro and in vivo. To overcome the clinical limitations of poor solubility and systemic toxicity associated with TP, we encapsulated it into a nitroxide polymer nanocarrier, PNO-PSA to generate PNO-PSA@TP. This nanomedicine maintains potent anti‑SCLC activity in vitro, while significantly enhancing tumor suppression in both subcutaneous and GEMM SCLC mouse models. Importantly, PNO‑PSA@TP drastically reduced TP‑induced hepatotoxicity, nephrotoxicity, and testicular damage, effectively preserving male fertility. Notably, we found that PNO‑PSA encapsulation mitigates TP‑induced ferroptosis in normal tissues, thereby reducing systemic toxicity. Collectively, our findings identify TP as a broad-spectrum anti-SCLC agent acting via energy metabolic disruption and GSDME-dependent pyroptosis, and establish PNO-PSA@TP as a safer and more effective translational candidate for SCLC treatment.</w:t>
      </w:r>
    </w:p>
    <w:p>
      <w:pPr>
        <w:spacing w:before="120" w:after="120"/>
      </w:pPr>
      <w:r>
        <w:rPr>
          <w:sz w:val="18"/>
        </w:rPr>
        <w:t>——————————————————————————————————————————————————————————————————————</w:t>
      </w:r>
    </w:p>
    <w:p>
      <w:pPr>
        <w:spacing w:before="160" w:after="40" w:line="240" w:lineRule="auto"/>
      </w:pPr>
      <w:r>
        <w:rPr>
          <w:b/>
        </w:rPr>
        <w:t xml:space="preserve">[653] </w:t>
      </w:r>
      <w:hyperlink r:id="rId1839">
        <w:r>
          <w:rPr>
            <w:color w:val="1155CC"/>
            <w:u w:val="single"/>
          </w:rPr>
          <w:t>还原氧化石墨烯气凝胶上 FeCoSe@MoS2 的异质结构用于低频电磁波吸收和隔热</w:t>
        </w:r>
      </w:hyperlink>
    </w:p>
    <w:p>
      <w:pPr>
        <w:spacing w:before="0" w:after="80"/>
      </w:pPr>
      <w:r>
        <w:rPr>
          <w:i/>
          <w:sz w:val="20"/>
        </w:rPr>
        <w:t>EN: Heterostructures of FeCoSe@MoS2 on Reduced Graphene Oxide Aerogels for Electromagnetic Wave Absorption at Low Frequency and Thermal Insulation</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40">
        <w:r>
          <w:rPr>
            <w:color w:val="1155CC"/>
            <w:u w:val="single"/>
          </w:rPr>
          <w:t>10.1021/acsami.6c09650</w:t>
        </w:r>
      </w:hyperlink>
    </w:p>
    <w:p>
      <w:pPr>
        <w:spacing w:before="0" w:after="120"/>
      </w:pPr>
      <w:r>
        <w:rPr>
          <w:b/>
        </w:rPr>
        <w:t xml:space="preserve">Notes: </w:t>
      </w:r>
      <w:r>
        <w:t>abstract_source=crossref</w:t>
      </w:r>
    </w:p>
    <w:p>
      <w:pPr>
        <w:spacing w:before="0" w:after="80" w:lineRule="auto" w:line="276"/>
      </w:pPr>
      <w:r>
        <w:rPr>
          <w:b/>
        </w:rPr>
        <w:t xml:space="preserve">摘要（ZH）: </w:t>
      </w:r>
      <w:r>
        <w:t>摘要 开发轻质、高效、可调谐的电磁波吸收材料对于减轻电磁污染至关重要。然而，传统的粉末吸收剂通常存在不可持续性和功能有限的问题。在这方面，通过溶剂热和随后的定向冷冻干燥策略将FeCoSe@MoS2和GO集成，成功构建了具有多尺度异质结构的FeCoSe@MoS2/还原氧化石墨烯（rGO）气凝胶。由合理的多组分组成引起的互连多孔结构和丰富的异质界面有利于优化阻抗匹配和丰富EMW损耗行为。通过调整成分组成可以有效调节电磁波吸收性能。经过组件优化的 FeCoSe@MoS2/rGO 气凝胶实现了 −55.21 dB 的最小反射损耗 (RLmin) 和 6.74 GHz (11.26−18.0 GHz) 的令人印象深刻的有效吸收带宽 (EAB)。值得注意的是，所得的气凝胶显示出显着的低频 EMW 响应。在 C 频段中，在 4.09 mm 匹配厚度下，7.24 GHz 下的 RLmin 为 -43.83 dB，在 4.55 mm 匹配厚度下实现了 2.63 GHz (5.31−7.94 GHz) 的宽 EAB。通过调整匹配厚度，低频EAB可以达到3.04 GHz（4.96−8 GHz）。通过轻松调节匹配厚度，所得气凝胶的EAB可以达到13.04 GHz，几乎完全覆盖C、X和Ku频段。雷达截面仿真直观验证了雷达的有效性</w:t>
      </w:r>
    </w:p>
    <w:p>
      <w:pPr>
        <w:spacing w:before="0" w:after="200" w:lineRule="auto" w:line="276"/>
      </w:pPr>
      <w:r>
        <w:rPr>
          <w:b/>
        </w:rPr>
        <w:t xml:space="preserve">Abstract (EN): </w:t>
      </w:r>
      <w:r>
        <w:t>The development of lightweight, high-efficiency, and tunable electromagnetic wave (EMW) absorption materials is crucial in mitigating electromagnetic pollution. However, conventional powdered absorbers generally suffer from unsustainability and limited functionality. In this regard, FeCoSe@MoS2/reduced graphene oxide (rGO) aerogels with multiscale heterostructures were successfully constructed through the integration of FeCoSe@MoS2 and GO via solvothermal and subsequent directional freeze-drying strategy. The interconnected porous architecture and plentiful heterointerfaces induced by the rational multicomponent composition benefit to optimize impedance matching and enrich EMW loss behaviors. The EMW absorption performance could be effectively modulated by adjusting the component composition. The FeCoSe@MoS2/rGO aerogel with component optimization realizes a minimum reflection loss (RLmin) of −55.21 dB and impressive effective absorption bandwidth (EAB) of 6.74 GHz (11.26−18.0 GHz). Notably, the resultant aerogels reveal significantly low-frequency EMW response. An RLmin of −43.83 dB at 7.24 GHz at a matching thickness of 4.09 mm and a wide EAB of 2.63 GHz (5.31−7.94 GHz) under a matching thickness of 4.55 mm are achieved in the C band. The low-frequency EAB could reach up to 3.04 GHz (4.96−8 GHz) by adjusting the matching thickness. The EAB of the resultant aerogel could reach up to 13.04 GHz by facilely regulating the matching thicknesses, which almost completely cover the C, X, and Ku bands. The radar cross-section simulation intuitively verifies the effectiveness of the resultant aerogels used for advanced stealth materials. Additionally, the fabricated aerogel reveals brilliant thermal insulation property, satisfying the multifunctional requirements. This work offers innovative insights for constructing multifunctional EMW absorption aerogels via structural design and component optimization.</w:t>
      </w:r>
    </w:p>
    <w:p>
      <w:pPr>
        <w:spacing w:before="120" w:after="120"/>
      </w:pPr>
      <w:r>
        <w:rPr>
          <w:sz w:val="18"/>
        </w:rPr>
        <w:t>——————————————————————————————————————————————————————————————————————</w:t>
      </w:r>
    </w:p>
    <w:p>
      <w:pPr>
        <w:spacing w:before="160" w:after="40" w:line="240" w:lineRule="auto"/>
      </w:pPr>
      <w:r>
        <w:rPr>
          <w:b/>
        </w:rPr>
        <w:t xml:space="preserve">[654] </w:t>
      </w:r>
      <w:hyperlink r:id="rId1841">
        <w:r>
          <w:rPr>
            <w:color w:val="1155CC"/>
            <w:u w:val="single"/>
          </w:rPr>
          <w:t>负载氨磷汀的壳聚糖生物凝胶用于预防辐射引起的直肠损伤</w:t>
        </w:r>
      </w:hyperlink>
    </w:p>
    <w:p>
      <w:pPr>
        <w:spacing w:before="0" w:after="80"/>
      </w:pPr>
      <w:r>
        <w:rPr>
          <w:i/>
          <w:sz w:val="20"/>
        </w:rPr>
        <w:t>EN: Thermoresponsive Amifostine-Loaded Chitosan Biogel for Prevention of Radiation-Induced Rectal Injury</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42">
        <w:r>
          <w:rPr>
            <w:color w:val="1155CC"/>
            <w:u w:val="single"/>
          </w:rPr>
          <w:t>10.1021/acsami.6c10553</w:t>
        </w:r>
      </w:hyperlink>
    </w:p>
    <w:p>
      <w:pPr>
        <w:spacing w:before="0" w:after="120"/>
      </w:pPr>
      <w:r>
        <w:rPr>
          <w:b/>
        </w:rPr>
        <w:t xml:space="preserve">Notes: </w:t>
      </w:r>
      <w:r>
        <w:t>abstract_source=crossref</w:t>
      </w:r>
    </w:p>
    <w:p>
      <w:pPr>
        <w:spacing w:before="0" w:after="80" w:lineRule="auto" w:line="276"/>
      </w:pPr>
      <w:r>
        <w:rPr>
          <w:b/>
        </w:rPr>
        <w:t xml:space="preserve">摘要（ZH）: </w:t>
      </w:r>
      <w:r>
        <w:t>摘要 放射性直肠损伤（RRI）限制了放疗并导致临床预后不良。在这项研究中，我们报告了一种使用负载氨磷汀的壳聚糖生物凝胶来预防 RRI 的辐射防护策略。具体来说，生物凝胶是通过藏花酸与半胱氨酸修饰的壳聚糖和海藻酸钠反应，然后掺入氨磷汀-甘油磷酸钠溶液来合成的。凝胶点~30°C 时储能模量显着增加。该生物凝胶在体外具有良好的生物相容性，在8 Gy照射后仍能保持细胞迁移和增殖的能力。同时，它在人工肠液中具有良好的稳定性，可以缓慢释放氨磷汀12小时以上。在内窥镜的帮助下，生物凝胶可以精确地输送到结直肠区域，通过促进粘膜恢复、增强隐窝活性和调节炎症来减轻 RRI。此外，生物凝胶显示出增加肠道菌群丰度和益生菌数量的趋势，从而维持肠道微生物稳态。这项工作通过热响应生物凝胶提供了一种简单但变革性的策略，并为 RRI 的临床预防提供了一条有前途的途径。</w:t>
      </w:r>
    </w:p>
    <w:p>
      <w:pPr>
        <w:spacing w:before="0" w:after="200" w:lineRule="auto" w:line="276"/>
      </w:pPr>
      <w:r>
        <w:rPr>
          <w:b/>
        </w:rPr>
        <w:t xml:space="preserve">Abstract (EN): </w:t>
      </w:r>
      <w:r>
        <w:t>Radiation-induced rectal injury (RRI) limits radiotherapy and results in a poor clinical prognosis. In this study, we report a radioprotective strategy for preventing RRI using a thermoresponsive amifostine-loaded chitosan biogel. Specifically, the biogel is synthesized via the reaction of crocetin with cysteine-modified chitosan and sodium alginate, followed by incorporating amifostine−sodium glycerophosphate solution. The storage modulus increases markedly at the gel point of ∼30 °C. The biogel possesses favorable biocompatibility in vitro and maintains the ability of cells to migrate and proliferate after 8 Gy irradiation. Meanwhile, it possesses good stability in artificial intestinal fluid and can slowly release amifostine for more than 12 h. With the aid of endoscopy, the biogel can be precisely delivered to the colorectal region and alleviates RRI by promoting mucosal recovery, enhancing crypt activity, and modulating inflammation. In addition, the biogel shows a trend toward increasing the abundance of gut flora and the counts of probiotics, thereby maintaining gut microbial homeostasis. This work provides a simple yet transformative tactic by the thermoresponsive biogel, and presents a promising avenue for clinical prevention of RRI.</w:t>
      </w:r>
    </w:p>
    <w:p>
      <w:pPr>
        <w:spacing w:before="120" w:after="120"/>
      </w:pPr>
      <w:r>
        <w:rPr>
          <w:sz w:val="18"/>
        </w:rPr>
        <w:t>——————————————————————————————————————————————————————————————————————</w:t>
      </w:r>
    </w:p>
    <w:p>
      <w:pPr>
        <w:spacing w:before="160" w:after="40" w:line="240" w:lineRule="auto"/>
      </w:pPr>
      <w:r>
        <w:rPr>
          <w:b/>
        </w:rPr>
        <w:t xml:space="preserve">[655] </w:t>
      </w:r>
      <w:hyperlink r:id="rId1843">
        <w:r>
          <w:rPr>
            <w:color w:val="1155CC"/>
            <w:u w:val="single"/>
          </w:rPr>
          <w:t>AggreArch：用于感染伤口修复中氧化还原活性金属微结构的可编程纳米到微米组装平台</w:t>
        </w:r>
      </w:hyperlink>
    </w:p>
    <w:p>
      <w:pPr>
        <w:spacing w:before="0" w:after="80"/>
      </w:pPr>
      <w:r>
        <w:rPr>
          <w:i/>
          <w:sz w:val="20"/>
        </w:rPr>
        <w:t>EN: AggreArch: A Programmable Nano-to-Micro Assembly Platform for Redox-Active Metal Microarchitectures in Infected Wound Repair</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44">
        <w:r>
          <w:rPr>
            <w:color w:val="1155CC"/>
            <w:u w:val="single"/>
          </w:rPr>
          <w:t>10.1021/acsami.6c13004</w:t>
        </w:r>
      </w:hyperlink>
    </w:p>
    <w:p>
      <w:pPr>
        <w:spacing w:before="0" w:after="120"/>
      </w:pPr>
      <w:r>
        <w:rPr>
          <w:b/>
        </w:rPr>
        <w:t xml:space="preserve">Notes: </w:t>
      </w:r>
      <w:r>
        <w:t>abstract_source=crossref</w:t>
      </w:r>
    </w:p>
    <w:p>
      <w:pPr>
        <w:spacing w:before="0" w:after="80" w:lineRule="auto" w:line="276"/>
      </w:pPr>
      <w:r>
        <w:rPr>
          <w:b/>
        </w:rPr>
        <w:t xml:space="preserve">摘要（ZH）: </w:t>
      </w:r>
      <w:r>
        <w:t>摘要：慢性感染伤口，特别是在糖尿病条件下，需要将有效的细菌抑制与宿主组织相容性结合起来的抗菌生物材料。在这里，我们报告了AggreArch，一种可调节的水性纳米到微米组装平台，用于构建具有可编程组成、形态和生物活性的分层金属基微结构。使用这种策略，我们生成了基于 Ag、Cu 和 Mn 的 AggreArch 变体，以证明该平台的组合可扩展性。在这些变体中，树突银结构 AAAg4 被确定为代表性的主要候选者，在 30 μg mL−1 浓度下对多重耐药大肠杆菌 (E. coli) 实现 99.7% 的抑制，在 100 μg mL−1 浓度下对耐甲氧西林金黄色葡萄球菌 (S. aureus) 实现 99.8% 的抑制，同时保持 &gt;85% 的细胞活力和良好的短期生存能力生物安全。比较释放研究表明，AAAg4 在 7 天内仅释放 PBS 中总银的 1-2%，而传统 AgNP 的释放量约为 7%，证实了结构调节的银可用性。综合转录组和生化分析表明，AAAg4 诱导了一个协调的氧化还原代谢应激程序，涉及氧化失衡、Fe-S 依赖性功能和呼吸电子转移相关过程，同时对宿主细胞造成的氧化负担比自由可用的 Ag+ 更低。在糖尿病感染伤口模型中，AAAg4 加速伤口闭合（第 12 天约 92%），显着减少细菌负荷，并将胶原蛋白沉积增强至 83.1%（对比 36.1%）</w:t>
      </w:r>
    </w:p>
    <w:p>
      <w:pPr>
        <w:spacing w:before="0" w:after="200" w:lineRule="auto" w:line="276"/>
      </w:pPr>
      <w:r>
        <w:rPr>
          <w:b/>
        </w:rPr>
        <w:t xml:space="preserve">Abstract (EN): </w:t>
      </w:r>
      <w:r>
        <w:t>Chronic infected wounds, particularly under diabetic conditions, require antimicrobial biomaterials that combine potent bacterial suppression with host-tissue compatibility. Here, we report AggreArch, a tunable aqueous nano-to-micro assembly platform for constructing hierarchical metal-based microarchitectures with programmable composition, morphology, and biological activity. Using this strategy, we generated Ag-, Cu-, and Mn-based AggreArch variants to demonstrate the compositional extensibility of the platform. Among these variants, the dendritic silver architecture AAAg4 was identified as a representative lead candidate, achieving 99.7% inhibition against multidrug-resistant Escherichia coli (E. coli) at 30 μg mL−1 and 99.8% inhibition against methicillin-resistant Staphylococcus aureus (S. aureus) at 100 μg mL−1, while maintaining &amp;gt;85% cell viability and favorable short-term biosafety. Comparative release studies showed that AAAg4 released only 1–2% of total silver in PBS over 7 days vs ∼7% for conventional AgNPs, confirming architecture-regulated silver availability. Integrated transcriptomic and biochemical analyses indicated that AAAg4 induced a coordinated redox-metabolic stress program involving oxidative imbalance, Fe-S-dependent functions, and respiratory electron-transfer-related processes, while imposing a lower oxidative burden on host cells than freely available Ag+. In diabetic infected wound models, AAAg4 accelerated wound closure (approximately 92% by day 12), markedly reduced bacterial burden, and enhanced collagen deposition to 83.1% vs 36.1% in controls. Similar repair-promoting trends were observed in rabbit ear wounds. Collectively, these findings establish AAAg4 as a representative lead architecture within the AggreArch platform and demonstrate that hierarchical microarchitecture engineering can expand the antibacterial-biosafety window of metal-based wound-facing antimicrobial materials.</w:t>
      </w:r>
    </w:p>
    <w:p>
      <w:pPr>
        <w:spacing w:before="120" w:after="120"/>
      </w:pPr>
      <w:r>
        <w:rPr>
          <w:sz w:val="18"/>
        </w:rPr>
        <w:t>——————————————————————————————————————————————————————————————————————</w:t>
      </w:r>
    </w:p>
    <w:p>
      <w:pPr>
        <w:spacing w:before="160" w:after="40" w:line="240" w:lineRule="auto"/>
      </w:pPr>
      <w:r>
        <w:rPr>
          <w:b/>
        </w:rPr>
        <w:t xml:space="preserve">[656] </w:t>
      </w:r>
      <w:hyperlink r:id="rId1845">
        <w:r>
          <w:rPr>
            <w:color w:val="1155CC"/>
            <w:u w:val="single"/>
          </w:rPr>
          <w:t>通过电感耦合 CF4 等离子体处理增强 β-Ga2O3 基日盲紫外光电探测器的响应度</w:t>
        </w:r>
      </w:hyperlink>
    </w:p>
    <w:p>
      <w:pPr>
        <w:spacing w:before="0" w:after="80"/>
      </w:pPr>
      <w:r>
        <w:rPr>
          <w:i/>
          <w:sz w:val="20"/>
        </w:rPr>
        <w:t>EN: Enhanced Responsivity of β-Ga2O3-Based Solar-Blind Ultraviolet Photodetectors via Inductively Coupled CF4 Plasma Treatment</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46">
        <w:r>
          <w:rPr>
            <w:color w:val="1155CC"/>
            <w:u w:val="single"/>
          </w:rPr>
          <w:t>10.1021/acsami.6c11999</w:t>
        </w:r>
      </w:hyperlink>
    </w:p>
    <w:p>
      <w:pPr>
        <w:spacing w:before="0" w:after="120"/>
      </w:pPr>
      <w:r>
        <w:rPr>
          <w:b/>
        </w:rPr>
        <w:t xml:space="preserve">Notes: </w:t>
      </w:r>
      <w:r>
        <w:t>abstract_source=crossref</w:t>
      </w:r>
    </w:p>
    <w:p>
      <w:pPr>
        <w:spacing w:before="0" w:after="80" w:lineRule="auto" w:line="276"/>
      </w:pPr>
      <w:r>
        <w:rPr>
          <w:b/>
        </w:rPr>
        <w:t xml:space="preserve">摘要（ZH）: </w:t>
      </w:r>
      <w:r>
        <w:t>摘要 基于β-氧化镓（β-Ga2O3）的日盲光电探测器（SBPD）因其超宽带隙和优异的稳定性而成为紫外C（UVC）光电探测应用的有希望的候选者。然而，它们的性能通常受到氧空位相关缺陷和异质外延生长引起的陷阱辅助泄漏过程的限制。在这项工作中，我们展示了一种等离子体辅助界面工程方法，使用 CF4 等离子体处理的 c 面蓝宝石基板来增强 β-Ga2O3 SBPD 的性能。 CF4 等离子体预处理在 β-Ga2O3 生长之前对蓝宝石表面进行了改性，处理后的基板上与氟相关的表面物质、改变的表面润湿性和增加的表面能证明了这一点。这些表面变化影响随后生长的 β-Ga2O3 薄膜的成核行为和界面演化。结构和化学分析显示晶体质量得到改善，β-Ga2O3 (–402) 摇摆曲线的半峰全宽 (FWHM) 从 1.93° 减小到 1.38°，氧空位相关的贡献从 27.8% 降低到 25.3%。在处理过的薄膜上制造的金属-半导体-金属结构的SBPD在236 nm照明下表现出显着增强的光电性能，包括抑制暗电流和提高响应度。此外，它们的光电流与暗电流比达到3.13×105，相当于未处理器件的约295倍增强，而上升时间从16.94秒减少到3.74秒。此外，</w:t>
      </w:r>
    </w:p>
    <w:p>
      <w:pPr>
        <w:spacing w:before="0" w:after="200" w:lineRule="auto" w:line="276"/>
      </w:pPr>
      <w:r>
        <w:rPr>
          <w:b/>
        </w:rPr>
        <w:t xml:space="preserve">Abstract (EN): </w:t>
      </w:r>
      <w:r>
        <w:t>Solar-blind photodetectors (SBPDs) based on β-gallium oxide (β-Ga2O3) are promising candidates for ultraviolet C (UVC) photodetection applications, owing to their ultrawide band gap and excellent stability; however, their performance is often limited by oxygen-vacancy-related defects and trap-assisted leakage processes arising from heteroepitaxial growth. In this work, we demonstrate a plasma-assisted interfacial engineering approach to enhance the performance of β-Ga2O3 SBPDs using CF4 plasma-treated c-plane sapphire substrates. CF4 plasma pretreatment modifies the sapphire surface prior to β-Ga2O3 growth, as evidenced by fluorine-related surface species on the treated substrate, altered surface wettability, and increased surface energy. These surface changes influence the nucleation behavior and interfacial evolution of subsequently grown β-Ga2O3 films. Structural and chemical analyses revealed improved crystalline quality, with the full width at half maximum (FWHM) of the β-Ga2O3 (–402) rocking curve reduced from 1.93° to 1.38°, along with a decreased oxygen-vacancy-related contribution from 27.8% to 25.3%. Metal–semiconductor–metal-structured SBPDs fabricated on the treated films exhibited significantly enhanced optoelectronic performance under 236 nm illumination, including suppressed dark current and increased responsivity. Moreover, their photocurrent-to-dark-current ratio reached 3.13 × 105, corresponding to an approximately 295-fold enhancement compared with that of the untreated devices, while the rise time decreased from 16.94 to 3.74 s. Additionally, the UV (236 nm)/visible (400 nm) rejection ratio increased from 1.58 × 103 to 5.19 × 105, indicating excellent UVC selectivity. In summary, this study reports a scalable and effective strategy for developing defect-modulated β-Ga2O3 SBPDs with improved responsivity, faster photoresponse, and strong solar-blind UVC selectivity.</w:t>
      </w:r>
    </w:p>
    <w:p>
      <w:pPr>
        <w:spacing w:before="120" w:after="120"/>
      </w:pPr>
      <w:r>
        <w:rPr>
          <w:sz w:val="18"/>
        </w:rPr>
        <w:t>——————————————————————————————————————————————————————————————————————</w:t>
      </w:r>
    </w:p>
    <w:p>
      <w:pPr>
        <w:spacing w:before="160" w:after="40" w:line="240" w:lineRule="auto"/>
      </w:pPr>
      <w:r>
        <w:rPr>
          <w:b/>
        </w:rPr>
        <w:t xml:space="preserve">[657] </w:t>
      </w:r>
      <w:hyperlink r:id="rId1847">
        <w:r>
          <w:rPr>
            <w:color w:val="1155CC"/>
            <w:u w:val="single"/>
          </w:rPr>
          <w:t>使用蓝光对阿片类肽进行体内光解锁</w:t>
        </w:r>
      </w:hyperlink>
    </w:p>
    <w:p>
      <w:pPr>
        <w:spacing w:before="0" w:after="80"/>
      </w:pPr>
      <w:r>
        <w:rPr>
          <w:i/>
          <w:sz w:val="20"/>
        </w:rPr>
        <w:t>EN: Photouncaging of an Opioid Peptide in Vivo Using Blue Light</w:t>
      </w:r>
    </w:p>
    <w:p>
      <w:pPr>
        <w:spacing w:before="0" w:after="120"/>
      </w:pPr>
      <w:r>
        <w:rPr>
          <w:b/>
        </w:rPr>
        <w:t xml:space="preserve">Source: </w:t>
      </w:r>
      <w:r>
        <w:t>Journal of the American Chemical Society: Latest Articles (ACS Publications)</w:t>
      </w:r>
      <w:r>
        <w:t xml:space="preserve">    </w:t>
      </w:r>
      <w:r>
        <w:rPr>
          <w:b/>
        </w:rPr>
        <w:t xml:space="preserve">Pub date: </w:t>
      </w:r>
      <w:r>
        <w:t>2026-08-20 00:00:00+00:00</w:t>
      </w:r>
      <w:r>
        <w:t xml:space="preserve">    </w:t>
      </w:r>
      <w:r>
        <w:rPr>
          <w:b/>
        </w:rPr>
        <w:t xml:space="preserve">DOI: </w:t>
      </w:r>
      <w:hyperlink r:id="rId1848">
        <w:r>
          <w:rPr>
            <w:color w:val="1155CC"/>
            <w:u w:val="single"/>
          </w:rPr>
          <w:t>10.1021/jacs.6c15989</w:t>
        </w:r>
      </w:hyperlink>
    </w:p>
    <w:p>
      <w:pPr>
        <w:spacing w:before="0" w:after="120"/>
      </w:pPr>
      <w:r>
        <w:rPr>
          <w:b/>
        </w:rPr>
        <w:t xml:space="preserve">Notes: </w:t>
      </w:r>
      <w:r>
        <w:t>abstract_source=crossref</w:t>
      </w:r>
    </w:p>
    <w:p>
      <w:pPr>
        <w:spacing w:before="0" w:after="80" w:lineRule="auto" w:line="276"/>
      </w:pPr>
      <w:r>
        <w:rPr>
          <w:b/>
        </w:rPr>
        <w:t xml:space="preserve">摘要（ZH）: </w:t>
      </w:r>
      <w:r>
        <w:t>摘要 在此，我们报告了蓝光驱动的 TCA-DCCM-DAMGO 体内光活化，TCA-DCCM-DAMGO 是 μ-阿片受体 (MOR) 激动剂 DAMGO 的笼状衍生物。 TCA-DCCM-DAMGO 在黑暗中化学稳定，在照射前不活跃，并在蓝光照射下干净地释放 DAMGO。脑切片电生理学显示光触发的 MOR 快速激活。在小鼠大脑中脑室内注射 TCA-DCCM-DAMGO 后，蓝光对腹侧被盖区的光激活引起了阿片类药物依赖性的快速运动增加。这些结果证明了在小鼠大脑深处使用蓝光进行体内光解笼的可行性，并建立 TCA-DCCM-DAMGO 作为操纵行为动物内源性阿片受体的探针。</w:t>
      </w:r>
    </w:p>
    <w:p>
      <w:pPr>
        <w:spacing w:before="0" w:after="200" w:lineRule="auto" w:line="276"/>
      </w:pPr>
      <w:r>
        <w:rPr>
          <w:b/>
        </w:rPr>
        <w:t xml:space="preserve">Abstract (EN): </w:t>
      </w:r>
      <w:r>
        <w:t>Here we report blue light-driven in vivo photoactivation of TCA-DCCM-DAMGO, a caged derivative of the μ-opioid receptor (MOR) agonist DAMGO. TCA-DCCM-DAMGO is chemically stable in the dark, is inactive prior to illumination, and cleanly liberates DAMGO upon irradiation with blue light. Brain slice electrophysiology demonstrates rapid, light-triggered MOR activation. Following intracerebroventricular infusion of TCA-DCCM-DAMGO in the mouse brain, photoactivation in the ventral tegmental area with blue light elicited a rapid, opioid-dependent increase in locomotion. These results demonstrate the feasibility of in vivo photouncaging using blue light deep in the mouse brain and establish TCA-DCCM-DAMGO as a probe for manipulating endogenous opioid receptors in behaving animals.</w:t>
      </w:r>
    </w:p>
    <w:p>
      <w:pPr>
        <w:spacing w:before="120" w:after="120"/>
      </w:pPr>
      <w:r>
        <w:rPr>
          <w:sz w:val="18"/>
        </w:rPr>
        <w:t>——————————————————————————————————————————————————————————————————————</w:t>
      </w:r>
    </w:p>
    <w:p>
      <w:pPr>
        <w:spacing w:before="160" w:after="40" w:line="240" w:lineRule="auto"/>
      </w:pPr>
      <w:r>
        <w:rPr>
          <w:b/>
        </w:rPr>
        <w:t xml:space="preserve">[658] </w:t>
      </w:r>
      <w:hyperlink r:id="rId1849">
        <w:r>
          <w:rPr>
            <w:color w:val="1155CC"/>
            <w:u w:val="single"/>
          </w:rPr>
          <w:t>用于绿色溶剂处理的电致发光器件的表面工程聚（环氧乙烷）接枝量子点油墨</w:t>
        </w:r>
      </w:hyperlink>
    </w:p>
    <w:p>
      <w:pPr>
        <w:spacing w:before="0" w:after="80"/>
      </w:pPr>
      <w:r>
        <w:rPr>
          <w:i/>
          <w:sz w:val="20"/>
        </w:rPr>
        <w:t>EN: Surface-Engineered Poly(ethylene oxide)-Grafted Quantum Dot Inks for Green-Solvent-Processed Electroluminescent Devices</w:t>
      </w:r>
    </w:p>
    <w:p>
      <w:pPr>
        <w:spacing w:before="0" w:after="120"/>
      </w:pPr>
      <w:r>
        <w:rPr>
          <w:b/>
        </w:rPr>
        <w:t xml:space="preserve">Source: </w:t>
      </w:r>
      <w:r>
        <w:t>ACS Applied Materials &amp; Interfaces: Latest Articles (ACS Publications)</w:t>
      </w:r>
      <w:r>
        <w:t xml:space="preserve">    </w:t>
      </w:r>
      <w:r>
        <w:rPr>
          <w:b/>
        </w:rPr>
        <w:t xml:space="preserve">Pub date: </w:t>
      </w:r>
      <w:r>
        <w:t>2026-08-20 00:00:00+00:00</w:t>
      </w:r>
      <w:r>
        <w:t xml:space="preserve">    </w:t>
      </w:r>
      <w:r>
        <w:rPr>
          <w:b/>
        </w:rPr>
        <w:t xml:space="preserve">DOI: </w:t>
      </w:r>
      <w:hyperlink r:id="rId1850">
        <w:r>
          <w:rPr>
            <w:color w:val="1155CC"/>
            <w:u w:val="single"/>
          </w:rPr>
          <w:t>10.1021/acsami.6c10538</w:t>
        </w:r>
      </w:hyperlink>
    </w:p>
    <w:p>
      <w:pPr>
        <w:spacing w:before="0" w:after="120"/>
      </w:pPr>
      <w:r>
        <w:rPr>
          <w:b/>
        </w:rPr>
        <w:t xml:space="preserve">Notes: </w:t>
      </w:r>
      <w:r>
        <w:t>abstract_source=crossref</w:t>
      </w:r>
    </w:p>
    <w:p>
      <w:pPr>
        <w:spacing w:before="0" w:after="80" w:lineRule="auto" w:line="276"/>
      </w:pPr>
      <w:r>
        <w:rPr>
          <w:b/>
        </w:rPr>
        <w:t xml:space="preserve">摘要（ZH）: </w:t>
      </w:r>
      <w:r>
        <w:t>摘要 量子点（QD）是下一代光电子学的有前途的发射材料，但传统的油酸（OA）封端需要有毒的非极性溶剂，例如甲苯和氯仿，阻碍了环境可持续的溶剂型加工。在这里，我们报告了一种绿色、可溶液加工的配体交换策略，其中硫醇封端的聚环氧乙烷（PEO-SH）取代了量子点上的OA，从而能够在乙醇和水中稳定分散。通过调整 PEO 的分子量，我们确定 Mn ≈ 2000 g/mol 的 PEO 作为最佳配体，可提供链长和表面覆盖度的平衡组合，从而在极性介质中实现长期胶体稳定性和高光致发光量子产率。使用这些 QD-PEO2k 墨水，我们用乙醇和水/乙醇共溶剂制造了多层量子点发光二极管 (QLED)，实现了 2.12% 的最大外量子效率和 9.19 cd A–1 的电流效率。这些结果成功地作为从水/醇基 QD 墨水产生功能性电致发光的概念验证。最终，这项工作为减少对有毒溶剂的依赖和推进溶液加工光电子学的可持续制造迈出了基础性的一步。</w:t>
      </w:r>
    </w:p>
    <w:p>
      <w:pPr>
        <w:spacing w:before="0" w:after="200" w:lineRule="auto" w:line="276"/>
      </w:pPr>
      <w:r>
        <w:rPr>
          <w:b/>
        </w:rPr>
        <w:t xml:space="preserve">Abstract (EN): </w:t>
      </w:r>
      <w:r>
        <w:t>Quantum dots (QDs) are promising emissive materials for next-generation optoelectronics, but conventional oleic acid (OA) capping necessitates toxic, nonpolar solvents such as toluene and chloroform, hindering environmentally sustainable solvent-based processing. Here, we report a green, solution-processable ligand-exchange strategy in which thiol-terminated poly(ethylene oxide) (PEO-SH) replaces OA on QDs, enabling stable dispersion in ethanol and water. By tuning the molecular weight of PEO, we identify PEO with Mn ≈ 2000 g/mol as an optimal ligand that provides a balanced combination of chain length and surface coverage, resulting in long-term colloidal stability and high photoluminescence quantum yield in polar media. Using these QD-PEO2k inks, we fabricate multilayer quantum dot light-emitting diodes (QLEDs) from ethanol and water/ethanol co-solvents, achieving a maximum external quantum efficiency of 2.12% and a current efficiency of 9.19 cd A–1. These results successfully serve as a proof-of-concept for generating functional electroluminescence from water/alcohol-based QD inks. Ultimately, this work establishes a foundational step toward reducing toxic solvent dependency and advancing sustainable manufacturing in solution-processed optoelectronics.</w:t>
      </w:r>
    </w:p>
    <w:p>
      <w:pPr>
        <w:spacing w:before="120" w:after="120"/>
      </w:pPr>
      <w:r>
        <w:rPr>
          <w:sz w:val="18"/>
        </w:rPr>
        <w:t>——————————————————————————————————————————————————————————————————————</w:t>
      </w:r>
    </w:p>
    <w:p>
      <w:pPr>
        <w:spacing w:before="160" w:after="40" w:line="240" w:lineRule="auto"/>
      </w:pPr>
      <w:r>
        <w:rPr>
          <w:b/>
        </w:rPr>
        <w:t xml:space="preserve">[659] </w:t>
      </w:r>
      <w:hyperlink r:id="rId1851">
        <w:r>
          <w:rPr>
            <w:color w:val="1155CC"/>
            <w:u w:val="single"/>
          </w:rPr>
          <w:t>碳硼烷基自由基构建不对称B─B键</w:t>
        </w:r>
      </w:hyperlink>
    </w:p>
    <w:p>
      <w:pPr>
        <w:spacing w:before="0" w:after="80"/>
      </w:pPr>
      <w:r>
        <w:rPr>
          <w:i/>
          <w:sz w:val="20"/>
        </w:rPr>
        <w:t>EN: Construction of Unsymmetrical B─B Bond via Carboranyl Radical</w:t>
      </w:r>
    </w:p>
    <w:p>
      <w:pPr>
        <w:spacing w:before="0" w:after="120"/>
      </w:pPr>
      <w:r>
        <w:rPr>
          <w:b/>
        </w:rPr>
        <w:t xml:space="preserve">Source: </w:t>
      </w:r>
      <w:r>
        <w:t>Wiley: Angewandte Chemie International Edition: Table of Contents</w:t>
      </w:r>
      <w:r>
        <w:t xml:space="preserve">    </w:t>
      </w:r>
      <w:r>
        <w:rPr>
          <w:b/>
        </w:rPr>
        <w:t xml:space="preserve">Pub date: </w:t>
      </w:r>
      <w:r>
        <w:t>2026-08-20 04:19:30+00:00</w:t>
      </w:r>
      <w:r>
        <w:t xml:space="preserve">    </w:t>
      </w:r>
      <w:r>
        <w:rPr>
          <w:b/>
        </w:rPr>
        <w:t xml:space="preserve">DOI: </w:t>
      </w:r>
      <w:hyperlink r:id="rId1852">
        <w:r>
          <w:rPr>
            <w:color w:val="1155CC"/>
            <w:u w:val="single"/>
          </w:rPr>
          <w:t>10.1002/anie.5737313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这项工作描述了一种在室温下通过以硼为中心的碳硼烷基自由基构建不对称 B(笼)-B 单键的通用方法。该方法能够有效利用 B 中的两个硼原子</w:t>
      </w:r>
      <w:r>
        <w:rPr>
          <w:vertAlign w:val="subscript"/>
        </w:rPr>
        <w:t>2</w:t>
      </w:r>
      <w:r>
        <w:t>猫</w:t>
      </w:r>
      <w:r>
        <w:rPr>
          <w:vertAlign w:val="subscript"/>
        </w:rPr>
        <w:t>2</w:t>
      </w:r>
      <w:r>
        <w:t>产量非常高。关键的超配位硼自由基中间体是通过使用锌作为还原剂的可见光驱动的 Ni(I)/Ni(II) 氧化还原循环生成的。这些自由基直接与B反应</w:t>
      </w:r>
      <w:r>
        <w:rPr>
          <w:vertAlign w:val="subscript"/>
        </w:rPr>
        <w:t>2</w:t>
      </w:r>
      <w:r>
        <w:t>猫</w:t>
      </w:r>
      <w:r>
        <w:rPr>
          <w:vertAlign w:val="subscript"/>
        </w:rPr>
        <w:t>2</w:t>
      </w:r>
      <w:r>
        <w:t>形成B─B键，随后可以进行进一步的衍生化，包括硼酸酯形成和羟基化。</w:t>
      </w:r>
    </w:p>
    <w:p>
      <w:pPr>
        <w:spacing w:before="0" w:after="200" w:lineRule="auto" w:line="276"/>
      </w:pPr>
      <w:r>
        <w:rPr>
          <w:b/>
        </w:rPr>
        <w:t xml:space="preserve">Abstract (EN): </w:t>
      </w:r>
      <w:r>
        <w:t>This work describes a general method for constructing unsymmetrical B(cage)–B single bond at room temperature via boron‐centered carboranyl radicals. The approach enables the efficient utilization of both boron atoms from B</w:t>
      </w:r>
      <w:r>
        <w:rPr>
          <w:vertAlign w:val="subscript"/>
        </w:rPr>
        <w:t>2</w:t>
      </w:r>
      <w:r>
        <w:t>cat</w:t>
      </w:r>
      <w:r>
        <w:rPr>
          <w:vertAlign w:val="subscript"/>
        </w:rPr>
        <w:t>2</w:t>
      </w:r>
      <w:r>
        <w:t>with very high yields. The key hypercoordinate boron radical intermediates are generated through a visible‐light‐driven Ni(I)/Ni(II) redox cycle employing zinc as the reducing agent. These radicals react directly with B</w:t>
      </w:r>
      <w:r>
        <w:rPr>
          <w:vertAlign w:val="subscript"/>
        </w:rPr>
        <w:t>2</w:t>
      </w:r>
      <w:r>
        <w:t>cat</w:t>
      </w:r>
      <w:r>
        <w:rPr>
          <w:vertAlign w:val="subscript"/>
        </w:rPr>
        <w:t>2</w:t>
      </w:r>
      <w:r>
        <w:t>to form B─B bond, which can subsequently undergo further derivatizations including boronic ester formation and hydroxylation.</w:t>
      </w:r>
    </w:p>
    <w:p>
      <w:pPr>
        <w:spacing w:before="120" w:after="120"/>
      </w:pPr>
      <w:r>
        <w:rPr>
          <w:sz w:val="18"/>
        </w:rPr>
        <w:t>——————————————————————————————————————————————————————————————————————</w:t>
      </w:r>
    </w:p>
    <w:p>
      <w:pPr>
        <w:spacing w:before="160" w:after="40" w:line="240" w:lineRule="auto"/>
      </w:pPr>
      <w:r>
        <w:rPr>
          <w:b/>
        </w:rPr>
        <w:t xml:space="preserve">[660] </w:t>
      </w:r>
      <w:hyperlink r:id="rId1853">
        <w:r>
          <w:rPr>
            <w:color w:val="1155CC"/>
            <w:u w:val="single"/>
          </w:rPr>
          <w:t>科学家对骨骼中淋巴管的意外发现提出质疑</w:t>
        </w:r>
      </w:hyperlink>
    </w:p>
    <w:p>
      <w:pPr>
        <w:spacing w:before="0" w:after="80"/>
      </w:pPr>
      <w:r>
        <w:rPr>
          <w:i/>
          <w:sz w:val="20"/>
        </w:rPr>
        <w:t>EN: Scientists challenge unexpected finding of lymphatic vessels in bone</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54">
        <w:r>
          <w:rPr>
            <w:color w:val="1155CC"/>
            <w:u w:val="single"/>
          </w:rPr>
          <w:t>10.1126/science.ael6246</w:t>
        </w:r>
      </w:hyperlink>
    </w:p>
    <w:p>
      <w:pPr>
        <w:spacing w:before="0" w:after="120"/>
      </w:pPr>
      <w:r>
        <w:rPr>
          <w:b/>
        </w:rPr>
        <w:t xml:space="preserve">Notes: </w:t>
      </w:r>
      <w:r>
        <w:t>abstract_source=crossref</w:t>
      </w:r>
    </w:p>
    <w:p>
      <w:pPr>
        <w:spacing w:before="0" w:after="80" w:lineRule="auto" w:line="276"/>
      </w:pPr>
      <w:r>
        <w:rPr>
          <w:b/>
        </w:rPr>
        <w:t xml:space="preserve">摘要（ZH）: </w:t>
      </w:r>
      <w:r>
        <w:t>著名期刊中相互矛盾的数据引发口角，并在最后一刻延迟发表</w:t>
      </w:r>
    </w:p>
    <w:p>
      <w:pPr>
        <w:spacing w:before="0" w:after="200" w:lineRule="auto" w:line="276"/>
      </w:pPr>
      <w:r>
        <w:rPr>
          <w:b/>
        </w:rPr>
        <w:t xml:space="preserve">Abstract (EN): </w:t>
      </w:r>
      <w:r>
        <w:t>Conflicting data prompt spat, and last-minute publication delay, in prominent journal</w:t>
      </w:r>
    </w:p>
    <w:p>
      <w:pPr>
        <w:spacing w:before="120" w:after="120"/>
      </w:pPr>
      <w:r>
        <w:rPr>
          <w:sz w:val="18"/>
        </w:rPr>
        <w:t>——————————————————————————————————————————————————————————————————————</w:t>
      </w:r>
    </w:p>
    <w:p>
      <w:pPr>
        <w:spacing w:before="160" w:after="40" w:line="240" w:lineRule="auto"/>
      </w:pPr>
      <w:r>
        <w:rPr>
          <w:b/>
        </w:rPr>
        <w:t xml:space="preserve">[661] </w:t>
      </w:r>
      <w:hyperlink r:id="rId1855">
        <w:r>
          <w:rPr>
            <w:color w:val="1155CC"/>
            <w:u w:val="single"/>
          </w:rPr>
          <w:t>司法部称三项 NSF 多元化计划违宪</w:t>
        </w:r>
      </w:hyperlink>
    </w:p>
    <w:p>
      <w:pPr>
        <w:spacing w:before="0" w:after="80"/>
      </w:pPr>
      <w:r>
        <w:rPr>
          <w:i/>
          <w:sz w:val="20"/>
        </w:rPr>
        <w:t>EN: Justice Department calls three NSF diversity programs unconstitutional</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56">
        <w:r>
          <w:rPr>
            <w:color w:val="1155CC"/>
            <w:u w:val="single"/>
          </w:rPr>
          <w:t>10.1126/science.ael6245</w:t>
        </w:r>
      </w:hyperlink>
    </w:p>
    <w:p>
      <w:pPr>
        <w:spacing w:before="0" w:after="120"/>
      </w:pPr>
      <w:r>
        <w:rPr>
          <w:b/>
        </w:rPr>
        <w:t xml:space="preserve">Notes: </w:t>
      </w:r>
      <w:r>
        <w:t>abstract_source=crossref</w:t>
      </w:r>
    </w:p>
    <w:p>
      <w:pPr>
        <w:spacing w:before="0" w:after="80" w:lineRule="auto" w:line="276"/>
      </w:pPr>
      <w:r>
        <w:rPr>
          <w:b/>
        </w:rPr>
        <w:t xml:space="preserve">摘要（ZH）: </w:t>
      </w:r>
      <w:r>
        <w:t>据称，裁决酒吧计划存在种族和性别歧视，但其他计划如果修改则可以继续</w:t>
      </w:r>
    </w:p>
    <w:p>
      <w:pPr>
        <w:spacing w:before="0" w:after="200" w:lineRule="auto" w:line="276"/>
      </w:pPr>
      <w:r>
        <w:rPr>
          <w:b/>
        </w:rPr>
        <w:t xml:space="preserve">Abstract (EN): </w:t>
      </w:r>
      <w:r>
        <w:t>Ruling bars programs said to discriminate by race and sex, but others can continue if modified</w:t>
      </w:r>
    </w:p>
    <w:p>
      <w:pPr>
        <w:spacing w:before="120" w:after="120"/>
      </w:pPr>
      <w:r>
        <w:rPr>
          <w:sz w:val="18"/>
        </w:rPr>
        <w:t>——————————————————————————————————————————————————————————————————————</w:t>
      </w:r>
    </w:p>
    <w:p>
      <w:pPr>
        <w:spacing w:before="160" w:after="40" w:line="240" w:lineRule="auto"/>
      </w:pPr>
      <w:r>
        <w:rPr>
          <w:b/>
        </w:rPr>
        <w:t xml:space="preserve">[662] </w:t>
      </w:r>
      <w:hyperlink r:id="rId1857">
        <w:r>
          <w:rPr>
            <w:color w:val="1155CC"/>
            <w:u w:val="single"/>
          </w:rPr>
          <w:t>生物多样性监测遗漏了行为</w:t>
        </w:r>
      </w:hyperlink>
    </w:p>
    <w:p>
      <w:pPr>
        <w:spacing w:before="0" w:after="80"/>
      </w:pPr>
      <w:r>
        <w:rPr>
          <w:i/>
          <w:sz w:val="20"/>
        </w:rPr>
        <w:t>EN: Biodiversity monitoring misses behavior</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58">
        <w:r>
          <w:rPr>
            <w:color w:val="1155CC"/>
            <w:u w:val="single"/>
          </w:rPr>
          <w:t>10.1126/science.aej9284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[663] </w:t>
      </w:r>
      <w:hyperlink r:id="rId1859">
        <w:r>
          <w:rPr>
            <w:color w:val="1155CC"/>
            <w:u w:val="single"/>
          </w:rPr>
          <w:t>旱地恢复需要共享证据</w:t>
        </w:r>
      </w:hyperlink>
    </w:p>
    <w:p>
      <w:pPr>
        <w:spacing w:before="0" w:after="80"/>
      </w:pPr>
      <w:r>
        <w:rPr>
          <w:i/>
          <w:sz w:val="20"/>
        </w:rPr>
        <w:t>EN: Dryland restoration needs shared evidence</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60">
        <w:r>
          <w:rPr>
            <w:color w:val="1155CC"/>
            <w:u w:val="single"/>
          </w:rPr>
          <w:t>10.1126/science.aek5595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[664] </w:t>
      </w:r>
      <w:hyperlink r:id="rId1861">
        <w:r>
          <w:rPr>
            <w:color w:val="1155CC"/>
            <w:u w:val="single"/>
          </w:rPr>
          <w:t>纵火袭击扰乱了意大利申办爱因斯坦望远镜的计划</w:t>
        </w:r>
      </w:hyperlink>
    </w:p>
    <w:p>
      <w:pPr>
        <w:spacing w:before="0" w:after="80"/>
      </w:pPr>
      <w:r>
        <w:rPr>
          <w:i/>
          <w:sz w:val="20"/>
        </w:rPr>
        <w:t>EN: Arson attack jolts Italy’s bid to host the Einstein Telescope</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62">
        <w:r>
          <w:rPr>
            <w:color w:val="1155CC"/>
            <w:u w:val="single"/>
          </w:rPr>
          <w:t>10.1126/science.ael6247</w:t>
        </w:r>
      </w:hyperlink>
    </w:p>
    <w:p>
      <w:pPr>
        <w:spacing w:before="0" w:after="120"/>
      </w:pPr>
      <w:r>
        <w:rPr>
          <w:b/>
        </w:rPr>
        <w:t xml:space="preserve">Notes: </w:t>
      </w:r>
      <w:r>
        <w:t>abstract_source=crossref</w:t>
      </w:r>
    </w:p>
    <w:p>
      <w:pPr>
        <w:spacing w:before="0" w:after="80" w:lineRule="auto" w:line="276"/>
      </w:pPr>
      <w:r>
        <w:rPr>
          <w:b/>
        </w:rPr>
        <w:t xml:space="preserve">摘要（ZH）: </w:t>
      </w:r>
      <w:r>
        <w:t>两名科学家的汽车在拟建下一代引力波天文台的撒丁岛地点被烧毁</w:t>
      </w:r>
    </w:p>
    <w:p>
      <w:pPr>
        <w:spacing w:before="0" w:after="200" w:lineRule="auto" w:line="276"/>
      </w:pPr>
      <w:r>
        <w:rPr>
          <w:b/>
        </w:rPr>
        <w:t xml:space="preserve">Abstract (EN): </w:t>
      </w:r>
      <w:r>
        <w:t>Two scientists’ cars burned at proposed Sardinian site for the next-generation gravitational-wave observatory</w:t>
      </w:r>
    </w:p>
    <w:p>
      <w:pPr>
        <w:spacing w:before="120" w:after="120"/>
      </w:pPr>
      <w:r>
        <w:rPr>
          <w:sz w:val="18"/>
        </w:rPr>
        <w:t>——————————————————————————————————————————————————————————————————————</w:t>
      </w:r>
    </w:p>
    <w:p>
      <w:pPr>
        <w:spacing w:before="160" w:after="40" w:line="240" w:lineRule="auto"/>
      </w:pPr>
      <w:r>
        <w:rPr>
          <w:b/>
        </w:rPr>
        <w:t xml:space="preserve">[665] </w:t>
      </w:r>
      <w:hyperlink r:id="rId1863">
        <w:r>
          <w:rPr>
            <w:color w:val="1155CC"/>
            <w:u w:val="single"/>
          </w:rPr>
          <w:t>触摸和疼痛塑造了大脑成像所看到的内容</w:t>
        </w:r>
      </w:hyperlink>
    </w:p>
    <w:p>
      <w:pPr>
        <w:spacing w:before="0" w:after="80"/>
      </w:pPr>
      <w:r>
        <w:rPr>
          <w:i/>
          <w:sz w:val="20"/>
        </w:rPr>
        <w:t>EN: Touch and pain shape what brain imaging sees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64">
        <w:r>
          <w:rPr>
            <w:color w:val="1155CC"/>
            <w:u w:val="single"/>
          </w:rPr>
          <w:t>10.1126/science.aek1809</w:t>
        </w:r>
      </w:hyperlink>
    </w:p>
    <w:p>
      <w:pPr>
        <w:spacing w:before="0" w:after="120"/>
      </w:pPr>
      <w:r>
        <w:rPr>
          <w:b/>
        </w:rPr>
        <w:t xml:space="preserve">Notes: </w:t>
      </w:r>
      <w:r>
        <w:t>abstract_source=crossref</w:t>
      </w:r>
    </w:p>
    <w:p>
      <w:pPr>
        <w:spacing w:before="0" w:after="80" w:lineRule="auto" w:line="276"/>
      </w:pPr>
      <w:r>
        <w:rPr>
          <w:b/>
        </w:rPr>
        <w:t xml:space="preserve">摘要（ZH）: </w:t>
      </w:r>
      <w:r>
        <w:t>感觉输入影响不同的血管网络，影响大脑扫描的精度</w:t>
      </w:r>
    </w:p>
    <w:p>
      <w:pPr>
        <w:spacing w:before="0" w:after="200" w:lineRule="auto" w:line="276"/>
      </w:pPr>
      <w:r>
        <w:rPr>
          <w:b/>
        </w:rPr>
        <w:t xml:space="preserve">Abstract (EN): </w:t>
      </w:r>
      <w:r>
        <w:t>Sensory inputs influence different blood vessel networks, affecting the precision of brain scans</w:t>
      </w:r>
    </w:p>
    <w:p>
      <w:pPr>
        <w:spacing w:before="120" w:after="120"/>
      </w:pPr>
      <w:r>
        <w:rPr>
          <w:sz w:val="18"/>
        </w:rPr>
        <w:t>——————————————————————————————————————————————————————————————————————</w:t>
      </w:r>
    </w:p>
    <w:p>
      <w:pPr>
        <w:spacing w:before="160" w:after="40" w:line="240" w:lineRule="auto"/>
      </w:pPr>
      <w:r>
        <w:rPr>
          <w:b/>
        </w:rPr>
        <w:t xml:space="preserve">[666] </w:t>
      </w:r>
      <w:hyperlink r:id="rId1865">
        <w:r>
          <w:rPr>
            <w:color w:val="1155CC"/>
            <w:u w:val="single"/>
          </w:rPr>
          <w:t>迭代地键合碳</w:t>
        </w:r>
      </w:hyperlink>
    </w:p>
    <w:p>
      <w:pPr>
        <w:spacing w:before="0" w:after="80"/>
      </w:pPr>
      <w:r>
        <w:rPr>
          <w:i/>
          <w:sz w:val="20"/>
        </w:rPr>
        <w:t>EN: Bonding carbons iteratively</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66">
        <w:r>
          <w:rPr>
            <w:color w:val="1155CC"/>
            <w:u w:val="single"/>
          </w:rPr>
          <w:t>10.1126/science.aeg5569</w:t>
        </w:r>
      </w:hyperlink>
    </w:p>
    <w:p>
      <w:pPr>
        <w:spacing w:before="0" w:after="120"/>
      </w:pPr>
      <w:r>
        <w:rPr>
          <w:b/>
        </w:rPr>
        <w:t xml:space="preserve">Notes: </w:t>
      </w:r>
      <w:r>
        <w:t>abstract_source=crossref</w:t>
      </w:r>
    </w:p>
    <w:p>
      <w:pPr>
        <w:spacing w:before="0" w:after="80" w:lineRule="auto" w:line="276"/>
      </w:pPr>
      <w:r>
        <w:rPr>
          <w:b/>
        </w:rPr>
        <w:t xml:space="preserve">摘要（ZH）: </w:t>
      </w:r>
      <w:r>
        <w:t>模块化合成方法可以拓宽化学的可及性</w:t>
      </w:r>
    </w:p>
    <w:p>
      <w:pPr>
        <w:spacing w:before="0" w:after="200" w:lineRule="auto" w:line="276"/>
      </w:pPr>
      <w:r>
        <w:rPr>
          <w:b/>
        </w:rPr>
        <w:t xml:space="preserve">Abstract (EN): </w:t>
      </w:r>
      <w:r>
        <w:t>A modular synthesis method could broaden the accessibility of chemistry</w:t>
      </w:r>
    </w:p>
    <w:p>
      <w:pPr>
        <w:spacing w:before="120" w:after="120"/>
      </w:pPr>
      <w:r>
        <w:rPr>
          <w:sz w:val="18"/>
        </w:rPr>
        <w:t>——————————————————————————————————————————————————————————————————————</w:t>
      </w:r>
    </w:p>
    <w:p>
      <w:pPr>
        <w:spacing w:before="160" w:after="40" w:line="240" w:lineRule="auto"/>
      </w:pPr>
      <w:r>
        <w:rPr>
          <w:b/>
        </w:rPr>
        <w:t xml:space="preserve">[667] </w:t>
      </w:r>
      <w:hyperlink r:id="rId1867">
        <w:r>
          <w:rPr>
            <w:color w:val="1155CC"/>
            <w:u w:val="single"/>
          </w:rPr>
          <w:t>可再生能源政策中的碳超越</w:t>
        </w:r>
      </w:hyperlink>
    </w:p>
    <w:p>
      <w:pPr>
        <w:spacing w:before="0" w:after="80"/>
      </w:pPr>
      <w:r>
        <w:rPr>
          <w:i/>
          <w:sz w:val="20"/>
        </w:rPr>
        <w:t>EN: Beyond carbon in renewable energy policy</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68">
        <w:r>
          <w:rPr>
            <w:color w:val="1155CC"/>
            <w:u w:val="single"/>
          </w:rPr>
          <w:t>10.1126/science.aek1460</w:t>
        </w:r>
      </w:hyperlink>
    </w:p>
    <w:p>
      <w:pPr>
        <w:spacing w:before="0" w:after="120"/>
      </w:pPr>
      <w:r>
        <w:rPr>
          <w:b/>
        </w:rPr>
        <w:t xml:space="preserve">Notes: </w:t>
      </w:r>
      <w:r>
        <w:t>abstract_source=crossref</w:t>
      </w:r>
    </w:p>
    <w:p>
      <w:pPr>
        <w:spacing w:before="0" w:after="80" w:lineRule="auto" w:line="276"/>
      </w:pPr>
      <w:r>
        <w:rPr>
          <w:b/>
        </w:rPr>
        <w:t xml:space="preserve">摘要（ZH）: </w:t>
      </w:r>
      <w:r>
        <w:t>中国政策驱动的太阳能扩张表明气候政策评估为何应考虑生物多样性影响</w:t>
      </w:r>
    </w:p>
    <w:p>
      <w:pPr>
        <w:spacing w:before="0" w:after="200" w:lineRule="auto" w:line="276"/>
      </w:pPr>
      <w:r>
        <w:rPr>
          <w:b/>
        </w:rPr>
        <w:t xml:space="preserve">Abstract (EN): </w:t>
      </w:r>
      <w:r>
        <w:t>China’s policy-driven solar expansion shows why climate policy appraisal should look at biodiversity impacts</w:t>
      </w:r>
    </w:p>
    <w:p>
      <w:pPr>
        <w:spacing w:before="120" w:after="120"/>
      </w:pPr>
      <w:r>
        <w:rPr>
          <w:sz w:val="18"/>
        </w:rPr>
        <w:t>——————————————————————————————————————————————————————————————————————</w:t>
      </w:r>
    </w:p>
    <w:p>
      <w:pPr>
        <w:spacing w:before="160" w:after="40" w:line="240" w:lineRule="auto"/>
      </w:pPr>
      <w:r>
        <w:rPr>
          <w:b/>
        </w:rPr>
        <w:t xml:space="preserve">[668] </w:t>
      </w:r>
      <w:hyperlink r:id="rId1869">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70">
        <w:r>
          <w:rPr>
            <w:color w:val="1155CC"/>
            <w:u w:val="single"/>
          </w:rPr>
          <w:t>10.1126/science.ael5804</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[669] </w:t>
      </w:r>
      <w:hyperlink r:id="rId1871">
        <w:r>
          <w:rPr>
            <w:color w:val="1155CC"/>
            <w:u w:val="single"/>
          </w:rPr>
          <w:t>火星上偶然的日落</w:t>
        </w:r>
      </w:hyperlink>
    </w:p>
    <w:p>
      <w:pPr>
        <w:spacing w:before="0" w:after="80"/>
      </w:pPr>
      <w:r>
        <w:rPr>
          <w:i/>
          <w:sz w:val="20"/>
        </w:rPr>
        <w:t>EN: A serendipitous sunset on Mars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72">
        <w:r>
          <w:rPr>
            <w:color w:val="1155CC"/>
            <w:u w:val="single"/>
          </w:rPr>
          <w:t>10.1126/science.aec4203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[670] </w:t>
      </w:r>
      <w:hyperlink r:id="rId1873">
        <w:r>
          <w:rPr>
            <w:color w:val="1155CC"/>
            <w:u w:val="single"/>
          </w:rPr>
          <w:t>学习的实验室</w:t>
        </w:r>
      </w:hyperlink>
    </w:p>
    <w:p>
      <w:pPr>
        <w:spacing w:before="0" w:after="80"/>
      </w:pPr>
      <w:r>
        <w:rPr>
          <w:i/>
          <w:sz w:val="20"/>
        </w:rPr>
        <w:t>EN: The lab that learns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74">
        <w:r>
          <w:rPr>
            <w:color w:val="1155CC"/>
            <w:u w:val="single"/>
          </w:rPr>
          <w:t>10.1126/science.aee2448</w:t>
        </w:r>
      </w:hyperlink>
    </w:p>
    <w:p>
      <w:pPr>
        <w:spacing w:before="0" w:after="120"/>
      </w:pPr>
      <w:r>
        <w:rPr>
          <w:b/>
        </w:rPr>
        <w:t xml:space="preserve">Notes: </w:t>
      </w:r>
      <w:r>
        <w:t>abstract_source=crossref</w:t>
      </w:r>
    </w:p>
    <w:p>
      <w:pPr>
        <w:spacing w:before="0" w:after="80" w:lineRule="auto" w:line="276"/>
      </w:pPr>
      <w:r>
        <w:rPr>
          <w:b/>
        </w:rPr>
        <w:t xml:space="preserve">摘要（ZH）: </w:t>
      </w:r>
      <w:r>
        <w:t>集成高通量实验、机器人技术和人工智能可以加速科学发现</w:t>
      </w:r>
    </w:p>
    <w:p>
      <w:pPr>
        <w:spacing w:before="0" w:after="200" w:lineRule="auto" w:line="276"/>
      </w:pPr>
      <w:r>
        <w:rPr>
          <w:b/>
        </w:rPr>
        <w:t xml:space="preserve">Abstract (EN): </w:t>
      </w:r>
      <w:r>
        <w:t>Integrating high-throughput experiments, robotics, and artificial intelligence can accelerate scientific discoveries</w:t>
      </w:r>
    </w:p>
    <w:p>
      <w:pPr>
        <w:spacing w:before="120" w:after="120"/>
      </w:pPr>
      <w:r>
        <w:rPr>
          <w:sz w:val="18"/>
        </w:rPr>
        <w:t>——————————————————————————————————————————————————————————————————————</w:t>
      </w:r>
    </w:p>
    <w:p>
      <w:pPr>
        <w:spacing w:before="160" w:after="40" w:line="240" w:lineRule="auto"/>
      </w:pPr>
      <w:r>
        <w:rPr>
          <w:b/>
        </w:rPr>
        <w:t xml:space="preserve">[671] </w:t>
      </w:r>
      <w:hyperlink r:id="rId1875">
        <w:r>
          <w:rPr>
            <w:color w:val="1155CC"/>
            <w:u w:val="single"/>
          </w:rPr>
          <w:t>电池可持续性的布鲁塞尔效应</w:t>
        </w:r>
      </w:hyperlink>
    </w:p>
    <w:p>
      <w:pPr>
        <w:spacing w:before="0" w:after="80"/>
      </w:pPr>
      <w:r>
        <w:rPr>
          <w:i/>
          <w:sz w:val="20"/>
        </w:rPr>
        <w:t>EN: A Brussels Effect for battery sustainability</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76">
        <w:r>
          <w:rPr>
            <w:color w:val="1155CC"/>
            <w:u w:val="single"/>
          </w:rPr>
          <w:t>10.1126/science.aed8133</w:t>
        </w:r>
      </w:hyperlink>
    </w:p>
    <w:p>
      <w:pPr>
        <w:spacing w:before="0" w:after="120"/>
      </w:pPr>
      <w:r>
        <w:rPr>
          <w:b/>
        </w:rPr>
        <w:t xml:space="preserve">Notes: </w:t>
      </w:r>
      <w:r>
        <w:t>abstract_source=crossref</w:t>
      </w:r>
    </w:p>
    <w:p>
      <w:pPr>
        <w:spacing w:before="0" w:after="80" w:lineRule="auto" w:line="276"/>
      </w:pPr>
      <w:r>
        <w:rPr>
          <w:b/>
        </w:rPr>
        <w:t xml:space="preserve">摘要（ZH）: </w:t>
      </w:r>
      <w:r>
        <w:t>欧盟电池法规有助于推动建立广泛共享的可持续治理证据系统</w:t>
      </w:r>
    </w:p>
    <w:p>
      <w:pPr>
        <w:spacing w:before="0" w:after="200" w:lineRule="auto" w:line="276"/>
      </w:pPr>
      <w:r>
        <w:rPr>
          <w:b/>
        </w:rPr>
        <w:t xml:space="preserve">Abstract (EN): </w:t>
      </w:r>
      <w:r>
        <w:t>An EU battery regulation can help drive toward a widely shared evidentiary system for sustainability governance</w:t>
      </w:r>
    </w:p>
    <w:p>
      <w:pPr>
        <w:spacing w:before="120" w:after="120"/>
      </w:pPr>
      <w:r>
        <w:rPr>
          <w:sz w:val="18"/>
        </w:rPr>
        <w:t>——————————————————————————————————————————————————————————————————————</w:t>
      </w:r>
    </w:p>
    <w:p>
      <w:pPr>
        <w:spacing w:before="160" w:after="40" w:line="240" w:lineRule="auto"/>
      </w:pPr>
      <w:r>
        <w:rPr>
          <w:b/>
        </w:rPr>
        <w:t xml:space="preserve">[672] </w:t>
      </w:r>
      <w:hyperlink r:id="rId1877">
        <w:r>
          <w:rPr>
            <w:color w:val="1155CC"/>
            <w:u w:val="single"/>
          </w:rPr>
          <w:t>说服力</w:t>
        </w:r>
      </w:hyperlink>
    </w:p>
    <w:p>
      <w:pPr>
        <w:spacing w:before="0" w:after="80"/>
      </w:pPr>
      <w:r>
        <w:rPr>
          <w:i/>
          <w:sz w:val="20"/>
        </w:rPr>
        <w:t>EN: Powers of persuasion</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78">
        <w:r>
          <w:rPr>
            <w:color w:val="1155CC"/>
            <w:u w:val="single"/>
          </w:rPr>
          <w:t>10.1126/science.ael6251</w:t>
        </w:r>
      </w:hyperlink>
    </w:p>
    <w:p>
      <w:pPr>
        <w:spacing w:before="0" w:after="120"/>
      </w:pPr>
      <w:r>
        <w:rPr>
          <w:b/>
        </w:rPr>
        <w:t xml:space="preserve">Notes: </w:t>
      </w:r>
      <w:r>
        <w:t>abstract_source=crossref</w:t>
      </w:r>
    </w:p>
    <w:p>
      <w:pPr>
        <w:spacing w:before="0" w:after="80" w:lineRule="auto" w:line="276"/>
      </w:pPr>
      <w:r>
        <w:rPr>
          <w:b/>
        </w:rPr>
        <w:t xml:space="preserve">摘要（ZH）: </w:t>
      </w:r>
      <w:r>
        <w:t>人工智能聊天机器人正在成为改变人们想法的专家。是什么给了他们优势？</w:t>
      </w:r>
    </w:p>
    <w:p>
      <w:pPr>
        <w:spacing w:before="0" w:after="200" w:lineRule="auto" w:line="276"/>
      </w:pPr>
      <w:r>
        <w:rPr>
          <w:b/>
        </w:rPr>
        <w:t xml:space="preserve">Abstract (EN): </w:t>
      </w:r>
      <w:r>
        <w:t>AI chatbots are becoming experts at changing people’s minds. What gives them an edge?</w:t>
      </w:r>
    </w:p>
    <w:p>
      <w:pPr>
        <w:spacing w:before="120" w:after="120"/>
      </w:pPr>
      <w:r>
        <w:rPr>
          <w:sz w:val="18"/>
        </w:rPr>
        <w:t>——————————————————————————————————————————————————————————————————————</w:t>
      </w:r>
    </w:p>
    <w:p>
      <w:pPr>
        <w:spacing w:before="160" w:after="40" w:line="240" w:lineRule="auto"/>
      </w:pPr>
      <w:r>
        <w:rPr>
          <w:b/>
        </w:rPr>
        <w:t xml:space="preserve">[673] </w:t>
      </w:r>
      <w:hyperlink r:id="rId1879">
        <w:r>
          <w:rPr>
            <w:color w:val="1155CC"/>
            <w:u w:val="single"/>
          </w:rPr>
          <w:t>重要动植物疾病实验室因生物安全问题而陷入停滞</w:t>
        </w:r>
      </w:hyperlink>
    </w:p>
    <w:p>
      <w:pPr>
        <w:spacing w:before="0" w:after="80"/>
      </w:pPr>
      <w:r>
        <w:rPr>
          <w:i/>
          <w:sz w:val="20"/>
        </w:rPr>
        <w:t>EN: Key animal and plant disease lab stalled by biosafety issues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80">
        <w:r>
          <w:rPr>
            <w:color w:val="1155CC"/>
            <w:u w:val="single"/>
          </w:rPr>
          <w:t>10.1126/science.ael6250</w:t>
        </w:r>
      </w:hyperlink>
    </w:p>
    <w:p>
      <w:pPr>
        <w:spacing w:before="0" w:after="120"/>
      </w:pPr>
      <w:r>
        <w:rPr>
          <w:b/>
        </w:rPr>
        <w:t xml:space="preserve">Notes: </w:t>
      </w:r>
      <w:r>
        <w:t>abstract_source=crossref</w:t>
      </w:r>
    </w:p>
    <w:p>
      <w:pPr>
        <w:spacing w:before="0" w:after="80" w:lineRule="auto" w:line="276"/>
      </w:pPr>
      <w:r>
        <w:rPr>
          <w:b/>
        </w:rPr>
        <w:t xml:space="preserve">摘要（ZH）: </w:t>
      </w:r>
      <w:r>
        <w:t>美国农业部不知道新设施何时能够处理最危险的病原体</w:t>
      </w:r>
    </w:p>
    <w:p>
      <w:pPr>
        <w:spacing w:before="0" w:after="200" w:lineRule="auto" w:line="276"/>
      </w:pPr>
      <w:r>
        <w:rPr>
          <w:b/>
        </w:rPr>
        <w:t xml:space="preserve">Abstract (EN): </w:t>
      </w:r>
      <w:r>
        <w:t>USDA doesn’t know when new facility will be able to handle the most dangerous pathogens</w:t>
      </w:r>
    </w:p>
    <w:p>
      <w:pPr>
        <w:spacing w:before="120" w:after="120"/>
      </w:pPr>
      <w:r>
        <w:rPr>
          <w:sz w:val="18"/>
        </w:rPr>
        <w:t>——————————————————————————————————————————————————————————————————————</w:t>
      </w:r>
    </w:p>
    <w:p>
      <w:pPr>
        <w:spacing w:before="160" w:after="40" w:line="240" w:lineRule="auto"/>
      </w:pPr>
      <w:r>
        <w:rPr>
          <w:b/>
        </w:rPr>
        <w:t xml:space="preserve">[674] </w:t>
      </w:r>
      <w:hyperlink r:id="rId1881">
        <w:r>
          <w:rPr>
            <w:color w:val="1155CC"/>
            <w:u w:val="single"/>
          </w:rPr>
          <w:t>中国任务旨在探测月球隐藏的水</w:t>
        </w:r>
      </w:hyperlink>
    </w:p>
    <w:p>
      <w:pPr>
        <w:spacing w:before="0" w:after="80"/>
      </w:pPr>
      <w:r>
        <w:rPr>
          <w:i/>
          <w:sz w:val="20"/>
        </w:rPr>
        <w:t>EN: China mission aims to probe the Moon’s hidden water</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82">
        <w:r>
          <w:rPr>
            <w:color w:val="1155CC"/>
            <w:u w:val="single"/>
          </w:rPr>
          <w:t>10.1126/science.ael6248</w:t>
        </w:r>
      </w:hyperlink>
    </w:p>
    <w:p>
      <w:pPr>
        <w:spacing w:before="0" w:after="120"/>
      </w:pPr>
      <w:r>
        <w:rPr>
          <w:b/>
        </w:rPr>
        <w:t xml:space="preserve">Notes: </w:t>
      </w:r>
      <w:r>
        <w:t>abstract_source=crossref</w:t>
      </w:r>
    </w:p>
    <w:p>
      <w:pPr>
        <w:spacing w:before="0" w:after="80" w:lineRule="auto" w:line="276"/>
      </w:pPr>
      <w:r>
        <w:rPr>
          <w:b/>
        </w:rPr>
        <w:t xml:space="preserve">摘要（ZH）: </w:t>
      </w:r>
      <w:r>
        <w:t>嫦娥七号将发射跳跃飞船进入极地陨石坑直接采样月球冰</w:t>
      </w:r>
    </w:p>
    <w:p>
      <w:pPr>
        <w:spacing w:before="0" w:after="200" w:lineRule="auto" w:line="276"/>
      </w:pPr>
      <w:r>
        <w:rPr>
          <w:b/>
        </w:rPr>
        <w:t xml:space="preserve">Abstract (EN): </w:t>
      </w:r>
      <w:r>
        <w:t>Chang’e-7 will send a hopping craft into a polar crater to directly sample lunar ice</w:t>
      </w:r>
    </w:p>
    <w:p>
      <w:pPr>
        <w:spacing w:before="120" w:after="120"/>
      </w:pPr>
      <w:r>
        <w:rPr>
          <w:sz w:val="18"/>
        </w:rPr>
        <w:t>——————————————————————————————————————————————————————————————————————</w:t>
      </w:r>
    </w:p>
    <w:p>
      <w:pPr>
        <w:spacing w:before="160" w:after="40" w:line="240" w:lineRule="auto"/>
      </w:pPr>
      <w:r>
        <w:rPr>
          <w:b/>
        </w:rPr>
        <w:t xml:space="preserve">[675] </w:t>
      </w:r>
      <w:hyperlink r:id="rId1883">
        <w:r>
          <w:rPr>
            <w:color w:val="1155CC"/>
            <w:u w:val="single"/>
          </w:rPr>
          <w:t>技术并不能取代民主</w:t>
        </w:r>
      </w:hyperlink>
    </w:p>
    <w:p>
      <w:pPr>
        <w:spacing w:before="0" w:after="80"/>
      </w:pPr>
      <w:r>
        <w:rPr>
          <w:i/>
          <w:sz w:val="20"/>
        </w:rPr>
        <w:t>EN: Technology is not a replacement for democracy</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84">
        <w:r>
          <w:rPr>
            <w:color w:val="1155CC"/>
            <w:u w:val="single"/>
          </w:rPr>
          <w:t>10.1126/science.aej1046</w:t>
        </w:r>
      </w:hyperlink>
    </w:p>
    <w:p>
      <w:pPr>
        <w:spacing w:before="0" w:after="120"/>
      </w:pPr>
      <w:r>
        <w:rPr>
          <w:b/>
        </w:rPr>
        <w:t xml:space="preserve">Notes: </w:t>
      </w:r>
      <w:r>
        <w:t>abstract_source=crossref</w:t>
      </w:r>
    </w:p>
    <w:p>
      <w:pPr>
        <w:spacing w:before="0" w:after="80" w:lineRule="auto" w:line="276"/>
      </w:pPr>
      <w:r>
        <w:rPr>
          <w:b/>
        </w:rPr>
        <w:t xml:space="preserve">摘要（ZH）: </w:t>
      </w:r>
      <w:r>
        <w:t>由机器运行的政府并非不可避免——我们曾经经历过并拒绝过它</w:t>
      </w:r>
    </w:p>
    <w:p>
      <w:pPr>
        <w:spacing w:before="0" w:after="200" w:lineRule="auto" w:line="276"/>
      </w:pPr>
      <w:r>
        <w:rPr>
          <w:b/>
        </w:rPr>
        <w:t xml:space="preserve">Abstract (EN): </w:t>
      </w:r>
      <w:r>
        <w:t>A government run by machines is not inevitable—we have been here and rejected it before</w:t>
      </w:r>
    </w:p>
    <w:p>
      <w:pPr>
        <w:spacing w:before="120" w:after="120"/>
      </w:pPr>
      <w:r>
        <w:rPr>
          <w:sz w:val="18"/>
        </w:rPr>
        <w:t>——————————————————————————————————————————————————————————————————————</w:t>
      </w:r>
    </w:p>
    <w:p>
      <w:pPr>
        <w:spacing w:before="160" w:after="40" w:line="240" w:lineRule="auto"/>
      </w:pPr>
      <w:r>
        <w:rPr>
          <w:b/>
        </w:rPr>
        <w:t xml:space="preserve">[676] </w:t>
      </w:r>
      <w:hyperlink r:id="rId1885">
        <w:r>
          <w:rPr>
            <w:color w:val="1155CC"/>
            <w:u w:val="single"/>
          </w:rPr>
          <w:t>学会热爱机器</w:t>
        </w:r>
      </w:hyperlink>
    </w:p>
    <w:p>
      <w:pPr>
        <w:spacing w:before="0" w:after="80"/>
      </w:pPr>
      <w:r>
        <w:rPr>
          <w:i/>
          <w:sz w:val="20"/>
        </w:rPr>
        <w:t>EN: Learning to love the machine</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86">
        <w:r>
          <w:rPr>
            <w:color w:val="1155CC"/>
            <w:u w:val="single"/>
          </w:rPr>
          <w:t>10.1126/science.aek5943</w:t>
        </w:r>
      </w:hyperlink>
    </w:p>
    <w:p>
      <w:pPr>
        <w:spacing w:before="0" w:after="120"/>
      </w:pPr>
      <w:r>
        <w:rPr>
          <w:b/>
        </w:rPr>
        <w:t xml:space="preserve">Notes: </w:t>
      </w:r>
      <w:r>
        <w:t>abstract_source=crossref</w:t>
      </w:r>
    </w:p>
    <w:p>
      <w:pPr>
        <w:spacing w:before="0" w:after="80" w:lineRule="auto" w:line="276"/>
      </w:pPr>
      <w:r>
        <w:rPr>
          <w:b/>
        </w:rPr>
        <w:t xml:space="preserve">摘要（ZH）: </w:t>
      </w:r>
      <w:r>
        <w:t>一位记者认为，大型科技公司让孩子们编码的努力比乍看起来更加自私</w:t>
      </w:r>
    </w:p>
    <w:p>
      <w:pPr>
        <w:spacing w:before="0" w:after="200" w:lineRule="auto" w:line="276"/>
      </w:pPr>
      <w:r>
        <w:rPr>
          <w:b/>
        </w:rPr>
        <w:t xml:space="preserve">Abstract (EN): </w:t>
      </w:r>
      <w:r>
        <w:t>Big Tech’s crusade to get kids coding is more self-interested than it first appears, argues a journalist</w:t>
      </w:r>
    </w:p>
    <w:p>
      <w:pPr>
        <w:spacing w:before="120" w:after="120"/>
      </w:pPr>
      <w:r>
        <w:rPr>
          <w:sz w:val="18"/>
        </w:rPr>
        <w:t>——————————————————————————————————————————————————————————————————————</w:t>
      </w:r>
    </w:p>
    <w:p>
      <w:pPr>
        <w:spacing w:before="160" w:after="40" w:line="240" w:lineRule="auto"/>
      </w:pPr>
      <w:r>
        <w:rPr>
          <w:b/>
        </w:rPr>
        <w:t xml:space="preserve">[677] </w:t>
      </w:r>
      <w:hyperlink r:id="rId1887">
        <w:r>
          <w:rPr>
            <w:color w:val="1155CC"/>
            <w:u w:val="single"/>
          </w:rPr>
          <w:t>高压合成超长鞘单金属原子链</w:t>
        </w:r>
      </w:hyperlink>
    </w:p>
    <w:p>
      <w:pPr>
        <w:spacing w:before="0" w:after="80"/>
      </w:pPr>
      <w:r>
        <w:rPr>
          <w:i/>
          <w:sz w:val="20"/>
        </w:rPr>
        <w:t>EN: Ultralong sheathed single-metal-atom chains synthesized under high pressure</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88">
        <w:r>
          <w:rPr>
            <w:color w:val="1155CC"/>
            <w:u w:val="single"/>
          </w:rPr>
          <w:t>10.1126/science.aeg0028</w:t>
        </w:r>
      </w:hyperlink>
    </w:p>
    <w:p>
      <w:pPr>
        <w:spacing w:before="0" w:after="120"/>
      </w:pPr>
      <w:r>
        <w:rPr>
          <w:b/>
        </w:rPr>
        <w:t xml:space="preserve">Notes: </w:t>
      </w:r>
      <w:r>
        <w:t>abstract_source=crossref</w:t>
      </w:r>
    </w:p>
    <w:p>
      <w:pPr>
        <w:spacing w:before="0" w:after="80" w:lineRule="auto" w:line="276"/>
      </w:pPr>
      <w:r>
        <w:rPr>
          <w:b/>
        </w:rPr>
        <w:t xml:space="preserve">摘要（ZH）: </w:t>
      </w:r>
      <w:r>
        <w:t>单金属原子链（SMAC）代表了一维纳米结构的极限。它们作为凝聚态物理的原型模型系统，并构成下一代纳米电子学的基本构建模块。然而，合成适合实际应用的 SMAC 仍然具有挑战性。在这项工作中，我们通过将 β-铜酞菁压缩至 21 吉帕以上，制造出毫克级的微米长碳鞘铜 SMAC。 SMAC 具有原子级有序性，可通过酸辅助剥离进行分离，并表现出卓越的稳定性，Cu-Cu 距离限制在 2.57 埃。实验和计算结果表明各向异性电导和反铁磁相互作用。这项工作为铠装 SMAC 建立了一种通用合成策略，将其定位为未来电子和自旋电子应用的一个引人注目的平台。</w:t>
      </w:r>
    </w:p>
    <w:p>
      <w:pPr>
        <w:spacing w:before="0" w:after="200" w:lineRule="auto" w:line="276"/>
      </w:pPr>
      <w:r>
        <w:rPr>
          <w:b/>
        </w:rPr>
        <w:t xml:space="preserve">Abstract (EN): </w:t>
      </w:r>
      <w:r>
        <w:t>Single-metal-atom chains (SMACs) represent the ultimate limit of one-dimensional nanostructures. They serve as archetypal model systems for condensed matter physics and constitute fundamental building blocks for next-generation nanoelectronics. However, synthesis of SMACs suitable for practical applications remains challenging. In this work, we create micrometer-long, carbon-sheathed copper SMACs at milligram scale by compressing β-copper phthalocyanine to above 21 gigapascals. The SMACs are in atom-scale ordering, are isolable through acid-assisted exfoliation, and exhibit exceptional stability, with Cu-Cu distance confined at 2.57 angstroms. Anisotropic conductance and antiferromagnetic interactions are suggested by experimental and computational results. This work establishes a universal synthetic strategy for sheathed SMACs, positioning them as a compelling platform for prospective electronic and spintronic applications.</w:t>
      </w:r>
    </w:p>
    <w:p>
      <w:pPr>
        <w:spacing w:before="120" w:after="120"/>
      </w:pPr>
      <w:r>
        <w:rPr>
          <w:sz w:val="18"/>
        </w:rPr>
        <w:t>——————————————————————————————————————————————————————————————————————</w:t>
      </w:r>
    </w:p>
    <w:p>
      <w:pPr>
        <w:spacing w:before="160" w:after="40" w:line="240" w:lineRule="auto"/>
      </w:pPr>
      <w:r>
        <w:rPr>
          <w:b/>
        </w:rPr>
        <w:t xml:space="preserve">[678] </w:t>
      </w:r>
      <w:hyperlink r:id="rId1889">
        <w:r>
          <w:rPr>
            <w:color w:val="1155CC"/>
            <w:u w:val="single"/>
          </w:rPr>
          <w:t>CaF2 中 229Th 的激光穆斯堡尔光谱</w:t>
        </w:r>
      </w:hyperlink>
    </w:p>
    <w:p>
      <w:pPr>
        <w:spacing w:before="0" w:after="80"/>
      </w:pPr>
      <w:r>
        <w:rPr>
          <w:i/>
          <w:sz w:val="20"/>
        </w:rPr>
        <w:t>EN: Laser Mössbauer spectroscopy of 229Th in CaF2</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90">
        <w:r>
          <w:rPr>
            <w:color w:val="1155CC"/>
            <w:u w:val="single"/>
          </w:rPr>
          <w:t>10.1126/science.aea7978</w:t>
        </w:r>
      </w:hyperlink>
    </w:p>
    <w:p>
      <w:pPr>
        <w:spacing w:before="0" w:after="120"/>
      </w:pPr>
      <w:r>
        <w:rPr>
          <w:b/>
        </w:rPr>
        <w:t xml:space="preserve">Notes: </w:t>
      </w:r>
      <w:r>
        <w:t>abstract_source=crossref</w:t>
      </w:r>
    </w:p>
    <w:p>
      <w:pPr>
        <w:spacing w:before="0" w:after="80" w:lineRule="auto" w:line="276"/>
      </w:pPr>
      <w:r>
        <w:rPr>
          <w:b/>
        </w:rPr>
        <w:t xml:space="preserve">摘要（ZH）: </w:t>
      </w:r>
      <w:r>
        <w:t>穆斯堡尔谱广泛应用于化学、地质学和固体物理学领域，用于探测材料中原子核的局部物理和化学环境。在这里，我们将这项技术扩展到光学范围，使用真空紫外激光器来探测钍 229 的低能核跃迁（</w:t>
      </w:r>
      <w:r>
        <w:rPr>
          <w:vertAlign w:val="subscript"/>
        </w:rPr>
        <w:t>229</w:t>
      </w:r>
      <w:r>
        <w:t>Th) 掺杂氟化钙 (CaF</w:t>
      </w:r>
      <w:r>
        <w:rPr>
          <w:vertAlign w:val="subscript"/>
        </w:rPr>
        <w:t>2</w:t>
      </w:r>
      <w:r>
        <w:t>）晶体。我们发现了钍离子的四个不同的掺杂位点，确定了与主体晶体相互作用产生的特征电场梯度，并确定了两种主要配置的微观结构。位点选择性激光激发能够研究所有位点的异构态寿命和激光诱导淬火。这项技术提供了对核环境的强大探测，为设计未来的固态核钟提供了基础数据。</w:t>
      </w:r>
    </w:p>
    <w:p>
      <w:pPr>
        <w:spacing w:before="0" w:after="200" w:lineRule="auto" w:line="276"/>
      </w:pPr>
      <w:r>
        <w:rPr>
          <w:b/>
        </w:rPr>
        <w:t xml:space="preserve">Abstract (EN): </w:t>
      </w:r>
      <w:r>
        <w:t>Mössbauer spectroscopy is widely used in chemistry, geology, and solid-state physics to probe the local physical and chemical environment of nuclei in materials. Here, we extended this technique into the optical range using a vacuum ultraviolet laser to probe the low-energy nuclear transitions of thorium-229 (</w:t>
      </w:r>
      <w:r>
        <w:rPr>
          <w:vertAlign w:val="subscript"/>
        </w:rPr>
        <w:t>229</w:t>
      </w:r>
      <w:r>
        <w:t>Th) doped in calcium fluoride (CaF</w:t>
      </w:r>
      <w:r>
        <w:rPr>
          <w:vertAlign w:val="subscript"/>
        </w:rPr>
        <w:t>2</w:t>
      </w:r>
      <w:r>
        <w:t>) crystals. We discovered four distinct doping sites for the thorium ions, determined the characteristic electric field gradients emerging from the interaction with the host crystal, and identified the microscopic structure of the two dominant configurations. Site-selective laser excitation enabled the study of the isomeric state lifetime and laser-induced quenching for all sites. This technique provides a powerful probe of the nuclear environment, yielding foundational data for designing future solid-state nuclear clocks.</w:t>
      </w:r>
    </w:p>
    <w:p>
      <w:pPr>
        <w:spacing w:before="120" w:after="120"/>
      </w:pPr>
      <w:r>
        <w:rPr>
          <w:sz w:val="18"/>
        </w:rPr>
        <w:t>——————————————————————————————————————————————————————————————————————</w:t>
      </w:r>
    </w:p>
    <w:p>
      <w:pPr>
        <w:spacing w:before="160" w:after="40" w:line="240" w:lineRule="auto"/>
      </w:pPr>
      <w:r>
        <w:rPr>
          <w:b/>
        </w:rPr>
        <w:t xml:space="preserve">[679] </w:t>
      </w:r>
      <w:hyperlink r:id="rId1891">
        <w:r>
          <w:rPr>
            <w:color w:val="1155CC"/>
            <w:u w:val="single"/>
          </w:rPr>
          <w:t>就说是吧！</w:t>
        </w:r>
      </w:hyperlink>
    </w:p>
    <w:p>
      <w:pPr>
        <w:spacing w:before="0" w:after="80"/>
      </w:pPr>
      <w:r>
        <w:rPr>
          <w:i/>
          <w:sz w:val="20"/>
        </w:rPr>
        <w:t>EN: Just say yes!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92">
        <w:r>
          <w:rPr>
            <w:color w:val="1155CC"/>
            <w:u w:val="single"/>
          </w:rPr>
          <w:t>10.1126/science.ael5806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[680] </w:t>
      </w:r>
      <w:hyperlink r:id="rId1893">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94">
        <w:r>
          <w:rPr>
            <w:color w:val="1155CC"/>
            <w:u w:val="single"/>
          </w:rPr>
          <w:t>10.1126/science.ael5805</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[681] </w:t>
      </w:r>
      <w:hyperlink r:id="rId1895">
        <w:r>
          <w:rPr>
            <w:color w:val="1155CC"/>
            <w:u w:val="single"/>
          </w:rPr>
          <w:t>谁来检查人工智能能做什么？</w:t>
        </w:r>
      </w:hyperlink>
    </w:p>
    <w:p>
      <w:pPr>
        <w:spacing w:before="0" w:after="80"/>
      </w:pPr>
      <w:r>
        <w:rPr>
          <w:i/>
          <w:sz w:val="20"/>
        </w:rPr>
        <w:t>EN: Who checks what AI can do?</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96">
        <w:r>
          <w:rPr>
            <w:color w:val="1155CC"/>
            <w:u w:val="single"/>
          </w:rPr>
          <w:t>10.1126/science.ael2161</w:t>
        </w:r>
      </w:hyperlink>
    </w:p>
    <w:p>
      <w:pPr>
        <w:spacing w:before="0" w:after="120"/>
      </w:pPr>
      <w:r>
        <w:rPr>
          <w:b/>
        </w:rPr>
        <w:t xml:space="preserve">Notes: </w:t>
      </w:r>
      <w:r>
        <w:t>abstract_source=crossref</w:t>
      </w:r>
    </w:p>
    <w:p>
      <w:pPr>
        <w:spacing w:before="0" w:after="80" w:lineRule="auto" w:line="276"/>
      </w:pPr>
      <w:r>
        <w:rPr>
          <w:b/>
        </w:rPr>
        <w:t xml:space="preserve">摘要（ZH）: </w:t>
      </w:r>
      <w:r>
        <w:t>关于前沿人工智能 (AI) 的最重要的发现也是最难验证的。了解其功能和风险所需的大部分信息（包括预发布模型和遏制实验的评估结果）在生产它的实验室之外仍然基本上无法访问。最近几周，OpenAI、Anthropic 和 Meta 披露，研究模型超出了其预期的测试环境，并损害了其他组织的系统。这些实验室因报告这一点而值得赞扬。但在这些实验室之外，没有办法发现、重现或验证所发生的事情。</w:t>
      </w:r>
    </w:p>
    <w:p>
      <w:pPr>
        <w:spacing w:before="0" w:after="200" w:lineRule="auto" w:line="276"/>
      </w:pPr>
      <w:r>
        <w:rPr>
          <w:b/>
        </w:rPr>
        <w:t xml:space="preserve">Abstract (EN): </w:t>
      </w:r>
      <w:r>
        <w:t>The most important findings about frontier artificial intelligence (AI) are also the hardest to verify. Much of the information needed to understand its capabilities and risks—including results from evaluations of prerelease models and containment experiments—remains largely inaccessible outside the labs that produce it. In recent weeks, OpenAI, Anthropic, and Meta disclosed that research models had reached beyond their intended testing environments and compromised other organizations’ systems. Those labs deserve credit for reporting this. But outside those labs, there was no way to discover, reproduce, or verify what had happened.</w:t>
      </w:r>
    </w:p>
    <w:p>
      <w:pPr>
        <w:spacing w:before="120" w:after="120"/>
      </w:pPr>
      <w:r>
        <w:rPr>
          <w:sz w:val="18"/>
        </w:rPr>
        <w:t>——————————————————————————————————————————————————————————————————————</w:t>
      </w:r>
    </w:p>
    <w:p>
      <w:pPr>
        <w:spacing w:before="160" w:after="40" w:line="240" w:lineRule="auto"/>
      </w:pPr>
      <w:r>
        <w:rPr>
          <w:b/>
        </w:rPr>
        <w:t xml:space="preserve">[682] </w:t>
      </w:r>
      <w:hyperlink r:id="rId1897">
        <w:r>
          <w:rPr>
            <w:color w:val="1155CC"/>
            <w:u w:val="single"/>
          </w:rPr>
          <w:t>广告中兜售的数百份造纸厂论文后来被出版</w:t>
        </w:r>
      </w:hyperlink>
    </w:p>
    <w:p>
      <w:pPr>
        <w:spacing w:before="0" w:after="80"/>
      </w:pPr>
      <w:r>
        <w:rPr>
          <w:i/>
          <w:sz w:val="20"/>
        </w:rPr>
        <w:t>EN: Hundreds of paper-mill papers peddled in ads were later published</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898">
        <w:r>
          <w:rPr>
            <w:color w:val="1155CC"/>
            <w:u w:val="single"/>
          </w:rPr>
          <w:t>10.1126/science.ael6249</w:t>
        </w:r>
      </w:hyperlink>
    </w:p>
    <w:p>
      <w:pPr>
        <w:spacing w:before="0" w:after="120"/>
      </w:pPr>
      <w:r>
        <w:rPr>
          <w:b/>
        </w:rPr>
        <w:t xml:space="preserve">Notes: </w:t>
      </w:r>
      <w:r>
        <w:t>abstract_source=crossref</w:t>
      </w:r>
    </w:p>
    <w:p>
      <w:pPr>
        <w:spacing w:before="0" w:after="80" w:lineRule="auto" w:line="276"/>
      </w:pPr>
      <w:r>
        <w:rPr>
          <w:b/>
        </w:rPr>
        <w:t xml:space="preserve">摘要（ZH）: </w:t>
      </w:r>
      <w:r>
        <w:t>一些 IEEE 会议上超过五分之一的论文似乎与作者权出售有关</w:t>
      </w:r>
    </w:p>
    <w:p>
      <w:pPr>
        <w:spacing w:before="0" w:after="200" w:lineRule="auto" w:line="276"/>
      </w:pPr>
      <w:r>
        <w:rPr>
          <w:b/>
        </w:rPr>
        <w:t xml:space="preserve">Abstract (EN): </w:t>
      </w:r>
      <w:r>
        <w:t>More than one-fifth of papers at some IEEE conferences appear linked to authorship for sale</w:t>
      </w:r>
    </w:p>
    <w:p>
      <w:pPr>
        <w:spacing w:before="120" w:after="120"/>
      </w:pPr>
      <w:r>
        <w:rPr>
          <w:sz w:val="18"/>
        </w:rPr>
        <w:t>——————————————————————————————————————————————————————————————————————</w:t>
      </w:r>
    </w:p>
    <w:p>
      <w:pPr>
        <w:spacing w:before="160" w:after="40" w:line="240" w:lineRule="auto"/>
      </w:pPr>
      <w:r>
        <w:rPr>
          <w:b/>
        </w:rPr>
        <w:t xml:space="preserve">[683] </w:t>
      </w:r>
      <w:hyperlink r:id="rId1899">
        <w:r>
          <w:rPr>
            <w:color w:val="1155CC"/>
            <w:u w:val="single"/>
          </w:rPr>
          <w:t>中国的太阳能扩张政策减少了鸟类的多样性</w:t>
        </w:r>
      </w:hyperlink>
    </w:p>
    <w:p>
      <w:pPr>
        <w:spacing w:before="0" w:after="80"/>
      </w:pPr>
      <w:r>
        <w:rPr>
          <w:i/>
          <w:sz w:val="20"/>
        </w:rPr>
        <w:t>EN: China’s solar expansion policy reduces bird diversity</w:t>
      </w:r>
    </w:p>
    <w:p>
      <w:pPr>
        <w:spacing w:before="0" w:after="120"/>
      </w:pPr>
      <w:r>
        <w:rPr>
          <w:b/>
        </w:rPr>
        <w:t xml:space="preserve">Source: </w:t>
      </w:r>
      <w:r>
        <w:t>AAAS: Science: Table of Contents</w:t>
      </w:r>
      <w:r>
        <w:t xml:space="preserve">    </w:t>
      </w:r>
      <w:r>
        <w:rPr>
          <w:b/>
        </w:rPr>
        <w:t xml:space="preserve">Pub date: </w:t>
      </w:r>
      <w:r>
        <w:t>2026-08-20 06:00:12+00:00</w:t>
      </w:r>
      <w:r>
        <w:t xml:space="preserve">    </w:t>
      </w:r>
      <w:r>
        <w:rPr>
          <w:b/>
        </w:rPr>
        <w:t xml:space="preserve">DOI: </w:t>
      </w:r>
      <w:hyperlink r:id="rId1900">
        <w:r>
          <w:rPr>
            <w:color w:val="1155CC"/>
            <w:u w:val="single"/>
          </w:rPr>
          <w:t>10.1126/science.aee0747</w:t>
        </w:r>
      </w:hyperlink>
    </w:p>
    <w:p>
      <w:pPr>
        <w:spacing w:before="0" w:after="120"/>
      </w:pPr>
      <w:r>
        <w:rPr>
          <w:b/>
        </w:rPr>
        <w:t xml:space="preserve">Notes: </w:t>
      </w:r>
      <w:r>
        <w:t>abstract_source=crossref</w:t>
      </w:r>
    </w:p>
    <w:p>
      <w:pPr>
        <w:spacing w:before="0" w:after="80" w:lineRule="auto" w:line="276"/>
      </w:pPr>
      <w:r>
        <w:rPr>
          <w:b/>
        </w:rPr>
        <w:t xml:space="preserve">摘要（ZH）: </w:t>
      </w:r>
      <w:r>
        <w:t>全球向可再生能源的过渡是否会造成绿色困境，使碳减排与生物多样性保护相矛盾？本研究使用2014年至2023年覆盖中国2344个县的面板数据集检验了促进太阳能光伏发电的政策对当地鸟类生物多样性的影响。有利于光伏发电扩张的政策导致鸟类多样性减少，对较富裕和非沙漠地区以及广泛分布的物种造成了不成比例的影响。该机制主要通过土地转化来运作：农田和草地被转化为发达地区，减少了植被的多样性。矛盾的是，叶面积指数增加了，这种模式我们称之为“劣质绿化”，即多样化的自然景观被茂密但生态同质的植被所取代。我们认为，未来光伏发展应伴随严格的生物多样性保护，特别是在生境复杂性高的经济发达地区。</w:t>
      </w:r>
    </w:p>
    <w:p>
      <w:pPr>
        <w:spacing w:before="0" w:after="200" w:lineRule="auto" w:line="276"/>
      </w:pPr>
      <w:r>
        <w:rPr>
          <w:b/>
        </w:rPr>
        <w:t xml:space="preserve">Abstract (EN): </w:t>
      </w:r>
      <w:r>
        <w:t>Could the global transition to renewable energy create a green dilemma that pits carbon reduction against biodiversity conservation? This study examined the effect of policies promoting solar photovoltaics on local avian biodiversity using a panel dataset covering 2344 counties in China from 2014 to 2023. Policies that favored photovoltaic expansion led to reductions in bird diversity, disproportionately affecting wealthier and nondesert regions, as well as widespread species. The mechanism operated primarily through land conversion: Cropland and grassland were transformed into developed areas, reducing the diversity of vegetation. Paradoxically, the leaf area index increased, a pattern we term “inferior greening,” whereby diverse natural landscapes were replaced by dense but ecologically homogeneous vegetation. We argue that future photovoltaic development should be accompanied by strict biodiversity safeguards, especially in economically developed regions with high habitat complexity.</w:t>
      </w:r>
    </w:p>
    <w:p>
      <w:pPr>
        <w:spacing w:before="120" w:after="120"/>
      </w:pPr>
      <w:r>
        <w:rPr>
          <w:sz w:val="18"/>
        </w:rPr>
        <w:t>——————————————————————————————————————————————————————————————————————</w:t>
      </w:r>
    </w:p>
    <w:p>
      <w:pPr>
        <w:spacing w:before="160" w:after="40" w:line="240" w:lineRule="auto"/>
      </w:pPr>
      <w:r>
        <w:rPr>
          <w:b/>
        </w:rPr>
        <w:t xml:space="preserve">[684] </w:t>
      </w:r>
      <w:hyperlink r:id="rId1901">
        <w:r>
          <w:rPr>
            <w:color w:val="1155CC"/>
            <w:u w:val="single"/>
          </w:rPr>
          <w:t>通过快速光聚合实现柔软而坚韧的缠结器，用于 DLP 3D 打印</w:t>
        </w:r>
      </w:hyperlink>
    </w:p>
    <w:p>
      <w:pPr>
        <w:spacing w:before="0" w:after="80"/>
      </w:pPr>
      <w:r>
        <w:rPr>
          <w:i/>
          <w:sz w:val="20"/>
        </w:rPr>
        <w:t>EN: Soft Yet Tough Tanglemers Through Rapid Photopolymerization for DLP 3D Printing</w:t>
      </w:r>
    </w:p>
    <w:p>
      <w:pPr>
        <w:spacing w:before="0" w:after="120"/>
      </w:pPr>
      <w:r>
        <w:rPr>
          <w:b/>
        </w:rPr>
        <w:t xml:space="preserve">Source: </w:t>
      </w:r>
      <w:r>
        <w:t>Wiley: Advanced Materials: Table of Contents</w:t>
      </w:r>
      <w:r>
        <w:t xml:space="preserve">    </w:t>
      </w:r>
      <w:r>
        <w:rPr>
          <w:b/>
        </w:rPr>
        <w:t xml:space="preserve">Pub date: </w:t>
      </w:r>
      <w:r>
        <w:t>2026-08-20 06:39:40+00:00</w:t>
      </w:r>
      <w:r>
        <w:t xml:space="preserve">    </w:t>
      </w:r>
      <w:r>
        <w:rPr>
          <w:b/>
        </w:rPr>
        <w:t xml:space="preserve">DOI: </w:t>
      </w:r>
      <w:hyperlink r:id="rId1902">
        <w:r>
          <w:rPr>
            <w:color w:val="1155CC"/>
            <w:u w:val="single"/>
          </w:rPr>
          <w:t>10.1002/adma.74661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同时结合柔软性、弹性和韧性的合规材料的增材制造仍然是一个核心挑战。在这里，我们报告了一种单树脂光聚合策略，通过使用工业上丰富的单体进行数字光处理（DLP）3D打印来生产密集缠结的聚合物网络（“缠结体”）。受控和不受控自由基聚合之间的比较表明，低引发剂负载和光强度下的不受控自由基方法平衡了 DLP 相关的凝胶时间尺度与交联之间的高分子量。由此产生的弹性体和水凝胶表现出罕见的性能组合，包括低模量（</w:t>
      </w:r>
      <w:r>
        <w:t xml:space="preserve"> </w:t>
      </w:r>
      <w:r>
        <w:t>乙</w:t>
      </w:r>
      <w:r>
        <w:t xml:space="preserve"> </w:t>
      </w:r>
      <w:r>
        <w:t>时间</w:t>
      </w:r>
      <w:r>
        <w:t xml:space="preserve"> </w:t>
      </w:r>
      <w:r>
        <w:t>弹性体 &lt;1 MPa，水凝胶 &lt;100 kPa），高延伸性（</w:t>
      </w:r>
      <w:r>
        <w:t xml:space="preserve"> </w:t>
      </w:r>
      <w:r>
        <w:t>ε</w:t>
      </w:r>
      <w:r>
        <w:t xml:space="preserve"> </w:t>
      </w:r>
      <w:r>
        <w:t>f</w:t>
      </w:r>
      <w:r>
        <w:t xml:space="preserve"> </w:t>
      </w:r>
      <w:r>
        <w:t>&gt; 400%)、低滞后(∼10%)、高韧性(</w:t>
      </w:r>
      <w:r>
        <w:t xml:space="preserve"> </w:t>
      </w:r>
      <w:r>
        <w:t>U</w:t>
      </w:r>
      <w:r>
        <w:t xml:space="preserve"> </w:t>
      </w:r>
      <w:r>
        <w:t>t</w:t>
      </w:r>
      <w:r>
        <w:t xml:space="preserve"> </w:t>
      </w:r>
      <w:r>
        <w:t>&gt; 1 兆焦米</w:t>
      </w:r>
      <w:r>
        <w:t xml:space="preserve"> </w:t>
      </w:r>
      <w:r>
        <w:t>-</w:t>
      </w:r>
      <w:r>
        <w:rPr>
          <w:vertAlign w:val="subscript"/>
        </w:rPr>
        <w:t>3</w:t>
      </w:r>
      <w:r>
        <w:t>,</w:t>
      </w:r>
      <w:r>
        <w:t xml:space="preserve"> </w:t>
      </w:r>
      <w:r>
        <w:t>G</w:t>
      </w:r>
      <w:r>
        <w:t xml:space="preserve"> </w:t>
      </w:r>
      <w:r>
        <w:t>c</w:t>
      </w:r>
      <w:r>
        <w:t xml:space="preserve"> </w:t>
      </w:r>
      <w:r>
        <w:t>≈ 1 kJ·米</w:t>
      </w:r>
      <w:r>
        <w:t xml:space="preserve"> </w:t>
      </w:r>
      <w:r>
        <w:t>-</w:t>
      </w:r>
      <w:r>
        <w:rPr>
          <w:vertAlign w:val="subscript"/>
        </w:rPr>
        <w:t>2</w:t>
      </w:r>
      <w:r>
        <w:t>用于弹性体；</w:t>
      </w:r>
      <w:r>
        <w:t xml:space="preserve"> </w:t>
      </w:r>
      <w:r>
        <w:t>U</w:t>
      </w:r>
      <w:r>
        <w:t xml:space="preserve"> </w:t>
      </w:r>
      <w:r>
        <w:t>t</w:t>
      </w:r>
      <w:r>
        <w:t xml:space="preserve"> </w:t>
      </w:r>
      <w:r>
        <w:t>≈ 1 兆焦·米</w:t>
      </w:r>
      <w:r>
        <w:t xml:space="preserve"> </w:t>
      </w:r>
      <w:r>
        <w:t>-</w:t>
      </w:r>
      <w:r>
        <w:rPr>
          <w:vertAlign w:val="subscript"/>
        </w:rPr>
        <w:t>3</w:t>
      </w:r>
      <w:r>
        <w:t>,</w:t>
      </w:r>
      <w:r>
        <w:t xml:space="preserve"> </w:t>
      </w:r>
      <w:r>
        <w:t>G</w:t>
      </w:r>
      <w:r>
        <w:t xml:space="preserve"> </w:t>
      </w:r>
      <w:r>
        <w:t>c</w:t>
      </w:r>
      <w:r>
        <w:t xml:space="preserve"> </w:t>
      </w:r>
      <w:r>
        <w:t>≈ 3 kJ·米</w:t>
      </w:r>
      <w:r>
        <w:t xml:space="preserve"> </w:t>
      </w:r>
      <w:r>
        <w:t>-</w:t>
      </w:r>
      <w:r>
        <w:rPr>
          <w:vertAlign w:val="subscript"/>
        </w:rPr>
        <w:t>2</w:t>
      </w:r>
      <w:r>
        <w:t>用于水电</w:t>
      </w:r>
    </w:p>
    <w:p>
      <w:pPr>
        <w:spacing w:before="0" w:after="200" w:lineRule="auto" w:line="276"/>
      </w:pPr>
      <w:r>
        <w:rPr>
          <w:b/>
        </w:rPr>
        <w:t xml:space="preserve">Abstract (EN): </w:t>
      </w:r>
      <w:r>
        <w:t>Additive manufacturing of compliant materials that simultaneously combine softness, elasticity, and toughness remains a central challenge. Here, we report a single‐resin photopolymerization strategy to produce densely entangled polymer networks (“tanglemers”) via digital light processing (DLP) 3D printing using industrially abundant monomers. Comparisons between controlled and uncontrolled radical polymerizations reveal that the uncontrolled, free‐radical approach at low initiator loadings and light intensities balances DLP‐relevant gelation timescale with high molecular weight between crosslinks. The resulting elastomers and hydrogels exhibit a rare combination of properties, including low modulus (</w:t>
      </w:r>
      <w:r>
        <w:t xml:space="preserve"> </w:t>
      </w:r>
      <w:r>
        <w:t>E</w:t>
      </w:r>
      <w:r>
        <w:t xml:space="preserve"> </w:t>
      </w:r>
      <w:r>
        <w:t>T</w:t>
      </w:r>
      <w:r>
        <w:t xml:space="preserve"> </w:t>
      </w:r>
      <w:r>
        <w:t>&amp;lt;1 MPa for elastomers and &amp;lt;100 kPa for hydrogels), high extensibility (</w:t>
      </w:r>
      <w:r>
        <w:t xml:space="preserve"> </w:t>
      </w:r>
      <w:r>
        <w:t>ε</w:t>
      </w:r>
      <w:r>
        <w:t xml:space="preserve"> </w:t>
      </w:r>
      <w:r>
        <w:t>f</w:t>
      </w:r>
      <w:r>
        <w:t xml:space="preserve"> </w:t>
      </w:r>
      <w:r>
        <w:t>&amp;gt; 400%), low hysteresis (∼10%), and high toughness (</w:t>
      </w:r>
      <w:r>
        <w:t xml:space="preserve"> </w:t>
      </w:r>
      <w:r>
        <w:t>U</w:t>
      </w:r>
      <w:r>
        <w:t xml:space="preserve"> </w:t>
      </w:r>
      <w:r>
        <w:t>t</w:t>
      </w:r>
      <w:r>
        <w:t xml:space="preserve"> </w:t>
      </w:r>
      <w:r>
        <w:t>&amp;gt; 1 MJ m</w:t>
      </w:r>
      <w:r>
        <w:t xml:space="preserve"> </w:t>
      </w:r>
      <w:r>
        <w:t>−</w:t>
      </w:r>
      <w:r>
        <w:rPr>
          <w:vertAlign w:val="subscript"/>
        </w:rPr>
        <w:t>3</w:t>
      </w:r>
      <w:r>
        <w:t>,</w:t>
      </w:r>
      <w:r>
        <w:t xml:space="preserve"> </w:t>
      </w:r>
      <w:r>
        <w:t>G</w:t>
      </w:r>
      <w:r>
        <w:t xml:space="preserve"> </w:t>
      </w:r>
      <w:r>
        <w:t>c</w:t>
      </w:r>
      <w:r>
        <w:t xml:space="preserve"> </w:t>
      </w:r>
      <w:r>
        <w:t>≈ 1 kJ m</w:t>
      </w:r>
      <w:r>
        <w:t xml:space="preserve"> </w:t>
      </w:r>
      <w:r>
        <w:t>−</w:t>
      </w:r>
      <w:r>
        <w:rPr>
          <w:vertAlign w:val="subscript"/>
        </w:rPr>
        <w:t>2</w:t>
      </w:r>
      <w:r>
        <w:t>for elastomers;</w:t>
      </w:r>
      <w:r>
        <w:t xml:space="preserve"> </w:t>
      </w:r>
      <w:r>
        <w:t>U</w:t>
      </w:r>
      <w:r>
        <w:t xml:space="preserve"> </w:t>
      </w:r>
      <w:r>
        <w:t>t</w:t>
      </w:r>
      <w:r>
        <w:t xml:space="preserve"> </w:t>
      </w:r>
      <w:r>
        <w:t>≈ 1 MJ m</w:t>
      </w:r>
      <w:r>
        <w:t xml:space="preserve"> </w:t>
      </w:r>
      <w:r>
        <w:t>−</w:t>
      </w:r>
      <w:r>
        <w:rPr>
          <w:vertAlign w:val="subscript"/>
        </w:rPr>
        <w:t>3</w:t>
      </w:r>
      <w:r>
        <w:t>,</w:t>
      </w:r>
      <w:r>
        <w:t xml:space="preserve"> </w:t>
      </w:r>
      <w:r>
        <w:t>G</w:t>
      </w:r>
      <w:r>
        <w:t xml:space="preserve"> </w:t>
      </w:r>
      <w:r>
        <w:t>c</w:t>
      </w:r>
      <w:r>
        <w:t xml:space="preserve"> </w:t>
      </w:r>
      <w:r>
        <w:t>≈ 3 kJ m</w:t>
      </w:r>
      <w:r>
        <w:t xml:space="preserve"> </w:t>
      </w:r>
      <w:r>
        <w:t>−</w:t>
      </w:r>
      <w:r>
        <w:rPr>
          <w:vertAlign w:val="subscript"/>
        </w:rPr>
        <w:t>2</w:t>
      </w:r>
      <w:r>
        <w:t>for hydrogels). These materials translate from casting to DLP 3D printing with feature sizes down to ∼100 µm, surpassing commercial resins in softness and elasticity, while maintaining competitive toughness and aging resistance after initial accelerated weathering. This work establishes simple, single‐resin formulations as a route to DLP‐printable, defect‐tolerant tanglemers with potential relevance to soft robotic, wearable, and biomedical technologies.</w:t>
      </w:r>
    </w:p>
    <w:p>
      <w:pPr>
        <w:spacing w:before="120" w:after="120"/>
      </w:pPr>
      <w:r>
        <w:rPr>
          <w:sz w:val="18"/>
        </w:rPr>
        <w:t>——————————————————————————————————————————————————————————————————————</w:t>
      </w:r>
    </w:p>
    <w:p>
      <w:pPr>
        <w:spacing w:before="160" w:after="40" w:line="240" w:lineRule="auto"/>
      </w:pPr>
      <w:r>
        <w:rPr>
          <w:b/>
        </w:rPr>
        <w:t xml:space="preserve">[685] </w:t>
      </w:r>
      <w:hyperlink r:id="rId1903">
        <w:r>
          <w:rPr>
            <w:color w:val="1155CC"/>
            <w:u w:val="single"/>
          </w:rPr>
          <w:t>原子薄金属中的缺陷模板相工程</w:t>
        </w:r>
      </w:hyperlink>
    </w:p>
    <w:p>
      <w:pPr>
        <w:spacing w:before="0" w:after="80"/>
      </w:pPr>
      <w:r>
        <w:rPr>
          <w:i/>
          <w:sz w:val="20"/>
        </w:rPr>
        <w:t>EN: Defect‐Templated Phase Engineering in Atomically Thin Metals</w:t>
      </w:r>
    </w:p>
    <w:p>
      <w:pPr>
        <w:spacing w:before="0" w:after="120"/>
      </w:pPr>
      <w:r>
        <w:rPr>
          <w:b/>
        </w:rPr>
        <w:t xml:space="preserve">Source: </w:t>
      </w:r>
      <w:r>
        <w:t>Wiley: Advanced Materials: Table of Contents</w:t>
      </w:r>
      <w:r>
        <w:t xml:space="preserve">    </w:t>
      </w:r>
      <w:r>
        <w:rPr>
          <w:b/>
        </w:rPr>
        <w:t xml:space="preserve">Pub date: </w:t>
      </w:r>
      <w:r>
        <w:t>2026-08-20 06:42:16+00:00</w:t>
      </w:r>
      <w:r>
        <w:t xml:space="preserve">    </w:t>
      </w:r>
      <w:r>
        <w:rPr>
          <w:b/>
        </w:rPr>
        <w:t xml:space="preserve">DOI: </w:t>
      </w:r>
      <w:hyperlink r:id="rId1904">
        <w:r>
          <w:rPr>
            <w:color w:val="1155CC"/>
            <w:u w:val="single"/>
          </w:rPr>
          <w:t>10.1002/adma.74689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原子极限下实现对晶相的确定性控制仍然是原子薄金属的一个基本挑战，其中原子注册的细微差异可能会导致电子和光学功能发生巨大变化。在这里，我们使用单层银作为模型系统，建立界面缺陷模板作为受限二维金属相工程的通用材料设计策略。通过调整石墨烯覆盖层的缺陷化学，我们选择性地稳定了石墨烯/SiC界面处的二维银的两个竞争结晶相：外延石墨烯中的空位和线缺陷促进的近等相，以及在本征sp下面有利于的致密相。</w:t>
      </w:r>
      <w:r>
        <w:rPr>
          <w:vertAlign w:val="subscript"/>
        </w:rPr>
        <w:t>3</w:t>
      </w:r>
      <w:r>
        <w:t>‐富集零层石墨烯。多模态表征揭示了每个相的不同晶格登记、电子结构以及到石墨烯覆盖层的电荷转移。第一原理计算表明，相选择性是由动力学上有利的成核路径和热力学上优选的堆积结构之间的竞争产生的，这解释了受控相的形成和长期演化。缺陷编程的银相表现出强烈对比的线性和非线性光学响应，从而在原子厚度下实现相位可调光学功能。更广泛地说，这项工作将缺陷重新定义为对受限二维金属中的结构-性能关系进行编程的有意设计元素。</w:t>
      </w:r>
    </w:p>
    <w:p>
      <w:pPr>
        <w:spacing w:before="0" w:after="200" w:lineRule="auto" w:line="276"/>
      </w:pPr>
      <w:r>
        <w:rPr>
          <w:b/>
        </w:rPr>
        <w:t xml:space="preserve">Abstract (EN): </w:t>
      </w:r>
      <w:r>
        <w:t>Achieving deterministic control over crystal phase at the atomic limit remains a fundamental challenge for atomically thin metals, where subtle differences in atomic registry can produce large changes in electronic and optical functionality. Here, we establish interfacial defect templating as a general materials‐design strategy for phase engineering in confined two‐dimensional metals, using monolayer silver as a model system. By tailoring the defect chemistry of a graphene overlayer, we selectively stabilize two competing crystalline phases of two‐dimensional Ag at the graphene/SiC interface: a near‐commensurate phase promoted by vacancy and line defects in epitaxial graphene, and a denser phase favored beneath intrinsically sp</w:t>
      </w:r>
      <w:r>
        <w:rPr>
          <w:vertAlign w:val="subscript"/>
        </w:rPr>
        <w:t>3</w:t>
      </w:r>
      <w:r>
        <w:t>‐rich zero‐layer graphene. Multimodal characterization reveals distinct lattice registries, electronic structures, and charge transfer to the graphene overlayer for each phase. First‐principles calculations show that phase selectivity arises from a competition between kinetically favored nucleation pathways and thermodynamically preferred packing configurations, explaining both controlled phase formation and long‐term evolution. The defect‐programmed Ag phases exhibit strongly contrasting linear and nonlinear optical responses, enabling phase‐tunable optical functionality at atomic thickness. More broadly, this work reframes defects as deliberate design elements for programming structure–property relationships in confined two‐dimensional metals.</w:t>
      </w:r>
    </w:p>
    <w:p>
      <w:pPr>
        <w:spacing w:before="120" w:after="120"/>
      </w:pPr>
      <w:r>
        <w:rPr>
          <w:sz w:val="18"/>
        </w:rPr>
        <w:t>——————————————————————————————————————————————————————————————————————</w:t>
      </w:r>
    </w:p>
    <w:p>
      <w:pPr>
        <w:spacing w:before="160" w:after="40" w:line="240" w:lineRule="auto"/>
      </w:pPr>
      <w:r>
        <w:rPr>
          <w:b/>
        </w:rPr>
        <w:t xml:space="preserve">[686] </w:t>
      </w:r>
      <w:hyperlink r:id="rId1905">
        <w:r>
          <w:rPr>
            <w:color w:val="1155CC"/>
            <w:u w:val="single"/>
          </w:rPr>
          <w:t>用于超高灵敏度湿度传感和非接触式人机界面的氮定向金刚石纳米线</w:t>
        </w:r>
      </w:hyperlink>
    </w:p>
    <w:p>
      <w:pPr>
        <w:spacing w:before="0" w:after="80"/>
      </w:pPr>
      <w:r>
        <w:rPr>
          <w:i/>
          <w:sz w:val="20"/>
        </w:rPr>
        <w:t>EN: Nitrogen‐Directed Diamond Nanothreads for Ultrahigh‐Sensitivity Humidity Sensing and Noncontact Human‐Machine Interfaces</w:t>
      </w:r>
    </w:p>
    <w:p>
      <w:pPr>
        <w:spacing w:before="0" w:after="120"/>
      </w:pPr>
      <w:r>
        <w:rPr>
          <w:b/>
        </w:rPr>
        <w:t xml:space="preserve">Source: </w:t>
      </w:r>
      <w:r>
        <w:t>Wiley: Advanced Materials: Table of Contents</w:t>
      </w:r>
      <w:r>
        <w:t xml:space="preserve">    </w:t>
      </w:r>
      <w:r>
        <w:rPr>
          <w:b/>
        </w:rPr>
        <w:t xml:space="preserve">Pub date: </w:t>
      </w:r>
      <w:r>
        <w:t>2026-08-20 06:44:32+00:00</w:t>
      </w:r>
      <w:r>
        <w:t xml:space="preserve">    </w:t>
      </w:r>
      <w:r>
        <w:rPr>
          <w:b/>
        </w:rPr>
        <w:t xml:space="preserve">DOI: </w:t>
      </w:r>
      <w:hyperlink r:id="rId1906">
        <w:r>
          <w:rPr>
            <w:color w:val="1155CC"/>
            <w:u w:val="single"/>
          </w:rPr>
          <w:t>10.1002/adma.74718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金刚石纳米线（DNThs）是一类新兴的一维碳材料，它将卓越的机械鲁棒性与结构灵活性和可调节的表面化学特性结合在一起。虽然 DNTh 的合成和结构表征取得了重大进展，但其功能应用仍然相对未经探索。在这里，我们采用吡嗪作为含氮前驱体，在高压高温 (HPHT) 条件（10 GPa 和 400°C）下合成金刚石纳米线材料。结构特征表明主要形成</w:t>
      </w:r>
      <w:r>
        <w:t xml:space="preserve"> </w:t>
      </w:r>
      <w:r>
        <w:t>sp</w:t>
      </w:r>
      <w:r>
        <w:rPr>
          <w:vertAlign w:val="subscript"/>
        </w:rPr>
        <w:t>3</w:t>
      </w:r>
      <w:r>
        <w:t>含有丰富极性表面官能团的键合一维碳骨架。受益于一维结构和亲水表面位点的协同效应，所制造的基于 DNThs 的湿度传感器在较宽的湿度范围（11%–96% RH）内表现出出色的性能，包括超高灵敏度（1679.11/%RH）、快速响应（5.2 s）和恢复（5.4 s）、出色的再现性和长期稳定性。机理研究表明，有效的水吸附和湿度诱导的离子传导在传感过程中发挥着关键作用，而一维框架则有利于有效的电荷传输。此外，通过将 DNThs 传感器阵列与微控制器平台集成，我们展示了一种非接触式人机界面 (HMI)，能够进行手势识别和非接触式电话操作。</w:t>
      </w:r>
    </w:p>
    <w:p>
      <w:pPr>
        <w:spacing w:before="0" w:after="200" w:lineRule="auto" w:line="276"/>
      </w:pPr>
      <w:r>
        <w:rPr>
          <w:b/>
        </w:rPr>
        <w:t xml:space="preserve">Abstract (EN): </w:t>
      </w:r>
      <w:r>
        <w:t>Diamond nanothreads (DNThs) are an emerging class of one‐dimensional carbon materials that combine exceptional mechanical robustness with structural flexibility and tunable surface chemistry. While significant progress has been achieved in the synthesis and structural characterization of DNThs, their functional applications remain relatively unexplored. Here, we employ pyrazine as a nitrogen‐containing precursor to synthesize diamond nanothread materials under high‐pressure and high‐temperature (HPHT) conditions (10 GPa and 400°C). Structural characterization suggests the formation of predominantly</w:t>
      </w:r>
      <w:r>
        <w:t xml:space="preserve"> </w:t>
      </w:r>
      <w:r>
        <w:t>sp</w:t>
      </w:r>
      <w:r>
        <w:rPr>
          <w:vertAlign w:val="subscript"/>
        </w:rPr>
        <w:t>3</w:t>
      </w:r>
      <w:r>
        <w:t>‐bonded one‐dimensional carbon frameworks containing abundant polar surface functionalities. Benefiting from the synergistic effects of the one‐dimensional architecture and hydrophilic surface sites, the fabricated DNThs‐based humidity sensors exhibit outstanding performance over a broad humidity range (11%–96% RH), including ultrahigh sensitivity (1679.11/%RH), rapid response (5.2 s) and recovery (5.4 s), excellent reproducibility, and long‐term stability. Mechanistic investigations indicate that efficient water adsorption and humidity‐induced ionic conduction play critical roles in the sensing process, while the one‐dimensional framework facilitates efficient charge transport. Furthermore, by integrating DNThs sensor arrays with a microcontroller platform, we demonstrate a non‐contact human–machine interface (HMI) capable of gesture recognition and touch‐free phone dialing. This work highlights the potential of diamond nanothread‐based materials for next‐generation intelligent sensing and interactive electronic systems.</w:t>
      </w:r>
    </w:p>
    <w:p>
      <w:pPr>
        <w:spacing w:before="120" w:after="120"/>
      </w:pPr>
      <w:r>
        <w:rPr>
          <w:sz w:val="18"/>
        </w:rPr>
        <w:t>——————————————————————————————————————————————————————————————————————</w:t>
      </w:r>
    </w:p>
    <w:p>
      <w:pPr>
        <w:spacing w:before="160" w:after="40" w:line="240" w:lineRule="auto"/>
      </w:pPr>
      <w:r>
        <w:rPr>
          <w:b/>
        </w:rPr>
        <w:t xml:space="preserve">[687] </w:t>
      </w:r>
      <w:hyperlink r:id="rId1907">
        <w:r>
          <w:rPr>
            <w:color w:val="1155CC"/>
            <w:u w:val="single"/>
          </w:rPr>
          <w:t>超越纳米孔隙：CO2 条件下的玻璃状基质有助于纳米孔聚醚酰亚胺从脆性到延性的转变</w:t>
        </w:r>
      </w:hyperlink>
    </w:p>
    <w:p>
      <w:pPr>
        <w:spacing w:before="0" w:after="80"/>
      </w:pPr>
      <w:r>
        <w:rPr>
          <w:i/>
          <w:sz w:val="20"/>
        </w:rPr>
        <w:t>EN: Beyond Nanoporosity: A CO2‐Conditioned Glassy Matrix Contributes to the Brittle‐to‐Ductile Transition of Nanocellular Polyetherimide</w:t>
      </w:r>
    </w:p>
    <w:p>
      <w:pPr>
        <w:spacing w:before="0" w:after="120"/>
      </w:pPr>
      <w:r>
        <w:rPr>
          <w:b/>
        </w:rPr>
        <w:t xml:space="preserve">Source: </w:t>
      </w:r>
      <w:r>
        <w:t>Wiley: Advanced Materials: Table of Contents</w:t>
      </w:r>
      <w:r>
        <w:t xml:space="preserve">    </w:t>
      </w:r>
      <w:r>
        <w:rPr>
          <w:b/>
        </w:rPr>
        <w:t xml:space="preserve">Pub date: </w:t>
      </w:r>
      <w:r>
        <w:t>2026-08-20 06:53:19+00:00</w:t>
      </w:r>
      <w:r>
        <w:t xml:space="preserve">    </w:t>
      </w:r>
      <w:r>
        <w:rPr>
          <w:b/>
        </w:rPr>
        <w:t xml:space="preserve">DOI: </w:t>
      </w:r>
      <w:hyperlink r:id="rId1908">
        <w:r>
          <w:rPr>
            <w:color w:val="1155CC"/>
            <w:u w:val="single"/>
          </w:rPr>
          <w:t>10.1002/adma.74680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与初始固体前体相比，纳米孔聚醚酰亚胺（PEI）表现出增强的韧性和抗冲击性，这种效果通常归因于受限玻璃状聚合物基质内纳米孔的存在。在这项工作中，我们研究了 CO 是否</w:t>
      </w:r>
      <w:r>
        <w:rPr>
          <w:vertAlign w:val="subscript"/>
        </w:rPr>
        <w:t>2</w:t>
      </w:r>
      <w:r>
        <w:t>气体溶解发泡中使用的饱和步骤可以通过改变玻璃态聚合物的热力学状态来影响机械响应。无 CO 热退火</w:t>
      </w:r>
      <w:r>
        <w:rPr>
          <w:vertAlign w:val="subscript"/>
        </w:rPr>
        <w:t>2</w:t>
      </w:r>
      <w:r>
        <w:t>增加屈服应力并降低延展性，而固体 PEI 被 CO 饱和</w:t>
      </w:r>
      <w:r>
        <w:rPr>
          <w:vertAlign w:val="subscript"/>
        </w:rPr>
        <w:t>2</w:t>
      </w:r>
      <w:r>
        <w:t>随后完全解吸显示出较低的屈服应力、增加的拉伸延展性以及改进的冲击响应。使用密度、气体传输、WAXS 和 PALS 测量来进一步分析这种状态，表明 CO 的影响</w:t>
      </w:r>
      <w:r>
        <w:rPr>
          <w:vertAlign w:val="subscript"/>
        </w:rPr>
        <w:t>2</w:t>
      </w:r>
      <w:r>
        <w:t>导致玻璃基体发生微妙的改变，改变基体的填料和气体可及区域。有人提出，这种基质状态与纳米细胞结构一起，有助于在纳米细胞 PEI 中观察到的脆性到韧性的转变。我们的工作强调，纳米孔聚合物机械性能的优化不仅应关注最终孔形态的关键特征，还应关注定义发泡前和发泡过程中孔周围聚合物基质状态的条件。</w:t>
      </w:r>
    </w:p>
    <w:p>
      <w:pPr>
        <w:spacing w:before="0" w:after="200" w:lineRule="auto" w:line="276"/>
      </w:pPr>
      <w:r>
        <w:rPr>
          <w:b/>
        </w:rPr>
        <w:t xml:space="preserve">Abstract (EN): </w:t>
      </w:r>
      <w:r>
        <w:t>Nanocellular polyetherimide (PEI) exhibits enhanced toughness and impact resistance compared to the initial solid precursor, an effect usually attributed to the presence of nanometric cells within a confined glassy polymer matrix. In this work, we examine whether the CO</w:t>
      </w:r>
      <w:r>
        <w:rPr>
          <w:vertAlign w:val="subscript"/>
        </w:rPr>
        <w:t>2</w:t>
      </w:r>
      <w:r>
        <w:t>saturation step used in gas dissolution foaming can affect the mechanical response by modifying the thermodynamic state of the glassy polymer. Thermal annealing without CO</w:t>
      </w:r>
      <w:r>
        <w:rPr>
          <w:vertAlign w:val="subscript"/>
        </w:rPr>
        <w:t>2</w:t>
      </w:r>
      <w:r>
        <w:t>increases the yield stress and reduces ductility, whereas solid PEI saturated with CO</w:t>
      </w:r>
      <w:r>
        <w:rPr>
          <w:vertAlign w:val="subscript"/>
        </w:rPr>
        <w:t>2</w:t>
      </w:r>
      <w:r>
        <w:t>and subsequently fully desorbed shows lower yield stress, an increase in tensile ductility, and an improved impact response. Density, gas transport, WAXS, and PALS measurements were used to further analyze this state, showing that the effect of CO</w:t>
      </w:r>
      <w:r>
        <w:rPr>
          <w:vertAlign w:val="subscript"/>
        </w:rPr>
        <w:t>2</w:t>
      </w:r>
      <w:r>
        <w:t>leads to a subtle modification of the glassy matrix, changing the packing and gas accessible regions of the matrix. It is proposed that this matrix state, together with the nanocellular architecture, contributes to the brittle‐to‐ductile transition observed in nanocellular PEI. Our work highlights that optimization of the mechanical properties of nanocellular polymers should not only focus on the key characteristics of the final cellular morphology, but also on the conditions that define the state of the polymer matrix surrounding the pores before and during foaming.</w:t>
      </w:r>
    </w:p>
    <w:p>
      <w:pPr>
        <w:spacing w:before="120" w:after="120"/>
      </w:pPr>
      <w:r>
        <w:rPr>
          <w:sz w:val="18"/>
        </w:rPr>
        <w:t>——————————————————————————————————————————————————————————————————————</w:t>
      </w:r>
    </w:p>
    <w:p>
      <w:pPr>
        <w:spacing w:before="160" w:after="40" w:line="240" w:lineRule="auto"/>
      </w:pPr>
      <w:r>
        <w:rPr>
          <w:b/>
        </w:rPr>
        <w:t xml:space="preserve">[688] </w:t>
      </w:r>
      <w:hyperlink r:id="rId1909">
        <w:r>
          <w:rPr>
            <w:color w:val="1155CC"/>
            <w:u w:val="single"/>
          </w:rPr>
          <w:t>RAD51 稳定中性粒细胞胞外陷阱以区分炎症</w:t>
        </w:r>
      </w:hyperlink>
    </w:p>
    <w:p>
      <w:pPr>
        <w:spacing w:before="0" w:after="80"/>
      </w:pPr>
      <w:r>
        <w:rPr>
          <w:i/>
          <w:sz w:val="20"/>
        </w:rPr>
        <w:t>EN: RAD51 stabilizes neutrophil extracellular traps to compartmentalize inflammation</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10">
        <w:r>
          <w:rPr>
            <w:color w:val="1155CC"/>
            <w:u w:val="single"/>
          </w:rPr>
          <w:t>10.1126/science.aed9286</w:t>
        </w:r>
      </w:hyperlink>
    </w:p>
    <w:p>
      <w:pPr>
        <w:spacing w:before="0" w:after="120"/>
      </w:pPr>
      <w:r>
        <w:rPr>
          <w:b/>
        </w:rPr>
        <w:t xml:space="preserve">Notes: </w:t>
      </w:r>
      <w:r>
        <w:t>abstract_source=crossref</w:t>
      </w:r>
    </w:p>
    <w:p>
      <w:pPr>
        <w:spacing w:before="0" w:after="80" w:lineRule="auto" w:line="276"/>
      </w:pPr>
      <w:r>
        <w:rPr>
          <w:b/>
        </w:rPr>
        <w:t xml:space="preserve">摘要（ZH）: </w:t>
      </w:r>
      <w:r>
        <w:t>中性粒细胞胞外陷阱（NET）具有分支染色质结构，其起源和功能仍然未知。我们发现 NET 分支是由 RAD51 介导的，RAD51 是一种在 DNA 重组修复过程中产生 DNA 连接的蛋白质。药理抑制，</w:t>
      </w:r>
      <w:r>
        <w:t xml:space="preserve"> </w:t>
      </w:r>
      <w:r>
        <w:t>RAD51</w:t>
      </w:r>
      <w:r>
        <w:t xml:space="preserve"> </w:t>
      </w:r>
      <w:r>
        <w:t>基因敲低或 GEN1 和 RuvC 分解酶处理减少了分支并导致 NET 不稳定，而不同刺激下的 RAD51 上调则产生了具有不同稳定性的 NET。 RAD51 抑制小鼠肺</w:t>
      </w:r>
      <w:r>
        <w:t xml:space="preserve"> </w:t>
      </w:r>
      <w:r>
        <w:t>烟曲霉</w:t>
      </w:r>
      <w:r>
        <w:t xml:space="preserve"> </w:t>
      </w:r>
      <w:r>
        <w:t>感染破坏了 NET 并减少了肺细胞因子。然而，循环中 NET 成分积累的增加导致循环单核细胞中白细胞介素 6 (IL-6) 的诱导，从而加剧 2 型炎症和哮喘。人曲霉病中细胞外血浆 DNA 与 IL-6 和嗜酸细胞趋化因子相关。通过在结构上稳定 NET，RAD51 区分炎症，阻止异常的全身免疫激活，将 DNA 修复与炎症联系起来。</w:t>
      </w:r>
    </w:p>
    <w:p>
      <w:pPr>
        <w:spacing w:before="0" w:after="200" w:lineRule="auto" w:line="276"/>
      </w:pPr>
      <w:r>
        <w:rPr>
          <w:b/>
        </w:rPr>
        <w:t xml:space="preserve">Abstract (EN): </w:t>
      </w:r>
      <w:r>
        <w:t>Neutrophil extracellular traps (NETs) feature a branched chromatin architecture whose origin and function remain unknown. We found that NET branching is mediated by RAD51, a protein generating DNA junctions during DNA recombination repair. Pharmacological inhibition,</w:t>
      </w:r>
      <w:r>
        <w:t xml:space="preserve"> </w:t>
      </w:r>
      <w:r>
        <w:t>RAD51</w:t>
      </w:r>
      <w:r>
        <w:t xml:space="preserve"> </w:t>
      </w:r>
      <w:r>
        <w:t>knockdown, or GEN1 and RuvC resolvase treatment reduced branching and destabilized NETs, whereas RAD51 up-regulation by different stimuli generated NETs with variable stability. RAD51 inhibition during murine pulmonary</w:t>
      </w:r>
      <w:r>
        <w:t xml:space="preserve"> </w:t>
      </w:r>
      <w:r>
        <w:t>Aspergillus fumigatus</w:t>
      </w:r>
      <w:r>
        <w:t xml:space="preserve"> </w:t>
      </w:r>
      <w:r>
        <w:t>infection dismantled NETs and reduced lung cytokines. However, the increased accumulation of NET components in the circulation led to interleukin-6 (IL-6) induction in circulating monocytes that exacerbated type 2 inflammation and asthma. Extracellular plasma DNA correlated with IL-6 and eotaxin in human aspergillosis. By structurally stabilizing NETs, RAD51 compartmentalizes inflammation to thwart aberrant systemic immune activation, linking DNA repair to inflammation.</w:t>
      </w:r>
    </w:p>
    <w:p>
      <w:pPr>
        <w:spacing w:before="120" w:after="120"/>
      </w:pPr>
      <w:r>
        <w:rPr>
          <w:sz w:val="18"/>
        </w:rPr>
        <w:t>——————————————————————————————————————————————————————————————————————</w:t>
      </w:r>
    </w:p>
    <w:p>
      <w:pPr>
        <w:spacing w:before="160" w:after="40" w:line="240" w:lineRule="auto"/>
      </w:pPr>
      <w:r>
        <w:rPr>
          <w:b/>
        </w:rPr>
        <w:t xml:space="preserve">[689] </w:t>
      </w:r>
      <w:hyperlink r:id="rId1911">
        <w:r>
          <w:rPr>
            <w:color w:val="1155CC"/>
            <w:u w:val="single"/>
          </w:rPr>
          <w:t>通过层分离的小动脉网络进行模态特异性神经血管耦合</w:t>
        </w:r>
      </w:hyperlink>
    </w:p>
    <w:p>
      <w:pPr>
        <w:spacing w:before="0" w:after="80"/>
      </w:pPr>
      <w:r>
        <w:rPr>
          <w:i/>
          <w:sz w:val="20"/>
        </w:rPr>
        <w:t>EN: Modality-specific neurovascular coupling via layer-segregated arteriole networks</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12">
        <w:r>
          <w:rPr>
            <w:color w:val="1155CC"/>
            <w:u w:val="single"/>
          </w:rPr>
          <w:t>10.1126/science.aeb5077</w:t>
        </w:r>
      </w:hyperlink>
    </w:p>
    <w:p>
      <w:pPr>
        <w:spacing w:before="0" w:after="120"/>
      </w:pPr>
      <w:r>
        <w:rPr>
          <w:b/>
        </w:rPr>
        <w:t xml:space="preserve">Notes: </w:t>
      </w:r>
      <w:r>
        <w:t>abstract_source=crossref</w:t>
      </w:r>
    </w:p>
    <w:p>
      <w:pPr>
        <w:spacing w:before="0" w:after="80" w:lineRule="auto" w:line="276"/>
      </w:pPr>
      <w:r>
        <w:rPr>
          <w:b/>
        </w:rPr>
        <w:t xml:space="preserve">摘要（ZH）: </w:t>
      </w:r>
      <w:r>
        <w:t>大脑的血管系统通过神经血管耦合动态调节能量供应。在这项研究中，我们表明，在小鼠中，神经血管耦合是模态依赖性的：不同的感觉输入招募特定的小动脉类型，产生不同的层流血流模式。使用多尺度光学成像，我们比较了神经元和血管对触摸、伤害感受、运动感觉反馈和自发活动的反应。浅层小动脉扩张随着表层活动的增加而出现，而深层小动脉则广泛地整合输入条件下的信号。小动脉类型特异性扩张将局部神经元活动的强度与毛细血管血流反应解耦，血流模式由血管拓扑形成并在计算机中重现。总之，这些发现揭示了层流回路活动和血管网络结构之间的相互作用如何动态地塑造穿过皮层的血流输送的空间轮廓。</w:t>
      </w:r>
    </w:p>
    <w:p>
      <w:pPr>
        <w:spacing w:before="0" w:after="200" w:lineRule="auto" w:line="276"/>
      </w:pPr>
      <w:r>
        <w:rPr>
          <w:b/>
        </w:rPr>
        <w:t xml:space="preserve">Abstract (EN): </w:t>
      </w:r>
      <w:r>
        <w:t>The brain’s vascular system dynamically regulates energy supply through neurovascular coupling. In this study, we show that in mice, neurovascular coupling is modality-dependent: Distinct sensory inputs recruit specific arteriole types, producing differential laminar blood flow patterns. Using multiscale optical imaging, we compared neuronal and vascular responses to touch, nociception, motor-sensory feedback, and spontaneous activity. Shallow arteriole dilation emerges with increasing superficial-layer activity, whereas deep arterioles integrate signals broadly across input conditions. Arteriole type–specific dilation decouples the magnitude of local neuronal activity from capillary blood flow responses, with flow patterns shaped by vascular topology and recapitulated in silico. Together, these findings reveal how interactions between laminar circuit activity and vascular network architecture dynamically shape the spatial profile of blood flow delivery across the cortex.</w:t>
      </w:r>
    </w:p>
    <w:p>
      <w:pPr>
        <w:spacing w:before="120" w:after="120"/>
      </w:pPr>
      <w:r>
        <w:rPr>
          <w:sz w:val="18"/>
        </w:rPr>
        <w:t>——————————————————————————————————————————————————————————————————————</w:t>
      </w:r>
    </w:p>
    <w:p>
      <w:pPr>
        <w:spacing w:before="160" w:after="40" w:line="240" w:lineRule="auto"/>
      </w:pPr>
      <w:r>
        <w:rPr>
          <w:b/>
        </w:rPr>
        <w:t xml:space="preserve">[690] </w:t>
      </w:r>
      <w:hyperlink r:id="rId1913">
        <w:r>
          <w:rPr>
            <w:color w:val="1155CC"/>
            <w:u w:val="single"/>
          </w:rPr>
          <w:t>追踪心脏修复中冠状动脉侧支循环形成的起源</w:t>
        </w:r>
      </w:hyperlink>
    </w:p>
    <w:p>
      <w:pPr>
        <w:spacing w:before="0" w:after="80"/>
      </w:pPr>
      <w:r>
        <w:rPr>
          <w:i/>
          <w:sz w:val="20"/>
        </w:rPr>
        <w:t>EN: Tracing the origins of de novo coronary collateral formation in cardiac repair</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14">
        <w:r>
          <w:rPr>
            <w:color w:val="1155CC"/>
            <w:u w:val="single"/>
          </w:rPr>
          <w:t>10.1126/science.ady3027</w:t>
        </w:r>
      </w:hyperlink>
    </w:p>
    <w:p>
      <w:pPr>
        <w:spacing w:before="0" w:after="120"/>
      </w:pPr>
      <w:r>
        <w:rPr>
          <w:b/>
        </w:rPr>
        <w:t xml:space="preserve">Notes: </w:t>
      </w:r>
      <w:r>
        <w:t>abstract_source=crossref</w:t>
      </w:r>
    </w:p>
    <w:p>
      <w:pPr>
        <w:spacing w:before="0" w:after="80" w:lineRule="auto" w:line="276"/>
      </w:pPr>
      <w:r>
        <w:rPr>
          <w:b/>
        </w:rPr>
        <w:t xml:space="preserve">摘要（ZH）: </w:t>
      </w:r>
      <w:r>
        <w:t>冠状侧支动脉被认为是通过动脉重组从头形成的，在这个过程中，动脉内皮细胞（EC）从先前存在的动脉迁移并重新组装成新的动脉。使用追踪动脉 EC 的遗传工具，我们发现它们对侧支循环的贡献不大。双基因谱系追踪表明，毛细血管内皮细胞，而不是动脉内皮细胞，是新生侧支循环的主要组成部分。毛细血管向侧支循环的转化对于心脏修复在功能上至关重要。此外，瞬态</w:t>
      </w:r>
      <w:r>
        <w:t xml:space="preserve"> </w:t>
      </w:r>
      <w:r>
        <w:t>血管内皮生长因子</w:t>
      </w:r>
      <w:r>
        <w:t xml:space="preserve"> </w:t>
      </w:r>
      <w:r>
        <w:t>通过修饰的信使RNA表达可显着促进侧枝循环的形成。从机制上讲，血管内皮生长因子 (VEGF) 通过 YY1/SETD1A 介导的 H3K4 三甲基化调节 HES1 转录来驱动动脉化。总的来说，这些发现重新定义了冠状动脉侧枝形成的细胞起源和机制，并强调了其在促进有效心脏修复中的作用。</w:t>
      </w:r>
    </w:p>
    <w:p>
      <w:pPr>
        <w:spacing w:before="0" w:after="200" w:lineRule="auto" w:line="276"/>
      </w:pPr>
      <w:r>
        <w:rPr>
          <w:b/>
        </w:rPr>
        <w:t xml:space="preserve">Abstract (EN): </w:t>
      </w:r>
      <w:r>
        <w:t>Coronary collateral arteries have been proposed to form de novo through artery reassembly, a process in which arterial endothelial cells (ECs) migrate away from preexisting arteries and reassemble into new arteries. Using genetic tools that trace arterial ECs, we found that their contribution to collaterals is modest. Dual genetic lineage tracing revealed that capillary ECs, rather than arterial ECs, serve as the major building blocks for de novo collaterals. The capillary-to-collateral conversion is functionally crucial for cardiac repair. In addition, transient</w:t>
      </w:r>
      <w:r>
        <w:t xml:space="preserve"> </w:t>
      </w:r>
      <w:r>
        <w:t>Vegfa</w:t>
      </w:r>
      <w:r>
        <w:t xml:space="preserve"> </w:t>
      </w:r>
      <w:r>
        <w:t>expression through modified messenger RNA markedly promoted collateral formation. Mechanistically, vascular endothelial growth factor (VEGF) drives arterialization by regulating HES1 transcription through YY1/SETD1A-mediated H3K4 trimethylation. Collectively, these findings redefine the cellular origin and mechanism of coronary collateral formation and highlight its role in facilitating efficient cardiac repair.</w:t>
      </w:r>
    </w:p>
    <w:p>
      <w:pPr>
        <w:spacing w:before="120" w:after="120"/>
      </w:pPr>
      <w:r>
        <w:rPr>
          <w:sz w:val="18"/>
        </w:rPr>
        <w:t>——————————————————————————————————————————————————————————————————————</w:t>
      </w:r>
    </w:p>
    <w:p>
      <w:pPr>
        <w:spacing w:before="160" w:after="40" w:line="240" w:lineRule="auto"/>
      </w:pPr>
      <w:r>
        <w:rPr>
          <w:b/>
        </w:rPr>
        <w:t xml:space="preserve">[691] </w:t>
      </w:r>
      <w:hyperlink r:id="rId1915">
        <w:r>
          <w:rPr>
            <w:color w:val="1155CC"/>
            <w:u w:val="single"/>
          </w:rPr>
          <w:t>TGW1a 基因座同时缩短水稻生长周期并提高水稻产量</w:t>
        </w:r>
      </w:hyperlink>
    </w:p>
    <w:p>
      <w:pPr>
        <w:spacing w:before="0" w:after="80"/>
      </w:pPr>
      <w:r>
        <w:rPr>
          <w:i/>
          <w:sz w:val="20"/>
        </w:rPr>
        <w:t>EN: TGW1a locus simultaneously shortens growth duration and boosts grain yield in rice</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16">
        <w:r>
          <w:rPr>
            <w:color w:val="1155CC"/>
            <w:u w:val="single"/>
          </w:rPr>
          <w:t>10.1126/science.ady1619</w:t>
        </w:r>
      </w:hyperlink>
    </w:p>
    <w:p>
      <w:pPr>
        <w:spacing w:before="0" w:after="120"/>
      </w:pPr>
      <w:r>
        <w:rPr>
          <w:b/>
        </w:rPr>
        <w:t xml:space="preserve">Notes: </w:t>
      </w:r>
      <w:r>
        <w:t>abstract_source=crossref</w:t>
      </w:r>
    </w:p>
    <w:p>
      <w:pPr>
        <w:spacing w:before="0" w:after="80" w:lineRule="auto" w:line="276"/>
      </w:pPr>
      <w:r>
        <w:rPr>
          <w:b/>
        </w:rPr>
        <w:t xml:space="preserve">摘要（ZH）: </w:t>
      </w:r>
      <w:r>
        <w:t>协调短生育期和高产量之间的权衡对于提高水稻产量至关重要。我们发现</w:t>
      </w:r>
      <w:r>
        <w:t xml:space="preserve"> </w:t>
      </w:r>
      <w:r>
        <w:t>qTGW1a</w:t>
      </w:r>
      <w:r>
        <w:t xml:space="preserve"> </w:t>
      </w:r>
      <w:r>
        <w:t>编码开花基因座 T 样蛋白，控制抽穗和氮利用效率 (NUE)，从而支撑水稻的粒重和产量。 TGW1a 与 Ghd7 和 Hd1 相互作用并稳定 Ghd7 和 Hd1，以提高 NUE 和谷物产量。启动子的自然变异使祖先等位基因得以实现</w:t>
      </w:r>
      <w:r>
        <w:t xml:space="preserve"> </w:t>
      </w:r>
      <w:r>
        <w:t>TGW1a</w:t>
      </w:r>
      <w:r>
        <w:t xml:space="preserve"> </w:t>
      </w:r>
      <w:r>
        <w:t>锦泽</w:t>
      </w:r>
      <w:r>
        <w:t xml:space="preserve"> </w:t>
      </w:r>
      <w:r>
        <w:t>保持中等水平</w:t>
      </w:r>
      <w:r>
        <w:t xml:space="preserve"> </w:t>
      </w:r>
      <w:r>
        <w:t>TGW1a</w:t>
      </w:r>
      <w:r>
        <w:t xml:space="preserve"> </w:t>
      </w:r>
      <w:r>
        <w:t>转录。通过解耦其与弱粒数调节剂的联系</w:t>
      </w:r>
      <w:r>
        <w:t xml:space="preserve"> </w:t>
      </w:r>
      <w:r>
        <w:t>促性腺激素1a</w:t>
      </w:r>
      <w:r>
        <w:t xml:space="preserve"> </w:t>
      </w:r>
      <w:r>
        <w:t>锦泽</w:t>
      </w:r>
      <w:r>
        <w:t xml:space="preserve"> </w:t>
      </w:r>
      <w:r>
        <w:t>,</w:t>
      </w:r>
      <w:r>
        <w:t xml:space="preserve"> </w:t>
      </w:r>
      <w:r>
        <w:t>TGW1a</w:t>
      </w:r>
      <w:r>
        <w:t xml:space="preserve"> </w:t>
      </w:r>
      <w:r>
        <w:t>锦泽</w:t>
      </w:r>
      <w:r>
        <w:t xml:space="preserve"> </w:t>
      </w:r>
      <w:r>
        <w:t>使五个现代品种及其衍生 F 的生长持续时间缩短 3.67 至 8.67 天，粮食产量提高 4.22 至 11.00%</w:t>
      </w:r>
      <w:r>
        <w:rPr>
          <w:vertAlign w:val="subscript"/>
        </w:rPr>
        <w:t>1</w:t>
      </w:r>
      <w:r>
        <w:t>杂交种。这项研究揭示了培育具有较短生长期和较高产量的水稻品种的地点。</w:t>
      </w:r>
    </w:p>
    <w:p>
      <w:pPr>
        <w:spacing w:before="0" w:after="200" w:lineRule="auto" w:line="276"/>
      </w:pPr>
      <w:r>
        <w:rPr>
          <w:b/>
        </w:rPr>
        <w:t xml:space="preserve">Abstract (EN): </w:t>
      </w:r>
      <w:r>
        <w:t>Reconciling the trade-off between short growth duration and high grain yield is essential for enhancing annual rice yields. We found that</w:t>
      </w:r>
      <w:r>
        <w:t xml:space="preserve"> </w:t>
      </w:r>
      <w:r>
        <w:t>qTGW1a</w:t>
      </w:r>
      <w:r>
        <w:t xml:space="preserve"> </w:t>
      </w:r>
      <w:r>
        <w:t>, encoding a flowering locus T-like protein, controls heading and nitrogen use efficiency (NUE) underpinning grain weight and yield in rice. TGW1a interacts with and stabilizes Ghd7 and Hd1 to boost NUE and grain yield. Natural variations in the promoter enable the ancestral allele</w:t>
      </w:r>
      <w:r>
        <w:t xml:space="preserve"> </w:t>
      </w:r>
      <w:r>
        <w:t>TGW1a</w:t>
      </w:r>
      <w:r>
        <w:t xml:space="preserve"> </w:t>
      </w:r>
      <w:r>
        <w:t>JZ</w:t>
      </w:r>
      <w:r>
        <w:t xml:space="preserve"> </w:t>
      </w:r>
      <w:r>
        <w:t>to maintain an intermediate level of</w:t>
      </w:r>
      <w:r>
        <w:t xml:space="preserve"> </w:t>
      </w:r>
      <w:r>
        <w:t>TGW1a</w:t>
      </w:r>
      <w:r>
        <w:t xml:space="preserve"> </w:t>
      </w:r>
      <w:r>
        <w:t>transcription. By decoupling its linkage to the weak grain number regulator</w:t>
      </w:r>
      <w:r>
        <w:t xml:space="preserve"> </w:t>
      </w:r>
      <w:r>
        <w:t>Gn1a</w:t>
      </w:r>
      <w:r>
        <w:t xml:space="preserve"> </w:t>
      </w:r>
      <w:r>
        <w:t>JZ</w:t>
      </w:r>
      <w:r>
        <w:t xml:space="preserve"> </w:t>
      </w:r>
      <w:r>
        <w:t>,</w:t>
      </w:r>
      <w:r>
        <w:t xml:space="preserve"> </w:t>
      </w:r>
      <w:r>
        <w:t>TGW1a</w:t>
      </w:r>
      <w:r>
        <w:t xml:space="preserve"> </w:t>
      </w:r>
      <w:r>
        <w:t>JZ</w:t>
      </w:r>
      <w:r>
        <w:t xml:space="preserve"> </w:t>
      </w:r>
      <w:r>
        <w:t>conferred 3.67 to 8.67 days shorter growth duration and 4.22 to 11.00% higher grain yield in five modern cultivars and derived F</w:t>
      </w:r>
      <w:r>
        <w:rPr>
          <w:vertAlign w:val="subscript"/>
        </w:rPr>
        <w:t>1</w:t>
      </w:r>
      <w:r>
        <w:t>hybrids. This research uncovers a locus for breeding rice varieties featuring shorter growth durations and higher yields.</w:t>
      </w:r>
    </w:p>
    <w:p>
      <w:pPr>
        <w:spacing w:before="120" w:after="120"/>
      </w:pPr>
      <w:r>
        <w:rPr>
          <w:sz w:val="18"/>
        </w:rPr>
        <w:t>——————————————————————————————————————————————————————————————————————</w:t>
      </w:r>
    </w:p>
    <w:p>
      <w:pPr>
        <w:spacing w:before="160" w:after="40" w:line="240" w:lineRule="auto"/>
      </w:pPr>
      <w:r>
        <w:rPr>
          <w:b/>
        </w:rPr>
        <w:t xml:space="preserve">[692] </w:t>
      </w:r>
      <w:hyperlink r:id="rId1917">
        <w:r>
          <w:rPr>
            <w:color w:val="1155CC"/>
            <w:u w:val="single"/>
          </w:rPr>
          <w:t>禾本科近缘种的基因组揭示了草类进化之前的关键代谢创新</w:t>
        </w:r>
      </w:hyperlink>
    </w:p>
    <w:p>
      <w:pPr>
        <w:spacing w:before="0" w:after="80"/>
      </w:pPr>
      <w:r>
        <w:rPr>
          <w:i/>
          <w:sz w:val="20"/>
        </w:rPr>
        <w:t>EN: Genomes of Poaceae relatives reveal key metabolic innovations preceding the evolution of grasses</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18">
        <w:r>
          <w:rPr>
            <w:color w:val="1155CC"/>
            <w:u w:val="single"/>
          </w:rPr>
          <w:t>10.1126/science.adv0443</w:t>
        </w:r>
      </w:hyperlink>
    </w:p>
    <w:p>
      <w:pPr>
        <w:spacing w:before="0" w:after="120"/>
      </w:pPr>
      <w:r>
        <w:rPr>
          <w:b/>
        </w:rPr>
        <w:t xml:space="preserve">Notes: </w:t>
      </w:r>
      <w:r>
        <w:t>abstract_source=crossref</w:t>
      </w:r>
    </w:p>
    <w:p>
      <w:pPr>
        <w:spacing w:before="0" w:after="80" w:lineRule="auto" w:line="276"/>
      </w:pPr>
      <w:r>
        <w:rPr>
          <w:b/>
        </w:rPr>
        <w:t xml:space="preserve">摘要（ZH）: </w:t>
      </w:r>
      <w:r>
        <w:t>草科（禾本科）具有巨大的经济和生态重要性，并表现出独特的代谢特征，包括淀粉和木质素的双重生物合成途径。我们对基因组进行了测序</w:t>
      </w:r>
      <w:r>
        <w:t xml:space="preserve"> </w:t>
      </w:r>
      <w:r>
        <w:t>法鲁斯</w:t>
      </w:r>
      <w:r>
        <w:t xml:space="preserve"> </w:t>
      </w:r>
      <w:r>
        <w:t>,</w:t>
      </w:r>
      <w:r>
        <w:t xml:space="preserve"> </w:t>
      </w:r>
      <w:r>
        <w:t>若因维利亚</w:t>
      </w:r>
      <w:r>
        <w:t xml:space="preserve"> </w:t>
      </w:r>
      <w:r>
        <w:t>,</w:t>
      </w:r>
      <w:r>
        <w:t xml:space="preserve"> </w:t>
      </w:r>
      <w:r>
        <w:t>蜕皮藻</w:t>
      </w:r>
      <w:r>
        <w:t xml:space="preserve"> </w:t>
      </w:r>
      <w:r>
        <w:t>, 和</w:t>
      </w:r>
      <w:r>
        <w:t xml:space="preserve"> </w:t>
      </w:r>
      <w:r>
        <w:t>香蒲</w:t>
      </w:r>
      <w:r>
        <w:t xml:space="preserve"> </w:t>
      </w:r>
      <w:r>
        <w:t>物种来研究这些代谢创新相对于草科起源的时间和方式。的</w:t>
      </w:r>
      <w:r>
        <w:t xml:space="preserve"> </w:t>
      </w:r>
      <w:r>
        <w:t>罗</w:t>
      </w:r>
      <w:r>
        <w:t xml:space="preserve"> </w:t>
      </w:r>
      <w:r>
        <w:t>导致所有草类最后共同祖先的谱系内的全基因组复制（ρWGD）有助于细胞质淀粉生物合成的基因家族扩展，而早期的串联复制</w:t>
      </w:r>
      <w:r>
        <w:t xml:space="preserve"> </w:t>
      </w:r>
      <w:r>
        <w:t>苯丙氨酸解氨酶</w:t>
      </w:r>
      <w:r>
        <w:t xml:space="preserve"> </w:t>
      </w:r>
      <w:r>
        <w:t>（</w:t>
      </w:r>
      <w:r>
        <w:t xml:space="preserve"> </w:t>
      </w:r>
      <w:r>
        <w:t>帕尔</w:t>
      </w:r>
      <w:r>
        <w:t xml:space="preserve"> </w:t>
      </w:r>
      <w:r>
        <w:t>）引起了</w:t>
      </w:r>
      <w:r>
        <w:t xml:space="preserve"> </w:t>
      </w:r>
      <w:r>
        <w:t>苯丙氨酸/酪氨酸解氨酶</w:t>
      </w:r>
      <w:r>
        <w:t xml:space="preserve"> </w:t>
      </w:r>
      <w:r>
        <w:t>（</w:t>
      </w:r>
      <w:r>
        <w:t xml:space="preserve"> </w:t>
      </w:r>
      <w:r>
        <w:t>聚四氟乙烯</w:t>
      </w:r>
      <w:r>
        <w:t xml:space="preserve"> </w:t>
      </w:r>
      <w:r>
        <w:t>），负责双重木质素生物合成。在系统发育分析的指导下，综合生化、功能和结构研究进一步揭示了草类进化之前关键代谢创新的分子基础。</w:t>
      </w:r>
    </w:p>
    <w:p>
      <w:pPr>
        <w:spacing w:before="0" w:after="200" w:lineRule="auto" w:line="276"/>
      </w:pPr>
      <w:r>
        <w:rPr>
          <w:b/>
        </w:rPr>
        <w:t xml:space="preserve">Abstract (EN): </w:t>
      </w:r>
      <w:r>
        <w:t>The grass family (Poaceae) has immense economic and ecological importance and exhibits distinctive metabolic traits, including dual starch and lignin biosynthetic pathways. We sequenced the genomes of</w:t>
      </w:r>
      <w:r>
        <w:t xml:space="preserve"> </w:t>
      </w:r>
      <w:r>
        <w:t>Pharus</w:t>
      </w:r>
      <w:r>
        <w:t xml:space="preserve"> </w:t>
      </w:r>
      <w:r>
        <w:t>,</w:t>
      </w:r>
      <w:r>
        <w:t xml:space="preserve"> </w:t>
      </w:r>
      <w:r>
        <w:t>Joinvillea</w:t>
      </w:r>
      <w:r>
        <w:t xml:space="preserve"> </w:t>
      </w:r>
      <w:r>
        <w:t>,</w:t>
      </w:r>
      <w:r>
        <w:t xml:space="preserve"> </w:t>
      </w:r>
      <w:r>
        <w:t>Ecdeiocolea</w:t>
      </w:r>
      <w:r>
        <w:t xml:space="preserve"> </w:t>
      </w:r>
      <w:r>
        <w:t>, and</w:t>
      </w:r>
      <w:r>
        <w:t xml:space="preserve"> </w:t>
      </w:r>
      <w:r>
        <w:t>Typha</w:t>
      </w:r>
      <w:r>
        <w:t xml:space="preserve"> </w:t>
      </w:r>
      <w:r>
        <w:t>species to investigate when and how these metabolic innovations evolved relative to the origin of the grass family. The</w:t>
      </w:r>
      <w:r>
        <w:t xml:space="preserve"> </w:t>
      </w:r>
      <w:r>
        <w:t>rho</w:t>
      </w:r>
      <w:r>
        <w:t xml:space="preserve"> </w:t>
      </w:r>
      <w:r>
        <w:t>whole-genome duplication (ρWGD) within the lineage that led to the last common ancestor of all grasses contributed to the gene family expansions underlying cytosolic starch biosynthesis, whereas an earlier tandem duplication of</w:t>
      </w:r>
      <w:r>
        <w:t xml:space="preserve"> </w:t>
      </w:r>
      <w:r>
        <w:t>phenylalanine ammonia lyase</w:t>
      </w:r>
      <w:r>
        <w:t xml:space="preserve"> </w:t>
      </w:r>
      <w:r>
        <w:t>(</w:t>
      </w:r>
      <w:r>
        <w:t xml:space="preserve"> </w:t>
      </w:r>
      <w:r>
        <w:t>PAL</w:t>
      </w:r>
      <w:r>
        <w:t xml:space="preserve"> </w:t>
      </w:r>
      <w:r>
        <w:t>) gave rise to</w:t>
      </w:r>
      <w:r>
        <w:t xml:space="preserve"> </w:t>
      </w:r>
      <w:r>
        <w:t>phenylalanine/tyrosine ammonia lyase</w:t>
      </w:r>
      <w:r>
        <w:t xml:space="preserve"> </w:t>
      </w:r>
      <w:r>
        <w:t>(</w:t>
      </w:r>
      <w:r>
        <w:t xml:space="preserve"> </w:t>
      </w:r>
      <w:r>
        <w:t>PTAL</w:t>
      </w:r>
      <w:r>
        <w:t xml:space="preserve"> </w:t>
      </w:r>
      <w:r>
        <w:t>), which is responsible for the dual lignin biosynthesis. Integrated biochemical, functional, and structural studies, guided by phylogenomic analyses, further revealed the molecular basis of key metabolic innovations predating the evolution of grasses.</w:t>
      </w:r>
    </w:p>
    <w:p>
      <w:pPr>
        <w:spacing w:before="120" w:after="120"/>
      </w:pPr>
      <w:r>
        <w:rPr>
          <w:sz w:val="18"/>
        </w:rPr>
        <w:t>——————————————————————————————————————————————————————————————————————</w:t>
      </w:r>
    </w:p>
    <w:p>
      <w:pPr>
        <w:spacing w:before="160" w:after="40" w:line="240" w:lineRule="auto"/>
      </w:pPr>
      <w:r>
        <w:rPr>
          <w:b/>
        </w:rPr>
        <w:t xml:space="preserve">[693] </w:t>
      </w:r>
      <w:hyperlink r:id="rId1919">
        <w:r>
          <w:rPr>
            <w:color w:val="1155CC"/>
            <w:u w:val="single"/>
          </w:rPr>
          <w:t>报告勘误“通过谷氨酰胺分解抑制来抑制衰老可改善各种与年龄相关的疾病”</w:t>
        </w:r>
      </w:hyperlink>
    </w:p>
    <w:p>
      <w:pPr>
        <w:spacing w:before="0" w:after="80"/>
      </w:pPr>
      <w:r>
        <w:rPr>
          <w:i/>
          <w:sz w:val="20"/>
        </w:rPr>
        <w:t>EN: Erratum for the Report “Senolysis by glutaminolysis inhibition ameliorates various age-associated disorders”</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20">
        <w:r>
          <w:rPr>
            <w:color w:val="1155CC"/>
            <w:u w:val="single"/>
          </w:rPr>
          <w:t>10.1126/science.aek6651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[694] </w:t>
      </w:r>
      <w:hyperlink r:id="rId1921">
        <w:r>
          <w:rPr>
            <w:color w:val="1155CC"/>
            <w:u w:val="single"/>
          </w:rPr>
          <w:t>使用人工智能代理进行自主生物医学研究</w:t>
        </w:r>
      </w:hyperlink>
    </w:p>
    <w:p>
      <w:pPr>
        <w:spacing w:before="0" w:after="80"/>
      </w:pPr>
      <w:r>
        <w:rPr>
          <w:i/>
          <w:sz w:val="20"/>
        </w:rPr>
        <w:t>EN: Autonomous biomedical research with an artificial intelligence agent</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22">
        <w:r>
          <w:rPr>
            <w:color w:val="1155CC"/>
            <w:u w:val="single"/>
          </w:rPr>
          <w:t>10.1126/science.adz4351</w:t>
        </w:r>
      </w:hyperlink>
    </w:p>
    <w:p>
      <w:pPr>
        <w:spacing w:before="0" w:after="120"/>
      </w:pPr>
      <w:r>
        <w:rPr>
          <w:b/>
        </w:rPr>
        <w:t xml:space="preserve">Notes: </w:t>
      </w:r>
      <w:r>
        <w:t>abstract_source=crossref</w:t>
      </w:r>
    </w:p>
    <w:p>
      <w:pPr>
        <w:spacing w:before="0" w:after="80" w:lineRule="auto" w:line="276"/>
      </w:pPr>
      <w:r>
        <w:rPr>
          <w:b/>
        </w:rPr>
        <w:t xml:space="preserve">摘要（ZH）: </w:t>
      </w:r>
      <w:r>
        <w:t>生物医学研究越来越受到重复、分散的工作流程的限制，从而减慢了发现速度。我们介绍 Biomni，这是一种通用生物医学人工智能代理，可以自主执行各种研究任务。为了绘制生物医学行动空间，Biomni 的行动发现代理从 25 个领域的数千种出版物中挖掘工具、数据库和协议，构建统一的代理环境。其通用架构将大型语言模型推理与检索增强规划和基于代码的执行相集成，无需预定义模板即可动态组合工作流程。系统基准测试显示了跨异构任务（因果基因优先级排序、药物再利用、罕见疾病诊断、微生物组分析和分子克隆）的强大泛化性，而无需针对特定任务进行调整。真实案例研究表明 Biomni 可以解释多模式数据集、优化蛋白质稳定性、协调湿实验室仪器以及生成可通过实验测试的方案。 Biomni 设想人工智能将增强人类科学家的能力并加速发现。</w:t>
      </w:r>
    </w:p>
    <w:p>
      <w:pPr>
        <w:spacing w:before="0" w:after="200" w:lineRule="auto" w:line="276"/>
      </w:pPr>
      <w:r>
        <w:rPr>
          <w:b/>
        </w:rPr>
        <w:t xml:space="preserve">Abstract (EN): </w:t>
      </w:r>
      <w:r>
        <w:t>Biomedical research is increasingly constrained by repetitive, fragmented workflows that slow discovery. We introduce Biomni, a general-purpose biomedical artificial intelligence agent that autonomously executes diverse research tasks. To map the biomedical action space, Biomni’s action-discovery agent mines tools, databases, and protocols from thousands of publications across 25 domains, building a unified agentic environment. Its general-purpose architecture integrates large language model reasoning with retrieval-augmented planning and code-based execution, dynamically composing workflows without predefined templates. Systematic benchmarking shows strong generalization across heterogeneous tasks—causal gene prioritization, drug repurposing, rare-disease diagnosis, microbiome analysis, and molecular cloning—without task-specific tuning. Real-world case studies demonstrate Biomni interpreting multimodal datasets, optimizing protein stability, orchestrating wet-lab instruments, and generating experimentally testable protocols. Biomni envisions artificial intelligence augmenting human scientists and accelerating discovery.</w:t>
      </w:r>
    </w:p>
    <w:p>
      <w:pPr>
        <w:spacing w:before="120" w:after="120"/>
      </w:pPr>
      <w:r>
        <w:rPr>
          <w:sz w:val="18"/>
        </w:rPr>
        <w:t>——————————————————————————————————————————————————————————————————————</w:t>
      </w:r>
    </w:p>
    <w:p>
      <w:pPr>
        <w:spacing w:before="160" w:after="40" w:line="240" w:lineRule="auto"/>
      </w:pPr>
      <w:r>
        <w:rPr>
          <w:b/>
        </w:rPr>
        <w:t xml:space="preserve">[695] </w:t>
      </w:r>
      <w:hyperlink r:id="rId1923">
        <w:r>
          <w:rPr>
            <w:color w:val="1155CC"/>
            <w:u w:val="single"/>
          </w:rPr>
          <w:t>经验和经济决策</w:t>
        </w:r>
      </w:hyperlink>
    </w:p>
    <w:p>
      <w:pPr>
        <w:spacing w:before="0" w:after="80"/>
      </w:pPr>
      <w:r>
        <w:rPr>
          <w:i/>
          <w:sz w:val="20"/>
        </w:rPr>
        <w:t>EN: Experiences and economic decision-making</w:t>
      </w:r>
    </w:p>
    <w:p>
      <w:pPr>
        <w:spacing w:before="0" w:after="120"/>
      </w:pPr>
      <w:r>
        <w:rPr>
          <w:b/>
        </w:rPr>
        <w:t xml:space="preserve">Source: </w:t>
      </w:r>
      <w:r>
        <w:t>AAAS: Science: Table of Contents</w:t>
      </w:r>
      <w:r>
        <w:t xml:space="preserve">    </w:t>
      </w:r>
      <w:r>
        <w:rPr>
          <w:b/>
        </w:rPr>
        <w:t xml:space="preserve">Pub date: </w:t>
      </w:r>
      <w:r>
        <w:t>2026-08-20 07:00:00+00:00</w:t>
      </w:r>
      <w:r>
        <w:t xml:space="preserve">    </w:t>
      </w:r>
      <w:r>
        <w:rPr>
          <w:b/>
        </w:rPr>
        <w:t xml:space="preserve">DOI: </w:t>
      </w:r>
      <w:hyperlink r:id="rId1924">
        <w:r>
          <w:rPr>
            <w:color w:val="1155CC"/>
            <w:u w:val="single"/>
          </w:rPr>
          <w:t>10.1126/science.aej2368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[696] </w:t>
      </w:r>
      <w:hyperlink r:id="rId1925">
        <w:r>
          <w:rPr>
            <w:color w:val="1155CC"/>
            <w:u w:val="single"/>
          </w:rPr>
          <w:t>Tmem117 是一种富含少突胶质细胞的 NCX 活性调节因子，将髓磷脂稳态与反调节和代谢健康联系起来</w:t>
        </w:r>
      </w:hyperlink>
    </w:p>
    <w:p>
      <w:pPr>
        <w:spacing w:before="0" w:after="80"/>
      </w:pPr>
      <w:r>
        <w:rPr>
          <w:i/>
          <w:sz w:val="20"/>
        </w:rPr>
        <w:t>EN: Tmem117, an oligodendrocyte-enriched regulator of NCX activity, links myelin homeostasis to counterregulation and metabolic health</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26">
        <w:r>
          <w:rPr>
            <w:color w:val="1155CC"/>
            <w:u w:val="single"/>
          </w:rPr>
          <w:t>10.1073/pnas.2530122123</w:t>
        </w:r>
      </w:hyperlink>
    </w:p>
    <w:p>
      <w:pPr>
        <w:spacing w:before="0" w:after="120"/>
      </w:pPr>
      <w:r>
        <w:rPr>
          <w:b/>
        </w:rPr>
        <w:t xml:space="preserve">Notes: </w:t>
      </w:r>
      <w:r>
        <w:t>abstract_source=crossref</w:t>
      </w:r>
    </w:p>
    <w:p>
      <w:pPr>
        <w:spacing w:before="0" w:after="80" w:lineRule="auto" w:line="276"/>
      </w:pPr>
      <w:r>
        <w:rPr>
          <w:b/>
        </w:rPr>
        <w:t xml:space="preserve">摘要（ZH）: </w:t>
      </w:r>
      <w:r>
        <w:t>对低血糖的反调节反应（CRR）——主要取决于胰腺胰高血糖素的分泌——是一种基本的、进化上保守的稳态机制，由中枢神经系统（CNS）精心策划，以确保葡萄糖短缺期间的生存。</w:t>
      </w:r>
      <w:r>
        <w:t xml:space="preserve"> </w:t>
      </w:r>
      <w:r>
        <w:t>TMEM117</w:t>
      </w:r>
      <w:r>
        <w:t xml:space="preserve"> </w:t>
      </w:r>
      <w:r>
        <w:t>先前在基因筛选中被鉴定为 CRR 的潜在下丘脑调节剂。在这里，我们揭示了 Tmem117 在少突胶质细胞谱系的细胞中富集，并描述了少突胶质细胞 Tmem117 在 CRR 中的贡献。我们发现，所有少突胶质细胞谱系细胞或仅成熟少突胶质细胞中 Tmem117 的耗尽会导致髓鞘质缺陷和 CRR 中男性特异性缺陷。此外，我们发现，成熟少突胶质细胞中 Tmem117 的短暂、成年期缺失足以诱导雄性小鼠长期代谢失衡，这表明少突胶质细胞和髓鞘质的缺陷会影响外周葡萄糖稳态。从机制上讲，我们提供了关于 Tmem117 作用分子机制的见解，表明它通过与钠钙交换器 NCX1 的相互作用来调节细胞内钙动态。总之，这些结果重新定义了我们对 CRR 细胞贡献者的理解，强调了少突胶质细胞在全身葡萄糖调节中的重要性，并将 Tmem117 定位为细胞特异性操纵钠钙交换器 (NCX) 活性的有前途的分子靶标。</w:t>
      </w:r>
    </w:p>
    <w:p>
      <w:pPr>
        <w:spacing w:before="0" w:after="200" w:lineRule="auto" w:line="276"/>
      </w:pPr>
      <w:r>
        <w:rPr>
          <w:b/>
        </w:rPr>
        <w:t xml:space="preserve">Abstract (EN): </w:t>
      </w:r>
      <w:r>
        <w:t>The counterregulatory response (CRR) to hypoglycemia—critically depending on pancreatic glucagon secretion—is a fundamental, evolutionarily conserved homeostatic mechanism orchestrated by the central nervous system (CNS) to ensure survival during glucose scarcity.</w:t>
      </w:r>
      <w:r>
        <w:t xml:space="preserve"> </w:t>
      </w:r>
      <w:r>
        <w:t>Tmem117</w:t>
      </w:r>
      <w:r>
        <w:t xml:space="preserve"> </w:t>
      </w:r>
      <w:r>
        <w:t>was previously identified in a genetic screen as a potential hypothalamic regulator of CRR. Here, we reveal that Tmem117 is enriched in cells of the oligodendrocytic lineage and we characterize the contribution of oligodendrocytic Tmem117 in CRR. We show that depletion of Tmem117 from either all oligodendrocyte lineage cells or only mature oligodendrocytes leads to myelin deficits and male-specific defects in CRR. Furthermore, we reveal that transient, adult-onset depletion of Tmem117 in mature oligodendrocytes is sufficient to induce long-lasting metabolic imbalances in male mice, suggesting that defects in oligodendrocytes and myelin can affect peripheral glucose homeostasis. Mechanistically, we provide insights on the molecular mechanism of action of Tmem117 showing that it regulates intracellular calcium dynamics through its interaction with the sodium-calcium exchanger NCX1. Together, these results redefine our understanding of the cellular contributors to the CRR, highlight the importance of oligodendrocytes in systemic glucose regulation, and position Tmem117 as a promising molecular target for cell-specific manipulation of sodium-calcium exchanger (NCX) activity.</w:t>
      </w:r>
    </w:p>
    <w:p>
      <w:pPr>
        <w:spacing w:before="120" w:after="120"/>
      </w:pPr>
      <w:r>
        <w:rPr>
          <w:sz w:val="18"/>
        </w:rPr>
        <w:t>——————————————————————————————————————————————————————————————————————</w:t>
      </w:r>
    </w:p>
    <w:p>
      <w:pPr>
        <w:spacing w:before="160" w:after="40" w:line="240" w:lineRule="auto"/>
      </w:pPr>
      <w:r>
        <w:rPr>
          <w:b/>
        </w:rPr>
        <w:t xml:space="preserve">[697] </w:t>
      </w:r>
      <w:hyperlink r:id="rId1927">
        <w:r>
          <w:rPr>
            <w:color w:val="1155CC"/>
            <w:u w:val="single"/>
          </w:rPr>
          <w:t>过渡管道湍流中模式形成和前沿传播的随机理论</w:t>
        </w:r>
      </w:hyperlink>
    </w:p>
    <w:p>
      <w:pPr>
        <w:spacing w:before="0" w:after="80"/>
      </w:pPr>
      <w:r>
        <w:rPr>
          <w:i/>
          <w:sz w:val="20"/>
        </w:rPr>
        <w:t>EN: Stochastic theory for pattern formation and front propagation in transitional pipe turbulence</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28">
        <w:r>
          <w:rPr>
            <w:color w:val="1155CC"/>
            <w:u w:val="single"/>
          </w:rPr>
          <w:t>10.1073/pnas.2537018123</w:t>
        </w:r>
      </w:hyperlink>
    </w:p>
    <w:p>
      <w:pPr>
        <w:spacing w:before="0" w:after="120"/>
      </w:pPr>
      <w:r>
        <w:rPr>
          <w:b/>
        </w:rPr>
        <w:t xml:space="preserve">Notes: </w:t>
      </w:r>
      <w:r>
        <w:t>abstract_source=crossref</w:t>
      </w:r>
    </w:p>
    <w:p>
      <w:pPr>
        <w:spacing w:before="0" w:after="80" w:lineRule="auto" w:line="276"/>
      </w:pPr>
      <w:r>
        <w:rPr>
          <w:b/>
        </w:rPr>
        <w:t xml:space="preserve">摘要（ZH）: </w:t>
      </w:r>
      <w:r>
        <w:t>管道中的湍流是通过亚临界转变发生的。一旦湍流斑块（“泡团”）因某些外部扰动而形成核，它们就会衰变；但高于阈值流速时，烟流会分裂，导致管道中长时间出现非零湍流部分。最近的理论和实验工作表明，这种转变可以理解为定向渗透普适性类别中的非平衡相变。在较高流速下，湍流通过前沿传播扩散到层流状态，形成称为“段塞”的不断扩大的湍流区域，根据流速，该湍流可能会表现出一个或两个尖锐前沿。是否可以在预测定向渗流转变的统计力学模型框架内理解与喷流相互作用和段塞相相关的现象，这是一个悬而未决的问题。在这里，我们提出了一个随机模型，用于背景层流状态下湍流斑块的衰变、分裂和传播，该模型解释了过渡状态中的全部行为。我们展示了激活剂-抑制剂（捕食者-猎物）动力学，与流向剪切流耦合，概括了喷流和段塞的实验曲线，以及之前能量流空间结构、喷流分裂的运动学以及两个段塞阶段和段塞阶段之间的过渡的模拟结果。我们的工作表明，非平衡统计力学不仅可以提供对层流-湍流转变的详细理解，b</w:t>
      </w:r>
    </w:p>
    <w:p>
      <w:pPr>
        <w:spacing w:before="0" w:after="200" w:lineRule="auto" w:line="276"/>
      </w:pPr>
      <w:r>
        <w:rPr>
          <w:b/>
        </w:rPr>
        <w:t xml:space="preserve">Abstract (EN): </w:t>
      </w:r>
      <w:r>
        <w:t>The onset of turbulence in a pipe occurs through a subcritical transition. Once turbulent patches (“puffs”) have been nucleated by some external perturbation, they decay; but above a threshold flow velocity, puffs split, leading to a nonzero turbulent fraction in the pipe at long times. Recent theoretical and experimental work has shown that this transition can be understood as a nonequilibrium phase transition in the universality class of directed percolation. At higher flow velocity, the turbulence spreads into the laminar state through front propagation, creating an expanding region of turbulence known as a “slug,” which may exhibit either one or two sharp fronts depending on the flow velocity. It is an open question as to whether the phenomena associated with puff interactions and the slug phase can be understood within the statistical mechanical model framework that predicts the directed percolation transition. Here, we present a stochastic model for the decay, splitting, and propagation of turbulent patches in a background laminar state that accounts for the full range of behavior in the transitional regime. We show that activator–inhibitor (predator–prey) dynamics, coupled to the streamwise shear flow, recapitulates experimental profiles for puffs and slugs, as well as previous simulation results for the spatial structure of the energy flow, the kinematics of puff splitting and the transition to and between the two slug phases. Our work shows that nonequilibrium statistical mechanics can provide a detailed understanding not only of the laminar–turbulent transition, but also the pattern formation phenomena arising in the turbulent state.</w:t>
      </w:r>
    </w:p>
    <w:p>
      <w:pPr>
        <w:spacing w:before="120" w:after="120"/>
      </w:pPr>
      <w:r>
        <w:rPr>
          <w:sz w:val="18"/>
        </w:rPr>
        <w:t>——————————————————————————————————————————————————————————————————————</w:t>
      </w:r>
    </w:p>
    <w:p>
      <w:pPr>
        <w:spacing w:before="160" w:after="40" w:line="240" w:lineRule="auto"/>
      </w:pPr>
      <w:r>
        <w:rPr>
          <w:b/>
        </w:rPr>
        <w:t xml:space="preserve">[698] </w:t>
      </w:r>
      <w:hyperlink r:id="rId1929">
        <w:r>
          <w:rPr>
            <w:color w:val="1155CC"/>
            <w:u w:val="single"/>
          </w:rPr>
          <w:t>一种不溶性从头蛋白通过隔离基因阻遏物使大肠杆菌得以生存</w:t>
        </w:r>
      </w:hyperlink>
    </w:p>
    <w:p>
      <w:pPr>
        <w:spacing w:before="0" w:after="80"/>
      </w:pPr>
      <w:r>
        <w:rPr>
          <w:i/>
          <w:sz w:val="20"/>
        </w:rPr>
        <w:t>EN: An insoluble de novo protein enables survival of Escherichia coli by sequestering a gene repressor</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30">
        <w:r>
          <w:rPr>
            <w:color w:val="1155CC"/>
            <w:u w:val="single"/>
          </w:rPr>
          <w:t>10.1073/pnas.2601204123</w:t>
        </w:r>
      </w:hyperlink>
    </w:p>
    <w:p>
      <w:pPr>
        <w:spacing w:before="0" w:after="120"/>
      </w:pPr>
      <w:r>
        <w:rPr>
          <w:b/>
        </w:rPr>
        <w:t xml:space="preserve">Notes: </w:t>
      </w:r>
      <w:r>
        <w:t>abstract_source=crossref</w:t>
      </w:r>
    </w:p>
    <w:p>
      <w:pPr>
        <w:spacing w:before="0" w:after="80" w:lineRule="auto" w:line="276"/>
      </w:pPr>
      <w:r>
        <w:rPr>
          <w:b/>
        </w:rPr>
        <w:t xml:space="preserve">摘要（ZH）: </w:t>
      </w:r>
      <w:r>
        <w:t>与天然序列没有共同祖先的从头蛋白质可以作为活细胞进化蛋白质组的补充。在细胞中表达后，这些新型蛋白质可以提供改变细胞活力和生长的生物功能。为了分离这些蛋白质，我们通过选择维持蛋白质生长的序列来搜索新序列的组合文库。</w:t>
      </w:r>
      <w:r>
        <w:t xml:space="preserve"> </w:t>
      </w:r>
      <w:r>
        <w:t>大肠杆菌</w:t>
      </w:r>
      <w:r>
        <w:t xml:space="preserve"> </w:t>
      </w:r>
      <w:r>
        <w:t>在受体细胞无法存活的条件下。这导致了识别</w:t>
      </w:r>
      <w:r>
        <w:t xml:space="preserve"> </w:t>
      </w:r>
      <w:r>
        <w:t>救援4</w:t>
      </w:r>
      <w:r>
        <w:t xml:space="preserve"> </w:t>
      </w:r>
      <w:r>
        <w:t>（</w:t>
      </w:r>
      <w:r>
        <w:t xml:space="preserve"> </w:t>
      </w:r>
      <w:r>
        <w:t>救援者4</w:t>
      </w:r>
      <w:r>
        <w:t xml:space="preserve"> </w:t>
      </w:r>
      <w:r>
        <w:t>），一种从头蛋白质，可在基本培养基上维持生长</w:t>
      </w:r>
      <w:r>
        <w:t xml:space="preserve"> </w:t>
      </w:r>
      <w:r>
        <w:t>大肠杆菌</w:t>
      </w:r>
      <w:r>
        <w:t xml:space="preserve"> </w:t>
      </w:r>
      <w:r>
        <w:t>含有致命缺失的菌株</w:t>
      </w:r>
      <w:r>
        <w:t xml:space="preserve"> </w:t>
      </w:r>
      <w:r>
        <w:t>甲硫氨酸</w:t>
      </w:r>
      <w:r>
        <w:t xml:space="preserve"> </w:t>
      </w:r>
      <w:r>
        <w:t>，编码胱硫醚</w:t>
      </w:r>
      <w:r>
        <w:t xml:space="preserve"> </w:t>
      </w:r>
      <w:r>
        <w:t>β</w:t>
      </w:r>
      <w:r>
        <w:t xml:space="preserve"> </w:t>
      </w:r>
      <w:r>
        <w:t>-裂解酶，蛋氨酸生物合成中的条件必需酶。令人惊讶的是，尽管它能够挽救生物合成酶的缺失，</w:t>
      </w:r>
      <w:r>
        <w:t xml:space="preserve"> </w:t>
      </w:r>
      <w:r>
        <w:t>救援4</w:t>
      </w:r>
      <w:r>
        <w:t xml:space="preserve"> </w:t>
      </w:r>
      <w:r>
        <w:t>是不溶的。尽管如此，</w:t>
      </w:r>
      <w:r>
        <w:t xml:space="preserve"> </w:t>
      </w:r>
      <w:r>
        <w:t>救援4</w:t>
      </w:r>
      <w:r>
        <w:t xml:space="preserve"> </w:t>
      </w:r>
      <w:r>
        <w:t>维持增长</w:t>
      </w:r>
      <w:r>
        <w:t xml:space="preserve"> </w:t>
      </w:r>
      <w:r>
        <w:t>Δ</w:t>
      </w:r>
      <w:r>
        <w:t xml:space="preserve"> </w:t>
      </w:r>
      <w:r>
        <w:t>甲硫氨酸</w:t>
      </w:r>
      <w:r>
        <w:t xml:space="preserve"> </w:t>
      </w:r>
      <w:r>
        <w:t>细胞通过上调表达</w:t>
      </w:r>
      <w:r>
        <w:t xml:space="preserve"> </w:t>
      </w:r>
      <w:r>
        <w:t>蛋氨酸B</w:t>
      </w:r>
      <w:r>
        <w:t xml:space="preserve"> </w:t>
      </w:r>
      <w:r>
        <w:t>，编码不同的酶，胱硫醚</w:t>
      </w:r>
    </w:p>
    <w:p>
      <w:pPr>
        <w:spacing w:before="0" w:after="200" w:lineRule="auto" w:line="276"/>
      </w:pPr>
      <w:r>
        <w:rPr>
          <w:b/>
        </w:rPr>
        <w:t xml:space="preserve">Abstract (EN): </w:t>
      </w:r>
      <w:r>
        <w:t>De novo proteins that share no ancestry with natural sequences can serve as additions to the evolved proteomes of living cells. Upon expression in cells, these novel proteins can provide biological functions that alter cell viability and growth. To isolate such proteins, we searched a combinatorial library of novel sequences by selecting for sequences that sustain the growth of</w:t>
      </w:r>
      <w:r>
        <w:t xml:space="preserve"> </w:t>
      </w:r>
      <w:r>
        <w:t>Escherichia coli</w:t>
      </w:r>
      <w:r>
        <w:t xml:space="preserve"> </w:t>
      </w:r>
      <w:r>
        <w:t>under conditions where the recipient cell would otherwise be inviable. This led to the identification of</w:t>
      </w:r>
      <w:r>
        <w:t xml:space="preserve"> </w:t>
      </w:r>
      <w:r>
        <w:t>Resc4</w:t>
      </w:r>
      <w:r>
        <w:t xml:space="preserve"> </w:t>
      </w:r>
      <w:r>
        <w:t>(</w:t>
      </w:r>
      <w:r>
        <w:t xml:space="preserve"> </w:t>
      </w:r>
      <w:r>
        <w:t>Rescuer 4</w:t>
      </w:r>
      <w:r>
        <w:t xml:space="preserve"> </w:t>
      </w:r>
      <w:r>
        <w:t>), a de novo protein that sustains growth on minimal medium of an</w:t>
      </w:r>
      <w:r>
        <w:t xml:space="preserve"> </w:t>
      </w:r>
      <w:r>
        <w:t>E. coli</w:t>
      </w:r>
      <w:r>
        <w:t xml:space="preserve"> </w:t>
      </w:r>
      <w:r>
        <w:t>strain harboring a lethal deletion of</w:t>
      </w:r>
      <w:r>
        <w:t xml:space="preserve"> </w:t>
      </w:r>
      <w:r>
        <w:t>metC</w:t>
      </w:r>
      <w:r>
        <w:t xml:space="preserve"> </w:t>
      </w:r>
      <w:r>
        <w:t>, which encodes cystathionine</w:t>
      </w:r>
      <w:r>
        <w:t xml:space="preserve"> </w:t>
      </w:r>
      <w:r>
        <w:t>β</w:t>
      </w:r>
      <w:r>
        <w:t xml:space="preserve"> </w:t>
      </w:r>
      <w:r>
        <w:t>-lyase, a conditionally essential enzyme in the biosynthesis of methionine. Surprisingly, despite its ability to rescue the deletion of a biosynthetic enzyme,</w:t>
      </w:r>
      <w:r>
        <w:t xml:space="preserve"> </w:t>
      </w:r>
      <w:r>
        <w:t>Resc4</w:t>
      </w:r>
      <w:r>
        <w:t xml:space="preserve"> </w:t>
      </w:r>
      <w:r>
        <w:t>is insoluble. Nonetheless,</w:t>
      </w:r>
      <w:r>
        <w:t xml:space="preserve"> </w:t>
      </w:r>
      <w:r>
        <w:t>Resc4</w:t>
      </w:r>
      <w:r>
        <w:t xml:space="preserve"> </w:t>
      </w:r>
      <w:r>
        <w:t>sustains the growth of</w:t>
      </w:r>
      <w:r>
        <w:t xml:space="preserve"> </w:t>
      </w:r>
      <w:r>
        <w:t>Δ</w:t>
      </w:r>
      <w:r>
        <w:t xml:space="preserve"> </w:t>
      </w:r>
      <w:r>
        <w:t>metC</w:t>
      </w:r>
      <w:r>
        <w:t xml:space="preserve"> </w:t>
      </w:r>
      <w:r>
        <w:t>cells by upregulating expression of</w:t>
      </w:r>
      <w:r>
        <w:t xml:space="preserve"> </w:t>
      </w:r>
      <w:r>
        <w:t>metB</w:t>
      </w:r>
      <w:r>
        <w:t xml:space="preserve"> </w:t>
      </w:r>
      <w:r>
        <w:t>, which encodes a different enzyme, cystathionine</w:t>
      </w:r>
      <w:r>
        <w:t xml:space="preserve"> </w:t>
      </w:r>
      <w:r>
        <w:t>γ</w:t>
      </w:r>
      <w:r>
        <w:t xml:space="preserve"> </w:t>
      </w:r>
      <w:r>
        <w:t>-synthase, which has a moonlighting activity that compensates for the deleted activity encoded by</w:t>
      </w:r>
      <w:r>
        <w:t xml:space="preserve"> </w:t>
      </w:r>
      <w:r>
        <w:t>metC</w:t>
      </w:r>
      <w:r>
        <w:t xml:space="preserve"> </w:t>
      </w:r>
      <w:r>
        <w:t>. Proteomic analysis revealed that</w:t>
      </w:r>
      <w:r>
        <w:t xml:space="preserve"> </w:t>
      </w:r>
      <w:r>
        <w:t>Resc4</w:t>
      </w:r>
      <w:r>
        <w:t xml:space="preserve"> </w:t>
      </w:r>
      <w:r>
        <w:t>sequesters MetJ, the repressor of the methionine biosynthesis operon. Sequestration of MetJ leads to overproduction of cystathionine</w:t>
      </w:r>
      <w:r>
        <w:t xml:space="preserve"> </w:t>
      </w:r>
      <w:r>
        <w:t>γ</w:t>
      </w:r>
      <w:r>
        <w:t xml:space="preserve"> </w:t>
      </w:r>
      <w:r>
        <w:t>-synthase, thereby allowing it to rescue the deletion of</w:t>
      </w:r>
      <w:r>
        <w:t xml:space="preserve"> </w:t>
      </w:r>
      <w:r>
        <w:t>metC</w:t>
      </w:r>
      <w:r>
        <w:t xml:space="preserve"> </w:t>
      </w:r>
      <w:r>
        <w:t>. These results, taken together with previous findings on other de novo proteins, demonstrate that novel proteins added to a cell’s proteome can perform life-sustaining functions, and may shed light on de novo gene birth—both in synthetic biology and in natural evolution.</w:t>
      </w:r>
    </w:p>
    <w:p>
      <w:pPr>
        <w:spacing w:before="120" w:after="120"/>
      </w:pPr>
      <w:r>
        <w:rPr>
          <w:sz w:val="18"/>
        </w:rPr>
        <w:t>——————————————————————————————————————————————————————————————————————</w:t>
      </w:r>
    </w:p>
    <w:p>
      <w:pPr>
        <w:spacing w:before="160" w:after="40" w:line="240" w:lineRule="auto"/>
      </w:pPr>
      <w:r>
        <w:rPr>
          <w:b/>
        </w:rPr>
        <w:t xml:space="preserve">[699] </w:t>
      </w:r>
      <w:hyperlink r:id="rId1931">
        <w:r>
          <w:rPr>
            <w:color w:val="1155CC"/>
            <w:u w:val="single"/>
          </w:rPr>
          <w:t>是什么控制着电子掺杂 FeSe 的超导圆顶？</w:t>
        </w:r>
      </w:hyperlink>
    </w:p>
    <w:p>
      <w:pPr>
        <w:spacing w:before="0" w:after="80"/>
      </w:pPr>
      <w:r>
        <w:rPr>
          <w:i/>
          <w:sz w:val="20"/>
        </w:rPr>
        <w:t>EN: What controls the superconducting dome of electron-doped FeSe?</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32">
        <w:r>
          <w:rPr>
            <w:color w:val="1155CC"/>
            <w:u w:val="single"/>
          </w:rPr>
          <w:t>10.1073/pnas.2608091123</w:t>
        </w:r>
      </w:hyperlink>
    </w:p>
    <w:p>
      <w:pPr>
        <w:spacing w:before="0" w:after="120"/>
      </w:pPr>
      <w:r>
        <w:rPr>
          <w:b/>
        </w:rPr>
        <w:t xml:space="preserve">Notes: </w:t>
      </w:r>
      <w:r>
        <w:t>abstract_source=crossref</w:t>
      </w:r>
    </w:p>
    <w:p>
      <w:pPr>
        <w:spacing w:before="0" w:after="80" w:lineRule="auto" w:line="276"/>
      </w:pPr>
      <w:r>
        <w:rPr>
          <w:b/>
        </w:rPr>
        <w:t xml:space="preserve">摘要（ZH）: </w:t>
      </w:r>
      <w:r>
        <w:t>超导圆顶是大多数非常规高温超导体相图的显着特征。超导转变温度（</w:t>
      </w:r>
      <w:r>
        <w:t xml:space="preserve"> </w:t>
      </w:r>
      <w:r>
        <w:t>时间</w:t>
      </w:r>
      <w:r>
        <w:t xml:space="preserve"> </w:t>
      </w:r>
      <w:r>
        <w:t>c</w:t>
      </w:r>
      <w:r>
        <w:t xml:space="preserve"> </w:t>
      </w:r>
      <w:r>
        <w:t>FeSe 的超导性能可以通过电子掺杂得到显着增强，但与所有其他高温和非常规超导体不同，其完整相图和超导圆顶尚未得到充分探索。在这里，我们采用分子束外延合成、碱表面掺杂、真空电传输和角分辨光电子能谱的组合来研究电子掺杂 FeSe 的整个超导圆顶，实现了在重度过掺杂状态下超导性受到抑制的全金属态。我们确定了之间的稳健扩展</w:t>
      </w:r>
      <w:r>
        <w:t xml:space="preserve"> </w:t>
      </w:r>
      <w:r>
        <w:t>时间</w:t>
      </w:r>
      <w:r>
        <w:t xml:space="preserve"> </w:t>
      </w:r>
      <w:r>
        <w:t>c</w:t>
      </w:r>
      <w:r>
        <w:t xml:space="preserve"> </w:t>
      </w:r>
      <w:r>
        <w:t>和残余电阻率 (ρ</w:t>
      </w:r>
      <w:r>
        <w:rPr>
          <w:vertAlign w:val="subscript"/>
        </w:rPr>
        <w:t>0</w:t>
      </w:r>
      <w:r>
        <w:t>）它横跨整个超导穹顶，表明</w:t>
      </w:r>
      <w:r>
        <w:t xml:space="preserve"> </w:t>
      </w:r>
      <w:r>
        <w:t>时间</w:t>
      </w:r>
      <w:r>
        <w:t xml:space="preserve"> </w:t>
      </w:r>
      <w:r>
        <w:t>c</w:t>
      </w:r>
      <w:r>
        <w:t xml:space="preserve"> </w:t>
      </w:r>
      <w:r>
        <w:t>很大程度上受到高弹性散射率演变的影响</w:t>
      </w:r>
      <w:r>
        <w:t xml:space="preserve"> </w:t>
      </w:r>
      <w:r>
        <w:t>时间</w:t>
      </w:r>
      <w:r>
        <w:t xml:space="preserve"> </w:t>
      </w:r>
      <w:r>
        <w:t>c</w:t>
      </w:r>
      <w:r>
        <w:t xml:space="preserve"> </w:t>
      </w:r>
      <w:r>
        <w:t>电子掺杂相。这反过来表明，电子掺杂 FeSe 中的超导圆顶似乎与其他以掺杂为主的非常规超导体的超导圆顶有根本不同，并且可能主要由超导对无序的敏感性驱动。</w:t>
      </w:r>
    </w:p>
    <w:p>
      <w:pPr>
        <w:spacing w:before="0" w:after="200" w:lineRule="auto" w:line="276"/>
      </w:pPr>
      <w:r>
        <w:rPr>
          <w:b/>
        </w:rPr>
        <w:t xml:space="preserve">Abstract (EN): </w:t>
      </w:r>
      <w:r>
        <w:t>Superconducting domes are conspicuous features of the phase diagrams of most unconventional and high-temperature superconductors. The superconducting transition temperature (</w:t>
      </w:r>
      <w:r>
        <w:t xml:space="preserve"> </w:t>
      </w:r>
      <w:r>
        <w:t>T</w:t>
      </w:r>
      <w:r>
        <w:t xml:space="preserve"> </w:t>
      </w:r>
      <w:r>
        <w:t>c</w:t>
      </w:r>
      <w:r>
        <w:t xml:space="preserve"> </w:t>
      </w:r>
      <w:r>
        <w:t>) of FeSe can be dramatically enhanced with electron doping, but unlike all other high-temperature and unconventional superconductors, its full phase diagram and superconducting dome has yet to be fully explored. Here, we employ a combination of molecular beam epitaxy synthesis, alkali surface doping, in-vacuum electrical transport, and angle-resolved photoemission spectroscopy to investigate the entire superconducting dome of electron-doped FeSe, achieving a fully metallic state where superconductivity is suppressed in the heavily overdoped regime. We identify a robust scaling between</w:t>
      </w:r>
      <w:r>
        <w:t xml:space="preserve"> </w:t>
      </w:r>
      <w:r>
        <w:t>T</w:t>
      </w:r>
      <w:r>
        <w:t xml:space="preserve"> </w:t>
      </w:r>
      <w:r>
        <w:t>c</w:t>
      </w:r>
      <w:r>
        <w:t xml:space="preserve"> </w:t>
      </w:r>
      <w:r>
        <w:t>and the residual resistivity (ρ</w:t>
      </w:r>
      <w:r>
        <w:rPr>
          <w:vertAlign w:val="subscript"/>
        </w:rPr>
        <w:t>0</w:t>
      </w:r>
      <w:r>
        <w:t>) which holds across the entire superconducting dome, suggesting that the evolution of</w:t>
      </w:r>
      <w:r>
        <w:t xml:space="preserve"> </w:t>
      </w:r>
      <w:r>
        <w:t>T</w:t>
      </w:r>
      <w:r>
        <w:t xml:space="preserve"> </w:t>
      </w:r>
      <w:r>
        <w:t>c</w:t>
      </w:r>
      <w:r>
        <w:t xml:space="preserve"> </w:t>
      </w:r>
      <w:r>
        <w:t>is heavily influenced by the evolution of the elastic scattering rate in the high-</w:t>
      </w:r>
      <w:r>
        <w:t>T</w:t>
      </w:r>
      <w:r>
        <w:t xml:space="preserve"> </w:t>
      </w:r>
      <w:r>
        <w:t>c</w:t>
      </w:r>
      <w:r>
        <w:t xml:space="preserve"> </w:t>
      </w:r>
      <w:r>
        <w:t>electron-doped phase. This in turn suggests that the superconducting dome in electron-doped FeSe appears to be fundamentally different than that of other unconventional superconductors where doping plays the primary role, and may instead be driven primarily by the sensitivity of the superconductivity to disorder.</w:t>
      </w:r>
    </w:p>
    <w:p>
      <w:pPr>
        <w:spacing w:before="120" w:after="120"/>
      </w:pPr>
      <w:r>
        <w:rPr>
          <w:sz w:val="18"/>
        </w:rPr>
        <w:t>——————————————————————————————————————————————————————————————————————</w:t>
      </w:r>
    </w:p>
    <w:p>
      <w:pPr>
        <w:spacing w:before="160" w:after="40" w:line="240" w:lineRule="auto"/>
      </w:pPr>
      <w:r>
        <w:rPr>
          <w:b/>
        </w:rPr>
        <w:t xml:space="preserve">[700] </w:t>
      </w:r>
      <w:hyperlink r:id="rId1933">
        <w:r>
          <w:rPr>
            <w:color w:val="1155CC"/>
            <w:u w:val="single"/>
          </w:rPr>
          <w:t>异聚 Deg-3/Des-2 烟碱乙酰胆碱受体配体识别和门控的结构基础</w:t>
        </w:r>
      </w:hyperlink>
    </w:p>
    <w:p>
      <w:pPr>
        <w:spacing w:before="0" w:after="80"/>
      </w:pPr>
      <w:r>
        <w:rPr>
          <w:i/>
          <w:sz w:val="20"/>
        </w:rPr>
        <w:t>EN: Structural basis of ligand recognition and gating in a heteromeric Deg-3/Des-2 nicotinic acetylcholine receptor</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34">
        <w:r>
          <w:rPr>
            <w:color w:val="1155CC"/>
            <w:u w:val="single"/>
          </w:rPr>
          <w:t>10.1073/pnas.2608998123</w:t>
        </w:r>
      </w:hyperlink>
    </w:p>
    <w:p>
      <w:pPr>
        <w:spacing w:before="0" w:after="120"/>
      </w:pPr>
      <w:r>
        <w:rPr>
          <w:b/>
        </w:rPr>
        <w:t xml:space="preserve">Notes: </w:t>
      </w:r>
      <w:r>
        <w:t>abstract_source=crossref</w:t>
      </w:r>
    </w:p>
    <w:p>
      <w:pPr>
        <w:spacing w:before="0" w:after="80" w:lineRule="auto" w:line="276"/>
      </w:pPr>
      <w:r>
        <w:rPr>
          <w:b/>
        </w:rPr>
        <w:t xml:space="preserve">摘要（ZH）: </w:t>
      </w:r>
      <w:r>
        <w:t>在进化过程中，烟碱乙酰胆碱受体（nAChR）在亚基组成和配体选择性方面发生了多样化，使得保守的离子通道支架能够支持经典突触传递之外的广泛信号传导功能。 Deg-3/Des-2 是感觉神经元中一种线虫特异性、钙渗透性异聚 α 型烟碱受体，可介导化学感觉、伤害感受和机械传导，是一个有前途的驱虫靶点。在这里，我们报告了 Deg-3/Des-2 在其 apo、激动剂结合中间体和激动剂结合开放状态下的冷冻电子显微镜结构。 Deg-3/Des-2 采用 2Deg-3:3Des-2 化学计量。五个激动剂分子占据亚基间正位点，主要通过上部 M2 螺旋的旋转重排驱动通道开放，从而解除保守的疏水门并实现钙渗透。我们进一步确定了调节脱敏的 Deg-3 特异性 N 末端螺旋和控制钙渗透性的带负电荷的细胞外前庭螺旋。这些结构共同揭示了保守烟碱受体框架内配体识别、离子选择性和门控的进化调节。</w:t>
      </w:r>
    </w:p>
    <w:p>
      <w:pPr>
        <w:spacing w:before="0" w:after="200" w:lineRule="auto" w:line="276"/>
      </w:pPr>
      <w:r>
        <w:rPr>
          <w:b/>
        </w:rPr>
        <w:t xml:space="preserve">Abstract (EN): </w:t>
      </w:r>
      <w:r>
        <w:t>During evolution, nicotinic acetylcholine receptors (nAChRs) have diversified in subunit composition and ligand selectivity, enabling a conserved ion channel scaffold to support a broad range of signaling functions beyond classical synaptic transmission. Deg-3/Des-2 is a nematode-specific, calcium-permeable heteromeric α-type nicotinic receptor in sensory neurons to mediate chemosensation, nociception, and mechanotransduction, and represents a promising anthelmintic target. Here, we report cryo–electron microscopy structures of Deg-3/Des-2 in its apo, agonist-bound intermediate and agonist-bound open states. Deg-3/Des-2 adopts a 2Deg-3:3Des-2 stoichiometry. Five agonist molecules occupy intersubunit orthosteric sites, driving channel opening primarily through rotational rearrangements of the upper M2 helices that relieve a conserved hydrophobic gate and enable calcium permeation. We further identify a Deg-3–specific N-terminal helix that regulates desensitization and a negatively charged extracellular vestibular helix that governs calcium permeability. Together, these structures reveal how evolutionary tuning of ligand recognition, ion selectivity, and gating within a conserved nicotinic receptor framework.</w:t>
      </w:r>
    </w:p>
    <w:p>
      <w:pPr>
        <w:spacing w:before="120" w:after="120"/>
      </w:pPr>
      <w:r>
        <w:rPr>
          <w:sz w:val="18"/>
        </w:rPr>
        <w:t>——————————————————————————————————————————————————————————————————————</w:t>
      </w:r>
    </w:p>
    <w:p>
      <w:pPr>
        <w:spacing w:before="160" w:after="40" w:line="240" w:lineRule="auto"/>
      </w:pPr>
      <w:r>
        <w:rPr>
          <w:b/>
        </w:rPr>
        <w:t xml:space="preserve">[701] </w:t>
      </w:r>
      <w:hyperlink r:id="rId1935">
        <w:r>
          <w:rPr>
            <w:color w:val="1155CC"/>
            <w:u w:val="single"/>
          </w:rPr>
          <w:t>TaLYK5–TaDSK2a 模块在真菌攻击期间充当植物生长和免疫之间的分子开关</w:t>
        </w:r>
      </w:hyperlink>
    </w:p>
    <w:p>
      <w:pPr>
        <w:spacing w:before="0" w:after="80"/>
      </w:pPr>
      <w:r>
        <w:rPr>
          <w:i/>
          <w:sz w:val="20"/>
        </w:rPr>
        <w:t>EN: The TaLYK5–TaDSK2a module serves as a molecular switch between plant growth and immunity during fungal attack</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36">
        <w:r>
          <w:rPr>
            <w:color w:val="1155CC"/>
            <w:u w:val="single"/>
          </w:rPr>
          <w:t>10.1073/pnas.2612340123</w:t>
        </w:r>
      </w:hyperlink>
    </w:p>
    <w:p>
      <w:pPr>
        <w:spacing w:before="0" w:after="120"/>
      </w:pPr>
      <w:r>
        <w:rPr>
          <w:b/>
        </w:rPr>
        <w:t xml:space="preserve">Notes: </w:t>
      </w:r>
      <w:r>
        <w:t>abstract_source=crossref</w:t>
      </w:r>
    </w:p>
    <w:p>
      <w:pPr>
        <w:spacing w:before="0" w:after="80" w:lineRule="auto" w:line="276"/>
      </w:pPr>
      <w:r>
        <w:rPr>
          <w:b/>
        </w:rPr>
        <w:t xml:space="preserve">摘要（ZH）: </w:t>
      </w:r>
      <w:r>
        <w:t>植物不断受到威胁生长和生存的病原微生物的挑战。虽然参与这些免疫反应的各个信号通路已得到很好的表征，但植物如何平衡生长与快速病原体感知和免疫信号转导仍然很大程度上不清楚。在这里，我们报道了小麦的类受体激酶TaLYK5受体（</w:t>
      </w:r>
      <w:r>
        <w:t xml:space="preserve"> </w:t>
      </w:r>
      <w:r>
        <w:t>小麦</w:t>
      </w:r>
      <w:r>
        <w:t xml:space="preserve"> </w:t>
      </w:r>
      <w:r>
        <w:t>) 识别真菌病原体上的几丁质</w:t>
      </w:r>
      <w:r>
        <w:t xml:space="preserve"> </w:t>
      </w:r>
      <w:r>
        <w:t>条锈菌</w:t>
      </w:r>
      <w:r>
        <w:t xml:space="preserve"> </w:t>
      </w:r>
      <w:r>
        <w:t>f. sp。</w:t>
      </w:r>
      <w:r>
        <w:t xml:space="preserve"> </w:t>
      </w:r>
      <w:r>
        <w:t>小麦</w:t>
      </w:r>
      <w:r>
        <w:t xml:space="preserve"> </w:t>
      </w:r>
      <w:r>
        <w:t>（</w:t>
      </w:r>
      <w:r>
        <w:t xml:space="preserve"> </w:t>
      </w:r>
      <w:r>
        <w:t>太平洋时间</w:t>
      </w:r>
      <w:r>
        <w:t xml:space="preserve"> </w:t>
      </w:r>
      <w:r>
        <w:t>）并引发一系列事件，增加免疫反应，同时减少生长。 TaLYK5 通过磷酸化含有锚蛋白重复序列​​的蛋白 TaAKR2A 来充当防御的正调节因子，该蛋白支持活性氧 (ROS) 的产生和防御反应。与此同时，激活的 TaLYK5 通过磷酸化泛素结合蛋白 TaDSK2a 中的丝氨酸残基 S234 来负向调节生长反应，阻止其降解 TaLYK5 的能力。无感染者</w:t>
      </w:r>
      <w:r>
        <w:t xml:space="preserve"> </w:t>
      </w:r>
      <w:r>
        <w:t>太平洋时间</w:t>
      </w:r>
      <w:r>
        <w:t xml:space="preserve"> </w:t>
      </w:r>
      <w:r>
        <w:t>，TaAKR2A 不会启动 ROS 信号传导和免疫反应，TaDSK2a 与 TaLYK5 上的多聚泛素链结合，介导其降解，抑制 TaLYK5 介导的植物防御。同时，TaDSK2a 可能通过加速 TaEUI（一种 GA 失活酶）的降解来调节赤霉素 (GA) 积累以促进植物生长。这些发现表明 TaLYK5-TaDSK2a 模块功能</w:t>
      </w:r>
    </w:p>
    <w:p>
      <w:pPr>
        <w:spacing w:before="0" w:after="200" w:lineRule="auto" w:line="276"/>
      </w:pPr>
      <w:r>
        <w:rPr>
          <w:b/>
        </w:rPr>
        <w:t xml:space="preserve">Abstract (EN): </w:t>
      </w:r>
      <w:r>
        <w:t>Plants are constantly challenged by pathogenic microorganisms that threaten growth and survival. While the individual signaling pathways involved in these immune responses have been well characterized, how plants balance growth with rapid pathogen perception and immune signal transduction remains largely unclear. Here, we report that the receptor-like kinase TaLYK5 receptor of wheat (</w:t>
      </w:r>
      <w:r>
        <w:t xml:space="preserve"> </w:t>
      </w:r>
      <w:r>
        <w:t>Triticum aestivum</w:t>
      </w:r>
      <w:r>
        <w:t xml:space="preserve"> </w:t>
      </w:r>
      <w:r>
        <w:t>) recognizes chitin on the fungal pathogen</w:t>
      </w:r>
      <w:r>
        <w:t xml:space="preserve"> </w:t>
      </w:r>
      <w:r>
        <w:t>Puccinia striiformis</w:t>
      </w:r>
      <w:r>
        <w:t xml:space="preserve"> </w:t>
      </w:r>
      <w:r>
        <w:t>f. sp.</w:t>
      </w:r>
      <w:r>
        <w:t xml:space="preserve"> </w:t>
      </w:r>
      <w:r>
        <w:t>tritici</w:t>
      </w:r>
      <w:r>
        <w:t xml:space="preserve"> </w:t>
      </w:r>
      <w:r>
        <w:t>(</w:t>
      </w:r>
      <w:r>
        <w:t xml:space="preserve"> </w:t>
      </w:r>
      <w:r>
        <w:t>Pst</w:t>
      </w:r>
      <w:r>
        <w:t xml:space="preserve"> </w:t>
      </w:r>
      <w:r>
        <w:t>) and initiates a cascade of events that increase immune response while reducing growth. TaLYK5 acts as a positive regulator of defense by phosphorylating the ankyrin-repeat–containing protein TaAKR2A, which supports reactive oxygen species (ROS) production and defense responses. In parallel, activated TaLYK5 negatively regulates growth responses by phosphorylating serine residue S234 in the ubiquitin-binding protein TaDSK2a, blocking its ability to degrade TaLYK5. Without infection by</w:t>
      </w:r>
      <w:r>
        <w:t xml:space="preserve"> </w:t>
      </w:r>
      <w:r>
        <w:t>Pst</w:t>
      </w:r>
      <w:r>
        <w:t xml:space="preserve"> </w:t>
      </w:r>
      <w:r>
        <w:t>, TaAKR2A does not initiate ROS signaling and immune responses and TaDSK2a associates with polyubiquitin chains on TaLYK5 to mediate its degradation, suppress TaLYK5-mediated plant defense. Meanwhile, TaDSK2a regulates gibberellin (GA) accumulation to promote plant growth, possibly by accelerating the degradation of TaEUI, a GA-deactivating enzyme. These findings demonstrate that the TaLYK5–TaDSK2a module functions as a molecular switch that dynamically regulates the trade-off between plant immunity and growth.</w:t>
      </w:r>
    </w:p>
    <w:p>
      <w:pPr>
        <w:spacing w:before="120" w:after="120"/>
      </w:pPr>
      <w:r>
        <w:rPr>
          <w:sz w:val="18"/>
        </w:rPr>
        <w:t>——————————————————————————————————————————————————————————————————————</w:t>
      </w:r>
    </w:p>
    <w:p>
      <w:pPr>
        <w:spacing w:before="160" w:after="40" w:line="240" w:lineRule="auto"/>
      </w:pPr>
      <w:r>
        <w:rPr>
          <w:b/>
        </w:rPr>
        <w:t xml:space="preserve">[702] </w:t>
      </w:r>
      <w:hyperlink r:id="rId1937">
        <w:r>
          <w:rPr>
            <w:color w:val="1155CC"/>
            <w:u w:val="single"/>
          </w:rPr>
          <w:t>伯胺功能化的径向两亲性多肽靶向聚阴离子基质中的细菌磷脂，用于生物膜治疗</w:t>
        </w:r>
      </w:hyperlink>
    </w:p>
    <w:p>
      <w:pPr>
        <w:spacing w:before="0" w:after="80"/>
      </w:pPr>
      <w:r>
        <w:rPr>
          <w:i/>
          <w:sz w:val="20"/>
        </w:rPr>
        <w:t>EN: Primary amine–functionalized radially amphiphilic polypeptides target bacterial phospholipids in polyanionic matrices for biofilm therapy</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38">
        <w:r>
          <w:rPr>
            <w:color w:val="1155CC"/>
            <w:u w:val="single"/>
          </w:rPr>
          <w:t>10.1073/pnas.2616934123</w:t>
        </w:r>
      </w:hyperlink>
    </w:p>
    <w:p>
      <w:pPr>
        <w:spacing w:before="0" w:after="120"/>
      </w:pPr>
      <w:r>
        <w:rPr>
          <w:b/>
        </w:rPr>
        <w:t xml:space="preserve">Notes: </w:t>
      </w:r>
      <w:r>
        <w:t>abstract_source=crossref</w:t>
      </w:r>
    </w:p>
    <w:p>
      <w:pPr>
        <w:spacing w:before="0" w:after="80" w:lineRule="auto" w:line="276"/>
      </w:pPr>
      <w:r>
        <w:rPr>
          <w:b/>
        </w:rPr>
        <w:t xml:space="preserve">摘要（ZH）: </w:t>
      </w:r>
      <w:r>
        <w:t>细菌生物膜感染是抗生素耐药性的一个关键因素，构成了严峻的全球健康挑战。尽管抗菌肽是有希望的候选者，但它们的阳离子两亲结构常常导致聚阴离子生物膜基质组分的非特异性螯合。在这里，我们报道了一类伯胺功能化的径向两亲性抗菌多肽（paRAP），它通过选择性地靶向聚阴离子生物膜基质中的细菌磷脂酰甘油（PG）来实现有效的抗生物膜活性。模拟研究支持 pRAP 中 PG 响应性结构重排的机制。与季胺类似物的紧凑形式相比，paRAP 采用扩展构象，具有面向外的阳离子胺末端，可屏蔽疏水核心，从而减少非特异性蛋白质结合。遇到细菌膜时，强烈的 PG 识别会触发侧链重排，将阳离子基团重新定向到膜表面，并暴露疏水基序以进行双层插入和破坏。支持性的是，延长暴露的末端疏水基团增加了与蛋白质和哺乳动物脂质的相互作用，降低了PG选择性，并损害了抗生物膜功效，强调了隐藏的疏水域对于生物膜细菌靶向的重要性。在体外以及牙周炎和尿路感染的小鼠模型中，paRAP 显示出强大的抗生物膜功效。我们的研究提供了一种用于设计基质抗性抗生物膜多肽的 PG 靶向策略。</w:t>
      </w:r>
    </w:p>
    <w:p>
      <w:pPr>
        <w:spacing w:before="0" w:after="200" w:lineRule="auto" w:line="276"/>
      </w:pPr>
      <w:r>
        <w:rPr>
          <w:b/>
        </w:rPr>
        <w:t xml:space="preserve">Abstract (EN): </w:t>
      </w:r>
      <w:r>
        <w:t>Bacterial biofilm infections, a key contributor to antibiotic resistance, pose a critical global health challenge. Although antimicrobial peptides are promising candidates, their cationic amphipathic structures often lead to nonspecific sequestration by polyanionic biofilm matrix components. Here, we report a class of primary amine–functionalized radially amphiphilic antimicrobial polypeptides (paRAPs) that achieve potent antibiofilm activity by selectively targeting bacterial phosphatidylglycerol (PG) in polyanionic biofilm matrices. Simulation studies support a mechanism of PG-responsive structural rearrangement in paRAPs. In contrast to the compact form of quaternary amine analogs, paRAPs adopt an extended conformation, with outward-facing cationic amine termini that shield the hydrophobic core and thereby reduce nonspecific protein binding. Upon encountering bacterial membranes, strong PG recognition triggers a side-chain rearrangement, reorienting the cationic groups toward the membrane surface and exposing hydrophobic motifs for progressive bilayer insertion and disruption. Supportingly, lengthening the exposed terminal hydrophobic group increased interactions with proteins and mammalian lipids, reduced PG selectivity, and compromised antibiofilm efficacy, underscoring the importance of hidden hydrophobic domains for biofilm bacteria targeting. paRAP showed potent antibiofilm efficacy in vitro and in murine models of both periodontitis and urinary tract infections. Our study provides a PG-targeting strategy for designing matrix-resistant antibiofilm polypeptides.</w:t>
      </w:r>
    </w:p>
    <w:p>
      <w:pPr>
        <w:spacing w:before="120" w:after="120"/>
      </w:pPr>
      <w:r>
        <w:rPr>
          <w:sz w:val="18"/>
        </w:rPr>
        <w:t>——————————————————————————————————————————————————————————————————————</w:t>
      </w:r>
    </w:p>
    <w:p>
      <w:pPr>
        <w:spacing w:before="160" w:after="40" w:line="240" w:lineRule="auto"/>
      </w:pPr>
      <w:r>
        <w:rPr>
          <w:b/>
        </w:rPr>
        <w:t xml:space="preserve">[703] </w:t>
      </w:r>
      <w:hyperlink r:id="rId1939">
        <w:r>
          <w:rPr>
            <w:color w:val="1155CC"/>
            <w:u w:val="single"/>
          </w:rPr>
          <w:t>同源体的监管差异是驯化棉花纤维改良网络优化的基础</w:t>
        </w:r>
      </w:hyperlink>
    </w:p>
    <w:p>
      <w:pPr>
        <w:spacing w:before="0" w:after="80"/>
      </w:pPr>
      <w:r>
        <w:rPr>
          <w:i/>
          <w:sz w:val="20"/>
        </w:rPr>
        <w:t>EN: Regulatory divergence of homoeologs underlies network optimization for fiber improvement in domesticated cotton</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40">
        <w:r>
          <w:rPr>
            <w:color w:val="1155CC"/>
            <w:u w:val="single"/>
          </w:rPr>
          <w:t>10.1073/pnas.2523784123</w:t>
        </w:r>
      </w:hyperlink>
    </w:p>
    <w:p>
      <w:pPr>
        <w:spacing w:before="0" w:after="120"/>
      </w:pPr>
      <w:r>
        <w:rPr>
          <w:b/>
        </w:rPr>
        <w:t xml:space="preserve">Notes: </w:t>
      </w:r>
      <w:r>
        <w:t>abstract_source=crossref</w:t>
      </w:r>
    </w:p>
    <w:p>
      <w:pPr>
        <w:spacing w:before="0" w:after="80" w:lineRule="auto" w:line="276"/>
      </w:pPr>
      <w:r>
        <w:rPr>
          <w:b/>
        </w:rPr>
        <w:t xml:space="preserve">摘要（ZH）: </w:t>
      </w:r>
      <w:r>
        <w:t>多倍体在植物进化和许多世界上最重要的作物中很突出，但驯化如何重塑重复基因（同源基因）的调控以产生优异的农艺性状仍不完全清楚。在这里，我们整合了 161 个半野生和 376 个栽培异源四倍体棉花品种的群体基因组学、阶段解析转录组学、表达数量性状基因座 (eQTL) 作图和共表达网络分析。</w:t>
      </w:r>
      <w:r>
        <w:t xml:space="preserve"> </w:t>
      </w:r>
      <w:r>
        <w:t>陆地棉</w:t>
      </w:r>
      <w:r>
        <w:t xml:space="preserve"> </w:t>
      </w:r>
      <w:r>
        <w:t>）剖析驯化的监管后果。我们表明，驯化增加了同源表达偏差（HEB）的频率和幅度，有偏差的对优先组织成与性状相关的、功能专门化的共表达网络模块。 Bias-eQTL 映射识别 HEB 相关</w:t>
      </w:r>
      <w:r>
        <w:t xml:space="preserve"> </w:t>
      </w:r>
      <w:r>
        <w:t>顺式</w:t>
      </w:r>
      <w:r>
        <w:t xml:space="preserve"> </w:t>
      </w:r>
      <w:r>
        <w:t>-在开放染色质区域中富集的调控变异。贝叶斯共定位分析进一步揭示了 92 个偏差 eQTL 与纤维质量相关的基因位点共定位，其中有利的等位基因在驯化过程中表现出显着的频率增加。总的来说，这项工作提供了一个将选择驱动的调控不对称与多倍体共表达网络优化联系起来的机制框架，并强调表达偏差是作物精准育种的一个有希望的目标。</w:t>
      </w:r>
    </w:p>
    <w:p>
      <w:pPr>
        <w:spacing w:before="0" w:after="200" w:lineRule="auto" w:line="276"/>
      </w:pPr>
      <w:r>
        <w:rPr>
          <w:b/>
        </w:rPr>
        <w:t xml:space="preserve">Abstract (EN): </w:t>
      </w:r>
      <w:r>
        <w:t>Polyploidy is prominent in plant evolution and in many of the world’s most important crops, yet how domestication reshapes the regulation of duplicated genes (homoeologs) to generate superior agronomic traits remains incompletely understood. Here, we integrate population genomics, stage-resolved transcriptomics, expression quantitative trait locus (eQTL) mapping, and coexpression network analysis across 161 semiwild and 376 cultivated accessions of allotetraploid cotton (</w:t>
      </w:r>
      <w:r>
        <w:t xml:space="preserve"> </w:t>
      </w:r>
      <w:r>
        <w:t>Gossypium hirsutum</w:t>
      </w:r>
      <w:r>
        <w:t xml:space="preserve"> </w:t>
      </w:r>
      <w:r>
        <w:t>) to dissect the regulatory consequences of domestication. We show that domestication increases both the frequency and magnitude of homoeologous expression bias (HEB), with biased pairs preferentially organized into trait-associated, functionally specialized coexpression network modules. Bias-eQTL mapping identifies HEB-associated</w:t>
      </w:r>
      <w:r>
        <w:t xml:space="preserve"> </w:t>
      </w:r>
      <w:r>
        <w:t>cis</w:t>
      </w:r>
      <w:r>
        <w:t xml:space="preserve"> </w:t>
      </w:r>
      <w:r>
        <w:t>-regulatory variants that are enriched in open chromatin regions. Bayesian colocalization analysis further reveals that 92 bias-eQTLs colocalize with fiber quality-related genetic loci, where favorable alleles exhibit substantial frequency increases during domestication. Collectively, this work provides a mechanistic framework linking selection-driven regulatory asymmetry to coexpression network optimization in polyploids and highlights expression bias as a promising target for precision breeding in crops.</w:t>
      </w:r>
    </w:p>
    <w:p>
      <w:pPr>
        <w:spacing w:before="120" w:after="120"/>
      </w:pPr>
      <w:r>
        <w:rPr>
          <w:sz w:val="18"/>
        </w:rPr>
        <w:t>——————————————————————————————————————————————————————————————————————</w:t>
      </w:r>
    </w:p>
    <w:p>
      <w:pPr>
        <w:spacing w:before="160" w:after="40" w:line="240" w:lineRule="auto"/>
      </w:pPr>
      <w:r>
        <w:rPr>
          <w:b/>
        </w:rPr>
        <w:t xml:space="preserve">[704] </w:t>
      </w:r>
      <w:hyperlink r:id="rId1941">
        <w:r>
          <w:rPr>
            <w:color w:val="1155CC"/>
            <w:u w:val="single"/>
          </w:rPr>
          <w:t>受视觉补偿蝎子机械感受器启发的超灵敏神经形态气流传感器，用于呼吸模式分析</w:t>
        </w:r>
      </w:hyperlink>
    </w:p>
    <w:p>
      <w:pPr>
        <w:spacing w:before="0" w:after="80"/>
      </w:pPr>
      <w:r>
        <w:rPr>
          <w:i/>
          <w:sz w:val="20"/>
        </w:rPr>
        <w:t>EN: A hypersensitive neuromorphic airflow sensor inspired by vision-compensatory scorpion mechanoreceptors for respiratory pattern analysis</w:t>
      </w:r>
    </w:p>
    <w:p>
      <w:pPr>
        <w:spacing w:before="0" w:after="120"/>
      </w:pPr>
      <w:r>
        <w:rPr>
          <w:b/>
        </w:rPr>
        <w:t xml:space="preserve">Source: </w:t>
      </w:r>
      <w:r>
        <w:t>Proceedings of the National Academy of Sciences: Keyword search for query</w:t>
      </w:r>
      <w:r>
        <w:t xml:space="preserve">    </w:t>
      </w:r>
      <w:r>
        <w:rPr>
          <w:b/>
        </w:rPr>
        <w:t xml:space="preserve">Pub date: </w:t>
      </w:r>
      <w:r>
        <w:t>2026-08-20 07:00:00+00:00</w:t>
      </w:r>
      <w:r>
        <w:t xml:space="preserve">    </w:t>
      </w:r>
      <w:r>
        <w:rPr>
          <w:b/>
        </w:rPr>
        <w:t xml:space="preserve">DOI: </w:t>
      </w:r>
      <w:hyperlink r:id="rId1942">
        <w:r>
          <w:rPr>
            <w:color w:val="1155CC"/>
            <w:u w:val="single"/>
          </w:rPr>
          <w:t>10.1073/pnas.2617376123</w:t>
        </w:r>
      </w:hyperlink>
    </w:p>
    <w:p>
      <w:pPr>
        <w:spacing w:before="0" w:after="120"/>
      </w:pPr>
      <w:r>
        <w:rPr>
          <w:b/>
        </w:rPr>
        <w:t xml:space="preserve">Notes: </w:t>
      </w:r>
      <w:r>
        <w:t>abstract_source=crossref</w:t>
      </w:r>
    </w:p>
    <w:p>
      <w:pPr>
        <w:spacing w:before="0" w:after="80" w:lineRule="auto" w:line="276"/>
      </w:pPr>
      <w:r>
        <w:rPr>
          <w:b/>
        </w:rPr>
        <w:t xml:space="preserve">摘要（ZH）: </w:t>
      </w:r>
      <w:r>
        <w:t>有效获取空间气流信息对于生物体在复杂环境中定位和检测捕食者至关重要。对于视力下降的蝎子来说，专门的机械感觉毛毛虫提供了至关重要的视觉补偿机制，使它们能够对细微的气流波动产生高度敏感的感知。受这种进化适应的启发，我们提出了一种仿生神经形态气流传感器（BNAS），它将仿生杠杆放大结构与压力诱导离子富集机制相结合。这种协同设计继承了蝎子的超敏风感和神经反应特征。 BNAS 表现出 18.22% (m/s) 的卓越灵敏度</w:t>
      </w:r>
      <w:r>
        <w:t xml:space="preserve"> </w:t>
      </w:r>
      <w:r>
        <w:t>−1</w:t>
      </w:r>
      <w:r>
        <w:t xml:space="preserve"> </w:t>
      </w:r>
      <w:r>
        <w:t>低速运行，并在宽动态范围（0.1 至 10.27 m/s）内保持高性能，以及全向检测能力。该神经拟态硬件与AlexNet深度学习算法的集成可以有效提取人体呼吸模式，识别个体“呼吸指纹”的准确率达到95.56%。我们的工作强调了仿生神经形态系统在弥合生物感知和人工传感之间差距的潜力，建立了神经形态前端设计范式，推动下一代类脑计算。</w:t>
      </w:r>
    </w:p>
    <w:p>
      <w:pPr>
        <w:spacing w:before="0" w:after="200" w:lineRule="auto" w:line="276"/>
      </w:pPr>
      <w:r>
        <w:rPr>
          <w:b/>
        </w:rPr>
        <w:t xml:space="preserve">Abstract (EN): </w:t>
      </w:r>
      <w:r>
        <w:t>Efficient acquisition of spatial airflow information is vital for organisms to orient within complex environments and detect predators. For scorpions with degraded vision, specialized mechanosensory trichobothria provide a crucial vision-compensatory mechanism, enabling hypersensitive perception of subtle airflow fluctuations. Inspired by this evolutionary adaptation, we present a biomimetic neuromorphic airflow sensor (BNAS) integrating a bioinspired lever-amplification structure with a pressure-induced ionic enrichment mechanism. This synergistic design inherits the hypersensitive anemosensation and neural response features of scorpion. The BNAS demonstrates a superior sensitivity of 18.22% (m/s)</w:t>
      </w:r>
      <w:r>
        <w:t xml:space="preserve"> </w:t>
      </w:r>
      <w:r>
        <w:t>−1</w:t>
      </w:r>
      <w:r>
        <w:t xml:space="preserve"> </w:t>
      </w:r>
      <w:r>
        <w:t>at low velocities and maintains high performance across a broad dynamic range (0.1 to 10.27 m/s), along with omnidirectional detection capability. The integration of this neuromorphic hardware with AlexNet deep-learning algorithm enables the efficient extraction of human respiratory patterns, achieving 95.56% accuracy in identifying individual “breathing fingerprints.” Our work underscores the potential of bioinspired neuromorphic systems to bridge the gap between biological perception and artificial sensing, establishing a neuromorphic front-end design paradigm that advances next-generation brain-inspired computing.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s.acs.org/jacsat/article/doi/10.1021/jacs.6c09940/5255828/An-Energy-Gradient-Strategy-for-Triplet-Pair" TargetMode="External"/><Relationship Id="rId10" Type="http://schemas.openxmlformats.org/officeDocument/2006/relationships/hyperlink" Target="https://doi.org/10.1021/jacs.6c09940" TargetMode="External"/><Relationship Id="rId11" Type="http://schemas.openxmlformats.org/officeDocument/2006/relationships/hyperlink" Target="https://www.sciencedirect.com/science/article/pii/S0306261926013073?dgcid=rss_sd_all" TargetMode="External"/><Relationship Id="rId12" Type="http://schemas.openxmlformats.org/officeDocument/2006/relationships/hyperlink" Target="https://doi.org/10.1016/j.apenergy.2026.128651" TargetMode="External"/><Relationship Id="rId13" Type="http://schemas.openxmlformats.org/officeDocument/2006/relationships/hyperlink" Target="https://www.sciencedirect.com/science/article/pii/S0306261926012389?dgcid=rss_sd_all" TargetMode="External"/><Relationship Id="rId14" Type="http://schemas.openxmlformats.org/officeDocument/2006/relationships/hyperlink" Target="https://doi.org/10.1016/j.apenergy.2026.128582" TargetMode="External"/><Relationship Id="rId15" Type="http://schemas.openxmlformats.org/officeDocument/2006/relationships/hyperlink" Target="https://pubs.acs.org/jacsat/article/doi/10.1021/jacs.6c12708/5255407/Organic-Metal-Halogenide-Netted-Colloidal-Quantum" TargetMode="External"/><Relationship Id="rId16" Type="http://schemas.openxmlformats.org/officeDocument/2006/relationships/hyperlink" Target="https://doi.org/10.1021/jacs.6c12708" TargetMode="External"/><Relationship Id="rId17" Type="http://schemas.openxmlformats.org/officeDocument/2006/relationships/hyperlink" Target="https://pubs.acs.org/aelccp/article/doi/10.1021/acsenergylett.6c01191/5255068/Architecting-Percolating-Ionic-Networks-in-Spiro" TargetMode="External"/><Relationship Id="rId18" Type="http://schemas.openxmlformats.org/officeDocument/2006/relationships/hyperlink" Target="https://doi.org/10.1021/acsenergylett.6c01191" TargetMode="External"/><Relationship Id="rId19" Type="http://schemas.openxmlformats.org/officeDocument/2006/relationships/hyperlink" Target="https://www.nature.com/articles/s41560-026-02137-z" TargetMode="External"/><Relationship Id="rId20" Type="http://schemas.openxmlformats.org/officeDocument/2006/relationships/hyperlink" Target="https://doi.org/10.1038/s41560-026-02137-z" TargetMode="External"/><Relationship Id="rId21" Type="http://schemas.openxmlformats.org/officeDocument/2006/relationships/hyperlink" Target="https://www.nature.com/articles/s41565-026-02251-9" TargetMode="External"/><Relationship Id="rId22" Type="http://schemas.openxmlformats.org/officeDocument/2006/relationships/hyperlink" Target="https://doi.org/10.1038/s41565-026-02251-9" TargetMode="External"/><Relationship Id="rId23" Type="http://schemas.openxmlformats.org/officeDocument/2006/relationships/hyperlink" Target="https://www.cell.com/joule/fulltext/S2542-4351(26)00321-1?rss=yes" TargetMode="External"/><Relationship Id="rId24" Type="http://schemas.openxmlformats.org/officeDocument/2006/relationships/hyperlink" Target="https://doi.org/10.1016/j.joule.2026.102637" TargetMode="External"/><Relationship Id="rId25" Type="http://schemas.openxmlformats.org/officeDocument/2006/relationships/hyperlink" Target="https://advanced.onlinelibrary.wiley.com/doi/10.1002/adma.74675?af=R" TargetMode="External"/><Relationship Id="rId26" Type="http://schemas.openxmlformats.org/officeDocument/2006/relationships/hyperlink" Target="https://doi.org/10.1002/adma.74675" TargetMode="External"/><Relationship Id="rId27" Type="http://schemas.openxmlformats.org/officeDocument/2006/relationships/hyperlink" Target="https://advanced.onlinelibrary.wiley.com/doi/10.1002/adma.74668?af=R" TargetMode="External"/><Relationship Id="rId28" Type="http://schemas.openxmlformats.org/officeDocument/2006/relationships/hyperlink" Target="https://doi.org/10.1002/adma.74668" TargetMode="External"/><Relationship Id="rId29" Type="http://schemas.openxmlformats.org/officeDocument/2006/relationships/hyperlink" Target="https://www.science.org/doi/abs/10.1126/sciadv.aec3096?af=R" TargetMode="External"/><Relationship Id="rId30" Type="http://schemas.openxmlformats.org/officeDocument/2006/relationships/hyperlink" Target="https://doi.org/10.1126/sciadv.aec3096" TargetMode="External"/><Relationship Id="rId31" Type="http://schemas.openxmlformats.org/officeDocument/2006/relationships/hyperlink" Target="https://onlinelibrary.wiley.com/doi/10.1002/anie.5667084?af=R" TargetMode="External"/><Relationship Id="rId32" Type="http://schemas.openxmlformats.org/officeDocument/2006/relationships/hyperlink" Target="https://doi.org/10.1002/anie.5667084" TargetMode="External"/><Relationship Id="rId33" Type="http://schemas.openxmlformats.org/officeDocument/2006/relationships/hyperlink" Target="https://www.nature.com/articles/s41467-026-76579-0" TargetMode="External"/><Relationship Id="rId34" Type="http://schemas.openxmlformats.org/officeDocument/2006/relationships/hyperlink" Target="https://www.nature.com/articles/s41467-026-76532-1" TargetMode="External"/><Relationship Id="rId35" Type="http://schemas.openxmlformats.org/officeDocument/2006/relationships/hyperlink" Target="https://www.nature.com/articles/s41467-026-76804-w" TargetMode="External"/><Relationship Id="rId36" Type="http://schemas.openxmlformats.org/officeDocument/2006/relationships/hyperlink" Target="https://advanced.onlinelibrary.wiley.com/doi/10.1002/aenm.71457?af=R" TargetMode="External"/><Relationship Id="rId37" Type="http://schemas.openxmlformats.org/officeDocument/2006/relationships/hyperlink" Target="https://doi.org/10.1002/aenm.71457" TargetMode="External"/><Relationship Id="rId38" Type="http://schemas.openxmlformats.org/officeDocument/2006/relationships/hyperlink" Target="https://pubs.acs.org/aelccp/article/doi/10.1021/acsenergylett.6c00547/5264153/The-Physics-of-Ultra-Long-Cooling-Times-in-Metal" TargetMode="External"/><Relationship Id="rId39" Type="http://schemas.openxmlformats.org/officeDocument/2006/relationships/hyperlink" Target="https://doi.org/10.1021/acsenergylett.6c00547" TargetMode="External"/><Relationship Id="rId40" Type="http://schemas.openxmlformats.org/officeDocument/2006/relationships/hyperlink" Target="https://www.nature.com/articles/s41586-026-11010-8" TargetMode="External"/><Relationship Id="rId41" Type="http://schemas.openxmlformats.org/officeDocument/2006/relationships/hyperlink" Target="https://doi.org/10.1038/s41586-026-11010-8" TargetMode="External"/><Relationship Id="rId42" Type="http://schemas.openxmlformats.org/officeDocument/2006/relationships/hyperlink" Target="https://www.nature.com/articles/s41560-026-02124-4" TargetMode="External"/><Relationship Id="rId43" Type="http://schemas.openxmlformats.org/officeDocument/2006/relationships/hyperlink" Target="https://doi.org/10.1038/s41560-026-02124-4" TargetMode="External"/><Relationship Id="rId44" Type="http://schemas.openxmlformats.org/officeDocument/2006/relationships/hyperlink" Target="https://pubs.acs.org/aamick/article/doi/10.1021/acsami.6c07537/5259429/Stabilization-of-All-Slot-Die-Coated-Perovskite" TargetMode="External"/><Relationship Id="rId45" Type="http://schemas.openxmlformats.org/officeDocument/2006/relationships/hyperlink" Target="https://doi.org/10.1021/acsami.6c07537" TargetMode="External"/><Relationship Id="rId46" Type="http://schemas.openxmlformats.org/officeDocument/2006/relationships/hyperlink" Target="https://pubs.acs.org/aamick/article/doi/10.1021/acsami.6c16004/5259460/Correction-to-Direct-Deposition-of-C60-Free-SnOx" TargetMode="External"/><Relationship Id="rId47" Type="http://schemas.openxmlformats.org/officeDocument/2006/relationships/hyperlink" Target="https://doi.org/10.1021/acsami.6c16004" TargetMode="External"/><Relationship Id="rId48" Type="http://schemas.openxmlformats.org/officeDocument/2006/relationships/hyperlink" Target="https://pubs.acs.org/aamick/article/doi/10.1021/acsami.6c13483/5260470/A-Self-Powered-Photodetector-Based-on-an-Ambient" TargetMode="External"/><Relationship Id="rId49" Type="http://schemas.openxmlformats.org/officeDocument/2006/relationships/hyperlink" Target="https://doi.org/10.1021/acsami.6c13483" TargetMode="External"/><Relationship Id="rId50" Type="http://schemas.openxmlformats.org/officeDocument/2006/relationships/hyperlink" Target="https://advanced.onlinelibrary.wiley.com/doi/10.1002/adma.74491?af=R" TargetMode="External"/><Relationship Id="rId51" Type="http://schemas.openxmlformats.org/officeDocument/2006/relationships/hyperlink" Target="https://doi.org/10.1002/adma.74491" TargetMode="External"/><Relationship Id="rId52" Type="http://schemas.openxmlformats.org/officeDocument/2006/relationships/hyperlink" Target="https://advanced.onlinelibrary.wiley.com/doi/10.1002/adma.74623?af=R" TargetMode="External"/><Relationship Id="rId53" Type="http://schemas.openxmlformats.org/officeDocument/2006/relationships/hyperlink" Target="https://doi.org/10.1002/adma.74623" TargetMode="External"/><Relationship Id="rId54" Type="http://schemas.openxmlformats.org/officeDocument/2006/relationships/hyperlink" Target="https://advanced.onlinelibrary.wiley.com/doi/10.1002/adma.74653?af=R" TargetMode="External"/><Relationship Id="rId55" Type="http://schemas.openxmlformats.org/officeDocument/2006/relationships/hyperlink" Target="https://doi.org/10.1002/adma.74653" TargetMode="External"/><Relationship Id="rId56" Type="http://schemas.openxmlformats.org/officeDocument/2006/relationships/hyperlink" Target="https://www.sciencedirect.com/science/article/pii/S0306261926013565?dgcid=rss_sd_all" TargetMode="External"/><Relationship Id="rId57" Type="http://schemas.openxmlformats.org/officeDocument/2006/relationships/hyperlink" Target="https://doi.org/10.1016/j.apenergy.2026.128700" TargetMode="External"/><Relationship Id="rId58" Type="http://schemas.openxmlformats.org/officeDocument/2006/relationships/hyperlink" Target="https://www.sciencedirect.com/science/article/pii/S0306261926013322?dgcid=rss_sd_all" TargetMode="External"/><Relationship Id="rId59" Type="http://schemas.openxmlformats.org/officeDocument/2006/relationships/hyperlink" Target="https://doi.org/10.1016/j.apenergy.2026.128676" TargetMode="External"/><Relationship Id="rId60" Type="http://schemas.openxmlformats.org/officeDocument/2006/relationships/hyperlink" Target="https://www.nature.com/articles/s41560-026-02101-x" TargetMode="External"/><Relationship Id="rId61" Type="http://schemas.openxmlformats.org/officeDocument/2006/relationships/hyperlink" Target="https://doi.org/10.1038/s41560-026-02101-x" TargetMode="External"/><Relationship Id="rId62" Type="http://schemas.openxmlformats.org/officeDocument/2006/relationships/hyperlink" Target="https://www.sciencedirect.com/science/article/pii/S0306261926012833?dgcid=rss_sd_all" TargetMode="External"/><Relationship Id="rId63" Type="http://schemas.openxmlformats.org/officeDocument/2006/relationships/hyperlink" Target="https://doi.org/10.1016/j.apenergy.2026.128627" TargetMode="External"/><Relationship Id="rId64" Type="http://schemas.openxmlformats.org/officeDocument/2006/relationships/hyperlink" Target="https://pubs.acs.org/aamick/article/doi/10.1021/acsami.6c11722/5263493/Overcoming-Uncontrolled-Nucleation-and-Cesium-Salt" TargetMode="External"/><Relationship Id="rId65" Type="http://schemas.openxmlformats.org/officeDocument/2006/relationships/hyperlink" Target="https://doi.org/10.1021/acsami.6c11722" TargetMode="External"/><Relationship Id="rId66" Type="http://schemas.openxmlformats.org/officeDocument/2006/relationships/hyperlink" Target="https://advanced.onlinelibrary.wiley.com/doi/10.1002/adma.74699?af=R" TargetMode="External"/><Relationship Id="rId67" Type="http://schemas.openxmlformats.org/officeDocument/2006/relationships/hyperlink" Target="https://doi.org/10.1002/adma.74699" TargetMode="External"/><Relationship Id="rId68" Type="http://schemas.openxmlformats.org/officeDocument/2006/relationships/hyperlink" Target="https://advanced.onlinelibrary.wiley.com/doi/10.1002/adma.74681?af=R" TargetMode="External"/><Relationship Id="rId69" Type="http://schemas.openxmlformats.org/officeDocument/2006/relationships/hyperlink" Target="https://doi.org/10.1002/adma.74681" TargetMode="External"/><Relationship Id="rId70" Type="http://schemas.openxmlformats.org/officeDocument/2006/relationships/hyperlink" Target="https://advanced.onlinelibrary.wiley.com/doi/10.1002/adma.74663?af=R" TargetMode="External"/><Relationship Id="rId71" Type="http://schemas.openxmlformats.org/officeDocument/2006/relationships/hyperlink" Target="https://doi.org/10.1002/adma.74663" TargetMode="External"/><Relationship Id="rId72" Type="http://schemas.openxmlformats.org/officeDocument/2006/relationships/hyperlink" Target="https://advanced.onlinelibrary.wiley.com/doi/10.1002/adma.74716?af=R" TargetMode="External"/><Relationship Id="rId73" Type="http://schemas.openxmlformats.org/officeDocument/2006/relationships/hyperlink" Target="https://doi.org/10.1002/adma.74716" TargetMode="External"/><Relationship Id="rId74" Type="http://schemas.openxmlformats.org/officeDocument/2006/relationships/hyperlink" Target="https://www.cell.com/joule/fulltext/S2542-4351(26)00320-X?rss=yes" TargetMode="External"/><Relationship Id="rId75" Type="http://schemas.openxmlformats.org/officeDocument/2006/relationships/hyperlink" Target="https://doi.org/10.1016/j.joule.2026.102636" TargetMode="External"/><Relationship Id="rId76" Type="http://schemas.openxmlformats.org/officeDocument/2006/relationships/hyperlink" Target="https://advanced.onlinelibrary.wiley.com/doi/10.1002/aenm.71462?af=R" TargetMode="External"/><Relationship Id="rId77" Type="http://schemas.openxmlformats.org/officeDocument/2006/relationships/hyperlink" Target="https://doi.org/10.1002/aenm.71462" TargetMode="External"/><Relationship Id="rId78" Type="http://schemas.openxmlformats.org/officeDocument/2006/relationships/hyperlink" Target="https://onlinelibrary.wiley.com/doi/10.1002/anie.1114374?af=R" TargetMode="External"/><Relationship Id="rId79" Type="http://schemas.openxmlformats.org/officeDocument/2006/relationships/hyperlink" Target="https://doi.org/10.1002/anie.1114374" TargetMode="External"/><Relationship Id="rId80" Type="http://schemas.openxmlformats.org/officeDocument/2006/relationships/hyperlink" Target="https://onlinelibrary.wiley.com/doi/10.1002/anie.9288707?af=R" TargetMode="External"/><Relationship Id="rId81" Type="http://schemas.openxmlformats.org/officeDocument/2006/relationships/hyperlink" Target="https://doi.org/10.1002/anie.9288707" TargetMode="External"/><Relationship Id="rId82" Type="http://schemas.openxmlformats.org/officeDocument/2006/relationships/hyperlink" Target="https://onlinelibrary.wiley.com/doi/10.1002/anie.2298813?af=R" TargetMode="External"/><Relationship Id="rId83" Type="http://schemas.openxmlformats.org/officeDocument/2006/relationships/hyperlink" Target="https://doi.org/10.1002/anie.2298813" TargetMode="External"/><Relationship Id="rId84" Type="http://schemas.openxmlformats.org/officeDocument/2006/relationships/hyperlink" Target="https://advanced.onlinelibrary.wiley.com/doi/10.1002/adma.74489?af=R" TargetMode="External"/><Relationship Id="rId85" Type="http://schemas.openxmlformats.org/officeDocument/2006/relationships/hyperlink" Target="https://doi.org/10.1002/adma.74489" TargetMode="External"/><Relationship Id="rId86" Type="http://schemas.openxmlformats.org/officeDocument/2006/relationships/hyperlink" Target="https://advanced.onlinelibrary.wiley.com/doi/10.1002/aenm.71465?af=R" TargetMode="External"/><Relationship Id="rId87" Type="http://schemas.openxmlformats.org/officeDocument/2006/relationships/hyperlink" Target="https://doi.org/10.1002/aenm.71465" TargetMode="External"/><Relationship Id="rId88" Type="http://schemas.openxmlformats.org/officeDocument/2006/relationships/hyperlink" Target="https://advanced.onlinelibrary.wiley.com/doi/10.1002/aenm.71474?af=R" TargetMode="External"/><Relationship Id="rId89" Type="http://schemas.openxmlformats.org/officeDocument/2006/relationships/hyperlink" Target="https://doi.org/10.1002/aenm.71474" TargetMode="External"/><Relationship Id="rId90" Type="http://schemas.openxmlformats.org/officeDocument/2006/relationships/hyperlink" Target="https://advanced.onlinelibrary.wiley.com/doi/10.1002/adma.74629?af=R" TargetMode="External"/><Relationship Id="rId91" Type="http://schemas.openxmlformats.org/officeDocument/2006/relationships/hyperlink" Target="https://doi.org/10.1002/adma.74629" TargetMode="External"/><Relationship Id="rId92" Type="http://schemas.openxmlformats.org/officeDocument/2006/relationships/hyperlink" Target="https://advanced.onlinelibrary.wiley.com/doi/10.1002/adma.74697?af=R" TargetMode="External"/><Relationship Id="rId93" Type="http://schemas.openxmlformats.org/officeDocument/2006/relationships/hyperlink" Target="https://doi.org/10.1002/adma.74697" TargetMode="External"/><Relationship Id="rId94" Type="http://schemas.openxmlformats.org/officeDocument/2006/relationships/hyperlink" Target="https://onlinelibrary.wiley.com/doi/10.1002/anie.3461860?af=R" TargetMode="External"/><Relationship Id="rId95" Type="http://schemas.openxmlformats.org/officeDocument/2006/relationships/hyperlink" Target="https://doi.org/10.1002/anie.3461860" TargetMode="External"/><Relationship Id="rId96" Type="http://schemas.openxmlformats.org/officeDocument/2006/relationships/hyperlink" Target="https://pubs.acs.org/aamick/article/doi/10.1021/acsami.6c12684/5277037/Hydroxymethylated-EDOT-ProDOT-Copolymer-Ratio" TargetMode="External"/><Relationship Id="rId97" Type="http://schemas.openxmlformats.org/officeDocument/2006/relationships/hyperlink" Target="https://doi.org/10.1021/acsami.6c12684" TargetMode="External"/><Relationship Id="rId98" Type="http://schemas.openxmlformats.org/officeDocument/2006/relationships/hyperlink" Target="https://pubs.acs.org/aamick/article/doi/10.1021/acsami.6c12150/5278396/Effect-of-Light-Scattering-in-Transparent-Wood" TargetMode="External"/><Relationship Id="rId99" Type="http://schemas.openxmlformats.org/officeDocument/2006/relationships/hyperlink" Target="https://doi.org/10.1021/acsami.6c12150" TargetMode="External"/><Relationship Id="rId100" Type="http://schemas.openxmlformats.org/officeDocument/2006/relationships/hyperlink" Target="https://www.cell.com/joule/fulltext/S2542-4351(26)00319-3?rss=yes" TargetMode="External"/><Relationship Id="rId101" Type="http://schemas.openxmlformats.org/officeDocument/2006/relationships/hyperlink" Target="https://doi.org/10.1016/j.joule.2026.102635" TargetMode="External"/><Relationship Id="rId102" Type="http://schemas.openxmlformats.org/officeDocument/2006/relationships/hyperlink" Target="https://www.science.org/doi/abs/10.1126/science.aeg8415?af=R" TargetMode="External"/><Relationship Id="rId103" Type="http://schemas.openxmlformats.org/officeDocument/2006/relationships/hyperlink" Target="https://doi.org/10.1126/science.aeg8415" TargetMode="External"/><Relationship Id="rId104" Type="http://schemas.openxmlformats.org/officeDocument/2006/relationships/hyperlink" Target="https://advanced.onlinelibrary.wiley.com/doi/10.1002/aenm.71363?af=R" TargetMode="External"/><Relationship Id="rId105" Type="http://schemas.openxmlformats.org/officeDocument/2006/relationships/hyperlink" Target="https://doi.org/10.1002/aenm.71363" TargetMode="External"/><Relationship Id="rId106" Type="http://schemas.openxmlformats.org/officeDocument/2006/relationships/hyperlink" Target="https://pubs.acs.org/jacsat/article/doi/10.1021/jacs.6c09208/5256283/Scalable-Synthesis-of-Robust-Polyimide-Covalent" TargetMode="External"/><Relationship Id="rId107" Type="http://schemas.openxmlformats.org/officeDocument/2006/relationships/hyperlink" Target="https://doi.org/10.1021/jacs.6c09208" TargetMode="External"/><Relationship Id="rId108" Type="http://schemas.openxmlformats.org/officeDocument/2006/relationships/hyperlink" Target="https://advanced.onlinelibrary.wiley.com/doi/10.1002/adma.74640?af=R" TargetMode="External"/><Relationship Id="rId109" Type="http://schemas.openxmlformats.org/officeDocument/2006/relationships/hyperlink" Target="https://doi.org/10.1002/adma.74640" TargetMode="External"/><Relationship Id="rId110" Type="http://schemas.openxmlformats.org/officeDocument/2006/relationships/hyperlink" Target="https://advanced.onlinelibrary.wiley.com/doi/10.1002/adma.74666?af=R" TargetMode="External"/><Relationship Id="rId111" Type="http://schemas.openxmlformats.org/officeDocument/2006/relationships/hyperlink" Target="https://doi.org/10.1002/adma.74666" TargetMode="External"/><Relationship Id="rId112" Type="http://schemas.openxmlformats.org/officeDocument/2006/relationships/hyperlink" Target="https://advanced.onlinelibrary.wiley.com/doi/10.1002/adma.74626?af=R" TargetMode="External"/><Relationship Id="rId113" Type="http://schemas.openxmlformats.org/officeDocument/2006/relationships/hyperlink" Target="https://doi.org/10.1002/adma.74626" TargetMode="External"/><Relationship Id="rId114" Type="http://schemas.openxmlformats.org/officeDocument/2006/relationships/hyperlink" Target="https://www.science.org/doi/abs/10.1126/sciadv.aef1533?af=R" TargetMode="External"/><Relationship Id="rId115" Type="http://schemas.openxmlformats.org/officeDocument/2006/relationships/hyperlink" Target="https://doi.org/10.1126/sciadv.aef1533" TargetMode="External"/><Relationship Id="rId116" Type="http://schemas.openxmlformats.org/officeDocument/2006/relationships/hyperlink" Target="https://onlinelibrary.wiley.com/doi/10.1002/anie.4146793?af=R" TargetMode="External"/><Relationship Id="rId117" Type="http://schemas.openxmlformats.org/officeDocument/2006/relationships/hyperlink" Target="https://doi.org/10.1002/anie.4146793" TargetMode="External"/><Relationship Id="rId118" Type="http://schemas.openxmlformats.org/officeDocument/2006/relationships/hyperlink" Target="https://onlinelibrary.wiley.com/doi/10.1002/anie.8492354?af=R" TargetMode="External"/><Relationship Id="rId119" Type="http://schemas.openxmlformats.org/officeDocument/2006/relationships/hyperlink" Target="https://doi.org/10.1002/anie.8492354" TargetMode="External"/><Relationship Id="rId120" Type="http://schemas.openxmlformats.org/officeDocument/2006/relationships/hyperlink" Target="https://onlinelibrary.wiley.com/doi/10.1002/anie.6490997?af=R" TargetMode="External"/><Relationship Id="rId121" Type="http://schemas.openxmlformats.org/officeDocument/2006/relationships/hyperlink" Target="https://doi.org/10.1002/anie.6490997" TargetMode="External"/><Relationship Id="rId122" Type="http://schemas.openxmlformats.org/officeDocument/2006/relationships/hyperlink" Target="https://www.nature.com/articles/s41467-026-76745-4" TargetMode="External"/><Relationship Id="rId123" Type="http://schemas.openxmlformats.org/officeDocument/2006/relationships/hyperlink" Target="https://pubs.acs.org/aelccp/article/doi/10.1021/acsenergylett.6c01706/5259298/Anchoring-Polyiodides-Microphase-Separated-Gel" TargetMode="External"/><Relationship Id="rId124" Type="http://schemas.openxmlformats.org/officeDocument/2006/relationships/hyperlink" Target="https://doi.org/10.1021/acsenergylett.6c01706" TargetMode="External"/><Relationship Id="rId125" Type="http://schemas.openxmlformats.org/officeDocument/2006/relationships/hyperlink" Target="https://advanced.onlinelibrary.wiley.com/doi/10.1002/aenm.71459?af=R" TargetMode="External"/><Relationship Id="rId126" Type="http://schemas.openxmlformats.org/officeDocument/2006/relationships/hyperlink" Target="https://doi.org/10.1002/aenm.71459" TargetMode="External"/><Relationship Id="rId127" Type="http://schemas.openxmlformats.org/officeDocument/2006/relationships/hyperlink" Target="https://advanced.onlinelibrary.wiley.com/doi/10.1002/aenm.71407?af=R" TargetMode="External"/><Relationship Id="rId128" Type="http://schemas.openxmlformats.org/officeDocument/2006/relationships/hyperlink" Target="https://doi.org/10.1002/aenm.71407" TargetMode="External"/><Relationship Id="rId129" Type="http://schemas.openxmlformats.org/officeDocument/2006/relationships/hyperlink" Target="https://advanced.onlinelibrary.wiley.com/doi/10.1002/aenm.71439?af=R" TargetMode="External"/><Relationship Id="rId130" Type="http://schemas.openxmlformats.org/officeDocument/2006/relationships/hyperlink" Target="https://doi.org/10.1002/aenm.71439" TargetMode="External"/><Relationship Id="rId131" Type="http://schemas.openxmlformats.org/officeDocument/2006/relationships/hyperlink" Target="https://pubs.acs.org/aelccp/article/doi/10.1021/acsenergylett.6c02224/5259530/Dual-Driven-Cathode-Electrolyte-Interphase" TargetMode="External"/><Relationship Id="rId132" Type="http://schemas.openxmlformats.org/officeDocument/2006/relationships/hyperlink" Target="https://doi.org/10.1021/acsenergylett.6c02224" TargetMode="External"/><Relationship Id="rId133" Type="http://schemas.openxmlformats.org/officeDocument/2006/relationships/hyperlink" Target="https://onlinelibrary.wiley.com/doi/10.1002/anie.3464448?af=R" TargetMode="External"/><Relationship Id="rId134" Type="http://schemas.openxmlformats.org/officeDocument/2006/relationships/hyperlink" Target="https://doi.org/10.1002/anie.3464448" TargetMode="External"/><Relationship Id="rId135" Type="http://schemas.openxmlformats.org/officeDocument/2006/relationships/hyperlink" Target="https://pubs.acs.org/aelccp/article/doi/10.1021/acsenergylett.6c01559/5264147/Insights-into-the-Oxide-Cathode-Active-Material" TargetMode="External"/><Relationship Id="rId136" Type="http://schemas.openxmlformats.org/officeDocument/2006/relationships/hyperlink" Target="https://doi.org/10.1021/acsenergylett.6c01559" TargetMode="External"/><Relationship Id="rId137" Type="http://schemas.openxmlformats.org/officeDocument/2006/relationships/hyperlink" Target="https://advanced.onlinelibrary.wiley.com/doi/10.1002/adma.74658?af=R" TargetMode="External"/><Relationship Id="rId138" Type="http://schemas.openxmlformats.org/officeDocument/2006/relationships/hyperlink" Target="https://doi.org/10.1002/adma.74658" TargetMode="External"/><Relationship Id="rId139" Type="http://schemas.openxmlformats.org/officeDocument/2006/relationships/hyperlink" Target="https://www.cell.com/joule/fulltext/S2542-4351(26)00317-X?rss=yes" TargetMode="External"/><Relationship Id="rId140" Type="http://schemas.openxmlformats.org/officeDocument/2006/relationships/hyperlink" Target="https://doi.org/10.1016/j.joule.2026.102633" TargetMode="External"/><Relationship Id="rId141" Type="http://schemas.openxmlformats.org/officeDocument/2006/relationships/hyperlink" Target="https://academic.oup.com/nsr/advance-article/doi/10.1093/nsr/nwag501/8763720?rss=1" TargetMode="External"/><Relationship Id="rId142" Type="http://schemas.openxmlformats.org/officeDocument/2006/relationships/hyperlink" Target="https://doi.org/10.1093/nsr/nwag501" TargetMode="External"/><Relationship Id="rId143" Type="http://schemas.openxmlformats.org/officeDocument/2006/relationships/hyperlink" Target="https://pubs.acs.org/jacsat/article/doi/10.1021/jacs.6c06113/5275772/Interfacial-Chemistry-of-Storage-Induced" TargetMode="External"/><Relationship Id="rId144" Type="http://schemas.openxmlformats.org/officeDocument/2006/relationships/hyperlink" Target="https://doi.org/10.1021/jacs.6c06113" TargetMode="External"/><Relationship Id="rId145" Type="http://schemas.openxmlformats.org/officeDocument/2006/relationships/hyperlink" Target="https://pubs.acs.org/jacsat/article/doi/10.1021/jacs.6c10104/5276432/Gliding-Induced-Stacking-Faults-in-Layered-Oxide" TargetMode="External"/><Relationship Id="rId146" Type="http://schemas.openxmlformats.org/officeDocument/2006/relationships/hyperlink" Target="https://doi.org/10.1021/jacs.6c10104" TargetMode="External"/><Relationship Id="rId147" Type="http://schemas.openxmlformats.org/officeDocument/2006/relationships/hyperlink" Target="https://pubs.acs.org/jacsat/article/doi/10.1021/jacs.6c05598/5277075/Revealing-the-Structural-Redox-Interplay-in-the" TargetMode="External"/><Relationship Id="rId148" Type="http://schemas.openxmlformats.org/officeDocument/2006/relationships/hyperlink" Target="https://doi.org/10.1021/jacs.6c05598" TargetMode="External"/><Relationship Id="rId149" Type="http://schemas.openxmlformats.org/officeDocument/2006/relationships/hyperlink" Target="https://pubs.acs.org/aamick/article/doi/10.1021/acsami.6c11496/5275807/Synergistic-V-Mg-Co-Doping-for-a-High-Manganese" TargetMode="External"/><Relationship Id="rId150" Type="http://schemas.openxmlformats.org/officeDocument/2006/relationships/hyperlink" Target="https://doi.org/10.1021/acsami.6c11496" TargetMode="External"/><Relationship Id="rId151" Type="http://schemas.openxmlformats.org/officeDocument/2006/relationships/hyperlink" Target="https://advanced.onlinelibrary.wiley.com/doi/10.1002/aenm.71468?af=R" TargetMode="External"/><Relationship Id="rId152" Type="http://schemas.openxmlformats.org/officeDocument/2006/relationships/hyperlink" Target="https://doi.org/10.1002/aenm.71468" TargetMode="External"/><Relationship Id="rId153" Type="http://schemas.openxmlformats.org/officeDocument/2006/relationships/hyperlink" Target="https://advanced.onlinelibrary.wiley.com/doi/10.1002/aenm.71455?af=R" TargetMode="External"/><Relationship Id="rId154" Type="http://schemas.openxmlformats.org/officeDocument/2006/relationships/hyperlink" Target="https://doi.org/10.1002/aenm.71455" TargetMode="External"/><Relationship Id="rId155" Type="http://schemas.openxmlformats.org/officeDocument/2006/relationships/hyperlink" Target="https://onlinelibrary.wiley.com/doi/10.1002/anie.6545119?af=R" TargetMode="External"/><Relationship Id="rId156" Type="http://schemas.openxmlformats.org/officeDocument/2006/relationships/hyperlink" Target="https://doi.org/10.1002/anie.6545119" TargetMode="External"/><Relationship Id="rId157" Type="http://schemas.openxmlformats.org/officeDocument/2006/relationships/hyperlink" Target="https://onlinelibrary.wiley.com/doi/10.1002/anie.6865881?af=R" TargetMode="External"/><Relationship Id="rId158" Type="http://schemas.openxmlformats.org/officeDocument/2006/relationships/hyperlink" Target="https://doi.org/10.1002/anie.6865881" TargetMode="External"/><Relationship Id="rId159" Type="http://schemas.openxmlformats.org/officeDocument/2006/relationships/hyperlink" Target="https://onlinelibrary.wiley.com/doi/10.1002/anie.3330483?af=R" TargetMode="External"/><Relationship Id="rId160" Type="http://schemas.openxmlformats.org/officeDocument/2006/relationships/hyperlink" Target="https://doi.org/10.1002/anie.3330483" TargetMode="External"/><Relationship Id="rId161" Type="http://schemas.openxmlformats.org/officeDocument/2006/relationships/hyperlink" Target="https://advanced.onlinelibrary.wiley.com/doi/10.1002/adma.74741?af=R" TargetMode="External"/><Relationship Id="rId162" Type="http://schemas.openxmlformats.org/officeDocument/2006/relationships/hyperlink" Target="https://doi.org/10.1002/adma.74741" TargetMode="External"/><Relationship Id="rId163" Type="http://schemas.openxmlformats.org/officeDocument/2006/relationships/hyperlink" Target="https://advanced.onlinelibrary.wiley.com/doi/10.1002/aenm.71471?af=R" TargetMode="External"/><Relationship Id="rId164" Type="http://schemas.openxmlformats.org/officeDocument/2006/relationships/hyperlink" Target="https://doi.org/10.1002/aenm.71471" TargetMode="External"/><Relationship Id="rId165" Type="http://schemas.openxmlformats.org/officeDocument/2006/relationships/hyperlink" Target="https://advanced.onlinelibrary.wiley.com/doi/10.1002/adma.74706?af=R" TargetMode="External"/><Relationship Id="rId166" Type="http://schemas.openxmlformats.org/officeDocument/2006/relationships/hyperlink" Target="https://doi.org/10.1002/adma.74706" TargetMode="External"/><Relationship Id="rId167" Type="http://schemas.openxmlformats.org/officeDocument/2006/relationships/hyperlink" Target="https://advanced.onlinelibrary.wiley.com/doi/10.1002/aenm.71327?af=R" TargetMode="External"/><Relationship Id="rId168" Type="http://schemas.openxmlformats.org/officeDocument/2006/relationships/hyperlink" Target="https://doi.org/10.1002/aenm.71327" TargetMode="External"/><Relationship Id="rId169" Type="http://schemas.openxmlformats.org/officeDocument/2006/relationships/hyperlink" Target="https://www.nature.com/articles/s41560-026-02112-8" TargetMode="External"/><Relationship Id="rId170" Type="http://schemas.openxmlformats.org/officeDocument/2006/relationships/hyperlink" Target="https://doi.org/10.1038/s41560-026-02112-8" TargetMode="External"/><Relationship Id="rId171" Type="http://schemas.openxmlformats.org/officeDocument/2006/relationships/hyperlink" Target="https://advanced.onlinelibrary.wiley.com/doi/10.1002/aenm.71422?af=R" TargetMode="External"/><Relationship Id="rId172" Type="http://schemas.openxmlformats.org/officeDocument/2006/relationships/hyperlink" Target="https://doi.org/10.1002/aenm.71422" TargetMode="External"/><Relationship Id="rId173" Type="http://schemas.openxmlformats.org/officeDocument/2006/relationships/hyperlink" Target="https://www.sciencedirect.com/science/article/pii/S0306261926013103?dgcid=rss_sd_all" TargetMode="External"/><Relationship Id="rId174" Type="http://schemas.openxmlformats.org/officeDocument/2006/relationships/hyperlink" Target="https://doi.org/10.1016/j.apenergy.2026.128654" TargetMode="External"/><Relationship Id="rId175" Type="http://schemas.openxmlformats.org/officeDocument/2006/relationships/hyperlink" Target="https://pubs.acs.org/aamick/article/doi/10.1021/acsami.6c06367/5255297/Failure-Mechanisms-and-Modification-Strategies-of" TargetMode="External"/><Relationship Id="rId176" Type="http://schemas.openxmlformats.org/officeDocument/2006/relationships/hyperlink" Target="https://doi.org/10.1021/acsami.6c06367" TargetMode="External"/><Relationship Id="rId177" Type="http://schemas.openxmlformats.org/officeDocument/2006/relationships/hyperlink" Target="https://www.sciencedirect.com/science/article/pii/S0306261926013085?dgcid=rss_sd_all" TargetMode="External"/><Relationship Id="rId178" Type="http://schemas.openxmlformats.org/officeDocument/2006/relationships/hyperlink" Target="https://doi.org/10.1016/j.apenergy.2026.128652" TargetMode="External"/><Relationship Id="rId179" Type="http://schemas.openxmlformats.org/officeDocument/2006/relationships/hyperlink" Target="https://www.science.org/doi/abs/10.1126/sciadv.aef7800?af=R" TargetMode="External"/><Relationship Id="rId180" Type="http://schemas.openxmlformats.org/officeDocument/2006/relationships/hyperlink" Target="https://doi.org/10.1126/sciadv.aef7800" TargetMode="External"/><Relationship Id="rId181" Type="http://schemas.openxmlformats.org/officeDocument/2006/relationships/hyperlink" Target="https://onlinelibrary.wiley.com/doi/10.1002/anie.3578686?af=R" TargetMode="External"/><Relationship Id="rId182" Type="http://schemas.openxmlformats.org/officeDocument/2006/relationships/hyperlink" Target="https://doi.org/10.1002/anie.3578686" TargetMode="External"/><Relationship Id="rId183" Type="http://schemas.openxmlformats.org/officeDocument/2006/relationships/hyperlink" Target="https://advanced.onlinelibrary.wiley.com/doi/10.1002/aenm.71434?af=R" TargetMode="External"/><Relationship Id="rId184" Type="http://schemas.openxmlformats.org/officeDocument/2006/relationships/hyperlink" Target="https://doi.org/10.1002/aenm.71434" TargetMode="External"/><Relationship Id="rId185" Type="http://schemas.openxmlformats.org/officeDocument/2006/relationships/hyperlink" Target="https://advanced.onlinelibrary.wiley.com/doi/10.1002/aenm.71446?af=R" TargetMode="External"/><Relationship Id="rId186" Type="http://schemas.openxmlformats.org/officeDocument/2006/relationships/hyperlink" Target="https://doi.org/10.1002/aenm.71446" TargetMode="External"/><Relationship Id="rId187" Type="http://schemas.openxmlformats.org/officeDocument/2006/relationships/hyperlink" Target="https://advanced.onlinelibrary.wiley.com/doi/10.1002/aenm.71436?af=R" TargetMode="External"/><Relationship Id="rId188" Type="http://schemas.openxmlformats.org/officeDocument/2006/relationships/hyperlink" Target="https://doi.org/10.1002/aenm.71436" TargetMode="External"/><Relationship Id="rId189" Type="http://schemas.openxmlformats.org/officeDocument/2006/relationships/hyperlink" Target="https://advanced.onlinelibrary.wiley.com/doi/10.1002/aenm.71461?af=R" TargetMode="External"/><Relationship Id="rId190" Type="http://schemas.openxmlformats.org/officeDocument/2006/relationships/hyperlink" Target="https://doi.org/10.1002/aenm.71461" TargetMode="External"/><Relationship Id="rId191" Type="http://schemas.openxmlformats.org/officeDocument/2006/relationships/hyperlink" Target="https://advanced.onlinelibrary.wiley.com/doi/10.1002/adma.74672?af=R" TargetMode="External"/><Relationship Id="rId192" Type="http://schemas.openxmlformats.org/officeDocument/2006/relationships/hyperlink" Target="https://doi.org/10.1002/adma.74672" TargetMode="External"/><Relationship Id="rId193" Type="http://schemas.openxmlformats.org/officeDocument/2006/relationships/hyperlink" Target="https://www.sciencedirect.com/science/article/pii/S0306261926013462?dgcid=rss_sd_all" TargetMode="External"/><Relationship Id="rId194" Type="http://schemas.openxmlformats.org/officeDocument/2006/relationships/hyperlink" Target="https://doi.org/10.1016/j.apenergy.2026.128690" TargetMode="External"/><Relationship Id="rId195" Type="http://schemas.openxmlformats.org/officeDocument/2006/relationships/hyperlink" Target="https://advanced.onlinelibrary.wiley.com/doi/10.1002/aenm.71481?af=R" TargetMode="External"/><Relationship Id="rId196" Type="http://schemas.openxmlformats.org/officeDocument/2006/relationships/hyperlink" Target="https://doi.org/10.1002/aenm.71481" TargetMode="External"/><Relationship Id="rId197" Type="http://schemas.openxmlformats.org/officeDocument/2006/relationships/hyperlink" Target="https://pubs.acs.org/aamick/article/doi/10.1021/acsami.6c08655/5275859/Lithium-Loss-Mechanisms-Driving-Rate-Dependent" TargetMode="External"/><Relationship Id="rId198" Type="http://schemas.openxmlformats.org/officeDocument/2006/relationships/hyperlink" Target="https://doi.org/10.1021/acsami.6c08655" TargetMode="External"/><Relationship Id="rId199" Type="http://schemas.openxmlformats.org/officeDocument/2006/relationships/hyperlink" Target="https://advanced.onlinelibrary.wiley.com/doi/10.1002/aenm.71425?af=R" TargetMode="External"/><Relationship Id="rId200" Type="http://schemas.openxmlformats.org/officeDocument/2006/relationships/hyperlink" Target="https://doi.org/10.1002/aenm.71425" TargetMode="External"/><Relationship Id="rId201" Type="http://schemas.openxmlformats.org/officeDocument/2006/relationships/hyperlink" Target="https://www.science.org/doi/abs/10.1126/sciadv.aef5575?af=R" TargetMode="External"/><Relationship Id="rId202" Type="http://schemas.openxmlformats.org/officeDocument/2006/relationships/hyperlink" Target="https://doi.org/10.1126/sciadv.aef5575" TargetMode="External"/><Relationship Id="rId203" Type="http://schemas.openxmlformats.org/officeDocument/2006/relationships/hyperlink" Target="https://advanced.onlinelibrary.wiley.com/doi/10.1002/aenm.71453?af=R" TargetMode="External"/><Relationship Id="rId204" Type="http://schemas.openxmlformats.org/officeDocument/2006/relationships/hyperlink" Target="https://doi.org/10.1002/aenm.71453" TargetMode="External"/><Relationship Id="rId205" Type="http://schemas.openxmlformats.org/officeDocument/2006/relationships/hyperlink" Target="https://onlinelibrary.wiley.com/doi/10.1002/anie.5840654?af=R" TargetMode="External"/><Relationship Id="rId206" Type="http://schemas.openxmlformats.org/officeDocument/2006/relationships/hyperlink" Target="https://doi.org/10.1002/anie.5840654" TargetMode="External"/><Relationship Id="rId207" Type="http://schemas.openxmlformats.org/officeDocument/2006/relationships/hyperlink" Target="https://advanced.onlinelibrary.wiley.com/doi/10.1002/aenm.71463?af=R" TargetMode="External"/><Relationship Id="rId208" Type="http://schemas.openxmlformats.org/officeDocument/2006/relationships/hyperlink" Target="https://doi.org/10.1002/aenm.71463" TargetMode="External"/><Relationship Id="rId209" Type="http://schemas.openxmlformats.org/officeDocument/2006/relationships/hyperlink" Target="https://advanced.onlinelibrary.wiley.com/doi/10.1002/aenm.71486?af=R" TargetMode="External"/><Relationship Id="rId210" Type="http://schemas.openxmlformats.org/officeDocument/2006/relationships/hyperlink" Target="https://doi.org/10.1002/aenm.71486" TargetMode="External"/><Relationship Id="rId211" Type="http://schemas.openxmlformats.org/officeDocument/2006/relationships/hyperlink" Target="https://www.nature.com/articles/s41467-026-76791-y" TargetMode="External"/><Relationship Id="rId212" Type="http://schemas.openxmlformats.org/officeDocument/2006/relationships/hyperlink" Target="https://www.nature.com/articles/s41467-026-76953-y" TargetMode="External"/><Relationship Id="rId213" Type="http://schemas.openxmlformats.org/officeDocument/2006/relationships/hyperlink" Target="https://pubs.acs.org/jacsat/article/doi/10.1021/jacs.5c21712/5255457/Interfacial-Lithium-Redox-Kinetics-Regulated-by" TargetMode="External"/><Relationship Id="rId214" Type="http://schemas.openxmlformats.org/officeDocument/2006/relationships/hyperlink" Target="https://doi.org/10.1021/jacs.5c21712" TargetMode="External"/><Relationship Id="rId215" Type="http://schemas.openxmlformats.org/officeDocument/2006/relationships/hyperlink" Target="https://pubs.acs.org/aelccp/article/doi/10.1021/acsenergylett.6c01447/5255237/Progress-on-Halide-Solid-State-Electrolytes" TargetMode="External"/><Relationship Id="rId216" Type="http://schemas.openxmlformats.org/officeDocument/2006/relationships/hyperlink" Target="https://doi.org/10.1021/acsenergylett.6c01447" TargetMode="External"/><Relationship Id="rId217" Type="http://schemas.openxmlformats.org/officeDocument/2006/relationships/hyperlink" Target="https://advanced.onlinelibrary.wiley.com/doi/10.1002/adma.74644?af=R" TargetMode="External"/><Relationship Id="rId218" Type="http://schemas.openxmlformats.org/officeDocument/2006/relationships/hyperlink" Target="https://doi.org/10.1002/adma.74644" TargetMode="External"/><Relationship Id="rId219" Type="http://schemas.openxmlformats.org/officeDocument/2006/relationships/hyperlink" Target="https://onlinelibrary.wiley.com/doi/10.1002/anie.4078759?af=R" TargetMode="External"/><Relationship Id="rId220" Type="http://schemas.openxmlformats.org/officeDocument/2006/relationships/hyperlink" Target="https://doi.org/10.1002/anie.4078759" TargetMode="External"/><Relationship Id="rId221" Type="http://schemas.openxmlformats.org/officeDocument/2006/relationships/hyperlink" Target="https://advanced.onlinelibrary.wiley.com/doi/10.1002/aenm.71447?af=R" TargetMode="External"/><Relationship Id="rId222" Type="http://schemas.openxmlformats.org/officeDocument/2006/relationships/hyperlink" Target="https://doi.org/10.1002/aenm.71447" TargetMode="External"/><Relationship Id="rId223" Type="http://schemas.openxmlformats.org/officeDocument/2006/relationships/hyperlink" Target="https://onlinelibrary.wiley.com/doi/10.1002/anie.4583501?af=R" TargetMode="External"/><Relationship Id="rId224" Type="http://schemas.openxmlformats.org/officeDocument/2006/relationships/hyperlink" Target="https://doi.org/10.1002/anie.4583501" TargetMode="External"/><Relationship Id="rId225" Type="http://schemas.openxmlformats.org/officeDocument/2006/relationships/hyperlink" Target="https://www.nature.com/articles/s41560-026-02090-x" TargetMode="External"/><Relationship Id="rId226" Type="http://schemas.openxmlformats.org/officeDocument/2006/relationships/hyperlink" Target="https://doi.org/10.1038/s41560-026-02090-x" TargetMode="External"/><Relationship Id="rId227" Type="http://schemas.openxmlformats.org/officeDocument/2006/relationships/hyperlink" Target="https://www.nature.com/articles/s41565-026-02277-z" TargetMode="External"/><Relationship Id="rId228" Type="http://schemas.openxmlformats.org/officeDocument/2006/relationships/hyperlink" Target="https://doi.org/10.1038/s41565-026-02277-z" TargetMode="External"/><Relationship Id="rId229" Type="http://schemas.openxmlformats.org/officeDocument/2006/relationships/hyperlink" Target="https://pubs.acs.org/jacsat/article/doi/10.1021/jacs.6c12254/5262326/Revealing-Excited-State-Electrochemical-Reaction" TargetMode="External"/><Relationship Id="rId230" Type="http://schemas.openxmlformats.org/officeDocument/2006/relationships/hyperlink" Target="https://doi.org/10.1021/jacs.6c12254" TargetMode="External"/><Relationship Id="rId231" Type="http://schemas.openxmlformats.org/officeDocument/2006/relationships/hyperlink" Target="https://onlinelibrary.wiley.com/doi/10.1002/anie.7695165?af=R" TargetMode="External"/><Relationship Id="rId232" Type="http://schemas.openxmlformats.org/officeDocument/2006/relationships/hyperlink" Target="https://doi.org/10.1002/anie.7695165" TargetMode="External"/><Relationship Id="rId233" Type="http://schemas.openxmlformats.org/officeDocument/2006/relationships/hyperlink" Target="https://advanced.onlinelibrary.wiley.com/doi/10.1002/aenm.71452?af=R" TargetMode="External"/><Relationship Id="rId234" Type="http://schemas.openxmlformats.org/officeDocument/2006/relationships/hyperlink" Target="https://doi.org/10.1002/aenm.71452" TargetMode="External"/><Relationship Id="rId235" Type="http://schemas.openxmlformats.org/officeDocument/2006/relationships/hyperlink" Target="https://pubs.acs.org/jacsat/article/doi/10.1021/jacs.6c13982/5276921/Early-Gas-Evolution-during-Electrode-Polarization" TargetMode="External"/><Relationship Id="rId236" Type="http://schemas.openxmlformats.org/officeDocument/2006/relationships/hyperlink" Target="https://doi.org/10.1021/jacs.6c13982" TargetMode="External"/><Relationship Id="rId237" Type="http://schemas.openxmlformats.org/officeDocument/2006/relationships/hyperlink" Target="https://advanced.onlinelibrary.wiley.com/doi/10.1002/aenm.71467?af=R" TargetMode="External"/><Relationship Id="rId238" Type="http://schemas.openxmlformats.org/officeDocument/2006/relationships/hyperlink" Target="https://doi.org/10.1002/aenm.71467" TargetMode="External"/><Relationship Id="rId239" Type="http://schemas.openxmlformats.org/officeDocument/2006/relationships/hyperlink" Target="https://pubs.acs.org/jacsat/article/doi/10.1021/jacs.6c07483/5277248/Tailoring-Energy-Landscapes-for-Vehicular" TargetMode="External"/><Relationship Id="rId240" Type="http://schemas.openxmlformats.org/officeDocument/2006/relationships/hyperlink" Target="https://doi.org/10.1021/jacs.6c07483" TargetMode="External"/><Relationship Id="rId241" Type="http://schemas.openxmlformats.org/officeDocument/2006/relationships/hyperlink" Target="https://www.nature.com/articles/s41557-026-02239-x" TargetMode="External"/><Relationship Id="rId242" Type="http://schemas.openxmlformats.org/officeDocument/2006/relationships/hyperlink" Target="https://doi.org/10.1038/s41557-026-02239-x" TargetMode="External"/><Relationship Id="rId243" Type="http://schemas.openxmlformats.org/officeDocument/2006/relationships/hyperlink" Target="https://pubs.acs.org/aamick/article/doi/10.1021/acsami.6c09398/5278521/Cationic-Covalent-Organic-Framework-Based" TargetMode="External"/><Relationship Id="rId244" Type="http://schemas.openxmlformats.org/officeDocument/2006/relationships/hyperlink" Target="https://doi.org/10.1021/acsami.6c09398" TargetMode="External"/><Relationship Id="rId245" Type="http://schemas.openxmlformats.org/officeDocument/2006/relationships/hyperlink" Target="https://www.cell.com/joule/fulltext/S2542-4351(26)00318-1?rss=yes" TargetMode="External"/><Relationship Id="rId246" Type="http://schemas.openxmlformats.org/officeDocument/2006/relationships/hyperlink" Target="https://doi.org/10.1016/j.joule.2026.102634" TargetMode="External"/><Relationship Id="rId247" Type="http://schemas.openxmlformats.org/officeDocument/2006/relationships/hyperlink" Target="https://www.sciencedirect.com/science/article/pii/S0306261926013115?dgcid=rss_sd_all" TargetMode="External"/><Relationship Id="rId248" Type="http://schemas.openxmlformats.org/officeDocument/2006/relationships/hyperlink" Target="https://doi.org/10.1016/j.apenergy.2026.128655" TargetMode="External"/><Relationship Id="rId249" Type="http://schemas.openxmlformats.org/officeDocument/2006/relationships/hyperlink" Target="https://pubs.acs.org/jacsat/article/doi/10.1021/jacs.6c07045/5255248/A-Statistical-Mechanical-Framework-for-Predicting" TargetMode="External"/><Relationship Id="rId250" Type="http://schemas.openxmlformats.org/officeDocument/2006/relationships/hyperlink" Target="https://doi.org/10.1021/jacs.6c07045" TargetMode="External"/><Relationship Id="rId251" Type="http://schemas.openxmlformats.org/officeDocument/2006/relationships/hyperlink" Target="https://advanced.onlinelibrary.wiley.com/doi/10.1002/adma.74613?af=R" TargetMode="External"/><Relationship Id="rId252" Type="http://schemas.openxmlformats.org/officeDocument/2006/relationships/hyperlink" Target="https://doi.org/10.1002/adma.74613" TargetMode="External"/><Relationship Id="rId253" Type="http://schemas.openxmlformats.org/officeDocument/2006/relationships/hyperlink" Target="https://www.sciencedirect.com/science/article/pii/S0306261926012791?dgcid=rss_sd_all" TargetMode="External"/><Relationship Id="rId254" Type="http://schemas.openxmlformats.org/officeDocument/2006/relationships/hyperlink" Target="https://doi.org/10.1016/j.apenergy.2026.128623" TargetMode="External"/><Relationship Id="rId255" Type="http://schemas.openxmlformats.org/officeDocument/2006/relationships/hyperlink" Target="https://www.nature.com/articles/s41560-026-02123-5" TargetMode="External"/><Relationship Id="rId256" Type="http://schemas.openxmlformats.org/officeDocument/2006/relationships/hyperlink" Target="https://doi.org/10.1038/s41560-026-02123-5" TargetMode="External"/><Relationship Id="rId257" Type="http://schemas.openxmlformats.org/officeDocument/2006/relationships/hyperlink" Target="https://pubs.acs.org/aamick/article/doi/10.1021/acsami.6c09617/5259450/Free-Standing-N-Doped-Nanoporous-Graphene" TargetMode="External"/><Relationship Id="rId258" Type="http://schemas.openxmlformats.org/officeDocument/2006/relationships/hyperlink" Target="https://doi.org/10.1021/acsami.6c09617" TargetMode="External"/><Relationship Id="rId259" Type="http://schemas.openxmlformats.org/officeDocument/2006/relationships/hyperlink" Target="https://pubs.acs.org/aamick/article/doi/10.1021/acsami.6c08889/5262912/Efficient-Fabrication-of-PVDF-Separators-with" TargetMode="External"/><Relationship Id="rId260" Type="http://schemas.openxmlformats.org/officeDocument/2006/relationships/hyperlink" Target="https://doi.org/10.1021/acsami.6c08889" TargetMode="External"/><Relationship Id="rId261" Type="http://schemas.openxmlformats.org/officeDocument/2006/relationships/hyperlink" Target="https://www.sciencedirect.com/science/article/pii/S0306261926013449?dgcid=rss_sd_all" TargetMode="External"/><Relationship Id="rId262" Type="http://schemas.openxmlformats.org/officeDocument/2006/relationships/hyperlink" Target="https://doi.org/10.1016/j.apenergy.2026.128688" TargetMode="External"/><Relationship Id="rId263" Type="http://schemas.openxmlformats.org/officeDocument/2006/relationships/hyperlink" Target="https://www.sciencedirect.com/science/article/pii/S0306261926012511?dgcid=rss_sd_all" TargetMode="External"/><Relationship Id="rId264" Type="http://schemas.openxmlformats.org/officeDocument/2006/relationships/hyperlink" Target="https://doi.org/10.1016/j.apenergy.2026.128595" TargetMode="External"/><Relationship Id="rId265" Type="http://schemas.openxmlformats.org/officeDocument/2006/relationships/hyperlink" Target="https://www.sciencedirect.com/science/article/pii/S0306261926013097?dgcid=rss_sd_all" TargetMode="External"/><Relationship Id="rId266" Type="http://schemas.openxmlformats.org/officeDocument/2006/relationships/hyperlink" Target="https://doi.org/10.1016/j.apenergy.2026.128653" TargetMode="External"/><Relationship Id="rId267" Type="http://schemas.openxmlformats.org/officeDocument/2006/relationships/hyperlink" Target="https://www.sciencedirect.com/science/article/pii/S0306261926013371?dgcid=rss_sd_all" TargetMode="External"/><Relationship Id="rId268" Type="http://schemas.openxmlformats.org/officeDocument/2006/relationships/hyperlink" Target="https://doi.org/10.1016/j.apenergy.2026.128681" TargetMode="External"/><Relationship Id="rId269" Type="http://schemas.openxmlformats.org/officeDocument/2006/relationships/hyperlink" Target="https://www.sciencedirect.com/science/article/pii/S0306261926013450?dgcid=rss_sd_all" TargetMode="External"/><Relationship Id="rId270" Type="http://schemas.openxmlformats.org/officeDocument/2006/relationships/hyperlink" Target="https://doi.org/10.1016/j.apenergy.2026.128689" TargetMode="External"/><Relationship Id="rId271" Type="http://schemas.openxmlformats.org/officeDocument/2006/relationships/hyperlink" Target="https://www.cell.com/joule/fulltext/S2542-4351(26)00316-8?rss=yes" TargetMode="External"/><Relationship Id="rId272" Type="http://schemas.openxmlformats.org/officeDocument/2006/relationships/hyperlink" Target="https://doi.org/10.1016/j.joule.2026.102632" TargetMode="External"/><Relationship Id="rId273" Type="http://schemas.openxmlformats.org/officeDocument/2006/relationships/hyperlink" Target="https://advanced.onlinelibrary.wiley.com/doi/10.1002/aenm.71398?af=R" TargetMode="External"/><Relationship Id="rId274" Type="http://schemas.openxmlformats.org/officeDocument/2006/relationships/hyperlink" Target="https://doi.org/10.1002/aenm.71398" TargetMode="External"/><Relationship Id="rId275" Type="http://schemas.openxmlformats.org/officeDocument/2006/relationships/hyperlink" Target="https://advanced.onlinelibrary.wiley.com/doi/10.1002/aenm.71466?af=R" TargetMode="External"/><Relationship Id="rId276" Type="http://schemas.openxmlformats.org/officeDocument/2006/relationships/hyperlink" Target="https://doi.org/10.1002/aenm.71466" TargetMode="External"/><Relationship Id="rId277" Type="http://schemas.openxmlformats.org/officeDocument/2006/relationships/hyperlink" Target="https://advanced.onlinelibrary.wiley.com/doi/10.1002/aenm.71480?af=R" TargetMode="External"/><Relationship Id="rId278" Type="http://schemas.openxmlformats.org/officeDocument/2006/relationships/hyperlink" Target="https://doi.org/10.1002/aenm.71480" TargetMode="External"/><Relationship Id="rId279" Type="http://schemas.openxmlformats.org/officeDocument/2006/relationships/hyperlink" Target="https://advanced.onlinelibrary.wiley.com/doi/10.1002/aenm.71328?af=R" TargetMode="External"/><Relationship Id="rId280" Type="http://schemas.openxmlformats.org/officeDocument/2006/relationships/hyperlink" Target="https://doi.org/10.1002/aenm.71328" TargetMode="External"/><Relationship Id="rId281" Type="http://schemas.openxmlformats.org/officeDocument/2006/relationships/hyperlink" Target="https://pubs.acs.org/jacsat/article/doi/10.1021/jacs.6c10753/5278474/Self-Transformed-MOF-on-MXene-Heterostructure-as" TargetMode="External"/><Relationship Id="rId282" Type="http://schemas.openxmlformats.org/officeDocument/2006/relationships/hyperlink" Target="https://doi.org/10.1021/jacs.6c10753" TargetMode="External"/><Relationship Id="rId283" Type="http://schemas.openxmlformats.org/officeDocument/2006/relationships/hyperlink" Target="https://www.nature.com/articles/s41557-026-02219-1" TargetMode="External"/><Relationship Id="rId284" Type="http://schemas.openxmlformats.org/officeDocument/2006/relationships/hyperlink" Target="https://doi.org/10.1038/s41557-026-02219-1" TargetMode="External"/><Relationship Id="rId285" Type="http://schemas.openxmlformats.org/officeDocument/2006/relationships/hyperlink" Target="https://www.sciencedirect.com/science/article/pii/S0306261926013334?dgcid=rss_sd_all" TargetMode="External"/><Relationship Id="rId286" Type="http://schemas.openxmlformats.org/officeDocument/2006/relationships/hyperlink" Target="https://doi.org/10.1016/j.apenergy.2026.128677" TargetMode="External"/><Relationship Id="rId287" Type="http://schemas.openxmlformats.org/officeDocument/2006/relationships/hyperlink" Target="https://www.sciencedirect.com/science/article/pii/S0306261926012869?dgcid=rss_sd_all" TargetMode="External"/><Relationship Id="rId288" Type="http://schemas.openxmlformats.org/officeDocument/2006/relationships/hyperlink" Target="https://doi.org/10.1016/j.apenergy.2026.128630" TargetMode="External"/><Relationship Id="rId289" Type="http://schemas.openxmlformats.org/officeDocument/2006/relationships/hyperlink" Target="https://pubs.acs.org/jacsat/article/doi/10.1021/jacs.6c03924/5256077/Decoupling-Ion-Transport-from-Water-Flow-in-Rigid" TargetMode="External"/><Relationship Id="rId290" Type="http://schemas.openxmlformats.org/officeDocument/2006/relationships/hyperlink" Target="https://doi.org/10.1021/jacs.6c03924" TargetMode="External"/><Relationship Id="rId291" Type="http://schemas.openxmlformats.org/officeDocument/2006/relationships/hyperlink" Target="https://pubs.acs.org/aamick/article/doi/10.1021/acsami.6c10714/5254743/Giant-Electrostrain-from-Inherent-Strain-for-KNN" TargetMode="External"/><Relationship Id="rId292" Type="http://schemas.openxmlformats.org/officeDocument/2006/relationships/hyperlink" Target="https://doi.org/10.1021/acsami.6c10714" TargetMode="External"/><Relationship Id="rId293" Type="http://schemas.openxmlformats.org/officeDocument/2006/relationships/hyperlink" Target="https://www.nature.com/articles/s41565-026-02256-4" TargetMode="External"/><Relationship Id="rId294" Type="http://schemas.openxmlformats.org/officeDocument/2006/relationships/hyperlink" Target="https://doi.org/10.1038/s41565-026-02256-4" TargetMode="External"/><Relationship Id="rId295" Type="http://schemas.openxmlformats.org/officeDocument/2006/relationships/hyperlink" Target="https://pubs.acs.org/jacsat/article/doi/10.1021/jacs.6c09549/5261143/Rechargeable-Aluminum-Organic-Batteries-with" TargetMode="External"/><Relationship Id="rId296" Type="http://schemas.openxmlformats.org/officeDocument/2006/relationships/hyperlink" Target="https://doi.org/10.1021/jacs.6c09549" TargetMode="External"/><Relationship Id="rId297" Type="http://schemas.openxmlformats.org/officeDocument/2006/relationships/hyperlink" Target="https://pubs.acs.org/aamick/article/doi/10.1021/acsami.6c11538/5259446/Iodine-Functionalized-rGO-Graphite-Felt-Interfaces" TargetMode="External"/><Relationship Id="rId298" Type="http://schemas.openxmlformats.org/officeDocument/2006/relationships/hyperlink" Target="https://doi.org/10.1021/acsami.6c11538" TargetMode="External"/><Relationship Id="rId299" Type="http://schemas.openxmlformats.org/officeDocument/2006/relationships/hyperlink" Target="https://advanced.onlinelibrary.wiley.com/doi/10.1002/adma.74499?af=R" TargetMode="External"/><Relationship Id="rId300" Type="http://schemas.openxmlformats.org/officeDocument/2006/relationships/hyperlink" Target="https://doi.org/10.1002/adma.74499" TargetMode="External"/><Relationship Id="rId301" Type="http://schemas.openxmlformats.org/officeDocument/2006/relationships/hyperlink" Target="https://onlinelibrary.wiley.com/doi/10.1002/anie.3540036?af=R" TargetMode="External"/><Relationship Id="rId302" Type="http://schemas.openxmlformats.org/officeDocument/2006/relationships/hyperlink" Target="https://doi.org/10.1002/anie.3540036" TargetMode="External"/><Relationship Id="rId303" Type="http://schemas.openxmlformats.org/officeDocument/2006/relationships/hyperlink" Target="https://www.cell.com/joule/fulltext/S2542-4351(26)00306-5?rss=yes" TargetMode="External"/><Relationship Id="rId304" Type="http://schemas.openxmlformats.org/officeDocument/2006/relationships/hyperlink" Target="https://doi.org/10.1016/j.joule.2026.102622" TargetMode="External"/><Relationship Id="rId305" Type="http://schemas.openxmlformats.org/officeDocument/2006/relationships/hyperlink" Target="https://pubs.acs.org/aamick/article/doi/10.1021/acsami.6c11110/5275726/Oxygen-Vacancy-Driven-Anion-Gating-for-High" TargetMode="External"/><Relationship Id="rId306" Type="http://schemas.openxmlformats.org/officeDocument/2006/relationships/hyperlink" Target="https://doi.org/10.1021/acsami.6c11110" TargetMode="External"/><Relationship Id="rId307" Type="http://schemas.openxmlformats.org/officeDocument/2006/relationships/hyperlink" Target="https://pubs.acs.org/aamick/article/doi/10.1021/acsami.6c09054/5266155/Kinetic-Insight-into-the-Nucleation-and-Growth-of" TargetMode="External"/><Relationship Id="rId308" Type="http://schemas.openxmlformats.org/officeDocument/2006/relationships/hyperlink" Target="https://doi.org/10.1021/acsami.6c09054" TargetMode="External"/><Relationship Id="rId309" Type="http://schemas.openxmlformats.org/officeDocument/2006/relationships/hyperlink" Target="https://pubs.acs.org/jacsat/article/doi/10.1021/jacs.6c05840/5275192/Mastering-Electrocatalytic-Microenvironment" TargetMode="External"/><Relationship Id="rId310" Type="http://schemas.openxmlformats.org/officeDocument/2006/relationships/hyperlink" Target="https://doi.org/10.1021/jacs.6c05840" TargetMode="External"/><Relationship Id="rId311" Type="http://schemas.openxmlformats.org/officeDocument/2006/relationships/hyperlink" Target="https://www.nature.com/articles/s41928-026-01685-2" TargetMode="External"/><Relationship Id="rId312" Type="http://schemas.openxmlformats.org/officeDocument/2006/relationships/hyperlink" Target="https://doi.org/10.1038/s41928-026-01685-2" TargetMode="External"/><Relationship Id="rId313" Type="http://schemas.openxmlformats.org/officeDocument/2006/relationships/hyperlink" Target="https://www.cell.com/matter/fulltext/S2590-2385(26)00331-0?rss=yes" TargetMode="External"/><Relationship Id="rId314" Type="http://schemas.openxmlformats.org/officeDocument/2006/relationships/hyperlink" Target="https://doi.org/10.1016/j.matt.2026.102968" TargetMode="External"/><Relationship Id="rId315" Type="http://schemas.openxmlformats.org/officeDocument/2006/relationships/hyperlink" Target="https://pubs.acs.org/aamick/article/doi/10.1021/acsami.6c06854/5275793/Capacitive-Dominant-Ion-Storage-in-Electronically" TargetMode="External"/><Relationship Id="rId316" Type="http://schemas.openxmlformats.org/officeDocument/2006/relationships/hyperlink" Target="https://doi.org/10.1021/acsami.6c06854" TargetMode="External"/><Relationship Id="rId317" Type="http://schemas.openxmlformats.org/officeDocument/2006/relationships/hyperlink" Target="https://advanced.onlinelibrary.wiley.com/doi/10.1002/aenm.71352?af=R" TargetMode="External"/><Relationship Id="rId318" Type="http://schemas.openxmlformats.org/officeDocument/2006/relationships/hyperlink" Target="https://doi.org/10.1002/aenm.71352" TargetMode="External"/><Relationship Id="rId319" Type="http://schemas.openxmlformats.org/officeDocument/2006/relationships/hyperlink" Target="https://www.science.org/doi/abs/10.1126/sciadv.aef8903?af=R" TargetMode="External"/><Relationship Id="rId320" Type="http://schemas.openxmlformats.org/officeDocument/2006/relationships/hyperlink" Target="https://doi.org/10.1126/sciadv.aef8903" TargetMode="External"/><Relationship Id="rId321" Type="http://schemas.openxmlformats.org/officeDocument/2006/relationships/hyperlink" Target="https://www.science.org/doi/abs/10.1126/sciadv.aeh9625?af=R" TargetMode="External"/><Relationship Id="rId322" Type="http://schemas.openxmlformats.org/officeDocument/2006/relationships/hyperlink" Target="https://doi.org/10.1126/sciadv.aeh9625" TargetMode="External"/><Relationship Id="rId323" Type="http://schemas.openxmlformats.org/officeDocument/2006/relationships/hyperlink" Target="https://advanced.onlinelibrary.wiley.com/doi/10.1002/aenm.71476?af=R" TargetMode="External"/><Relationship Id="rId324" Type="http://schemas.openxmlformats.org/officeDocument/2006/relationships/hyperlink" Target="https://doi.org/10.1002/aenm.71476" TargetMode="External"/><Relationship Id="rId325" Type="http://schemas.openxmlformats.org/officeDocument/2006/relationships/hyperlink" Target="https://onlinelibrary.wiley.com/doi/10.1002/anie.8680687?af=R" TargetMode="External"/><Relationship Id="rId326" Type="http://schemas.openxmlformats.org/officeDocument/2006/relationships/hyperlink" Target="https://doi.org/10.1002/anie.8680687" TargetMode="External"/><Relationship Id="rId327" Type="http://schemas.openxmlformats.org/officeDocument/2006/relationships/hyperlink" Target="https://advanced.onlinelibrary.wiley.com/doi/10.1002/adma.74713?af=R" TargetMode="External"/><Relationship Id="rId328" Type="http://schemas.openxmlformats.org/officeDocument/2006/relationships/hyperlink" Target="https://doi.org/10.1002/adma.74713" TargetMode="External"/><Relationship Id="rId329" Type="http://schemas.openxmlformats.org/officeDocument/2006/relationships/hyperlink" Target="https://advanced.onlinelibrary.wiley.com/doi/10.1002/aenm.71458?af=R" TargetMode="External"/><Relationship Id="rId330" Type="http://schemas.openxmlformats.org/officeDocument/2006/relationships/hyperlink" Target="https://doi.org/10.1002/aenm.71458" TargetMode="External"/><Relationship Id="rId331" Type="http://schemas.openxmlformats.org/officeDocument/2006/relationships/hyperlink" Target="https://onlinelibrary.wiley.com/doi/10.1002/anie.4798889?af=R" TargetMode="External"/><Relationship Id="rId332" Type="http://schemas.openxmlformats.org/officeDocument/2006/relationships/hyperlink" Target="https://doi.org/10.1002/anie.4798889" TargetMode="External"/><Relationship Id="rId333" Type="http://schemas.openxmlformats.org/officeDocument/2006/relationships/hyperlink" Target="https://pubs.acs.org/aamick/article/doi/10.1021/acsami.6c09763/5278404/PTFE-Based-Triboelectric-Nanogenerator-with-All" TargetMode="External"/><Relationship Id="rId334" Type="http://schemas.openxmlformats.org/officeDocument/2006/relationships/hyperlink" Target="https://doi.org/10.1021/acsami.6c09763" TargetMode="External"/><Relationship Id="rId335" Type="http://schemas.openxmlformats.org/officeDocument/2006/relationships/hyperlink" Target="https://pubs.acs.org/aamick/article/doi/10.1021/acsami.6c11003/5278412/A-Flexible-Hydrogel-Based-Dual-Modal-Sensor-System" TargetMode="External"/><Relationship Id="rId336" Type="http://schemas.openxmlformats.org/officeDocument/2006/relationships/hyperlink" Target="https://doi.org/10.1021/acsami.6c11003" TargetMode="External"/><Relationship Id="rId337" Type="http://schemas.openxmlformats.org/officeDocument/2006/relationships/hyperlink" Target="https://pubs.acs.org/aamick/article/doi/10.1021/acsami.6c05813/5277628/Functional-Mimicry-of-Neural-Sensory-Systems-Using" TargetMode="External"/><Relationship Id="rId338" Type="http://schemas.openxmlformats.org/officeDocument/2006/relationships/hyperlink" Target="https://doi.org/10.1021/acsami.6c05813" TargetMode="External"/><Relationship Id="rId339" Type="http://schemas.openxmlformats.org/officeDocument/2006/relationships/hyperlink" Target="https://www.sciencedirect.com/science/article/pii/S0301421526004891?dgcid=rss_sd_all" TargetMode="External"/><Relationship Id="rId340" Type="http://schemas.openxmlformats.org/officeDocument/2006/relationships/hyperlink" Target="https://doi.org/10.1016/j.enpol.2026.115555" TargetMode="External"/><Relationship Id="rId341" Type="http://schemas.openxmlformats.org/officeDocument/2006/relationships/hyperlink" Target="https://pubs.acs.org/aamick/article/doi/10.1021/acsami.6c10266/5256026/Strategies-for-the-Integration-of-Multifunctional" TargetMode="External"/><Relationship Id="rId342" Type="http://schemas.openxmlformats.org/officeDocument/2006/relationships/hyperlink" Target="https://doi.org/10.1021/acsami.6c10266" TargetMode="External"/><Relationship Id="rId343" Type="http://schemas.openxmlformats.org/officeDocument/2006/relationships/hyperlink" Target="https://www.sciencedirect.com/science/article/pii/S0306261926012523?dgcid=rss_sd_all" TargetMode="External"/><Relationship Id="rId344" Type="http://schemas.openxmlformats.org/officeDocument/2006/relationships/hyperlink" Target="https://doi.org/10.1016/j.apenergy.2026.128596" TargetMode="External"/><Relationship Id="rId345" Type="http://schemas.openxmlformats.org/officeDocument/2006/relationships/hyperlink" Target="https://www.sciencedirect.com/science/article/pii/S0306261926012341?dgcid=rss_sd_all" TargetMode="External"/><Relationship Id="rId346" Type="http://schemas.openxmlformats.org/officeDocument/2006/relationships/hyperlink" Target="https://doi.org/10.1016/j.apenergy.2026.128578" TargetMode="External"/><Relationship Id="rId347" Type="http://schemas.openxmlformats.org/officeDocument/2006/relationships/hyperlink" Target="https://www.cell.com/joule/fulltext/S2542-4351(26)00311-9?rss=yes" TargetMode="External"/><Relationship Id="rId348" Type="http://schemas.openxmlformats.org/officeDocument/2006/relationships/hyperlink" Target="https://doi.org/10.1016/j.joule.2026.102627" TargetMode="External"/><Relationship Id="rId349" Type="http://schemas.openxmlformats.org/officeDocument/2006/relationships/hyperlink" Target="https://academic.oup.com/nsr/advance-article/doi/10.1093/nsr/nwag499/8762556?rss=1" TargetMode="External"/><Relationship Id="rId350" Type="http://schemas.openxmlformats.org/officeDocument/2006/relationships/hyperlink" Target="https://doi.org/10.1093/nsr/nwag499" TargetMode="External"/><Relationship Id="rId351" Type="http://schemas.openxmlformats.org/officeDocument/2006/relationships/hyperlink" Target="https://pubs.acs.org/aamick/article/doi/10.1021/acsami.6c11557/5259462/Salt-Resistant-Self-Floating-Composite-Hydrogel" TargetMode="External"/><Relationship Id="rId352" Type="http://schemas.openxmlformats.org/officeDocument/2006/relationships/hyperlink" Target="https://doi.org/10.1021/acsami.6c11557" TargetMode="External"/><Relationship Id="rId353" Type="http://schemas.openxmlformats.org/officeDocument/2006/relationships/hyperlink" Target="https://pubs.acs.org/aamick/article/doi/10.1021/acsami.6c08764/5259477/Local-Chemistry-Guided-Molecular-Beam-Epitaxy" TargetMode="External"/><Relationship Id="rId354" Type="http://schemas.openxmlformats.org/officeDocument/2006/relationships/hyperlink" Target="https://doi.org/10.1021/acsami.6c08764" TargetMode="External"/><Relationship Id="rId355" Type="http://schemas.openxmlformats.org/officeDocument/2006/relationships/hyperlink" Target="https://www.sciencedirect.com/science/article/pii/S0306261926013401?dgcid=rss_sd_all" TargetMode="External"/><Relationship Id="rId356" Type="http://schemas.openxmlformats.org/officeDocument/2006/relationships/hyperlink" Target="https://doi.org/10.1016/j.apenergy.2026.128684" TargetMode="External"/><Relationship Id="rId357" Type="http://schemas.openxmlformats.org/officeDocument/2006/relationships/hyperlink" Target="https://pubs.acs.org/aamick/article/doi/10.1021/acsami.6c12075/5259447/Chemically-Engineered-Micro-Nanostructures-on" TargetMode="External"/><Relationship Id="rId358" Type="http://schemas.openxmlformats.org/officeDocument/2006/relationships/hyperlink" Target="https://doi.org/10.1021/acsami.6c12075" TargetMode="External"/><Relationship Id="rId359" Type="http://schemas.openxmlformats.org/officeDocument/2006/relationships/hyperlink" Target="https://pubs.acs.org/aamick/article/doi/10.1021/acsami.6c11140/5257673/High-Performance-Microchannel-Flow-Boiling" TargetMode="External"/><Relationship Id="rId360" Type="http://schemas.openxmlformats.org/officeDocument/2006/relationships/hyperlink" Target="https://doi.org/10.1021/acsami.6c11140" TargetMode="External"/><Relationship Id="rId361" Type="http://schemas.openxmlformats.org/officeDocument/2006/relationships/hyperlink" Target="https://advanced.onlinelibrary.wiley.com/doi/10.1002/adma.74685?af=R" TargetMode="External"/><Relationship Id="rId362" Type="http://schemas.openxmlformats.org/officeDocument/2006/relationships/hyperlink" Target="https://doi.org/10.1002/adma.74685" TargetMode="External"/><Relationship Id="rId363" Type="http://schemas.openxmlformats.org/officeDocument/2006/relationships/hyperlink" Target="https://www.sciencedirect.com/science/article/pii/S0306261926013413?dgcid=rss_sd_all" TargetMode="External"/><Relationship Id="rId364" Type="http://schemas.openxmlformats.org/officeDocument/2006/relationships/hyperlink" Target="https://doi.org/10.1016/j.apenergy.2026.128685" TargetMode="External"/><Relationship Id="rId365" Type="http://schemas.openxmlformats.org/officeDocument/2006/relationships/hyperlink" Target="https://pubs.acs.org/aamick/article/doi/10.1021/acsami.6c10892/5266267/Self-Adaptive-Thermoregulating-Coating-for-All" TargetMode="External"/><Relationship Id="rId366" Type="http://schemas.openxmlformats.org/officeDocument/2006/relationships/hyperlink" Target="https://doi.org/10.1021/acsami.6c10892" TargetMode="External"/><Relationship Id="rId367" Type="http://schemas.openxmlformats.org/officeDocument/2006/relationships/hyperlink" Target="https://pubs.acs.org/aamick/article/doi/10.1021/acsami.6c10327/5275470/A-Coral-Inspired-Photoluminescent-Phase-Change" TargetMode="External"/><Relationship Id="rId368" Type="http://schemas.openxmlformats.org/officeDocument/2006/relationships/hyperlink" Target="https://doi.org/10.1021/acsami.6c10327" TargetMode="External"/><Relationship Id="rId369" Type="http://schemas.openxmlformats.org/officeDocument/2006/relationships/hyperlink" Target="https://pubs.acs.org/aamick/article/doi/10.1021/acsami.6c11169/5275843/Room-Temperature-Fabricated-All-Inorganic" TargetMode="External"/><Relationship Id="rId370" Type="http://schemas.openxmlformats.org/officeDocument/2006/relationships/hyperlink" Target="https://doi.org/10.1021/acsami.6c11169" TargetMode="External"/><Relationship Id="rId371" Type="http://schemas.openxmlformats.org/officeDocument/2006/relationships/hyperlink" Target="https://pubs.acs.org/aamick/article/doi/10.1021/acsami.6c11500/5276964/Biodegradable-Janus-Membrane-Featuring-Asymmetric" TargetMode="External"/><Relationship Id="rId372" Type="http://schemas.openxmlformats.org/officeDocument/2006/relationships/hyperlink" Target="https://doi.org/10.1021/acsami.6c11500" TargetMode="External"/><Relationship Id="rId373" Type="http://schemas.openxmlformats.org/officeDocument/2006/relationships/hyperlink" Target="https://www.science.org/doi/abs/10.1126/sciadv.aee2017?af=R" TargetMode="External"/><Relationship Id="rId374" Type="http://schemas.openxmlformats.org/officeDocument/2006/relationships/hyperlink" Target="https://doi.org/10.1126/sciadv.aee2017" TargetMode="External"/><Relationship Id="rId375" Type="http://schemas.openxmlformats.org/officeDocument/2006/relationships/hyperlink" Target="https://advanced.onlinelibrary.wiley.com/doi/10.1002/adma.74733?af=R" TargetMode="External"/><Relationship Id="rId376" Type="http://schemas.openxmlformats.org/officeDocument/2006/relationships/hyperlink" Target="https://doi.org/10.1002/adma.74733" TargetMode="External"/><Relationship Id="rId377" Type="http://schemas.openxmlformats.org/officeDocument/2006/relationships/hyperlink" Target="https://pubs.acs.org/aamick/article/doi/10.1021/acsami.6c10088/5278316/Breaking-the-Thermal-Conductivity-Latent-Heat" TargetMode="External"/><Relationship Id="rId378" Type="http://schemas.openxmlformats.org/officeDocument/2006/relationships/hyperlink" Target="https://doi.org/10.1021/acsami.6c10088" TargetMode="External"/><Relationship Id="rId379" Type="http://schemas.openxmlformats.org/officeDocument/2006/relationships/hyperlink" Target="https://iopscience.iop.org/article/10.1088/1741-4326/ae9561" TargetMode="External"/><Relationship Id="rId380" Type="http://schemas.openxmlformats.org/officeDocument/2006/relationships/hyperlink" Target="https://doi.org/10.1088/1741-4326/ae9561" TargetMode="External"/><Relationship Id="rId381" Type="http://schemas.openxmlformats.org/officeDocument/2006/relationships/hyperlink" Target="https://iopscience.iop.org/article/10.1088/1741-4326/ae9491" TargetMode="External"/><Relationship Id="rId382" Type="http://schemas.openxmlformats.org/officeDocument/2006/relationships/hyperlink" Target="https://doi.org/10.1088/1741-4326/ae9491" TargetMode="External"/><Relationship Id="rId383" Type="http://schemas.openxmlformats.org/officeDocument/2006/relationships/hyperlink" Target="http://link.aps.org/doi/10.1103/l2dq-9spg" TargetMode="External"/><Relationship Id="rId384" Type="http://schemas.openxmlformats.org/officeDocument/2006/relationships/hyperlink" Target="https://doi.org/10.1103/l2dq-9spg" TargetMode="External"/><Relationship Id="rId385" Type="http://schemas.openxmlformats.org/officeDocument/2006/relationships/hyperlink" Target="https://iopscience.iop.org/article/10.1088/1741-4326/ae8f56" TargetMode="External"/><Relationship Id="rId386" Type="http://schemas.openxmlformats.org/officeDocument/2006/relationships/hyperlink" Target="https://doi.org/10.1088/1741-4326/ae8f56" TargetMode="External"/><Relationship Id="rId387" Type="http://schemas.openxmlformats.org/officeDocument/2006/relationships/hyperlink" Target="https://iopscience.iop.org/article/10.1088/1741-4326/ae9323" TargetMode="External"/><Relationship Id="rId388" Type="http://schemas.openxmlformats.org/officeDocument/2006/relationships/hyperlink" Target="https://doi.org/10.1088/1741-4326/ae9323" TargetMode="External"/><Relationship Id="rId389" Type="http://schemas.openxmlformats.org/officeDocument/2006/relationships/hyperlink" Target="https://iopscience.iop.org/article/10.1088/1741-4326/ae916c" TargetMode="External"/><Relationship Id="rId390" Type="http://schemas.openxmlformats.org/officeDocument/2006/relationships/hyperlink" Target="https://doi.org/10.1088/1741-4326/ae916c" TargetMode="External"/><Relationship Id="rId391" Type="http://schemas.openxmlformats.org/officeDocument/2006/relationships/hyperlink" Target="https://iopscience.iop.org/article/10.1088/1741-4326/ae9321" TargetMode="External"/><Relationship Id="rId392" Type="http://schemas.openxmlformats.org/officeDocument/2006/relationships/hyperlink" Target="https://doi.org/10.1088/1741-4326/ae9321" TargetMode="External"/><Relationship Id="rId393" Type="http://schemas.openxmlformats.org/officeDocument/2006/relationships/hyperlink" Target="https://iopscience.iop.org/article/10.1088/1741-4326/ae96c0" TargetMode="External"/><Relationship Id="rId394" Type="http://schemas.openxmlformats.org/officeDocument/2006/relationships/hyperlink" Target="https://doi.org/10.1088/1741-4326/ae96c0" TargetMode="External"/><Relationship Id="rId395" Type="http://schemas.openxmlformats.org/officeDocument/2006/relationships/hyperlink" Target="http://link.aps.org/doi/10.1103/gqpy-pmbf" TargetMode="External"/><Relationship Id="rId396" Type="http://schemas.openxmlformats.org/officeDocument/2006/relationships/hyperlink" Target="https://doi.org/10.1103/gqpy-pmbf" TargetMode="External"/><Relationship Id="rId397" Type="http://schemas.openxmlformats.org/officeDocument/2006/relationships/hyperlink" Target="https://advanced.onlinelibrary.wiley.com/doi/10.1002/adma.74708?af=R" TargetMode="External"/><Relationship Id="rId398" Type="http://schemas.openxmlformats.org/officeDocument/2006/relationships/hyperlink" Target="https://doi.org/10.1002/adma.74708" TargetMode="External"/><Relationship Id="rId399" Type="http://schemas.openxmlformats.org/officeDocument/2006/relationships/hyperlink" Target="https://iopscience.iop.org/article/10.1088/1741-4326/ae929b" TargetMode="External"/><Relationship Id="rId400" Type="http://schemas.openxmlformats.org/officeDocument/2006/relationships/hyperlink" Target="https://doi.org/10.1088/1741-4326/ae929b" TargetMode="External"/><Relationship Id="rId401" Type="http://schemas.openxmlformats.org/officeDocument/2006/relationships/hyperlink" Target="https://iopscience.iop.org/article/10.1088/1741-4326/ae96c2" TargetMode="External"/><Relationship Id="rId402" Type="http://schemas.openxmlformats.org/officeDocument/2006/relationships/hyperlink" Target="https://doi.org/10.1088/1741-4326/ae96c2" TargetMode="External"/><Relationship Id="rId403" Type="http://schemas.openxmlformats.org/officeDocument/2006/relationships/hyperlink" Target="https://www.sciencedirect.com/science/article/pii/S0306261926013279?dgcid=rss_sd_all" TargetMode="External"/><Relationship Id="rId404" Type="http://schemas.openxmlformats.org/officeDocument/2006/relationships/hyperlink" Target="https://doi.org/10.1016/j.apenergy.2026.128671" TargetMode="External"/><Relationship Id="rId405" Type="http://schemas.openxmlformats.org/officeDocument/2006/relationships/hyperlink" Target="https://www.sciencedirect.com/science/article/pii/S0306261926012808?dgcid=rss_sd_all" TargetMode="External"/><Relationship Id="rId406" Type="http://schemas.openxmlformats.org/officeDocument/2006/relationships/hyperlink" Target="https://doi.org/10.1016/j.apenergy.2026.128624" TargetMode="External"/><Relationship Id="rId407" Type="http://schemas.openxmlformats.org/officeDocument/2006/relationships/hyperlink" Target="https://www.sciencedirect.com/science/article/pii/S0306261926012936?dgcid=rss_sd_all" TargetMode="External"/><Relationship Id="rId408" Type="http://schemas.openxmlformats.org/officeDocument/2006/relationships/hyperlink" Target="https://doi.org/10.1016/j.apenergy.2026.128637" TargetMode="External"/><Relationship Id="rId409" Type="http://schemas.openxmlformats.org/officeDocument/2006/relationships/hyperlink" Target="https://www.sciencedirect.com/science/article/pii/S0306261926013255?dgcid=rss_sd_all" TargetMode="External"/><Relationship Id="rId410" Type="http://schemas.openxmlformats.org/officeDocument/2006/relationships/hyperlink" Target="https://doi.org/10.1016/j.apenergy.2026.128669" TargetMode="External"/><Relationship Id="rId411" Type="http://schemas.openxmlformats.org/officeDocument/2006/relationships/hyperlink" Target="https://pubs.acs.org/aelccp/article/doi/10.1021/acsenergylett.6c01856/5255294/Building-a-Physics-Aware-AI-Ecosystem-for-Solid" TargetMode="External"/><Relationship Id="rId412" Type="http://schemas.openxmlformats.org/officeDocument/2006/relationships/hyperlink" Target="https://doi.org/10.1021/acsenergylett.6c01856" TargetMode="External"/><Relationship Id="rId413" Type="http://schemas.openxmlformats.org/officeDocument/2006/relationships/hyperlink" Target="https://onlinelibrary.wiley.com/doi/10.1002/anie.7969121?af=R" TargetMode="External"/><Relationship Id="rId414" Type="http://schemas.openxmlformats.org/officeDocument/2006/relationships/hyperlink" Target="https://doi.org/10.1002/anie.7969121" TargetMode="External"/><Relationship Id="rId415" Type="http://schemas.openxmlformats.org/officeDocument/2006/relationships/hyperlink" Target="https://www.sciencedirect.com/science/article/pii/S0306261926013280?dgcid=rss_sd_all" TargetMode="External"/><Relationship Id="rId416" Type="http://schemas.openxmlformats.org/officeDocument/2006/relationships/hyperlink" Target="https://doi.org/10.1016/j.apenergy.2026.128672" TargetMode="External"/><Relationship Id="rId417" Type="http://schemas.openxmlformats.org/officeDocument/2006/relationships/hyperlink" Target="https://www.sciencedirect.com/science/article/pii/S0306261926013437?dgcid=rss_sd_all" TargetMode="External"/><Relationship Id="rId418" Type="http://schemas.openxmlformats.org/officeDocument/2006/relationships/hyperlink" Target="https://doi.org/10.1016/j.apenergy.2026.128687" TargetMode="External"/><Relationship Id="rId419" Type="http://schemas.openxmlformats.org/officeDocument/2006/relationships/hyperlink" Target="https://www.sciencedirect.com/science/article/pii/S0306261926012882?dgcid=rss_sd_all" TargetMode="External"/><Relationship Id="rId420" Type="http://schemas.openxmlformats.org/officeDocument/2006/relationships/hyperlink" Target="https://doi.org/10.1016/j.apenergy.2026.128632" TargetMode="External"/><Relationship Id="rId421" Type="http://schemas.openxmlformats.org/officeDocument/2006/relationships/hyperlink" Target="https://advanced.onlinelibrary.wiley.com/doi/10.1002/aenm.71456?af=R" TargetMode="External"/><Relationship Id="rId422" Type="http://schemas.openxmlformats.org/officeDocument/2006/relationships/hyperlink" Target="https://doi.org/10.1002/aenm.71456" TargetMode="External"/><Relationship Id="rId423" Type="http://schemas.openxmlformats.org/officeDocument/2006/relationships/hyperlink" Target="https://www.cell.com/chem/fulltext/S2451-9294(26)00264-0?rss=yes" TargetMode="External"/><Relationship Id="rId424" Type="http://schemas.openxmlformats.org/officeDocument/2006/relationships/hyperlink" Target="https://doi.org/10.1016/j.chempr.2026.103198" TargetMode="External"/><Relationship Id="rId425" Type="http://schemas.openxmlformats.org/officeDocument/2006/relationships/hyperlink" Target="https://academic.oup.com/nsr/advance-article/doi/10.1093/nsr/nwag495/8762568?rss=1" TargetMode="External"/><Relationship Id="rId426" Type="http://schemas.openxmlformats.org/officeDocument/2006/relationships/hyperlink" Target="https://doi.org/10.1093/nsr/nwag495" TargetMode="External"/><Relationship Id="rId427" Type="http://schemas.openxmlformats.org/officeDocument/2006/relationships/hyperlink" Target="https://academic.oup.com/nsr/advance-article/doi/10.1093/nsr/nwag493/8762572?rss=1" TargetMode="External"/><Relationship Id="rId428" Type="http://schemas.openxmlformats.org/officeDocument/2006/relationships/hyperlink" Target="https://doi.org/10.1093/nsr/nwag493" TargetMode="External"/><Relationship Id="rId429" Type="http://schemas.openxmlformats.org/officeDocument/2006/relationships/hyperlink" Target="https://pubs.acs.org/jacsat/article/doi/10.1021/jacs.6c11994/5263704/Decoupling-the-Impact-of-Surface-Functionalization" TargetMode="External"/><Relationship Id="rId430" Type="http://schemas.openxmlformats.org/officeDocument/2006/relationships/hyperlink" Target="https://doi.org/10.1021/jacs.6c11994" TargetMode="External"/><Relationship Id="rId431" Type="http://schemas.openxmlformats.org/officeDocument/2006/relationships/hyperlink" Target="https://pubs.acs.org/chreay/article/doi/10.1021/acs.chemrev.6c00035/5260806/A-Review-of-Ammonia-NH3-Adsorption-in-Porous" TargetMode="External"/><Relationship Id="rId432" Type="http://schemas.openxmlformats.org/officeDocument/2006/relationships/hyperlink" Target="https://doi.org/10.1021/acs.chemrev.6c00035" TargetMode="External"/><Relationship Id="rId433" Type="http://schemas.openxmlformats.org/officeDocument/2006/relationships/hyperlink" Target="https://pubs.acs.org/aamick/article/doi/10.1021/acsami.6c09068/5260466/Oxygen-Vacancy-and-Alkali-Ion-Assisted-Nitrogen" TargetMode="External"/><Relationship Id="rId434" Type="http://schemas.openxmlformats.org/officeDocument/2006/relationships/hyperlink" Target="https://doi.org/10.1021/acsami.6c09068" TargetMode="External"/><Relationship Id="rId435" Type="http://schemas.openxmlformats.org/officeDocument/2006/relationships/hyperlink" Target="https://onlinelibrary.wiley.com/doi/10.1002/anie.4503768?af=R" TargetMode="External"/><Relationship Id="rId436" Type="http://schemas.openxmlformats.org/officeDocument/2006/relationships/hyperlink" Target="https://doi.org/10.1002/anie.4503768" TargetMode="External"/><Relationship Id="rId437" Type="http://schemas.openxmlformats.org/officeDocument/2006/relationships/hyperlink" Target="https://www.sciencedirect.com/science/article/pii/S0306261926013383?dgcid=rss_sd_all" TargetMode="External"/><Relationship Id="rId438" Type="http://schemas.openxmlformats.org/officeDocument/2006/relationships/hyperlink" Target="https://doi.org/10.1016/j.apenergy.2026.128682" TargetMode="External"/><Relationship Id="rId439" Type="http://schemas.openxmlformats.org/officeDocument/2006/relationships/hyperlink" Target="https://www.sciencedirect.com/science/article/pii/S0306261926013425?dgcid=rss_sd_all" TargetMode="External"/><Relationship Id="rId440" Type="http://schemas.openxmlformats.org/officeDocument/2006/relationships/hyperlink" Target="https://doi.org/10.1016/j.apenergy.2026.128686" TargetMode="External"/><Relationship Id="rId441" Type="http://schemas.openxmlformats.org/officeDocument/2006/relationships/hyperlink" Target="https://www.nature.com/articles/d41586-026-02531-3" TargetMode="External"/><Relationship Id="rId442" Type="http://schemas.openxmlformats.org/officeDocument/2006/relationships/hyperlink" Target="https://doi.org/10.1038/d41586-026-02531-3" TargetMode="External"/><Relationship Id="rId443" Type="http://schemas.openxmlformats.org/officeDocument/2006/relationships/hyperlink" Target="https://academic.oup.com/nsr/advance-article/doi/10.1093/nsr/nwag507/8763721?rss=1" TargetMode="External"/><Relationship Id="rId444" Type="http://schemas.openxmlformats.org/officeDocument/2006/relationships/hyperlink" Target="https://doi.org/10.1093/nsr/nwag507" TargetMode="External"/><Relationship Id="rId445" Type="http://schemas.openxmlformats.org/officeDocument/2006/relationships/hyperlink" Target="https://www.nature.com/articles/s41893-026-01878-9" TargetMode="External"/><Relationship Id="rId446" Type="http://schemas.openxmlformats.org/officeDocument/2006/relationships/hyperlink" Target="https://doi.org/10.1038/s41893-026-01878-9" TargetMode="External"/><Relationship Id="rId447" Type="http://schemas.openxmlformats.org/officeDocument/2006/relationships/hyperlink" Target="https://www.nature.com/articles/s41893-026-01907-7" TargetMode="External"/><Relationship Id="rId448" Type="http://schemas.openxmlformats.org/officeDocument/2006/relationships/hyperlink" Target="https://doi.org/10.1038/s41893-026-01907-7" TargetMode="External"/><Relationship Id="rId449" Type="http://schemas.openxmlformats.org/officeDocument/2006/relationships/hyperlink" Target="https://advanced.onlinelibrary.wiley.com/doi/10.1002/adma.74714?af=R" TargetMode="External"/><Relationship Id="rId450" Type="http://schemas.openxmlformats.org/officeDocument/2006/relationships/hyperlink" Target="https://doi.org/10.1002/adma.74714" TargetMode="External"/><Relationship Id="rId451" Type="http://schemas.openxmlformats.org/officeDocument/2006/relationships/hyperlink" Target="https://advanced.onlinelibrary.wiley.com/doi/10.1002/adma.74654?af=R" TargetMode="External"/><Relationship Id="rId452" Type="http://schemas.openxmlformats.org/officeDocument/2006/relationships/hyperlink" Target="https://doi.org/10.1002/adma.74654" TargetMode="External"/><Relationship Id="rId453" Type="http://schemas.openxmlformats.org/officeDocument/2006/relationships/hyperlink" Target="https://advanced.onlinelibrary.wiley.com/doi/10.1002/adma.74676?af=R" TargetMode="External"/><Relationship Id="rId454" Type="http://schemas.openxmlformats.org/officeDocument/2006/relationships/hyperlink" Target="https://doi.org/10.1002/adma.74676" TargetMode="External"/><Relationship Id="rId455" Type="http://schemas.openxmlformats.org/officeDocument/2006/relationships/hyperlink" Target="https://www.nature.com/articles/d41586-026-02373-z" TargetMode="External"/><Relationship Id="rId456" Type="http://schemas.openxmlformats.org/officeDocument/2006/relationships/hyperlink" Target="https://doi.org/10.1038/d41586-026-02373-z" TargetMode="External"/><Relationship Id="rId457" Type="http://schemas.openxmlformats.org/officeDocument/2006/relationships/hyperlink" Target="https://www.cell.com/joule/fulltext/S2542-4351(26)00314-4?rss=yes" TargetMode="External"/><Relationship Id="rId458" Type="http://schemas.openxmlformats.org/officeDocument/2006/relationships/hyperlink" Target="https://doi.org/10.1016/j.joule.2026.102630" TargetMode="External"/><Relationship Id="rId459" Type="http://schemas.openxmlformats.org/officeDocument/2006/relationships/hyperlink" Target="https://pubs.acs.org/aamick/article/doi/10.1021/acsami.6c11658/5275739/NHS-Enabled-Molecular-Stitching-of-g-C3N4" TargetMode="External"/><Relationship Id="rId460" Type="http://schemas.openxmlformats.org/officeDocument/2006/relationships/hyperlink" Target="https://doi.org/10.1021/acsami.6c11658" TargetMode="External"/><Relationship Id="rId461" Type="http://schemas.openxmlformats.org/officeDocument/2006/relationships/hyperlink" Target="https://pubs.acs.org/aamick/article/doi/10.1021/acsami.6c10878/5275827/Promoting-Efficient-Ethanol-Oxidation-via" TargetMode="External"/><Relationship Id="rId462" Type="http://schemas.openxmlformats.org/officeDocument/2006/relationships/hyperlink" Target="https://doi.org/10.1021/acsami.6c10878" TargetMode="External"/><Relationship Id="rId463" Type="http://schemas.openxmlformats.org/officeDocument/2006/relationships/hyperlink" Target="https://advanced.onlinelibrary.wiley.com/doi/10.1002/adma.74554?af=R" TargetMode="External"/><Relationship Id="rId464" Type="http://schemas.openxmlformats.org/officeDocument/2006/relationships/hyperlink" Target="https://doi.org/10.1002/adma.74554" TargetMode="External"/><Relationship Id="rId465" Type="http://schemas.openxmlformats.org/officeDocument/2006/relationships/hyperlink" Target="https://www.pnas.org/doi/abs/10.1073/pnas.2601685123?mi=eymic2&amp;af=R&amp;access=on&amp;content=articlesChapters&amp;publication=pnas&amp;sortBy=Earliest&amp;target=default" TargetMode="External"/><Relationship Id="rId466" Type="http://schemas.openxmlformats.org/officeDocument/2006/relationships/hyperlink" Target="https://doi.org/10.1073/pnas.2601685123" TargetMode="External"/><Relationship Id="rId467" Type="http://schemas.openxmlformats.org/officeDocument/2006/relationships/hyperlink" Target="https://advanced.onlinelibrary.wiley.com/doi/10.1002/adma.74725?af=R" TargetMode="External"/><Relationship Id="rId468" Type="http://schemas.openxmlformats.org/officeDocument/2006/relationships/hyperlink" Target="https://doi.org/10.1002/adma.74725" TargetMode="External"/><Relationship Id="rId469" Type="http://schemas.openxmlformats.org/officeDocument/2006/relationships/hyperlink" Target="https://onlinelibrary.wiley.com/doi/10.1002/anie.3256076?af=R" TargetMode="External"/><Relationship Id="rId470" Type="http://schemas.openxmlformats.org/officeDocument/2006/relationships/hyperlink" Target="https://doi.org/10.1002/anie.3256076" TargetMode="External"/><Relationship Id="rId471" Type="http://schemas.openxmlformats.org/officeDocument/2006/relationships/hyperlink" Target="https://onlinelibrary.wiley.com/doi/10.1002/anie.2808377?af=R" TargetMode="External"/><Relationship Id="rId472" Type="http://schemas.openxmlformats.org/officeDocument/2006/relationships/hyperlink" Target="https://doi.org/10.1002/anie.2808377" TargetMode="External"/><Relationship Id="rId473" Type="http://schemas.openxmlformats.org/officeDocument/2006/relationships/hyperlink" Target="https://onlinelibrary.wiley.com/doi/10.1002/anie.5574811?af=R" TargetMode="External"/><Relationship Id="rId474" Type="http://schemas.openxmlformats.org/officeDocument/2006/relationships/hyperlink" Target="https://doi.org/10.1002/anie.5574811" TargetMode="External"/><Relationship Id="rId475" Type="http://schemas.openxmlformats.org/officeDocument/2006/relationships/hyperlink" Target="https://advanced.onlinelibrary.wiley.com/doi/10.1002/aenm.71440?af=R" TargetMode="External"/><Relationship Id="rId476" Type="http://schemas.openxmlformats.org/officeDocument/2006/relationships/hyperlink" Target="https://doi.org/10.1002/aenm.71440" TargetMode="External"/><Relationship Id="rId477" Type="http://schemas.openxmlformats.org/officeDocument/2006/relationships/hyperlink" Target="https://advanced.onlinelibrary.wiley.com/doi/10.1002/aenm.71429?af=R" TargetMode="External"/><Relationship Id="rId478" Type="http://schemas.openxmlformats.org/officeDocument/2006/relationships/hyperlink" Target="https://doi.org/10.1002/aenm.71429" TargetMode="External"/><Relationship Id="rId479" Type="http://schemas.openxmlformats.org/officeDocument/2006/relationships/hyperlink" Target="https://onlinelibrary.wiley.com/doi/10.1002/anie.8582451?af=R" TargetMode="External"/><Relationship Id="rId480" Type="http://schemas.openxmlformats.org/officeDocument/2006/relationships/hyperlink" Target="https://doi.org/10.1002/anie.8582451" TargetMode="External"/><Relationship Id="rId481" Type="http://schemas.openxmlformats.org/officeDocument/2006/relationships/hyperlink" Target="https://onlinelibrary.wiley.com/doi/10.1002/anie.9715444?af=R" TargetMode="External"/><Relationship Id="rId482" Type="http://schemas.openxmlformats.org/officeDocument/2006/relationships/hyperlink" Target="https://doi.org/10.1002/anie.9715444" TargetMode="External"/><Relationship Id="rId483" Type="http://schemas.openxmlformats.org/officeDocument/2006/relationships/hyperlink" Target="https://pubs.acs.org/jacsat/article/doi/10.1021/jacs.6c11699/5278502/Molecular-Ionic-Hybrid-Modulates-Intermediate" TargetMode="External"/><Relationship Id="rId484" Type="http://schemas.openxmlformats.org/officeDocument/2006/relationships/hyperlink" Target="https://doi.org/10.1021/jacs.6c11699" TargetMode="External"/><Relationship Id="rId485" Type="http://schemas.openxmlformats.org/officeDocument/2006/relationships/hyperlink" Target="https://pubs.acs.org/jacsat/article/doi/10.1021/jacs.6c09541/5277355/Functional-Carbon-Directed-Synthesis-of-High" TargetMode="External"/><Relationship Id="rId486" Type="http://schemas.openxmlformats.org/officeDocument/2006/relationships/hyperlink" Target="https://doi.org/10.1021/jacs.6c09541" TargetMode="External"/><Relationship Id="rId487" Type="http://schemas.openxmlformats.org/officeDocument/2006/relationships/hyperlink" Target="https://pubs.acs.org/chreay/article/doi/10.1021/acs.chemrev.5c00529/5279403/Recent-Advances-and-Future-Perspectives-of-Proton" TargetMode="External"/><Relationship Id="rId488" Type="http://schemas.openxmlformats.org/officeDocument/2006/relationships/hyperlink" Target="https://doi.org/10.1021/acs.chemrev.5c00529" TargetMode="External"/><Relationship Id="rId489" Type="http://schemas.openxmlformats.org/officeDocument/2006/relationships/hyperlink" Target="https://pubs.acs.org/jacsat/article/doi/10.1021/jacs.6c06081/5278533/Nanobubble-Radical-Driven-N2-Hydrogenation-for" TargetMode="External"/><Relationship Id="rId490" Type="http://schemas.openxmlformats.org/officeDocument/2006/relationships/hyperlink" Target="https://doi.org/10.1021/jacs.6c06081" TargetMode="External"/><Relationship Id="rId491" Type="http://schemas.openxmlformats.org/officeDocument/2006/relationships/hyperlink" Target="https://advanced.onlinelibrary.wiley.com/doi/10.1002/adma.74631?af=R" TargetMode="External"/><Relationship Id="rId492" Type="http://schemas.openxmlformats.org/officeDocument/2006/relationships/hyperlink" Target="https://doi.org/10.1002/adma.74631" TargetMode="External"/><Relationship Id="rId493" Type="http://schemas.openxmlformats.org/officeDocument/2006/relationships/hyperlink" Target="https://pubs.acs.org/jacsat/article/doi/10.1021/jacs.6c11127/5255264/Metallic-Ag-BiAg-Heterostructured-Dendrites" TargetMode="External"/><Relationship Id="rId494" Type="http://schemas.openxmlformats.org/officeDocument/2006/relationships/hyperlink" Target="https://doi.org/10.1021/jacs.6c11127" TargetMode="External"/><Relationship Id="rId495" Type="http://schemas.openxmlformats.org/officeDocument/2006/relationships/hyperlink" Target="https://www.sciencedirect.com/science/article/pii/S0306261926012778?dgcid=rss_sd_all" TargetMode="External"/><Relationship Id="rId496" Type="http://schemas.openxmlformats.org/officeDocument/2006/relationships/hyperlink" Target="https://doi.org/10.1016/j.apenergy.2026.128621" TargetMode="External"/><Relationship Id="rId497" Type="http://schemas.openxmlformats.org/officeDocument/2006/relationships/hyperlink" Target="https://www.sciencedirect.com/science/article/pii/S0301421526004751?dgcid=rss_sd_all" TargetMode="External"/><Relationship Id="rId498" Type="http://schemas.openxmlformats.org/officeDocument/2006/relationships/hyperlink" Target="https://doi.org/10.1016/j.enpol.2026.115541" TargetMode="External"/><Relationship Id="rId499" Type="http://schemas.openxmlformats.org/officeDocument/2006/relationships/hyperlink" Target="https://www.sciencedirect.com/science/article/pii/S0301421526004878?dgcid=rss_sd_all" TargetMode="External"/><Relationship Id="rId500" Type="http://schemas.openxmlformats.org/officeDocument/2006/relationships/hyperlink" Target="https://doi.org/10.1016/j.enpol.2026.115553" TargetMode="External"/><Relationship Id="rId501" Type="http://schemas.openxmlformats.org/officeDocument/2006/relationships/hyperlink" Target="https://www.sciencedirect.com/science/article/pii/S0301421526004684?dgcid=rss_sd_all" TargetMode="External"/><Relationship Id="rId502" Type="http://schemas.openxmlformats.org/officeDocument/2006/relationships/hyperlink" Target="https://doi.org/10.1016/j.enpol.2026.115534" TargetMode="External"/><Relationship Id="rId503" Type="http://schemas.openxmlformats.org/officeDocument/2006/relationships/hyperlink" Target="https://www.nature.com/articles/s41558-026-02691-0" TargetMode="External"/><Relationship Id="rId504" Type="http://schemas.openxmlformats.org/officeDocument/2006/relationships/hyperlink" Target="https://doi.org/10.1038/s41558-026-02691-0" TargetMode="External"/><Relationship Id="rId505" Type="http://schemas.openxmlformats.org/officeDocument/2006/relationships/hyperlink" Target="https://www.pnas.org/doi/abs/10.1073/pnas.2600276123?mi=eymic2&amp;af=R&amp;access=on&amp;content=articlesChapters&amp;publication=pnas&amp;sortBy=Earliest&amp;target=default" TargetMode="External"/><Relationship Id="rId506" Type="http://schemas.openxmlformats.org/officeDocument/2006/relationships/hyperlink" Target="https://doi.org/10.1073/pnas.2600276123" TargetMode="External"/><Relationship Id="rId507" Type="http://schemas.openxmlformats.org/officeDocument/2006/relationships/hyperlink" Target="https://www.science.org/doi/abs/10.1126/sciadv.aec5472?af=R" TargetMode="External"/><Relationship Id="rId508" Type="http://schemas.openxmlformats.org/officeDocument/2006/relationships/hyperlink" Target="https://doi.org/10.1126/sciadv.aec5472" TargetMode="External"/><Relationship Id="rId509" Type="http://schemas.openxmlformats.org/officeDocument/2006/relationships/hyperlink" Target="https://www.sciencedirect.com/science/article/pii/S0306261926013243?dgcid=rss_sd_all" TargetMode="External"/><Relationship Id="rId510" Type="http://schemas.openxmlformats.org/officeDocument/2006/relationships/hyperlink" Target="https://doi.org/10.1016/j.apenergy.2026.128668" TargetMode="External"/><Relationship Id="rId511" Type="http://schemas.openxmlformats.org/officeDocument/2006/relationships/hyperlink" Target="https://www.sciencedirect.com/science/article/pii/S0306261926013516?dgcid=rss_sd_all" TargetMode="External"/><Relationship Id="rId512" Type="http://schemas.openxmlformats.org/officeDocument/2006/relationships/hyperlink" Target="https://doi.org/10.1016/j.apenergy.2026.128695" TargetMode="External"/><Relationship Id="rId513" Type="http://schemas.openxmlformats.org/officeDocument/2006/relationships/hyperlink" Target="https://www.sciencedirect.com/science/article/pii/S0306261926013218?dgcid=rss_sd_all" TargetMode="External"/><Relationship Id="rId514" Type="http://schemas.openxmlformats.org/officeDocument/2006/relationships/hyperlink" Target="https://doi.org/10.1016/j.apenergy.2026.128665" TargetMode="External"/><Relationship Id="rId515" Type="http://schemas.openxmlformats.org/officeDocument/2006/relationships/hyperlink" Target="https://www.sciencedirect.com/science/article/pii/S0306261926013152?dgcid=rss_sd_all" TargetMode="External"/><Relationship Id="rId516" Type="http://schemas.openxmlformats.org/officeDocument/2006/relationships/hyperlink" Target="https://doi.org/10.1016/j.apenergy.2026.128659" TargetMode="External"/><Relationship Id="rId517" Type="http://schemas.openxmlformats.org/officeDocument/2006/relationships/hyperlink" Target="https://academic.oup.com/nsr/advance-article/doi/10.1093/nsr/nwag494/8762571?rss=1" TargetMode="External"/><Relationship Id="rId518" Type="http://schemas.openxmlformats.org/officeDocument/2006/relationships/hyperlink" Target="https://doi.org/10.1093/nsr/nwag494" TargetMode="External"/><Relationship Id="rId519" Type="http://schemas.openxmlformats.org/officeDocument/2006/relationships/hyperlink" Target="https://www.nature.com/articles/s41560-026-02114-6" TargetMode="External"/><Relationship Id="rId520" Type="http://schemas.openxmlformats.org/officeDocument/2006/relationships/hyperlink" Target="https://doi.org/10.1038/s41560-026-02114-6" TargetMode="External"/><Relationship Id="rId521" Type="http://schemas.openxmlformats.org/officeDocument/2006/relationships/hyperlink" Target="https://www.nature.com/articles/s41467-026-76611-3" TargetMode="External"/><Relationship Id="rId522" Type="http://schemas.openxmlformats.org/officeDocument/2006/relationships/hyperlink" Target="https://www.nature.com/articles/s41467-026-76941-2" TargetMode="External"/><Relationship Id="rId523" Type="http://schemas.openxmlformats.org/officeDocument/2006/relationships/hyperlink" Target="https://www.nature.com/articles/s41467-026-76799-4" TargetMode="External"/><Relationship Id="rId524" Type="http://schemas.openxmlformats.org/officeDocument/2006/relationships/hyperlink" Target="https://pubs.acs.org/aamick/article/doi/10.1021/acsami.6c08386/5260037/Unraveling-the-Poisoning-Resistance-Mechanism-of" TargetMode="External"/><Relationship Id="rId525" Type="http://schemas.openxmlformats.org/officeDocument/2006/relationships/hyperlink" Target="https://doi.org/10.1021/acsami.6c08386" TargetMode="External"/><Relationship Id="rId526" Type="http://schemas.openxmlformats.org/officeDocument/2006/relationships/hyperlink" Target="https://www.sciencedirect.com/science/article/pii/S0306261926013541?dgcid=rss_sd_all" TargetMode="External"/><Relationship Id="rId527" Type="http://schemas.openxmlformats.org/officeDocument/2006/relationships/hyperlink" Target="https://doi.org/10.1016/j.apenergy.2026.128698" TargetMode="External"/><Relationship Id="rId528" Type="http://schemas.openxmlformats.org/officeDocument/2006/relationships/hyperlink" Target="https://www.sciencedirect.com/science/article/pii/S0306261926013504?dgcid=rss_sd_all" TargetMode="External"/><Relationship Id="rId529" Type="http://schemas.openxmlformats.org/officeDocument/2006/relationships/hyperlink" Target="https://doi.org/10.1016/j.apenergy.2026.128694" TargetMode="External"/><Relationship Id="rId530" Type="http://schemas.openxmlformats.org/officeDocument/2006/relationships/hyperlink" Target="https://www.sciencedirect.com/science/article/pii/S0306261926013607?dgcid=rss_sd_all" TargetMode="External"/><Relationship Id="rId531" Type="http://schemas.openxmlformats.org/officeDocument/2006/relationships/hyperlink" Target="https://doi.org/10.1016/j.apenergy.2026.128704" TargetMode="External"/><Relationship Id="rId532" Type="http://schemas.openxmlformats.org/officeDocument/2006/relationships/hyperlink" Target="https://pubs.acs.org/aamick/article/doi/10.1021/acsami.6c14048/5268347/Wood-Ash-Lye-as-a-Sustainable-Alkaline-Activator" TargetMode="External"/><Relationship Id="rId533" Type="http://schemas.openxmlformats.org/officeDocument/2006/relationships/hyperlink" Target="https://doi.org/10.1021/acsami.6c14048" TargetMode="External"/><Relationship Id="rId534" Type="http://schemas.openxmlformats.org/officeDocument/2006/relationships/hyperlink" Target="https://www.nature.com/articles/s41893-026-01919-3" TargetMode="External"/><Relationship Id="rId535" Type="http://schemas.openxmlformats.org/officeDocument/2006/relationships/hyperlink" Target="https://doi.org/10.1038/s41893-026-01919-3" TargetMode="External"/><Relationship Id="rId536" Type="http://schemas.openxmlformats.org/officeDocument/2006/relationships/hyperlink" Target="https://www.nature.com/articles/s41893-026-01877-w" TargetMode="External"/><Relationship Id="rId537" Type="http://schemas.openxmlformats.org/officeDocument/2006/relationships/hyperlink" Target="https://doi.org/10.1038/s41893-026-01877-w" TargetMode="External"/><Relationship Id="rId538" Type="http://schemas.openxmlformats.org/officeDocument/2006/relationships/hyperlink" Target="https://pubs.acs.org/jacsat/article/doi/10.1021/jacs.6c05483/5276989/Catalytic-Combustion-of-Extremely-Low" TargetMode="External"/><Relationship Id="rId539" Type="http://schemas.openxmlformats.org/officeDocument/2006/relationships/hyperlink" Target="https://doi.org/10.1021/jacs.6c05483" TargetMode="External"/><Relationship Id="rId540" Type="http://schemas.openxmlformats.org/officeDocument/2006/relationships/hyperlink" Target="https://onlinelibrary.wiley.com/doi/10.1002/anie.8285953?af=R" TargetMode="External"/><Relationship Id="rId541" Type="http://schemas.openxmlformats.org/officeDocument/2006/relationships/hyperlink" Target="https://doi.org/10.1002/anie.8285953" TargetMode="External"/><Relationship Id="rId542" Type="http://schemas.openxmlformats.org/officeDocument/2006/relationships/hyperlink" Target="https://onlinelibrary.wiley.com/doi/10.1002/anie.1293701?af=R" TargetMode="External"/><Relationship Id="rId543" Type="http://schemas.openxmlformats.org/officeDocument/2006/relationships/hyperlink" Target="https://doi.org/10.1002/anie.1293701" TargetMode="External"/><Relationship Id="rId544" Type="http://schemas.openxmlformats.org/officeDocument/2006/relationships/hyperlink" Target="https://onlinelibrary.wiley.com/doi/10.1002/anie.1406923?af=R" TargetMode="External"/><Relationship Id="rId545" Type="http://schemas.openxmlformats.org/officeDocument/2006/relationships/hyperlink" Target="https://doi.org/10.1002/anie.1406923" TargetMode="External"/><Relationship Id="rId546" Type="http://schemas.openxmlformats.org/officeDocument/2006/relationships/hyperlink" Target="https://onlinelibrary.wiley.com/doi/10.1002/anie.1580812?af=R" TargetMode="External"/><Relationship Id="rId547" Type="http://schemas.openxmlformats.org/officeDocument/2006/relationships/hyperlink" Target="https://doi.org/10.1002/anie.1580812" TargetMode="External"/><Relationship Id="rId548" Type="http://schemas.openxmlformats.org/officeDocument/2006/relationships/hyperlink" Target="https://pubs.acs.org/jacsat/article/doi/10.1021/jacs.6c09531/5255202/Photon-Induced-Modulation-of-Reaction-Pathways-in" TargetMode="External"/><Relationship Id="rId549" Type="http://schemas.openxmlformats.org/officeDocument/2006/relationships/hyperlink" Target="https://doi.org/10.1021/jacs.6c09531" TargetMode="External"/><Relationship Id="rId550" Type="http://schemas.openxmlformats.org/officeDocument/2006/relationships/hyperlink" Target="https://pubs.acs.org/aelccp/article/doi/10.1021/acsenergylett.6c02295/5255212/Understanding-the-Alkalinity-Constraint-in-DAC" TargetMode="External"/><Relationship Id="rId551" Type="http://schemas.openxmlformats.org/officeDocument/2006/relationships/hyperlink" Target="https://doi.org/10.1021/acsenergylett.6c02295" TargetMode="External"/><Relationship Id="rId552" Type="http://schemas.openxmlformats.org/officeDocument/2006/relationships/hyperlink" Target="https://www.nature.com/articles/s41467-026-76573-6" TargetMode="External"/><Relationship Id="rId553" Type="http://schemas.openxmlformats.org/officeDocument/2006/relationships/hyperlink" Target="https://www.cell.com/joule/fulltext/S2542-4351(26)00312-0?rss=yes" TargetMode="External"/><Relationship Id="rId554" Type="http://schemas.openxmlformats.org/officeDocument/2006/relationships/hyperlink" Target="https://doi.org/10.1016/j.joule.2026.102628" TargetMode="External"/><Relationship Id="rId555" Type="http://schemas.openxmlformats.org/officeDocument/2006/relationships/hyperlink" Target="https://www.cell.com/joule/fulltext/S2542-4351(26)00315-6?rss=yes" TargetMode="External"/><Relationship Id="rId556" Type="http://schemas.openxmlformats.org/officeDocument/2006/relationships/hyperlink" Target="https://doi.org/10.1016/j.joule.2026.102631" TargetMode="External"/><Relationship Id="rId557" Type="http://schemas.openxmlformats.org/officeDocument/2006/relationships/hyperlink" Target="https://academic.oup.com/nsr/advance-article/doi/10.1093/nsr/nwag485/8763723?rss=1" TargetMode="External"/><Relationship Id="rId558" Type="http://schemas.openxmlformats.org/officeDocument/2006/relationships/hyperlink" Target="https://doi.org/10.1093/nsr/nwag485" TargetMode="External"/><Relationship Id="rId559" Type="http://schemas.openxmlformats.org/officeDocument/2006/relationships/hyperlink" Target="https://www.sciencedirect.com/science/article/pii/S0306261926010822?dgcid=rss_sd_all" TargetMode="External"/><Relationship Id="rId560" Type="http://schemas.openxmlformats.org/officeDocument/2006/relationships/hyperlink" Target="https://doi.org/10.1016/j.apenergy.2026.128428" TargetMode="External"/><Relationship Id="rId561" Type="http://schemas.openxmlformats.org/officeDocument/2006/relationships/hyperlink" Target="https://pubs.acs.org/aamick/article/doi/10.1021/acsami.6c11350/5268346/Dynamic-Structural-Persistence-of-Trinuclear-Cu" TargetMode="External"/><Relationship Id="rId562" Type="http://schemas.openxmlformats.org/officeDocument/2006/relationships/hyperlink" Target="https://doi.org/10.1021/acsami.6c11350" TargetMode="External"/><Relationship Id="rId563" Type="http://schemas.openxmlformats.org/officeDocument/2006/relationships/hyperlink" Target="https://pubs.acs.org/jacsat/article/doi/10.1021/jacs.6c12824/5268167/Isothermal-Capture-and-Release-of-Carbon-Dioxide" TargetMode="External"/><Relationship Id="rId564" Type="http://schemas.openxmlformats.org/officeDocument/2006/relationships/hyperlink" Target="https://doi.org/10.1021/jacs.6c12824" TargetMode="External"/><Relationship Id="rId565" Type="http://schemas.openxmlformats.org/officeDocument/2006/relationships/hyperlink" Target="https://www.nature.com/articles/s41558-026-02676-z" TargetMode="External"/><Relationship Id="rId566" Type="http://schemas.openxmlformats.org/officeDocument/2006/relationships/hyperlink" Target="https://doi.org/10.1038/s41558-026-02676-z" TargetMode="External"/><Relationship Id="rId567" Type="http://schemas.openxmlformats.org/officeDocument/2006/relationships/hyperlink" Target="https://pubs.acs.org/jacsat/article/doi/10.1021/jacs.6c04548/5276975/Steering-Heat-and-Molecules-Directional-Freeze" TargetMode="External"/><Relationship Id="rId568" Type="http://schemas.openxmlformats.org/officeDocument/2006/relationships/hyperlink" Target="https://doi.org/10.1021/jacs.6c04548" TargetMode="External"/><Relationship Id="rId569" Type="http://schemas.openxmlformats.org/officeDocument/2006/relationships/hyperlink" Target="https://www.nature.com/articles/s41563-026-02716-1" TargetMode="External"/><Relationship Id="rId570" Type="http://schemas.openxmlformats.org/officeDocument/2006/relationships/hyperlink" Target="https://doi.org/10.1038/s41563-026-02716-1" TargetMode="External"/><Relationship Id="rId571" Type="http://schemas.openxmlformats.org/officeDocument/2006/relationships/hyperlink" Target="https://pubs.acs.org/aelccp/article/doi/10.1021/acsenergylett.6c02057/5275950/Intramolecular-Hydrogen-Bond-Stabilized-Redox" TargetMode="External"/><Relationship Id="rId572" Type="http://schemas.openxmlformats.org/officeDocument/2006/relationships/hyperlink" Target="https://doi.org/10.1021/acsenergylett.6c02057" TargetMode="External"/><Relationship Id="rId573" Type="http://schemas.openxmlformats.org/officeDocument/2006/relationships/hyperlink" Target="https://pubs.acs.org/jacsat/article/doi/10.1021/jacs.6c11052/5277031/Hierarchical-Interfacial-Engineering-of-Gas" TargetMode="External"/><Relationship Id="rId574" Type="http://schemas.openxmlformats.org/officeDocument/2006/relationships/hyperlink" Target="https://doi.org/10.1021/jacs.6c11052" TargetMode="External"/><Relationship Id="rId575" Type="http://schemas.openxmlformats.org/officeDocument/2006/relationships/hyperlink" Target="https://pubs.acs.org/jacsat/article/doi/10.1021/jacs.6c12298/5276945/Stabilizing-Ru-Formyl-CO2-Reduction-Intermediates" TargetMode="External"/><Relationship Id="rId576" Type="http://schemas.openxmlformats.org/officeDocument/2006/relationships/hyperlink" Target="https://doi.org/10.1021/jacs.6c12298" TargetMode="External"/><Relationship Id="rId577" Type="http://schemas.openxmlformats.org/officeDocument/2006/relationships/hyperlink" Target="https://pubs.acs.org/chreay/article/doi/10.1021/acs.chemrev.6c00141/5276278/Rational-Design-of-Copper-Nanoclusters-for" TargetMode="External"/><Relationship Id="rId578" Type="http://schemas.openxmlformats.org/officeDocument/2006/relationships/hyperlink" Target="https://doi.org/10.1021/acs.chemrev.6c00141" TargetMode="External"/><Relationship Id="rId579" Type="http://schemas.openxmlformats.org/officeDocument/2006/relationships/hyperlink" Target="https://www.science.org/doi/abs/10.1126/sciadv.aeg1076?af=R" TargetMode="External"/><Relationship Id="rId580" Type="http://schemas.openxmlformats.org/officeDocument/2006/relationships/hyperlink" Target="https://doi.org/10.1126/sciadv.aeg1076" TargetMode="External"/><Relationship Id="rId581" Type="http://schemas.openxmlformats.org/officeDocument/2006/relationships/hyperlink" Target="https://www.science.org/doi/abs/10.1126/sciadv.aeg8278?af=R" TargetMode="External"/><Relationship Id="rId582" Type="http://schemas.openxmlformats.org/officeDocument/2006/relationships/hyperlink" Target="https://doi.org/10.1126/sciadv.aeg8278" TargetMode="External"/><Relationship Id="rId583" Type="http://schemas.openxmlformats.org/officeDocument/2006/relationships/hyperlink" Target="https://onlinelibrary.wiley.com/doi/10.1002/anie.2221316?af=R" TargetMode="External"/><Relationship Id="rId584" Type="http://schemas.openxmlformats.org/officeDocument/2006/relationships/hyperlink" Target="https://doi.org/10.1002/anie.2221316" TargetMode="External"/><Relationship Id="rId585" Type="http://schemas.openxmlformats.org/officeDocument/2006/relationships/hyperlink" Target="https://advanced.onlinelibrary.wiley.com/doi/10.1002/aenm.71405?af=R" TargetMode="External"/><Relationship Id="rId586" Type="http://schemas.openxmlformats.org/officeDocument/2006/relationships/hyperlink" Target="https://doi.org/10.1002/aenm.71405" TargetMode="External"/><Relationship Id="rId587" Type="http://schemas.openxmlformats.org/officeDocument/2006/relationships/hyperlink" Target="https://advanced.onlinelibrary.wiley.com/doi/10.1002/adma.74707?af=R" TargetMode="External"/><Relationship Id="rId588" Type="http://schemas.openxmlformats.org/officeDocument/2006/relationships/hyperlink" Target="https://doi.org/10.1002/adma.74707" TargetMode="External"/><Relationship Id="rId589" Type="http://schemas.openxmlformats.org/officeDocument/2006/relationships/hyperlink" Target="https://advanced.onlinelibrary.wiley.com/doi/10.1002/aenm.71469?af=R" TargetMode="External"/><Relationship Id="rId590" Type="http://schemas.openxmlformats.org/officeDocument/2006/relationships/hyperlink" Target="https://doi.org/10.1002/aenm.71469" TargetMode="External"/><Relationship Id="rId591" Type="http://schemas.openxmlformats.org/officeDocument/2006/relationships/hyperlink" Target="https://onlinelibrary.wiley.com/doi/10.1002/anie.9417743?af=R" TargetMode="External"/><Relationship Id="rId592" Type="http://schemas.openxmlformats.org/officeDocument/2006/relationships/hyperlink" Target="https://doi.org/10.1002/anie.9417743" TargetMode="External"/><Relationship Id="rId593" Type="http://schemas.openxmlformats.org/officeDocument/2006/relationships/hyperlink" Target="https://pubs.acs.org/jacsat/article/doi/10.1021/jacs.6c07349/5278461/Unlocking-Efficient-CO2-to-CH4-Photoreduction-by" TargetMode="External"/><Relationship Id="rId594" Type="http://schemas.openxmlformats.org/officeDocument/2006/relationships/hyperlink" Target="https://doi.org/10.1021/jacs.6c07349" TargetMode="External"/><Relationship Id="rId595" Type="http://schemas.openxmlformats.org/officeDocument/2006/relationships/hyperlink" Target="https://pubs.acs.org/jacsat/article/doi/10.1021/jacs.6c07871/5278181/Metal-Oxo-Cluster-Composition-in-Metal-Organic" TargetMode="External"/><Relationship Id="rId596" Type="http://schemas.openxmlformats.org/officeDocument/2006/relationships/hyperlink" Target="https://doi.org/10.1021/jacs.6c07871" TargetMode="External"/><Relationship Id="rId597" Type="http://schemas.openxmlformats.org/officeDocument/2006/relationships/hyperlink" Target="https://onlinelibrary.wiley.com/doi/10.1002/anie.7949913?af=R" TargetMode="External"/><Relationship Id="rId598" Type="http://schemas.openxmlformats.org/officeDocument/2006/relationships/hyperlink" Target="https://doi.org/10.1002/anie.7949913" TargetMode="External"/><Relationship Id="rId599" Type="http://schemas.openxmlformats.org/officeDocument/2006/relationships/hyperlink" Target="https://pubs.acs.org/aamick/article/doi/10.1021/acsami.6c10893/5259332/Robust-Recyclable-and-Reversibly-Adhesive" TargetMode="External"/><Relationship Id="rId600" Type="http://schemas.openxmlformats.org/officeDocument/2006/relationships/hyperlink" Target="https://doi.org/10.1021/acsami.6c10893" TargetMode="External"/><Relationship Id="rId601" Type="http://schemas.openxmlformats.org/officeDocument/2006/relationships/hyperlink" Target="https://advanced.onlinelibrary.wiley.com/doi/10.1002/adma.74682?af=R" TargetMode="External"/><Relationship Id="rId602" Type="http://schemas.openxmlformats.org/officeDocument/2006/relationships/hyperlink" Target="https://doi.org/10.1002/adma.74682" TargetMode="External"/><Relationship Id="rId603" Type="http://schemas.openxmlformats.org/officeDocument/2006/relationships/hyperlink" Target="https://pubs.acs.org/jacsat/article/doi/10.1021/jacs.6c04593/5276312/Nonfluorocarbon-Fluoropolymers-Synthesis-and" TargetMode="External"/><Relationship Id="rId604" Type="http://schemas.openxmlformats.org/officeDocument/2006/relationships/hyperlink" Target="https://doi.org/10.1021/jacs.6c04593" TargetMode="External"/><Relationship Id="rId605" Type="http://schemas.openxmlformats.org/officeDocument/2006/relationships/hyperlink" Target="https://advanced.onlinelibrary.wiley.com/doi/10.1002/adma.74556?af=R" TargetMode="External"/><Relationship Id="rId606" Type="http://schemas.openxmlformats.org/officeDocument/2006/relationships/hyperlink" Target="https://doi.org/10.1002/adma.74556" TargetMode="External"/><Relationship Id="rId607" Type="http://schemas.openxmlformats.org/officeDocument/2006/relationships/hyperlink" Target="https://www.science.org/doi/abs/10.1126/sciadv.aeg9384?af=R" TargetMode="External"/><Relationship Id="rId608" Type="http://schemas.openxmlformats.org/officeDocument/2006/relationships/hyperlink" Target="https://doi.org/10.1126/sciadv.aeg9384" TargetMode="External"/><Relationship Id="rId609" Type="http://schemas.openxmlformats.org/officeDocument/2006/relationships/hyperlink" Target="https://onlinelibrary.wiley.com/doi/10.1002/anie.4234620?af=R" TargetMode="External"/><Relationship Id="rId610" Type="http://schemas.openxmlformats.org/officeDocument/2006/relationships/hyperlink" Target="https://doi.org/10.1002/anie.4234620" TargetMode="External"/><Relationship Id="rId611" Type="http://schemas.openxmlformats.org/officeDocument/2006/relationships/hyperlink" Target="https://pubs.acs.org/aamick/article/doi/10.1021/acsami.6c10025/5255948/BODIPY-Integrated-Porous-Materials-Design" TargetMode="External"/><Relationship Id="rId612" Type="http://schemas.openxmlformats.org/officeDocument/2006/relationships/hyperlink" Target="https://doi.org/10.1021/acsami.6c10025" TargetMode="External"/><Relationship Id="rId613" Type="http://schemas.openxmlformats.org/officeDocument/2006/relationships/hyperlink" Target="https://www.nature.com/articles/s41467-026-76664-4" TargetMode="External"/><Relationship Id="rId614" Type="http://schemas.openxmlformats.org/officeDocument/2006/relationships/hyperlink" Target="https://www.nature.com/articles/s41467-026-76833-5" TargetMode="External"/><Relationship Id="rId615" Type="http://schemas.openxmlformats.org/officeDocument/2006/relationships/hyperlink" Target="https://www.nature.com/articles/s41467-026-76718-7" TargetMode="External"/><Relationship Id="rId616" Type="http://schemas.openxmlformats.org/officeDocument/2006/relationships/hyperlink" Target="https://www.nature.com/articles/s41467-026-76687-x" TargetMode="External"/><Relationship Id="rId617" Type="http://schemas.openxmlformats.org/officeDocument/2006/relationships/hyperlink" Target="https://www.nature.com/articles/s41467-026-76435-1" TargetMode="External"/><Relationship Id="rId618" Type="http://schemas.openxmlformats.org/officeDocument/2006/relationships/hyperlink" Target="https://www.nature.com/articles/s41467-026-76593-2" TargetMode="External"/><Relationship Id="rId619" Type="http://schemas.openxmlformats.org/officeDocument/2006/relationships/hyperlink" Target="https://www.nature.com/articles/s41467-026-76696-w" TargetMode="External"/><Relationship Id="rId620" Type="http://schemas.openxmlformats.org/officeDocument/2006/relationships/hyperlink" Target="https://pubs.acs.org/jacsat/article/doi/10.1021/jacs.6c06623/5257496/A-Direct-to-Biology-Amine-Acid-Amination-for-Rapid" TargetMode="External"/><Relationship Id="rId621" Type="http://schemas.openxmlformats.org/officeDocument/2006/relationships/hyperlink" Target="https://doi.org/10.1021/jacs.6c06623" TargetMode="External"/><Relationship Id="rId622" Type="http://schemas.openxmlformats.org/officeDocument/2006/relationships/hyperlink" Target="https://www.nature.com/articles/s41467-026-76676-0" TargetMode="External"/><Relationship Id="rId623" Type="http://schemas.openxmlformats.org/officeDocument/2006/relationships/hyperlink" Target="https://www.sciencedirect.com/science/article/pii/S030626192601175X?dgcid=rss_sd_all" TargetMode="External"/><Relationship Id="rId624" Type="http://schemas.openxmlformats.org/officeDocument/2006/relationships/hyperlink" Target="https://doi.org/10.1016/j.apenergy.2026.128519" TargetMode="External"/><Relationship Id="rId625" Type="http://schemas.openxmlformats.org/officeDocument/2006/relationships/hyperlink" Target="https://www.sciencedirect.com/science/article/pii/S0306261926013346?dgcid=rss_sd_all" TargetMode="External"/><Relationship Id="rId626" Type="http://schemas.openxmlformats.org/officeDocument/2006/relationships/hyperlink" Target="https://doi.org/10.1016/j.apenergy.2026.128678" TargetMode="External"/><Relationship Id="rId627" Type="http://schemas.openxmlformats.org/officeDocument/2006/relationships/hyperlink" Target="https://www.sciencedirect.com/science/article/pii/S0306261926012900?dgcid=rss_sd_all" TargetMode="External"/><Relationship Id="rId628" Type="http://schemas.openxmlformats.org/officeDocument/2006/relationships/hyperlink" Target="https://doi.org/10.1016/j.apenergy.2026.128634" TargetMode="External"/><Relationship Id="rId629" Type="http://schemas.openxmlformats.org/officeDocument/2006/relationships/hyperlink" Target="https://www.sciencedirect.com/science/article/pii/S0306261926011670?dgcid=rss_sd_all" TargetMode="External"/><Relationship Id="rId630" Type="http://schemas.openxmlformats.org/officeDocument/2006/relationships/hyperlink" Target="https://doi.org/10.1016/j.apenergy.2026.128511" TargetMode="External"/><Relationship Id="rId631" Type="http://schemas.openxmlformats.org/officeDocument/2006/relationships/hyperlink" Target="https://www.sciencedirect.com/science/article/pii/S0306261926013140?dgcid=rss_sd_all" TargetMode="External"/><Relationship Id="rId632" Type="http://schemas.openxmlformats.org/officeDocument/2006/relationships/hyperlink" Target="https://doi.org/10.1016/j.apenergy.2026.128658" TargetMode="External"/><Relationship Id="rId633" Type="http://schemas.openxmlformats.org/officeDocument/2006/relationships/hyperlink" Target="https://www.sciencedirect.com/science/article/pii/S0306261926012870?dgcid=rss_sd_all" TargetMode="External"/><Relationship Id="rId634" Type="http://schemas.openxmlformats.org/officeDocument/2006/relationships/hyperlink" Target="https://doi.org/10.1016/j.apenergy.2026.128631" TargetMode="External"/><Relationship Id="rId635" Type="http://schemas.openxmlformats.org/officeDocument/2006/relationships/hyperlink" Target="https://www.nature.com/articles/s41928-026-01695-0" TargetMode="External"/><Relationship Id="rId636" Type="http://schemas.openxmlformats.org/officeDocument/2006/relationships/hyperlink" Target="https://doi.org/10.1038/s41928-026-01695-0" TargetMode="External"/><Relationship Id="rId637" Type="http://schemas.openxmlformats.org/officeDocument/2006/relationships/hyperlink" Target="https://www.nature.com/articles/s41467-026-75861-5" TargetMode="External"/><Relationship Id="rId638" Type="http://schemas.openxmlformats.org/officeDocument/2006/relationships/hyperlink" Target="https://www.nature.com/articles/s41467-026-76849-x" TargetMode="External"/><Relationship Id="rId639" Type="http://schemas.openxmlformats.org/officeDocument/2006/relationships/hyperlink" Target="https://www.nature.com/articles/s41467-026-76309-6" TargetMode="External"/><Relationship Id="rId640" Type="http://schemas.openxmlformats.org/officeDocument/2006/relationships/hyperlink" Target="https://www.nature.com/articles/d41586-026-02542-0" TargetMode="External"/><Relationship Id="rId641" Type="http://schemas.openxmlformats.org/officeDocument/2006/relationships/hyperlink" Target="https://doi.org/10.1038/d41586-026-02542-0" TargetMode="External"/><Relationship Id="rId642" Type="http://schemas.openxmlformats.org/officeDocument/2006/relationships/hyperlink" Target="https://www.nature.com/articles/d41586-026-02504-6" TargetMode="External"/><Relationship Id="rId643" Type="http://schemas.openxmlformats.org/officeDocument/2006/relationships/hyperlink" Target="https://doi.org/10.1038/d41586-026-02504-6" TargetMode="External"/><Relationship Id="rId644" Type="http://schemas.openxmlformats.org/officeDocument/2006/relationships/hyperlink" Target="https://www.nature.com/articles/d41586-026-02562-w" TargetMode="External"/><Relationship Id="rId645" Type="http://schemas.openxmlformats.org/officeDocument/2006/relationships/hyperlink" Target="https://doi.org/10.1038/d41586-026-02562-w" TargetMode="External"/><Relationship Id="rId646" Type="http://schemas.openxmlformats.org/officeDocument/2006/relationships/hyperlink" Target="https://www.nature.com/articles/s41586-026-11023-3" TargetMode="External"/><Relationship Id="rId647" Type="http://schemas.openxmlformats.org/officeDocument/2006/relationships/hyperlink" Target="https://doi.org/10.1038/s41586-026-11023-3" TargetMode="External"/><Relationship Id="rId648" Type="http://schemas.openxmlformats.org/officeDocument/2006/relationships/hyperlink" Target="https://www.nature.com/articles/s41586-026-11022-4" TargetMode="External"/><Relationship Id="rId649" Type="http://schemas.openxmlformats.org/officeDocument/2006/relationships/hyperlink" Target="https://doi.org/10.1038/s41586-026-11022-4" TargetMode="External"/><Relationship Id="rId650" Type="http://schemas.openxmlformats.org/officeDocument/2006/relationships/hyperlink" Target="https://www.nature.com/articles/s41467-026-76846-0" TargetMode="External"/><Relationship Id="rId651" Type="http://schemas.openxmlformats.org/officeDocument/2006/relationships/hyperlink" Target="https://www.nature.com/articles/s41467-026-76756-1" TargetMode="External"/><Relationship Id="rId652" Type="http://schemas.openxmlformats.org/officeDocument/2006/relationships/hyperlink" Target="https://www.nature.com/articles/s41467-026-76473-9" TargetMode="External"/><Relationship Id="rId653" Type="http://schemas.openxmlformats.org/officeDocument/2006/relationships/hyperlink" Target="https://www.nature.com/articles/s41467-026-76764-1" TargetMode="External"/><Relationship Id="rId654" Type="http://schemas.openxmlformats.org/officeDocument/2006/relationships/hyperlink" Target="https://www.nature.com/articles/s41467-026-76613-1" TargetMode="External"/><Relationship Id="rId655" Type="http://schemas.openxmlformats.org/officeDocument/2006/relationships/hyperlink" Target="https://www.nature.com/articles/s41467-026-76408-4" TargetMode="External"/><Relationship Id="rId656" Type="http://schemas.openxmlformats.org/officeDocument/2006/relationships/hyperlink" Target="https://www.nature.com/articles/s41467-026-76343-4" TargetMode="External"/><Relationship Id="rId657" Type="http://schemas.openxmlformats.org/officeDocument/2006/relationships/hyperlink" Target="https://www.nature.com/articles/s41467-026-76478-4" TargetMode="External"/><Relationship Id="rId658" Type="http://schemas.openxmlformats.org/officeDocument/2006/relationships/hyperlink" Target="https://www.nature.com/articles/s41467-026-76733-8" TargetMode="External"/><Relationship Id="rId659" Type="http://schemas.openxmlformats.org/officeDocument/2006/relationships/hyperlink" Target="https://www.nature.com/articles/s41467-026-76735-6" TargetMode="External"/><Relationship Id="rId660" Type="http://schemas.openxmlformats.org/officeDocument/2006/relationships/hyperlink" Target="https://www.nature.com/articles/s41467-026-76631-z" TargetMode="External"/><Relationship Id="rId661" Type="http://schemas.openxmlformats.org/officeDocument/2006/relationships/hyperlink" Target="https://www.nature.com/articles/s41467-026-76594-1" TargetMode="External"/><Relationship Id="rId662" Type="http://schemas.openxmlformats.org/officeDocument/2006/relationships/hyperlink" Target="https://www.nature.com/articles/s41467-026-76783-y" TargetMode="External"/><Relationship Id="rId663" Type="http://schemas.openxmlformats.org/officeDocument/2006/relationships/hyperlink" Target="https://www.nature.com/articles/s41467-026-76725-8" TargetMode="External"/><Relationship Id="rId664" Type="http://schemas.openxmlformats.org/officeDocument/2006/relationships/hyperlink" Target="https://www.nature.com/articles/s41467-026-76751-6" TargetMode="External"/><Relationship Id="rId665" Type="http://schemas.openxmlformats.org/officeDocument/2006/relationships/hyperlink" Target="https://www.nature.com/articles/s41467-026-76410-w" TargetMode="External"/><Relationship Id="rId666" Type="http://schemas.openxmlformats.org/officeDocument/2006/relationships/hyperlink" Target="https://www.nature.com/articles/s41467-026-76564-7" TargetMode="External"/><Relationship Id="rId667" Type="http://schemas.openxmlformats.org/officeDocument/2006/relationships/hyperlink" Target="https://www.nature.com/articles/s41467-026-75872-2" TargetMode="External"/><Relationship Id="rId668" Type="http://schemas.openxmlformats.org/officeDocument/2006/relationships/hyperlink" Target="https://www.nature.com/articles/s41467-026-76252-6" TargetMode="External"/><Relationship Id="rId669" Type="http://schemas.openxmlformats.org/officeDocument/2006/relationships/hyperlink" Target="https://www.nature.com/articles/s41467-026-76607-z" TargetMode="External"/><Relationship Id="rId670" Type="http://schemas.openxmlformats.org/officeDocument/2006/relationships/hyperlink" Target="https://www.sciencedirect.com/science/article/pii/S0306261926012705?dgcid=rss_sd_all" TargetMode="External"/><Relationship Id="rId671" Type="http://schemas.openxmlformats.org/officeDocument/2006/relationships/hyperlink" Target="https://doi.org/10.1016/j.apenergy.2026.128614" TargetMode="External"/><Relationship Id="rId672" Type="http://schemas.openxmlformats.org/officeDocument/2006/relationships/hyperlink" Target="https://pubs.acs.org/jacsat/article/doi/10.1021/jacs.6c09346/5255804/Synthesis-and-Magnetism-of-Silver-Chromium" TargetMode="External"/><Relationship Id="rId673" Type="http://schemas.openxmlformats.org/officeDocument/2006/relationships/hyperlink" Target="https://doi.org/10.1021/jacs.6c09346" TargetMode="External"/><Relationship Id="rId674" Type="http://schemas.openxmlformats.org/officeDocument/2006/relationships/hyperlink" Target="https://pubs.acs.org/jacsat/article/doi/10.1021/jacs.6c10198/5255311/Reversible-Local-Coordination-Relaxation-of" TargetMode="External"/><Relationship Id="rId675" Type="http://schemas.openxmlformats.org/officeDocument/2006/relationships/hyperlink" Target="https://doi.org/10.1021/jacs.6c10198" TargetMode="External"/><Relationship Id="rId676" Type="http://schemas.openxmlformats.org/officeDocument/2006/relationships/hyperlink" Target="https://pubs.acs.org/jacsat/article/doi/10.1021/jacs.6c09870/5255310/GDP-Loaded-K-Ras-Transiently-Binds-to-Effector-B" TargetMode="External"/><Relationship Id="rId677" Type="http://schemas.openxmlformats.org/officeDocument/2006/relationships/hyperlink" Target="https://doi.org/10.1021/jacs.6c09870" TargetMode="External"/><Relationship Id="rId678" Type="http://schemas.openxmlformats.org/officeDocument/2006/relationships/hyperlink" Target="https://pubs.acs.org/jacsat/article/doi/10.1021/jacs.6c09543/5255415/Catalyst-Free-Thiol-yne-Nucleophilic-Photoclick" TargetMode="External"/><Relationship Id="rId679" Type="http://schemas.openxmlformats.org/officeDocument/2006/relationships/hyperlink" Target="https://doi.org/10.1021/jacs.6c09543" TargetMode="External"/><Relationship Id="rId680" Type="http://schemas.openxmlformats.org/officeDocument/2006/relationships/hyperlink" Target="https://pubs.acs.org/jacsat/article/doi/10.1021/jacs.6c10101/5255224/Structure-and-Dynamics-of-the-HIV-1-Envelope" TargetMode="External"/><Relationship Id="rId681" Type="http://schemas.openxmlformats.org/officeDocument/2006/relationships/hyperlink" Target="https://doi.org/10.1021/jacs.6c10101" TargetMode="External"/><Relationship Id="rId682" Type="http://schemas.openxmlformats.org/officeDocument/2006/relationships/hyperlink" Target="https://pubs.acs.org/jacsat/article/doi/10.1021/jacs.6c04928/5254992/Cofactor-Free-Tau-Filaments-Are-Dynamic-and" TargetMode="External"/><Relationship Id="rId683" Type="http://schemas.openxmlformats.org/officeDocument/2006/relationships/hyperlink" Target="https://doi.org/10.1021/jacs.6c04928" TargetMode="External"/><Relationship Id="rId684" Type="http://schemas.openxmlformats.org/officeDocument/2006/relationships/hyperlink" Target="https://academic.oup.com/nsr/advance-article/doi/10.1093/nsr/nwag490/8761758?rss=1" TargetMode="External"/><Relationship Id="rId685" Type="http://schemas.openxmlformats.org/officeDocument/2006/relationships/hyperlink" Target="https://doi.org/10.1093/nsr/nwag490" TargetMode="External"/><Relationship Id="rId686" Type="http://schemas.openxmlformats.org/officeDocument/2006/relationships/hyperlink" Target="https://pubs.acs.org/chreay/article/doi/10.1021/acs.chemrev.6c00118/5256606/Insights-into-the-Life-Cycle-and-Therapeutic" TargetMode="External"/><Relationship Id="rId687" Type="http://schemas.openxmlformats.org/officeDocument/2006/relationships/hyperlink" Target="https://doi.org/10.1021/acs.chemrev.6c00118" TargetMode="External"/><Relationship Id="rId688" Type="http://schemas.openxmlformats.org/officeDocument/2006/relationships/hyperlink" Target="https://www.sciencedirect.com/science/article/pii/S0301421526004787?dgcid=rss_sd_all" TargetMode="External"/><Relationship Id="rId689" Type="http://schemas.openxmlformats.org/officeDocument/2006/relationships/hyperlink" Target="https://doi.org/10.1016/j.enpol.2026.115544" TargetMode="External"/><Relationship Id="rId690" Type="http://schemas.openxmlformats.org/officeDocument/2006/relationships/hyperlink" Target="https://pubs.acs.org/aamick/article/doi/10.1021/acsami.6c10319/5256025/Ingestible-Hydrogel-Encapsulated-Optogenetic-Yeast" TargetMode="External"/><Relationship Id="rId691" Type="http://schemas.openxmlformats.org/officeDocument/2006/relationships/hyperlink" Target="https://doi.org/10.1021/acsami.6c10319" TargetMode="External"/><Relationship Id="rId692" Type="http://schemas.openxmlformats.org/officeDocument/2006/relationships/hyperlink" Target="https://pubs.acs.org/aamick/article/doi/10.1021/acsami.6c10246/5254926/Se4-Doped-Indium-Based-Perovskites-via-NaCl-Driven" TargetMode="External"/><Relationship Id="rId693" Type="http://schemas.openxmlformats.org/officeDocument/2006/relationships/hyperlink" Target="https://doi.org/10.1021/acsami.6c10246" TargetMode="External"/><Relationship Id="rId694" Type="http://schemas.openxmlformats.org/officeDocument/2006/relationships/hyperlink" Target="https://www.sciencedirect.com/science/article/pii/S0301421526004842?dgcid=rss_sd_all" TargetMode="External"/><Relationship Id="rId695" Type="http://schemas.openxmlformats.org/officeDocument/2006/relationships/hyperlink" Target="https://doi.org/10.1016/j.enpol.2026.115550" TargetMode="External"/><Relationship Id="rId696" Type="http://schemas.openxmlformats.org/officeDocument/2006/relationships/hyperlink" Target="https://www.sciencedirect.com/science/article/pii/S0301421526004829?dgcid=rss_sd_all" TargetMode="External"/><Relationship Id="rId697" Type="http://schemas.openxmlformats.org/officeDocument/2006/relationships/hyperlink" Target="https://doi.org/10.1016/j.enpol.2026.115548" TargetMode="External"/><Relationship Id="rId698" Type="http://schemas.openxmlformats.org/officeDocument/2006/relationships/hyperlink" Target="https://www.nature.com/articles/s41563-026-02717-0" TargetMode="External"/><Relationship Id="rId699" Type="http://schemas.openxmlformats.org/officeDocument/2006/relationships/hyperlink" Target="https://doi.org/10.1038/s41563-026-02717-0" TargetMode="External"/><Relationship Id="rId700" Type="http://schemas.openxmlformats.org/officeDocument/2006/relationships/hyperlink" Target="https://pubs.acs.org/aamick/article/doi/10.1021/acsami.6c08831/5254819/Multifunctional-Device-Design-and-Applications-of" TargetMode="External"/><Relationship Id="rId701" Type="http://schemas.openxmlformats.org/officeDocument/2006/relationships/hyperlink" Target="https://doi.org/10.1021/acsami.6c08831" TargetMode="External"/><Relationship Id="rId702" Type="http://schemas.openxmlformats.org/officeDocument/2006/relationships/hyperlink" Target="https://pubs.acs.org/aamick/article/doi/10.1021/acsami.6c11599/5255298/Regulating-Triplet-Energy-Level-and-Intramolecular" TargetMode="External"/><Relationship Id="rId703" Type="http://schemas.openxmlformats.org/officeDocument/2006/relationships/hyperlink" Target="https://doi.org/10.1021/acsami.6c11599" TargetMode="External"/><Relationship Id="rId704" Type="http://schemas.openxmlformats.org/officeDocument/2006/relationships/hyperlink" Target="https://pubs.acs.org/aamick/article/doi/10.1021/acsami.6c07394/5255071/Stem-Cell-Derived-Extracellular-Matrix" TargetMode="External"/><Relationship Id="rId705" Type="http://schemas.openxmlformats.org/officeDocument/2006/relationships/hyperlink" Target="https://doi.org/10.1021/acsami.6c07394" TargetMode="External"/><Relationship Id="rId706" Type="http://schemas.openxmlformats.org/officeDocument/2006/relationships/hyperlink" Target="https://pubs.acs.org/aamick/article/doi/10.1021/acsami.6c06641/5255456/Anomalous-n-p-Sensing-Conversion-in-Cobalt-Ferrite" TargetMode="External"/><Relationship Id="rId707" Type="http://schemas.openxmlformats.org/officeDocument/2006/relationships/hyperlink" Target="https://doi.org/10.1021/acsami.6c06641" TargetMode="External"/><Relationship Id="rId708" Type="http://schemas.openxmlformats.org/officeDocument/2006/relationships/hyperlink" Target="https://pubs.acs.org/aamick/article/doi/10.1021/acsami.6c08887/5255201/A-Core-Shell-Nanotherapeutic-Platform-Reprograms" TargetMode="External"/><Relationship Id="rId709" Type="http://schemas.openxmlformats.org/officeDocument/2006/relationships/hyperlink" Target="https://doi.org/10.1021/acsami.6c08887" TargetMode="External"/><Relationship Id="rId710" Type="http://schemas.openxmlformats.org/officeDocument/2006/relationships/hyperlink" Target="https://pubs.acs.org/aamick/article/doi/10.1021/acsami.6c09899/5255702/Strategy-for-Optical-Transparent-Broadband" TargetMode="External"/><Relationship Id="rId711" Type="http://schemas.openxmlformats.org/officeDocument/2006/relationships/hyperlink" Target="https://doi.org/10.1021/acsami.6c09899" TargetMode="External"/><Relationship Id="rId712" Type="http://schemas.openxmlformats.org/officeDocument/2006/relationships/hyperlink" Target="https://www.nature.com/articles/s41563-026-02711-6" TargetMode="External"/><Relationship Id="rId713" Type="http://schemas.openxmlformats.org/officeDocument/2006/relationships/hyperlink" Target="https://doi.org/10.1038/s41563-026-02711-6" TargetMode="External"/><Relationship Id="rId714" Type="http://schemas.openxmlformats.org/officeDocument/2006/relationships/hyperlink" Target="https://www.nature.com/articles/s41467-026-76782-z" TargetMode="External"/><Relationship Id="rId715" Type="http://schemas.openxmlformats.org/officeDocument/2006/relationships/hyperlink" Target="https://pubs.acs.org/jacsat/article/doi/10.1021/jacs.6c05166/5256826/Radical-Mechanism-and-Stereochemical-Control-in" TargetMode="External"/><Relationship Id="rId716" Type="http://schemas.openxmlformats.org/officeDocument/2006/relationships/hyperlink" Target="https://doi.org/10.1021/jacs.6c05166" TargetMode="External"/><Relationship Id="rId717" Type="http://schemas.openxmlformats.org/officeDocument/2006/relationships/hyperlink" Target="https://pubs.acs.org/jacsat/article/doi/10.1021/jacs.6c06615/5255408/Insertion-Ring-Opening-Polymerization-iROP-An" TargetMode="External"/><Relationship Id="rId718" Type="http://schemas.openxmlformats.org/officeDocument/2006/relationships/hyperlink" Target="https://doi.org/10.1021/jacs.6c06615" TargetMode="External"/><Relationship Id="rId719" Type="http://schemas.openxmlformats.org/officeDocument/2006/relationships/hyperlink" Target="https://pubs.acs.org/jacsat/article/doi/10.1021/jacs.6c06048/5256086/Matching-Monomers-to-Metals-Quantified-Linear-Free" TargetMode="External"/><Relationship Id="rId720" Type="http://schemas.openxmlformats.org/officeDocument/2006/relationships/hyperlink" Target="https://doi.org/10.1021/jacs.6c06048" TargetMode="External"/><Relationship Id="rId721" Type="http://schemas.openxmlformats.org/officeDocument/2006/relationships/hyperlink" Target="https://pubs.acs.org/jacsat/article/doi/10.1021/jacs.6c09027/5255226/Resolving-Hidden-Stoichiometries-in-Bacterial" TargetMode="External"/><Relationship Id="rId722" Type="http://schemas.openxmlformats.org/officeDocument/2006/relationships/hyperlink" Target="https://doi.org/10.1021/jacs.6c09027" TargetMode="External"/><Relationship Id="rId723" Type="http://schemas.openxmlformats.org/officeDocument/2006/relationships/hyperlink" Target="https://www.sciencedirect.com/science/article/pii/S0306261926012614?dgcid=rss_sd_all" TargetMode="External"/><Relationship Id="rId724" Type="http://schemas.openxmlformats.org/officeDocument/2006/relationships/hyperlink" Target="https://doi.org/10.1016/j.apenergy.2026.128605" TargetMode="External"/><Relationship Id="rId725" Type="http://schemas.openxmlformats.org/officeDocument/2006/relationships/hyperlink" Target="https://www.sciencedirect.com/science/article/pii/S0306261926012535?dgcid=rss_sd_all" TargetMode="External"/><Relationship Id="rId726" Type="http://schemas.openxmlformats.org/officeDocument/2006/relationships/hyperlink" Target="https://doi.org/10.1016/j.apenergy.2026.128597" TargetMode="External"/><Relationship Id="rId727" Type="http://schemas.openxmlformats.org/officeDocument/2006/relationships/hyperlink" Target="https://advanced.onlinelibrary.wiley.com/doi/10.1002/adma.74667?af=R" TargetMode="External"/><Relationship Id="rId728" Type="http://schemas.openxmlformats.org/officeDocument/2006/relationships/hyperlink" Target="https://doi.org/10.1002/adma.74667" TargetMode="External"/><Relationship Id="rId729" Type="http://schemas.openxmlformats.org/officeDocument/2006/relationships/hyperlink" Target="https://advanced.onlinelibrary.wiley.com/doi/10.1002/adma.74622?af=R" TargetMode="External"/><Relationship Id="rId730" Type="http://schemas.openxmlformats.org/officeDocument/2006/relationships/hyperlink" Target="https://doi.org/10.1002/adma.74622" TargetMode="External"/><Relationship Id="rId731" Type="http://schemas.openxmlformats.org/officeDocument/2006/relationships/hyperlink" Target="https://advanced.onlinelibrary.wiley.com/doi/10.1002/adma.74619?af=R" TargetMode="External"/><Relationship Id="rId732" Type="http://schemas.openxmlformats.org/officeDocument/2006/relationships/hyperlink" Target="https://doi.org/10.1002/adma.74619" TargetMode="External"/><Relationship Id="rId733" Type="http://schemas.openxmlformats.org/officeDocument/2006/relationships/hyperlink" Target="https://advanced.onlinelibrary.wiley.com/doi/10.1002/adma.74633?af=R" TargetMode="External"/><Relationship Id="rId734" Type="http://schemas.openxmlformats.org/officeDocument/2006/relationships/hyperlink" Target="https://doi.org/10.1002/adma.74633" TargetMode="External"/><Relationship Id="rId735" Type="http://schemas.openxmlformats.org/officeDocument/2006/relationships/hyperlink" Target="https://www.science.org/doi/abs/10.1126/sciadv.adz4123?af=R" TargetMode="External"/><Relationship Id="rId736" Type="http://schemas.openxmlformats.org/officeDocument/2006/relationships/hyperlink" Target="https://doi.org/10.1126/sciadv.adz4123" TargetMode="External"/><Relationship Id="rId737" Type="http://schemas.openxmlformats.org/officeDocument/2006/relationships/hyperlink" Target="https://www.science.org/doi/abs/10.1126/sciadv.aec3453?af=R" TargetMode="External"/><Relationship Id="rId738" Type="http://schemas.openxmlformats.org/officeDocument/2006/relationships/hyperlink" Target="https://doi.org/10.1126/sciadv.aec3453" TargetMode="External"/><Relationship Id="rId739" Type="http://schemas.openxmlformats.org/officeDocument/2006/relationships/hyperlink" Target="https://www.pnas.org/doi/abs/10.1073/pnas.2615658123?mi=eymic2&amp;af=R&amp;access=on&amp;content=articlesChapters&amp;publication=pnas&amp;sortBy=Earliest&amp;target=default" TargetMode="External"/><Relationship Id="rId740" Type="http://schemas.openxmlformats.org/officeDocument/2006/relationships/hyperlink" Target="https://doi.org/10.1073/pnas.2615658123" TargetMode="External"/><Relationship Id="rId741" Type="http://schemas.openxmlformats.org/officeDocument/2006/relationships/hyperlink" Target="https://www.pnas.org/doi/abs/10.1073/pnas.2611548123?mi=eymic2&amp;af=R&amp;access=on&amp;content=articlesChapters&amp;publication=pnas&amp;sortBy=Earliest&amp;target=default" TargetMode="External"/><Relationship Id="rId742" Type="http://schemas.openxmlformats.org/officeDocument/2006/relationships/hyperlink" Target="https://doi.org/10.1073/pnas.2611548123" TargetMode="External"/><Relationship Id="rId743" Type="http://schemas.openxmlformats.org/officeDocument/2006/relationships/hyperlink" Target="https://www.pnas.org/doi/abs/10.1073/pnas.2602150123?mi=eymic2&amp;af=R&amp;access=on&amp;content=articlesChapters&amp;publication=pnas&amp;sortBy=Earliest&amp;target=default" TargetMode="External"/><Relationship Id="rId744" Type="http://schemas.openxmlformats.org/officeDocument/2006/relationships/hyperlink" Target="https://doi.org/10.1073/pnas.2602150123" TargetMode="External"/><Relationship Id="rId745" Type="http://schemas.openxmlformats.org/officeDocument/2006/relationships/hyperlink" Target="https://www.pnas.org/doi/abs/10.1073/pnas.2538147123?mi=eymic2&amp;af=R&amp;access=on&amp;content=articlesChapters&amp;publication=pnas&amp;sortBy=Earliest&amp;target=default" TargetMode="External"/><Relationship Id="rId746" Type="http://schemas.openxmlformats.org/officeDocument/2006/relationships/hyperlink" Target="https://doi.org/10.1073/pnas.2538147123" TargetMode="External"/><Relationship Id="rId747" Type="http://schemas.openxmlformats.org/officeDocument/2006/relationships/hyperlink" Target="https://www.pnas.org/doi/abs/10.1073/pnas.2520594123?mi=eymic2&amp;af=R&amp;access=on&amp;content=articlesChapters&amp;publication=pnas&amp;sortBy=Earliest&amp;target=default" TargetMode="External"/><Relationship Id="rId748" Type="http://schemas.openxmlformats.org/officeDocument/2006/relationships/hyperlink" Target="https://doi.org/10.1073/pnas.2520594123" TargetMode="External"/><Relationship Id="rId749" Type="http://schemas.openxmlformats.org/officeDocument/2006/relationships/hyperlink" Target="https://www.pnas.org/doi/abs/10.1073/pnas.2533402123?mi=eymic2&amp;af=R&amp;access=on&amp;content=articlesChapters&amp;publication=pnas&amp;sortBy=Earliest&amp;target=default" TargetMode="External"/><Relationship Id="rId750" Type="http://schemas.openxmlformats.org/officeDocument/2006/relationships/hyperlink" Target="https://doi.org/10.1073/pnas.2533402123" TargetMode="External"/><Relationship Id="rId751" Type="http://schemas.openxmlformats.org/officeDocument/2006/relationships/hyperlink" Target="https://www.pnas.org/doi/abs/10.1073/pnas.2606178123?mi=eymic2&amp;af=R&amp;access=on&amp;content=articlesChapters&amp;publication=pnas&amp;sortBy=Earliest&amp;target=default" TargetMode="External"/><Relationship Id="rId752" Type="http://schemas.openxmlformats.org/officeDocument/2006/relationships/hyperlink" Target="https://doi.org/10.1073/pnas.2606178123" TargetMode="External"/><Relationship Id="rId753" Type="http://schemas.openxmlformats.org/officeDocument/2006/relationships/hyperlink" Target="https://www.science.org/doi/abs/10.1126/sciadv.adz4263?af=R" TargetMode="External"/><Relationship Id="rId754" Type="http://schemas.openxmlformats.org/officeDocument/2006/relationships/hyperlink" Target="https://doi.org/10.1126/sciadv.adz4263" TargetMode="External"/><Relationship Id="rId755" Type="http://schemas.openxmlformats.org/officeDocument/2006/relationships/hyperlink" Target="https://www.science.org/doi/abs/10.1126/sciadv.adz6832?af=R" TargetMode="External"/><Relationship Id="rId756" Type="http://schemas.openxmlformats.org/officeDocument/2006/relationships/hyperlink" Target="https://doi.org/10.1126/sciadv.adz6832" TargetMode="External"/><Relationship Id="rId757" Type="http://schemas.openxmlformats.org/officeDocument/2006/relationships/hyperlink" Target="https://www.science.org/doi/abs/10.1126/sciadv.ady4193?af=R" TargetMode="External"/><Relationship Id="rId758" Type="http://schemas.openxmlformats.org/officeDocument/2006/relationships/hyperlink" Target="https://doi.org/10.1126/sciadv.ady4193" TargetMode="External"/><Relationship Id="rId759" Type="http://schemas.openxmlformats.org/officeDocument/2006/relationships/hyperlink" Target="https://www.science.org/doi/abs/10.1126/sciadv.aec0104?af=R" TargetMode="External"/><Relationship Id="rId760" Type="http://schemas.openxmlformats.org/officeDocument/2006/relationships/hyperlink" Target="https://doi.org/10.1126/sciadv.aec0104" TargetMode="External"/><Relationship Id="rId761" Type="http://schemas.openxmlformats.org/officeDocument/2006/relationships/hyperlink" Target="https://www.science.org/doi/abs/10.1126/sciadv.aea1037?af=R" TargetMode="External"/><Relationship Id="rId762" Type="http://schemas.openxmlformats.org/officeDocument/2006/relationships/hyperlink" Target="https://doi.org/10.1126/sciadv.aea1037" TargetMode="External"/><Relationship Id="rId763" Type="http://schemas.openxmlformats.org/officeDocument/2006/relationships/hyperlink" Target="https://www.science.org/doi/abs/10.1126/sciadv.aef4700?af=R" TargetMode="External"/><Relationship Id="rId764" Type="http://schemas.openxmlformats.org/officeDocument/2006/relationships/hyperlink" Target="https://doi.org/10.1126/sciadv.aef4700" TargetMode="External"/><Relationship Id="rId765" Type="http://schemas.openxmlformats.org/officeDocument/2006/relationships/hyperlink" Target="https://www.science.org/doi/abs/10.1126/sciadv.aec2282?af=R" TargetMode="External"/><Relationship Id="rId766" Type="http://schemas.openxmlformats.org/officeDocument/2006/relationships/hyperlink" Target="https://doi.org/10.1126/sciadv.aec2282" TargetMode="External"/><Relationship Id="rId767" Type="http://schemas.openxmlformats.org/officeDocument/2006/relationships/hyperlink" Target="https://www.science.org/doi/abs/10.1126/sciadv.aef5836?af=R" TargetMode="External"/><Relationship Id="rId768" Type="http://schemas.openxmlformats.org/officeDocument/2006/relationships/hyperlink" Target="https://doi.org/10.1126/sciadv.aef5836" TargetMode="External"/><Relationship Id="rId769" Type="http://schemas.openxmlformats.org/officeDocument/2006/relationships/hyperlink" Target="https://www.science.org/doi/abs/10.1126/sciadv.aeg0180?af=R" TargetMode="External"/><Relationship Id="rId770" Type="http://schemas.openxmlformats.org/officeDocument/2006/relationships/hyperlink" Target="https://doi.org/10.1126/sciadv.aeg0180" TargetMode="External"/><Relationship Id="rId771" Type="http://schemas.openxmlformats.org/officeDocument/2006/relationships/hyperlink" Target="https://www.science.org/doi/abs/10.1126/sciadv.aeg3223?af=R" TargetMode="External"/><Relationship Id="rId772" Type="http://schemas.openxmlformats.org/officeDocument/2006/relationships/hyperlink" Target="https://doi.org/10.1126/sciadv.aeg3223" TargetMode="External"/><Relationship Id="rId773" Type="http://schemas.openxmlformats.org/officeDocument/2006/relationships/hyperlink" Target="https://www.science.org/doi/abs/10.1126/sciadv.aeg4626?af=R" TargetMode="External"/><Relationship Id="rId774" Type="http://schemas.openxmlformats.org/officeDocument/2006/relationships/hyperlink" Target="https://doi.org/10.1126/sciadv.aeg4626" TargetMode="External"/><Relationship Id="rId775" Type="http://schemas.openxmlformats.org/officeDocument/2006/relationships/hyperlink" Target="https://www.science.org/doi/abs/10.1126/sciadv.aeg6231?af=R" TargetMode="External"/><Relationship Id="rId776" Type="http://schemas.openxmlformats.org/officeDocument/2006/relationships/hyperlink" Target="https://doi.org/10.1126/sciadv.aeg6231" TargetMode="External"/><Relationship Id="rId777" Type="http://schemas.openxmlformats.org/officeDocument/2006/relationships/hyperlink" Target="https://www.science.org/doi/abs/10.1126/sciadv.aeg7095?af=R" TargetMode="External"/><Relationship Id="rId778" Type="http://schemas.openxmlformats.org/officeDocument/2006/relationships/hyperlink" Target="https://doi.org/10.1126/sciadv.aeg7095" TargetMode="External"/><Relationship Id="rId779" Type="http://schemas.openxmlformats.org/officeDocument/2006/relationships/hyperlink" Target="https://www.science.org/doi/abs/10.1126/sciadv.aeg8172?af=R" TargetMode="External"/><Relationship Id="rId780" Type="http://schemas.openxmlformats.org/officeDocument/2006/relationships/hyperlink" Target="https://doi.org/10.1126/sciadv.aeg8172" TargetMode="External"/><Relationship Id="rId781" Type="http://schemas.openxmlformats.org/officeDocument/2006/relationships/hyperlink" Target="https://www.science.org/doi/abs/10.1126/sciadv.aed7511?af=R" TargetMode="External"/><Relationship Id="rId782" Type="http://schemas.openxmlformats.org/officeDocument/2006/relationships/hyperlink" Target="https://doi.org/10.1126/sciadv.aed7511" TargetMode="External"/><Relationship Id="rId783" Type="http://schemas.openxmlformats.org/officeDocument/2006/relationships/hyperlink" Target="https://www.science.org/doi/abs/10.1126/sciadv.aec6015?af=R" TargetMode="External"/><Relationship Id="rId784" Type="http://schemas.openxmlformats.org/officeDocument/2006/relationships/hyperlink" Target="https://doi.org/10.1126/sciadv.aec6015" TargetMode="External"/><Relationship Id="rId785" Type="http://schemas.openxmlformats.org/officeDocument/2006/relationships/hyperlink" Target="https://www.science.org/doi/abs/10.1126/sciadv.aeg1691?af=R" TargetMode="External"/><Relationship Id="rId786" Type="http://schemas.openxmlformats.org/officeDocument/2006/relationships/hyperlink" Target="https://doi.org/10.1126/sciadv.aeg1691" TargetMode="External"/><Relationship Id="rId787" Type="http://schemas.openxmlformats.org/officeDocument/2006/relationships/hyperlink" Target="https://www.science.org/doi/abs/10.1126/sciadv.adz9441?af=R" TargetMode="External"/><Relationship Id="rId788" Type="http://schemas.openxmlformats.org/officeDocument/2006/relationships/hyperlink" Target="https://doi.org/10.1126/sciadv.adz9441" TargetMode="External"/><Relationship Id="rId789" Type="http://schemas.openxmlformats.org/officeDocument/2006/relationships/hyperlink" Target="https://www.science.org/doi/abs/10.1126/sciadv.aef8713?af=R" TargetMode="External"/><Relationship Id="rId790" Type="http://schemas.openxmlformats.org/officeDocument/2006/relationships/hyperlink" Target="https://doi.org/10.1126/sciadv.aef8713" TargetMode="External"/><Relationship Id="rId791" Type="http://schemas.openxmlformats.org/officeDocument/2006/relationships/hyperlink" Target="https://www.science.org/doi/abs/10.1126/sciadv.aef0741?af=R" TargetMode="External"/><Relationship Id="rId792" Type="http://schemas.openxmlformats.org/officeDocument/2006/relationships/hyperlink" Target="https://doi.org/10.1126/sciadv.aef0741" TargetMode="External"/><Relationship Id="rId793" Type="http://schemas.openxmlformats.org/officeDocument/2006/relationships/hyperlink" Target="https://www.science.org/doi/abs/10.1126/sciadv.aee5504?af=R" TargetMode="External"/><Relationship Id="rId794" Type="http://schemas.openxmlformats.org/officeDocument/2006/relationships/hyperlink" Target="https://doi.org/10.1126/sciadv.aee5504" TargetMode="External"/><Relationship Id="rId795" Type="http://schemas.openxmlformats.org/officeDocument/2006/relationships/hyperlink" Target="https://www.science.org/doi/abs/10.1126/sciadv.aef2975?af=R" TargetMode="External"/><Relationship Id="rId796" Type="http://schemas.openxmlformats.org/officeDocument/2006/relationships/hyperlink" Target="https://doi.org/10.1126/sciadv.aef2975" TargetMode="External"/><Relationship Id="rId797" Type="http://schemas.openxmlformats.org/officeDocument/2006/relationships/hyperlink" Target="https://www.science.org/doi/abs/10.1126/sciadv.aee2671?af=R" TargetMode="External"/><Relationship Id="rId798" Type="http://schemas.openxmlformats.org/officeDocument/2006/relationships/hyperlink" Target="https://doi.org/10.1126/sciadv.aee2671" TargetMode="External"/><Relationship Id="rId799" Type="http://schemas.openxmlformats.org/officeDocument/2006/relationships/hyperlink" Target="https://www.science.org/doi/abs/10.1126/sciadv.aea6091?af=R" TargetMode="External"/><Relationship Id="rId800" Type="http://schemas.openxmlformats.org/officeDocument/2006/relationships/hyperlink" Target="https://doi.org/10.1126/sciadv.aea6091" TargetMode="External"/><Relationship Id="rId801" Type="http://schemas.openxmlformats.org/officeDocument/2006/relationships/hyperlink" Target="https://www.science.org/doi/abs/10.1126/sciadv.aea8715?af=R" TargetMode="External"/><Relationship Id="rId802" Type="http://schemas.openxmlformats.org/officeDocument/2006/relationships/hyperlink" Target="https://doi.org/10.1126/sciadv.aea8715" TargetMode="External"/><Relationship Id="rId803" Type="http://schemas.openxmlformats.org/officeDocument/2006/relationships/hyperlink" Target="https://www.science.org/doi/abs/10.1126/sciadv.aeb4666?af=R" TargetMode="External"/><Relationship Id="rId804" Type="http://schemas.openxmlformats.org/officeDocument/2006/relationships/hyperlink" Target="https://doi.org/10.1126/sciadv.aeb4666" TargetMode="External"/><Relationship Id="rId805" Type="http://schemas.openxmlformats.org/officeDocument/2006/relationships/hyperlink" Target="https://www.science.org/doi/abs/10.1126/sciadv.aee5234?af=R" TargetMode="External"/><Relationship Id="rId806" Type="http://schemas.openxmlformats.org/officeDocument/2006/relationships/hyperlink" Target="https://doi.org/10.1126/sciadv.aee5234" TargetMode="External"/><Relationship Id="rId807" Type="http://schemas.openxmlformats.org/officeDocument/2006/relationships/hyperlink" Target="https://www.science.org/doi/abs/10.1126/sciadv.aec9270?af=R" TargetMode="External"/><Relationship Id="rId808" Type="http://schemas.openxmlformats.org/officeDocument/2006/relationships/hyperlink" Target="https://doi.org/10.1126/sciadv.aec9270" TargetMode="External"/><Relationship Id="rId809" Type="http://schemas.openxmlformats.org/officeDocument/2006/relationships/hyperlink" Target="https://www.science.org/doi/abs/10.1126/sciadv.aef6328?af=R" TargetMode="External"/><Relationship Id="rId810" Type="http://schemas.openxmlformats.org/officeDocument/2006/relationships/hyperlink" Target="https://doi.org/10.1126/sciadv.aef6328" TargetMode="External"/><Relationship Id="rId811" Type="http://schemas.openxmlformats.org/officeDocument/2006/relationships/hyperlink" Target="https://www.science.org/doi/abs/10.1126/sciadv.aef4627?af=R" TargetMode="External"/><Relationship Id="rId812" Type="http://schemas.openxmlformats.org/officeDocument/2006/relationships/hyperlink" Target="https://doi.org/10.1126/sciadv.aef4627" TargetMode="External"/><Relationship Id="rId813" Type="http://schemas.openxmlformats.org/officeDocument/2006/relationships/hyperlink" Target="https://www.science.org/doi/abs/10.1126/sciadv.aec0398?af=R" TargetMode="External"/><Relationship Id="rId814" Type="http://schemas.openxmlformats.org/officeDocument/2006/relationships/hyperlink" Target="https://doi.org/10.1126/sciadv.aec0398" TargetMode="External"/><Relationship Id="rId815" Type="http://schemas.openxmlformats.org/officeDocument/2006/relationships/hyperlink" Target="https://www.science.org/doi/abs/10.1126/sciadv.aec8768?af=R" TargetMode="External"/><Relationship Id="rId816" Type="http://schemas.openxmlformats.org/officeDocument/2006/relationships/hyperlink" Target="https://doi.org/10.1126/sciadv.aec8768" TargetMode="External"/><Relationship Id="rId817" Type="http://schemas.openxmlformats.org/officeDocument/2006/relationships/hyperlink" Target="https://www.science.org/doi/abs/10.1126/sciadv.aec9180?af=R" TargetMode="External"/><Relationship Id="rId818" Type="http://schemas.openxmlformats.org/officeDocument/2006/relationships/hyperlink" Target="https://doi.org/10.1126/sciadv.aec9180" TargetMode="External"/><Relationship Id="rId819" Type="http://schemas.openxmlformats.org/officeDocument/2006/relationships/hyperlink" Target="https://www.science.org/doi/abs/10.1126/sciadv.aed1506?af=R" TargetMode="External"/><Relationship Id="rId820" Type="http://schemas.openxmlformats.org/officeDocument/2006/relationships/hyperlink" Target="https://doi.org/10.1126/sciadv.aed1506" TargetMode="External"/><Relationship Id="rId821" Type="http://schemas.openxmlformats.org/officeDocument/2006/relationships/hyperlink" Target="https://www.science.org/doi/abs/10.1126/sciadv.aed2720?af=R" TargetMode="External"/><Relationship Id="rId822" Type="http://schemas.openxmlformats.org/officeDocument/2006/relationships/hyperlink" Target="https://doi.org/10.1126/sciadv.aed2720" TargetMode="External"/><Relationship Id="rId823" Type="http://schemas.openxmlformats.org/officeDocument/2006/relationships/hyperlink" Target="https://www.science.org/doi/abs/10.1126/sciadv.aee2632?af=R" TargetMode="External"/><Relationship Id="rId824" Type="http://schemas.openxmlformats.org/officeDocument/2006/relationships/hyperlink" Target="https://doi.org/10.1126/sciadv.aee2632" TargetMode="External"/><Relationship Id="rId825" Type="http://schemas.openxmlformats.org/officeDocument/2006/relationships/hyperlink" Target="https://www.science.org/doi/abs/10.1126/sciadv.aec4153?af=R" TargetMode="External"/><Relationship Id="rId826" Type="http://schemas.openxmlformats.org/officeDocument/2006/relationships/hyperlink" Target="https://doi.org/10.1126/sciadv.aec4153" TargetMode="External"/><Relationship Id="rId827" Type="http://schemas.openxmlformats.org/officeDocument/2006/relationships/hyperlink" Target="https://www.science.org/doi/abs/10.1126/sciadv.aed7743?af=R" TargetMode="External"/><Relationship Id="rId828" Type="http://schemas.openxmlformats.org/officeDocument/2006/relationships/hyperlink" Target="https://doi.org/10.1126/sciadv.aed7743" TargetMode="External"/><Relationship Id="rId829" Type="http://schemas.openxmlformats.org/officeDocument/2006/relationships/hyperlink" Target="https://www.science.org/doi/abs/10.1126/science.ael5176?af=R" TargetMode="External"/><Relationship Id="rId830" Type="http://schemas.openxmlformats.org/officeDocument/2006/relationships/hyperlink" Target="https://doi.org/10.1126/science.ael5176" TargetMode="External"/><Relationship Id="rId831" Type="http://schemas.openxmlformats.org/officeDocument/2006/relationships/hyperlink" Target="http://link.aps.org/doi/10.1103/wsvz-mstf" TargetMode="External"/><Relationship Id="rId832" Type="http://schemas.openxmlformats.org/officeDocument/2006/relationships/hyperlink" Target="https://doi.org/10.1103/wsvz-mstf" TargetMode="External"/><Relationship Id="rId833" Type="http://schemas.openxmlformats.org/officeDocument/2006/relationships/hyperlink" Target="http://link.aps.org/doi/10.1103/cghv-j44h" TargetMode="External"/><Relationship Id="rId834" Type="http://schemas.openxmlformats.org/officeDocument/2006/relationships/hyperlink" Target="https://doi.org/10.1103/cghv-j44h" TargetMode="External"/><Relationship Id="rId835" Type="http://schemas.openxmlformats.org/officeDocument/2006/relationships/hyperlink" Target="http://link.aps.org/doi/10.1103/29y5-nx9y" TargetMode="External"/><Relationship Id="rId836" Type="http://schemas.openxmlformats.org/officeDocument/2006/relationships/hyperlink" Target="https://doi.org/10.1103/29y5-nx9y" TargetMode="External"/><Relationship Id="rId837" Type="http://schemas.openxmlformats.org/officeDocument/2006/relationships/hyperlink" Target="http://link.aps.org/doi/10.1103/mg5m-b94l" TargetMode="External"/><Relationship Id="rId838" Type="http://schemas.openxmlformats.org/officeDocument/2006/relationships/hyperlink" Target="https://doi.org/10.1103/mg5m-b94l" TargetMode="External"/><Relationship Id="rId839" Type="http://schemas.openxmlformats.org/officeDocument/2006/relationships/hyperlink" Target="http://link.aps.org/doi/10.1103/14kh-nkgl" TargetMode="External"/><Relationship Id="rId840" Type="http://schemas.openxmlformats.org/officeDocument/2006/relationships/hyperlink" Target="https://doi.org/10.1103/14kh-nkgl" TargetMode="External"/><Relationship Id="rId841" Type="http://schemas.openxmlformats.org/officeDocument/2006/relationships/hyperlink" Target="http://link.aps.org/doi/10.1103/8j1r-3yxl" TargetMode="External"/><Relationship Id="rId842" Type="http://schemas.openxmlformats.org/officeDocument/2006/relationships/hyperlink" Target="https://doi.org/10.1103/8j1r-3yxl" TargetMode="External"/><Relationship Id="rId843" Type="http://schemas.openxmlformats.org/officeDocument/2006/relationships/hyperlink" Target="http://link.aps.org/doi/10.1103/5pr6-5fmd" TargetMode="External"/><Relationship Id="rId844" Type="http://schemas.openxmlformats.org/officeDocument/2006/relationships/hyperlink" Target="https://doi.org/10.1103/5pr6-5fmd" TargetMode="External"/><Relationship Id="rId845" Type="http://schemas.openxmlformats.org/officeDocument/2006/relationships/hyperlink" Target="http://link.aps.org/doi/10.1103/j9hv-7cfg" TargetMode="External"/><Relationship Id="rId846" Type="http://schemas.openxmlformats.org/officeDocument/2006/relationships/hyperlink" Target="https://doi.org/10.1103/j9hv-7cfg" TargetMode="External"/><Relationship Id="rId847" Type="http://schemas.openxmlformats.org/officeDocument/2006/relationships/hyperlink" Target="http://link.aps.org/doi/10.1103/lyqg-k6tk" TargetMode="External"/><Relationship Id="rId848" Type="http://schemas.openxmlformats.org/officeDocument/2006/relationships/hyperlink" Target="https://doi.org/10.1103/lyqg-k6tk" TargetMode="External"/><Relationship Id="rId849" Type="http://schemas.openxmlformats.org/officeDocument/2006/relationships/hyperlink" Target="http://link.aps.org/doi/10.1103/v44d-7jr4" TargetMode="External"/><Relationship Id="rId850" Type="http://schemas.openxmlformats.org/officeDocument/2006/relationships/hyperlink" Target="https://doi.org/10.1103/v44d-7jr4" TargetMode="External"/><Relationship Id="rId851" Type="http://schemas.openxmlformats.org/officeDocument/2006/relationships/hyperlink" Target="http://link.aps.org/doi/10.1103/hl44-cn9m" TargetMode="External"/><Relationship Id="rId852" Type="http://schemas.openxmlformats.org/officeDocument/2006/relationships/hyperlink" Target="https://doi.org/10.1103/hl44-cn9m" TargetMode="External"/><Relationship Id="rId853" Type="http://schemas.openxmlformats.org/officeDocument/2006/relationships/hyperlink" Target="http://link.aps.org/doi/10.1103/9wbw-h87d" TargetMode="External"/><Relationship Id="rId854" Type="http://schemas.openxmlformats.org/officeDocument/2006/relationships/hyperlink" Target="https://doi.org/10.1103/9wbw-h87d" TargetMode="External"/><Relationship Id="rId855" Type="http://schemas.openxmlformats.org/officeDocument/2006/relationships/hyperlink" Target="http://link.aps.org/doi/10.1103/5gb3-q3lz" TargetMode="External"/><Relationship Id="rId856" Type="http://schemas.openxmlformats.org/officeDocument/2006/relationships/hyperlink" Target="https://doi.org/10.1103/5gb3-q3lz" TargetMode="External"/><Relationship Id="rId857" Type="http://schemas.openxmlformats.org/officeDocument/2006/relationships/hyperlink" Target="http://link.aps.org/doi/10.1103/c983-bg79" TargetMode="External"/><Relationship Id="rId858" Type="http://schemas.openxmlformats.org/officeDocument/2006/relationships/hyperlink" Target="https://doi.org/10.1103/c983-bg79" TargetMode="External"/><Relationship Id="rId859" Type="http://schemas.openxmlformats.org/officeDocument/2006/relationships/hyperlink" Target="http://link.aps.org/doi/10.1103/97c9-jl1m" TargetMode="External"/><Relationship Id="rId860" Type="http://schemas.openxmlformats.org/officeDocument/2006/relationships/hyperlink" Target="https://doi.org/10.1103/97c9-jl1m" TargetMode="External"/><Relationship Id="rId861" Type="http://schemas.openxmlformats.org/officeDocument/2006/relationships/hyperlink" Target="http://link.aps.org/doi/10.1103/cqtc-d146" TargetMode="External"/><Relationship Id="rId862" Type="http://schemas.openxmlformats.org/officeDocument/2006/relationships/hyperlink" Target="https://doi.org/10.1103/cqtc-d146" TargetMode="External"/><Relationship Id="rId863" Type="http://schemas.openxmlformats.org/officeDocument/2006/relationships/hyperlink" Target="http://link.aps.org/doi/10.1103/fjjf-xspp" TargetMode="External"/><Relationship Id="rId864" Type="http://schemas.openxmlformats.org/officeDocument/2006/relationships/hyperlink" Target="https://doi.org/10.1103/fjjf-xspp" TargetMode="External"/><Relationship Id="rId865" Type="http://schemas.openxmlformats.org/officeDocument/2006/relationships/hyperlink" Target="https://advanced.onlinelibrary.wiley.com/doi/10.1002/adma.74391?af=R" TargetMode="External"/><Relationship Id="rId866" Type="http://schemas.openxmlformats.org/officeDocument/2006/relationships/hyperlink" Target="https://doi.org/10.1002/adma.74391" TargetMode="External"/><Relationship Id="rId867" Type="http://schemas.openxmlformats.org/officeDocument/2006/relationships/hyperlink" Target="https://onlinelibrary.wiley.com/doi/10.1002/anie.4589075?af=R" TargetMode="External"/><Relationship Id="rId868" Type="http://schemas.openxmlformats.org/officeDocument/2006/relationships/hyperlink" Target="https://doi.org/10.1002/anie.4589075" TargetMode="External"/><Relationship Id="rId869" Type="http://schemas.openxmlformats.org/officeDocument/2006/relationships/hyperlink" Target="https://onlinelibrary.wiley.com/doi/10.1002/anie.6447296?af=R" TargetMode="External"/><Relationship Id="rId870" Type="http://schemas.openxmlformats.org/officeDocument/2006/relationships/hyperlink" Target="https://doi.org/10.1002/anie.6447296" TargetMode="External"/><Relationship Id="rId871" Type="http://schemas.openxmlformats.org/officeDocument/2006/relationships/hyperlink" Target="https://onlinelibrary.wiley.com/doi/10.1002/anie.3395960?af=R" TargetMode="External"/><Relationship Id="rId872" Type="http://schemas.openxmlformats.org/officeDocument/2006/relationships/hyperlink" Target="https://doi.org/10.1002/anie.3395960" TargetMode="External"/><Relationship Id="rId873" Type="http://schemas.openxmlformats.org/officeDocument/2006/relationships/hyperlink" Target="https://onlinelibrary.wiley.com/doi/10.1002/anie.3778438?af=R" TargetMode="External"/><Relationship Id="rId874" Type="http://schemas.openxmlformats.org/officeDocument/2006/relationships/hyperlink" Target="https://doi.org/10.1002/anie.3778438" TargetMode="External"/><Relationship Id="rId875" Type="http://schemas.openxmlformats.org/officeDocument/2006/relationships/hyperlink" Target="https://onlinelibrary.wiley.com/doi/10.1002/anie.202600004?af=R" TargetMode="External"/><Relationship Id="rId876" Type="http://schemas.openxmlformats.org/officeDocument/2006/relationships/hyperlink" Target="https://doi.org/10.1002/anie.202600004" TargetMode="External"/><Relationship Id="rId877" Type="http://schemas.openxmlformats.org/officeDocument/2006/relationships/hyperlink" Target="https://onlinelibrary.wiley.com/doi/10.1002/anie.2703281?af=R" TargetMode="External"/><Relationship Id="rId878" Type="http://schemas.openxmlformats.org/officeDocument/2006/relationships/hyperlink" Target="https://doi.org/10.1002/anie.2703281" TargetMode="External"/><Relationship Id="rId879" Type="http://schemas.openxmlformats.org/officeDocument/2006/relationships/hyperlink" Target="https://onlinelibrary.wiley.com/doi/10.1002/anie.1608232?af=R" TargetMode="External"/><Relationship Id="rId880" Type="http://schemas.openxmlformats.org/officeDocument/2006/relationships/hyperlink" Target="https://doi.org/10.1002/anie.1608232" TargetMode="External"/><Relationship Id="rId881" Type="http://schemas.openxmlformats.org/officeDocument/2006/relationships/hyperlink" Target="https://onlinelibrary.wiley.com/doi/10.1002/anie.6259849?af=R" TargetMode="External"/><Relationship Id="rId882" Type="http://schemas.openxmlformats.org/officeDocument/2006/relationships/hyperlink" Target="https://doi.org/10.1002/anie.6259849" TargetMode="External"/><Relationship Id="rId883" Type="http://schemas.openxmlformats.org/officeDocument/2006/relationships/hyperlink" Target="https://www.nature.com/articles/s41467-026-76682-2" TargetMode="External"/><Relationship Id="rId884" Type="http://schemas.openxmlformats.org/officeDocument/2006/relationships/hyperlink" Target="https://www.nature.com/articles/s41467-026-75814-y" TargetMode="External"/><Relationship Id="rId885" Type="http://schemas.openxmlformats.org/officeDocument/2006/relationships/hyperlink" Target="https://www.nature.com/articles/s41467-026-76632-y" TargetMode="External"/><Relationship Id="rId886" Type="http://schemas.openxmlformats.org/officeDocument/2006/relationships/hyperlink" Target="https://www.nature.com/articles/s41467-026-76748-1" TargetMode="External"/><Relationship Id="rId887" Type="http://schemas.openxmlformats.org/officeDocument/2006/relationships/hyperlink" Target="https://www.nature.com/articles/s41467-026-76606-0" TargetMode="External"/><Relationship Id="rId888" Type="http://schemas.openxmlformats.org/officeDocument/2006/relationships/hyperlink" Target="https://www.nature.com/articles/s41467-026-76724-9" TargetMode="External"/><Relationship Id="rId889" Type="http://schemas.openxmlformats.org/officeDocument/2006/relationships/hyperlink" Target="https://www.nature.com/articles/s41467-026-76775-y" TargetMode="External"/><Relationship Id="rId890" Type="http://schemas.openxmlformats.org/officeDocument/2006/relationships/hyperlink" Target="https://www.nature.com/articles/s41467-026-76693-z" TargetMode="External"/><Relationship Id="rId891" Type="http://schemas.openxmlformats.org/officeDocument/2006/relationships/hyperlink" Target="https://www.nature.com/articles/s41467-026-76420-8" TargetMode="External"/><Relationship Id="rId892" Type="http://schemas.openxmlformats.org/officeDocument/2006/relationships/hyperlink" Target="https://www.nature.com/articles/s41467-026-76630-0" TargetMode="External"/><Relationship Id="rId893" Type="http://schemas.openxmlformats.org/officeDocument/2006/relationships/hyperlink" Target="https://www.nature.com/articles/s41467-026-76601-5" TargetMode="External"/><Relationship Id="rId894" Type="http://schemas.openxmlformats.org/officeDocument/2006/relationships/hyperlink" Target="https://www.nature.com/articles/s41467-026-76753-4" TargetMode="External"/><Relationship Id="rId895" Type="http://schemas.openxmlformats.org/officeDocument/2006/relationships/hyperlink" Target="https://www.nature.com/articles/s41467-026-76665-3" TargetMode="External"/><Relationship Id="rId896" Type="http://schemas.openxmlformats.org/officeDocument/2006/relationships/hyperlink" Target="https://www.nature.com/articles/s41467-026-76818-4" TargetMode="External"/><Relationship Id="rId897" Type="http://schemas.openxmlformats.org/officeDocument/2006/relationships/hyperlink" Target="https://www.nature.com/articles/s41467-026-76575-4" TargetMode="External"/><Relationship Id="rId898" Type="http://schemas.openxmlformats.org/officeDocument/2006/relationships/hyperlink" Target="https://www.nature.com/articles/s41467-026-76728-5" TargetMode="External"/><Relationship Id="rId899" Type="http://schemas.openxmlformats.org/officeDocument/2006/relationships/hyperlink" Target="https://www.nature.com/articles/s41467-026-76796-7" TargetMode="External"/><Relationship Id="rId900" Type="http://schemas.openxmlformats.org/officeDocument/2006/relationships/hyperlink" Target="https://www.nature.com/articles/s41467-026-76743-6" TargetMode="External"/><Relationship Id="rId901" Type="http://schemas.openxmlformats.org/officeDocument/2006/relationships/hyperlink" Target="https://www.nature.com/articles/s41467-026-76788-7" TargetMode="External"/><Relationship Id="rId902" Type="http://schemas.openxmlformats.org/officeDocument/2006/relationships/hyperlink" Target="https://www.nature.com/articles/s41467-026-76685-z" TargetMode="External"/><Relationship Id="rId903" Type="http://schemas.openxmlformats.org/officeDocument/2006/relationships/hyperlink" Target="https://www.nature.com/articles/s41467-026-76943-0" TargetMode="External"/><Relationship Id="rId904" Type="http://schemas.openxmlformats.org/officeDocument/2006/relationships/hyperlink" Target="https://www.nature.com/articles/s41467-026-76407-5" TargetMode="External"/><Relationship Id="rId905" Type="http://schemas.openxmlformats.org/officeDocument/2006/relationships/hyperlink" Target="https://www.nature.com/articles/s41467-026-76777-w" TargetMode="External"/><Relationship Id="rId906" Type="http://schemas.openxmlformats.org/officeDocument/2006/relationships/hyperlink" Target="https://www.nature.com/articles/s41467-026-76720-z" TargetMode="External"/><Relationship Id="rId907" Type="http://schemas.openxmlformats.org/officeDocument/2006/relationships/hyperlink" Target="https://www.nature.com/articles/s41467-026-76779-8" TargetMode="External"/><Relationship Id="rId908" Type="http://schemas.openxmlformats.org/officeDocument/2006/relationships/hyperlink" Target="https://www.nature.com/articles/s41467-026-76706-x" TargetMode="External"/><Relationship Id="rId909" Type="http://schemas.openxmlformats.org/officeDocument/2006/relationships/hyperlink" Target="https://www.nature.com/articles/s41467-026-76757-0" TargetMode="External"/><Relationship Id="rId910" Type="http://schemas.openxmlformats.org/officeDocument/2006/relationships/hyperlink" Target="https://www.nature.com/articles/s41467-026-76792-x" TargetMode="External"/><Relationship Id="rId911" Type="http://schemas.openxmlformats.org/officeDocument/2006/relationships/hyperlink" Target="https://www.nature.com/articles/s41467-026-76787-8" TargetMode="External"/><Relationship Id="rId912" Type="http://schemas.openxmlformats.org/officeDocument/2006/relationships/hyperlink" Target="https://www.nature.com/articles/s41467-026-76802-y" TargetMode="External"/><Relationship Id="rId913" Type="http://schemas.openxmlformats.org/officeDocument/2006/relationships/hyperlink" Target="https://www.nature.com/articles/s41467-026-76770-3" TargetMode="External"/><Relationship Id="rId914" Type="http://schemas.openxmlformats.org/officeDocument/2006/relationships/hyperlink" Target="https://pubs.acs.org/jacsat/article/doi/10.1021/jacs.6c03978/5259301/Circularly-Polarized-Luminescence-in-Terbium" TargetMode="External"/><Relationship Id="rId915" Type="http://schemas.openxmlformats.org/officeDocument/2006/relationships/hyperlink" Target="https://doi.org/10.1021/jacs.6c03978" TargetMode="External"/><Relationship Id="rId916" Type="http://schemas.openxmlformats.org/officeDocument/2006/relationships/hyperlink" Target="https://pubs.acs.org/jacsat/article/doi/10.1021/jacs.6c10666/5258136/Highly-Transparent-Layer-by-Layer-Nanoassembled" TargetMode="External"/><Relationship Id="rId917" Type="http://schemas.openxmlformats.org/officeDocument/2006/relationships/hyperlink" Target="https://doi.org/10.1021/jacs.6c10666" TargetMode="External"/><Relationship Id="rId918" Type="http://schemas.openxmlformats.org/officeDocument/2006/relationships/hyperlink" Target="https://www.nature.com/articles/s41467-026-76463-x" TargetMode="External"/><Relationship Id="rId919" Type="http://schemas.openxmlformats.org/officeDocument/2006/relationships/hyperlink" Target="https://www.sciencedirect.com/science/article/pii/S0306261926013164?dgcid=rss_sd_all" TargetMode="External"/><Relationship Id="rId920" Type="http://schemas.openxmlformats.org/officeDocument/2006/relationships/hyperlink" Target="https://doi.org/10.1016/j.apenergy.2026.128660" TargetMode="External"/><Relationship Id="rId921" Type="http://schemas.openxmlformats.org/officeDocument/2006/relationships/hyperlink" Target="https://www.sciencedirect.com/science/article/pii/S0301421526004854?dgcid=rss_sd_all" TargetMode="External"/><Relationship Id="rId922" Type="http://schemas.openxmlformats.org/officeDocument/2006/relationships/hyperlink" Target="https://doi.org/10.1016/j.enpol.2026.115551" TargetMode="External"/><Relationship Id="rId923" Type="http://schemas.openxmlformats.org/officeDocument/2006/relationships/hyperlink" Target="https://www.nature.com/articles/s41467-026-76688-w" TargetMode="External"/><Relationship Id="rId924" Type="http://schemas.openxmlformats.org/officeDocument/2006/relationships/hyperlink" Target="https://www.nature.com/articles/s41467-026-76758-z" TargetMode="External"/><Relationship Id="rId925" Type="http://schemas.openxmlformats.org/officeDocument/2006/relationships/hyperlink" Target="https://advanced.onlinelibrary.wiley.com/doi/10.1002/aenm.71443?af=R" TargetMode="External"/><Relationship Id="rId926" Type="http://schemas.openxmlformats.org/officeDocument/2006/relationships/hyperlink" Target="https://doi.org/10.1002/aenm.71443" TargetMode="External"/><Relationship Id="rId927" Type="http://schemas.openxmlformats.org/officeDocument/2006/relationships/hyperlink" Target="https://www.sciencedirect.com/science/article/pii/S0306261926013309?dgcid=rss_sd_all" TargetMode="External"/><Relationship Id="rId928" Type="http://schemas.openxmlformats.org/officeDocument/2006/relationships/hyperlink" Target="https://doi.org/10.1016/j.apenergy.2026.128674" TargetMode="External"/><Relationship Id="rId929" Type="http://schemas.openxmlformats.org/officeDocument/2006/relationships/hyperlink" Target="https://onlinelibrary.wiley.com/doi/10.1002/anie.5613575?af=R" TargetMode="External"/><Relationship Id="rId930" Type="http://schemas.openxmlformats.org/officeDocument/2006/relationships/hyperlink" Target="https://doi.org/10.1002/anie.5613575" TargetMode="External"/><Relationship Id="rId931" Type="http://schemas.openxmlformats.org/officeDocument/2006/relationships/hyperlink" Target="https://onlinelibrary.wiley.com/doi/10.1002/anie.8444671?af=R" TargetMode="External"/><Relationship Id="rId932" Type="http://schemas.openxmlformats.org/officeDocument/2006/relationships/hyperlink" Target="https://doi.org/10.1002/anie.8444671" TargetMode="External"/><Relationship Id="rId933" Type="http://schemas.openxmlformats.org/officeDocument/2006/relationships/hyperlink" Target="https://www.nature.com/articles/s41558-026-02712-y" TargetMode="External"/><Relationship Id="rId934" Type="http://schemas.openxmlformats.org/officeDocument/2006/relationships/hyperlink" Target="https://doi.org/10.1038/s41558-026-02712-y" TargetMode="External"/><Relationship Id="rId935" Type="http://schemas.openxmlformats.org/officeDocument/2006/relationships/hyperlink" Target="https://www.nature.com/articles/s41563-026-02685-5" TargetMode="External"/><Relationship Id="rId936" Type="http://schemas.openxmlformats.org/officeDocument/2006/relationships/hyperlink" Target="https://doi.org/10.1038/s41563-026-02685-5" TargetMode="External"/><Relationship Id="rId937" Type="http://schemas.openxmlformats.org/officeDocument/2006/relationships/hyperlink" Target="https://www.cell.com/chem/fulltext/S2451-9294(26)00258-5?rss=yes" TargetMode="External"/><Relationship Id="rId938" Type="http://schemas.openxmlformats.org/officeDocument/2006/relationships/hyperlink" Target="https://doi.org/10.1016/j.chempr.2026.103192" TargetMode="External"/><Relationship Id="rId939" Type="http://schemas.openxmlformats.org/officeDocument/2006/relationships/hyperlink" Target="https://www.cell.com/chem/fulltext/S2451-9294(26)00254-8?rss=yes" TargetMode="External"/><Relationship Id="rId940" Type="http://schemas.openxmlformats.org/officeDocument/2006/relationships/hyperlink" Target="https://doi.org/10.1016/j.chempr.2026.103188" TargetMode="External"/><Relationship Id="rId941" Type="http://schemas.openxmlformats.org/officeDocument/2006/relationships/hyperlink" Target="https://www.nature.com/articles/s41586-026-11006-4" TargetMode="External"/><Relationship Id="rId942" Type="http://schemas.openxmlformats.org/officeDocument/2006/relationships/hyperlink" Target="https://doi.org/10.1038/s41586-026-11006-4" TargetMode="External"/><Relationship Id="rId943" Type="http://schemas.openxmlformats.org/officeDocument/2006/relationships/hyperlink" Target="https://www.nature.com/articles/s41586-026-11009-1" TargetMode="External"/><Relationship Id="rId944" Type="http://schemas.openxmlformats.org/officeDocument/2006/relationships/hyperlink" Target="https://doi.org/10.1038/s41586-026-11009-1" TargetMode="External"/><Relationship Id="rId945" Type="http://schemas.openxmlformats.org/officeDocument/2006/relationships/hyperlink" Target="https://www.nature.com/articles/s41586-026-10995-6" TargetMode="External"/><Relationship Id="rId946" Type="http://schemas.openxmlformats.org/officeDocument/2006/relationships/hyperlink" Target="https://doi.org/10.1038/s41586-026-10995-6" TargetMode="External"/><Relationship Id="rId947" Type="http://schemas.openxmlformats.org/officeDocument/2006/relationships/hyperlink" Target="https://www.nature.com/articles/d41586-026-02532-2" TargetMode="External"/><Relationship Id="rId948" Type="http://schemas.openxmlformats.org/officeDocument/2006/relationships/hyperlink" Target="https://doi.org/10.1038/d41586-026-02532-2" TargetMode="External"/><Relationship Id="rId949" Type="http://schemas.openxmlformats.org/officeDocument/2006/relationships/hyperlink" Target="https://www.nature.com/articles/d41586-026-02530-4" TargetMode="External"/><Relationship Id="rId950" Type="http://schemas.openxmlformats.org/officeDocument/2006/relationships/hyperlink" Target="https://doi.org/10.1038/d41586-026-02530-4" TargetMode="External"/><Relationship Id="rId951" Type="http://schemas.openxmlformats.org/officeDocument/2006/relationships/hyperlink" Target="https://www.nature.com/articles/d41586-026-02526-0" TargetMode="External"/><Relationship Id="rId952" Type="http://schemas.openxmlformats.org/officeDocument/2006/relationships/hyperlink" Target="https://doi.org/10.1038/d41586-026-02526-0" TargetMode="External"/><Relationship Id="rId953" Type="http://schemas.openxmlformats.org/officeDocument/2006/relationships/hyperlink" Target="https://www.nature.com/articles/d41586-026-02552-y" TargetMode="External"/><Relationship Id="rId954" Type="http://schemas.openxmlformats.org/officeDocument/2006/relationships/hyperlink" Target="https://doi.org/10.1038/d41586-026-02552-y" TargetMode="External"/><Relationship Id="rId955" Type="http://schemas.openxmlformats.org/officeDocument/2006/relationships/hyperlink" Target="https://www.nature.com/articles/d41586-026-02529-x" TargetMode="External"/><Relationship Id="rId956" Type="http://schemas.openxmlformats.org/officeDocument/2006/relationships/hyperlink" Target="https://doi.org/10.1038/d41586-026-02529-x" TargetMode="External"/><Relationship Id="rId957" Type="http://schemas.openxmlformats.org/officeDocument/2006/relationships/hyperlink" Target="https://academic.oup.com/nsr/advance-article/doi/10.1093/nsr/nwag497/8762567?rss=1" TargetMode="External"/><Relationship Id="rId958" Type="http://schemas.openxmlformats.org/officeDocument/2006/relationships/hyperlink" Target="https://doi.org/10.1093/nsr/nwag497" TargetMode="External"/><Relationship Id="rId959" Type="http://schemas.openxmlformats.org/officeDocument/2006/relationships/hyperlink" Target="https://academic.oup.com/nsr/advance-article/doi/10.1093/nsr/nwag487/8762563?rss=1" TargetMode="External"/><Relationship Id="rId960" Type="http://schemas.openxmlformats.org/officeDocument/2006/relationships/hyperlink" Target="https://doi.org/10.1093/nsr/nwag487" TargetMode="External"/><Relationship Id="rId961" Type="http://schemas.openxmlformats.org/officeDocument/2006/relationships/hyperlink" Target="https://pubs.acs.org/jacsat/article/doi/10.1021/jacs.6c07657/5262236/B-Pd-Catalyzed-Asymmetric-Propargylic-Substitution" TargetMode="External"/><Relationship Id="rId962" Type="http://schemas.openxmlformats.org/officeDocument/2006/relationships/hyperlink" Target="https://doi.org/10.1021/jacs.6c07657" TargetMode="External"/><Relationship Id="rId963" Type="http://schemas.openxmlformats.org/officeDocument/2006/relationships/hyperlink" Target="https://www.nature.com/articles/s41467-026-76881-x" TargetMode="External"/><Relationship Id="rId964" Type="http://schemas.openxmlformats.org/officeDocument/2006/relationships/hyperlink" Target="https://www.nature.com/articles/s41467-026-74921-0" TargetMode="External"/><Relationship Id="rId965" Type="http://schemas.openxmlformats.org/officeDocument/2006/relationships/hyperlink" Target="https://www.nature.com/articles/s41557-026-02222-6" TargetMode="External"/><Relationship Id="rId966" Type="http://schemas.openxmlformats.org/officeDocument/2006/relationships/hyperlink" Target="https://doi.org/10.1038/s41557-026-02222-6" TargetMode="External"/><Relationship Id="rId967" Type="http://schemas.openxmlformats.org/officeDocument/2006/relationships/hyperlink" Target="https://pubs.acs.org/jacsat/article/doi/10.1021/jacs.6c12829/5260870/An-Artificial-Molecular-Transducer-Driven-by" TargetMode="External"/><Relationship Id="rId968" Type="http://schemas.openxmlformats.org/officeDocument/2006/relationships/hyperlink" Target="https://doi.org/10.1021/jacs.6c12829" TargetMode="External"/><Relationship Id="rId969" Type="http://schemas.openxmlformats.org/officeDocument/2006/relationships/hyperlink" Target="https://pubs.acs.org/jacsat/article/doi/10.1021/jacs.6c07990/5263494/Shortwave-Infrared-SWIR-Tetrabenzannulated-Silicon" TargetMode="External"/><Relationship Id="rId970" Type="http://schemas.openxmlformats.org/officeDocument/2006/relationships/hyperlink" Target="https://doi.org/10.1021/jacs.6c07990" TargetMode="External"/><Relationship Id="rId971" Type="http://schemas.openxmlformats.org/officeDocument/2006/relationships/hyperlink" Target="https://pubs.acs.org/jacsat/article/doi/10.1021/jacs.6c11267/5262237/Iterative-Enoyl-Reduction-by-a-FabV-Family-Enzyme" TargetMode="External"/><Relationship Id="rId972" Type="http://schemas.openxmlformats.org/officeDocument/2006/relationships/hyperlink" Target="https://doi.org/10.1021/jacs.6c11267" TargetMode="External"/><Relationship Id="rId973" Type="http://schemas.openxmlformats.org/officeDocument/2006/relationships/hyperlink" Target="https://pubs.acs.org/jacsat/article/doi/10.1021/jacs.6c13108/5261063/Correction-to-Co-Translational-Incorporation-of-R" TargetMode="External"/><Relationship Id="rId974" Type="http://schemas.openxmlformats.org/officeDocument/2006/relationships/hyperlink" Target="https://doi.org/10.1021/jacs.6c13108" TargetMode="External"/><Relationship Id="rId975" Type="http://schemas.openxmlformats.org/officeDocument/2006/relationships/hyperlink" Target="https://pubs.acs.org/jacsat/article/doi/10.1021/jacs.6c05871/5261060/Sequence-Directed-Hierarchy-of-Supramolecular" TargetMode="External"/><Relationship Id="rId976" Type="http://schemas.openxmlformats.org/officeDocument/2006/relationships/hyperlink" Target="https://doi.org/10.1021/jacs.6c05871" TargetMode="External"/><Relationship Id="rId977" Type="http://schemas.openxmlformats.org/officeDocument/2006/relationships/hyperlink" Target="https://pubs.acs.org/jacsat/article/doi/10.1021/jacs.6c10774/5260618/Vapor-Phase-Synthesis-of-Ti2CCl2-MXene" TargetMode="External"/><Relationship Id="rId978" Type="http://schemas.openxmlformats.org/officeDocument/2006/relationships/hyperlink" Target="https://doi.org/10.1021/jacs.6c10774" TargetMode="External"/><Relationship Id="rId979" Type="http://schemas.openxmlformats.org/officeDocument/2006/relationships/hyperlink" Target="https://pubs.acs.org/jacsat/article/doi/10.1021/jacs.6c12914/5263785/The-Catalytic-Asymmetric-Alkylation-of-Olefins" TargetMode="External"/><Relationship Id="rId980" Type="http://schemas.openxmlformats.org/officeDocument/2006/relationships/hyperlink" Target="https://doi.org/10.1021/jacs.6c12914" TargetMode="External"/><Relationship Id="rId981" Type="http://schemas.openxmlformats.org/officeDocument/2006/relationships/hyperlink" Target="https://pubs.acs.org/jacsat/article/doi/10.1021/jacs.6c12973/5259636/A-Cu-Single-Atom-Catalyst-as-an-Intrinsic-Hydrogen" TargetMode="External"/><Relationship Id="rId982" Type="http://schemas.openxmlformats.org/officeDocument/2006/relationships/hyperlink" Target="https://doi.org/10.1021/jacs.6c12973" TargetMode="External"/><Relationship Id="rId983" Type="http://schemas.openxmlformats.org/officeDocument/2006/relationships/hyperlink" Target="https://academic.oup.com/nsr/advance-article/doi/10.1093/nsr/nwag496/8762552?rss=1" TargetMode="External"/><Relationship Id="rId984" Type="http://schemas.openxmlformats.org/officeDocument/2006/relationships/hyperlink" Target="https://doi.org/10.1093/nsr/nwag496" TargetMode="External"/><Relationship Id="rId985" Type="http://schemas.openxmlformats.org/officeDocument/2006/relationships/hyperlink" Target="https://www.nature.com/articles/s41565-026-02245-7" TargetMode="External"/><Relationship Id="rId986" Type="http://schemas.openxmlformats.org/officeDocument/2006/relationships/hyperlink" Target="https://doi.org/10.1038/s41565-026-02245-7" TargetMode="External"/><Relationship Id="rId987" Type="http://schemas.openxmlformats.org/officeDocument/2006/relationships/hyperlink" Target="https://pubs.acs.org/jacsat/article/doi/10.1021/jacs.6c05540/5259635/Harnessing-Regiodivergence-and-Enantioselectivity" TargetMode="External"/><Relationship Id="rId988" Type="http://schemas.openxmlformats.org/officeDocument/2006/relationships/hyperlink" Target="https://doi.org/10.1021/jacs.6c05540" TargetMode="External"/><Relationship Id="rId989" Type="http://schemas.openxmlformats.org/officeDocument/2006/relationships/hyperlink" Target="https://academic.oup.com/nsr/advance-article/doi/10.1093/nsr/nwag498/8762553?rss=1" TargetMode="External"/><Relationship Id="rId990" Type="http://schemas.openxmlformats.org/officeDocument/2006/relationships/hyperlink" Target="https://doi.org/10.1093/nsr/nwag498" TargetMode="External"/><Relationship Id="rId991" Type="http://schemas.openxmlformats.org/officeDocument/2006/relationships/hyperlink" Target="https://pubs.acs.org/aamick/article/doi/10.1021/acsami.6c11269/5259500/Nanofiber-Core-Spun-Yarn-with-a-Bioinspired-Neuron" TargetMode="External"/><Relationship Id="rId992" Type="http://schemas.openxmlformats.org/officeDocument/2006/relationships/hyperlink" Target="https://doi.org/10.1021/acsami.6c11269" TargetMode="External"/><Relationship Id="rId993" Type="http://schemas.openxmlformats.org/officeDocument/2006/relationships/hyperlink" Target="https://pubs.acs.org/aamick/article/doi/10.1021/acsami.6c12113/5259451/Self-Healing-Composites-with-Heterogeneous" TargetMode="External"/><Relationship Id="rId994" Type="http://schemas.openxmlformats.org/officeDocument/2006/relationships/hyperlink" Target="https://doi.org/10.1021/acsami.6c12113" TargetMode="External"/><Relationship Id="rId995" Type="http://schemas.openxmlformats.org/officeDocument/2006/relationships/hyperlink" Target="https://pubs.acs.org/aamick/article/doi/10.1021/acsami.6c11621/5263119/Engineering-Carbon-Nanotube-Networks-in-MOF" TargetMode="External"/><Relationship Id="rId996" Type="http://schemas.openxmlformats.org/officeDocument/2006/relationships/hyperlink" Target="https://doi.org/10.1021/acsami.6c11621" TargetMode="External"/><Relationship Id="rId997" Type="http://schemas.openxmlformats.org/officeDocument/2006/relationships/hyperlink" Target="https://pubs.acs.org/aamick/article/doi/10.1021/acsami.6c12781/5259278/OH-Rich-Interfacial-Nanoarchitectonics-for-the" TargetMode="External"/><Relationship Id="rId998" Type="http://schemas.openxmlformats.org/officeDocument/2006/relationships/hyperlink" Target="https://doi.org/10.1021/acsami.6c12781" TargetMode="External"/><Relationship Id="rId999" Type="http://schemas.openxmlformats.org/officeDocument/2006/relationships/hyperlink" Target="https://pubs.acs.org/jacsat/article/doi/10.1021/jacs.6c07480/5263791/Expanding-the-Living-Polymerization-Toolkit" TargetMode="External"/><Relationship Id="rId1000" Type="http://schemas.openxmlformats.org/officeDocument/2006/relationships/hyperlink" Target="https://doi.org/10.1021/jacs.6c07480" TargetMode="External"/><Relationship Id="rId1001" Type="http://schemas.openxmlformats.org/officeDocument/2006/relationships/hyperlink" Target="https://pubs.acs.org/aamick/article/doi/10.1021/acsami.6c12028/5256554/Near-Infrared-Programmed-In-Situ-Mechanical" TargetMode="External"/><Relationship Id="rId1002" Type="http://schemas.openxmlformats.org/officeDocument/2006/relationships/hyperlink" Target="https://doi.org/10.1021/acsami.6c12028" TargetMode="External"/><Relationship Id="rId1003" Type="http://schemas.openxmlformats.org/officeDocument/2006/relationships/hyperlink" Target="https://pubs.acs.org/aamick/article/doi/10.1021/acsami.6c08888/5259453/Alignment-Controlled-Circularly-Polarized" TargetMode="External"/><Relationship Id="rId1004" Type="http://schemas.openxmlformats.org/officeDocument/2006/relationships/hyperlink" Target="https://doi.org/10.1021/acsami.6c08888" TargetMode="External"/><Relationship Id="rId1005" Type="http://schemas.openxmlformats.org/officeDocument/2006/relationships/hyperlink" Target="https://pubs.acs.org/aamick/article/doi/10.1021/acsami.6c11998/5259330/Post-Printing-Manipulation-of-Material-Mechanical" TargetMode="External"/><Relationship Id="rId1006" Type="http://schemas.openxmlformats.org/officeDocument/2006/relationships/hyperlink" Target="https://doi.org/10.1021/acsami.6c11998" TargetMode="External"/><Relationship Id="rId1007" Type="http://schemas.openxmlformats.org/officeDocument/2006/relationships/hyperlink" Target="https://pubs.acs.org/aamick/article/doi/10.1021/acsami.6c09114/5259432/Nacre-Mimetic-Multifunctional-Aramid-Dielectric" TargetMode="External"/><Relationship Id="rId1008" Type="http://schemas.openxmlformats.org/officeDocument/2006/relationships/hyperlink" Target="https://doi.org/10.1021/acsami.6c09114" TargetMode="External"/><Relationship Id="rId1009" Type="http://schemas.openxmlformats.org/officeDocument/2006/relationships/hyperlink" Target="https://pubs.acs.org/aamick/article/doi/10.1021/acsami.6c08037/5259274/Microenvironment-Responsive-Nanoparticles-Enhance" TargetMode="External"/><Relationship Id="rId1010" Type="http://schemas.openxmlformats.org/officeDocument/2006/relationships/hyperlink" Target="https://doi.org/10.1021/acsami.6c08037" TargetMode="External"/><Relationship Id="rId1011" Type="http://schemas.openxmlformats.org/officeDocument/2006/relationships/hyperlink" Target="https://pubs.acs.org/aamick/article/doi/10.1021/acsami.6c12027/5263003/Dual-Mode-Capacitive-Sensor-Based-on-MXene-Au" TargetMode="External"/><Relationship Id="rId1012" Type="http://schemas.openxmlformats.org/officeDocument/2006/relationships/hyperlink" Target="https://doi.org/10.1021/acsami.6c12027" TargetMode="External"/><Relationship Id="rId1013" Type="http://schemas.openxmlformats.org/officeDocument/2006/relationships/hyperlink" Target="https://www.nature.com/articles/s41928-026-01696-z" TargetMode="External"/><Relationship Id="rId1014" Type="http://schemas.openxmlformats.org/officeDocument/2006/relationships/hyperlink" Target="https://doi.org/10.1038/s41928-026-01696-z" TargetMode="External"/><Relationship Id="rId1015" Type="http://schemas.openxmlformats.org/officeDocument/2006/relationships/hyperlink" Target="https://pubs.acs.org/jacsat/article/doi/10.1021/jacs.6c03029/5261141/Nanoparticle-Conversion-Chemistry-A-Synthetic" TargetMode="External"/><Relationship Id="rId1016" Type="http://schemas.openxmlformats.org/officeDocument/2006/relationships/hyperlink" Target="https://doi.org/10.1021/jacs.6c03029" TargetMode="External"/><Relationship Id="rId1017" Type="http://schemas.openxmlformats.org/officeDocument/2006/relationships/hyperlink" Target="https://pubs.acs.org/jacsat/article/doi/10.1021/jacs.6c10096/5260869/Unlocking-Free-Trifluoromethoxy-Carbene-Reactivity" TargetMode="External"/><Relationship Id="rId1018" Type="http://schemas.openxmlformats.org/officeDocument/2006/relationships/hyperlink" Target="https://doi.org/10.1021/jacs.6c10096" TargetMode="External"/><Relationship Id="rId1019" Type="http://schemas.openxmlformats.org/officeDocument/2006/relationships/hyperlink" Target="https://pubs.acs.org/jacsat/article/doi/10.1021/jacs.6c10066/5259606/Water-Structure-within-Ternary-Solvents-Suggests" TargetMode="External"/><Relationship Id="rId1020" Type="http://schemas.openxmlformats.org/officeDocument/2006/relationships/hyperlink" Target="https://doi.org/10.1021/jacs.6c10066" TargetMode="External"/><Relationship Id="rId1021" Type="http://schemas.openxmlformats.org/officeDocument/2006/relationships/hyperlink" Target="https://pubs.acs.org/aamick/article/doi/10.1021/acsami.6c07256/5259329/A-Non-Invasive-Transtympanic-Bioadhesive-Hydrogel" TargetMode="External"/><Relationship Id="rId1022" Type="http://schemas.openxmlformats.org/officeDocument/2006/relationships/hyperlink" Target="https://doi.org/10.1021/acsami.6c07256" TargetMode="External"/><Relationship Id="rId1023" Type="http://schemas.openxmlformats.org/officeDocument/2006/relationships/hyperlink" Target="https://pubs.acs.org/aamick/article/doi/10.1021/acsami.6c10808/5262186/Different-Conditions-Different-Composition" TargetMode="External"/><Relationship Id="rId1024" Type="http://schemas.openxmlformats.org/officeDocument/2006/relationships/hyperlink" Target="https://doi.org/10.1021/acsami.6c10808" TargetMode="External"/><Relationship Id="rId1025" Type="http://schemas.openxmlformats.org/officeDocument/2006/relationships/hyperlink" Target="https://pubs.acs.org/jacsat/article/doi/10.1021/jacs.6c04366/5263788/Synthesis-of-Hexagonal-CaB3C3-with-a-Zeolite-Type" TargetMode="External"/><Relationship Id="rId1026" Type="http://schemas.openxmlformats.org/officeDocument/2006/relationships/hyperlink" Target="https://doi.org/10.1021/jacs.6c04366" TargetMode="External"/><Relationship Id="rId1027" Type="http://schemas.openxmlformats.org/officeDocument/2006/relationships/hyperlink" Target="https://pubs.acs.org/aamick/article/doi/10.1021/acsami.6c10311/5259469/A-ROS-Responsive-Photothermal-Hydrogel-for-Tumor" TargetMode="External"/><Relationship Id="rId1028" Type="http://schemas.openxmlformats.org/officeDocument/2006/relationships/hyperlink" Target="https://doi.org/10.1021/acsami.6c10311" TargetMode="External"/><Relationship Id="rId1029" Type="http://schemas.openxmlformats.org/officeDocument/2006/relationships/hyperlink" Target="https://pubs.acs.org/aamick/article/doi/10.1021/acsami.6c09109/5259535/Near-Infrared-Region-I-Responsive-Composite" TargetMode="External"/><Relationship Id="rId1030" Type="http://schemas.openxmlformats.org/officeDocument/2006/relationships/hyperlink" Target="https://doi.org/10.1021/acsami.6c09109" TargetMode="External"/><Relationship Id="rId1031" Type="http://schemas.openxmlformats.org/officeDocument/2006/relationships/hyperlink" Target="https://pubs.acs.org/aamick/article/doi/10.1021/acsami.6c11121/5256615/Novel-Lead-Free-Cs2Ag0-75Bi0-75Ba0-5I6-Double" TargetMode="External"/><Relationship Id="rId1032" Type="http://schemas.openxmlformats.org/officeDocument/2006/relationships/hyperlink" Target="https://doi.org/10.1021/acsami.6c11121" TargetMode="External"/><Relationship Id="rId1033" Type="http://schemas.openxmlformats.org/officeDocument/2006/relationships/hyperlink" Target="https://pubs.acs.org/aamick/article/doi/10.1021/acsami.6c07982/5259318/Reversible-Molecular-Exoskeleton-for-On-Demand" TargetMode="External"/><Relationship Id="rId1034" Type="http://schemas.openxmlformats.org/officeDocument/2006/relationships/hyperlink" Target="https://doi.org/10.1021/acsami.6c07982" TargetMode="External"/><Relationship Id="rId1035" Type="http://schemas.openxmlformats.org/officeDocument/2006/relationships/hyperlink" Target="https://pubs.acs.org/aamick/article/doi/10.1021/acsami.6c07564/5259449/X-ray-and-Ion-Beam-Reduction-Kinetics-of-Mixed" TargetMode="External"/><Relationship Id="rId1036" Type="http://schemas.openxmlformats.org/officeDocument/2006/relationships/hyperlink" Target="https://doi.org/10.1021/acsami.6c07564" TargetMode="External"/><Relationship Id="rId1037" Type="http://schemas.openxmlformats.org/officeDocument/2006/relationships/hyperlink" Target="https://pubs.acs.org/aamick/article/doi/10.1021/acsami.6c08798/5259599/Enhancing-Zeolite-X-Polyamide-Compatibility-in" TargetMode="External"/><Relationship Id="rId1038" Type="http://schemas.openxmlformats.org/officeDocument/2006/relationships/hyperlink" Target="https://doi.org/10.1021/acsami.6c08798" TargetMode="External"/><Relationship Id="rId1039" Type="http://schemas.openxmlformats.org/officeDocument/2006/relationships/hyperlink" Target="https://pubs.acs.org/aamick/article/doi/10.1021/acsami.6c11162/5256610/Multifunctional-MoO3-X-Nanozyme-Hydrogel-for" TargetMode="External"/><Relationship Id="rId1040" Type="http://schemas.openxmlformats.org/officeDocument/2006/relationships/hyperlink" Target="https://doi.org/10.1021/acsami.6c11162" TargetMode="External"/><Relationship Id="rId1041" Type="http://schemas.openxmlformats.org/officeDocument/2006/relationships/hyperlink" Target="https://pubs.acs.org/aamick/article/doi/10.1021/acsami.6c13980/5259582/Fabrication-of-Microcrystalline-Cellulose-ZnO" TargetMode="External"/><Relationship Id="rId1042" Type="http://schemas.openxmlformats.org/officeDocument/2006/relationships/hyperlink" Target="https://doi.org/10.1021/acsami.6c13980" TargetMode="External"/><Relationship Id="rId1043" Type="http://schemas.openxmlformats.org/officeDocument/2006/relationships/hyperlink" Target="https://pubs.acs.org/aamick/article/doi/10.1021/acsami.6c16234/5261370/LP-CVD-Fabrication-of-Silver-Films-on-Liquid" TargetMode="External"/><Relationship Id="rId1044" Type="http://schemas.openxmlformats.org/officeDocument/2006/relationships/hyperlink" Target="https://doi.org/10.1021/acsami.6c16234" TargetMode="External"/><Relationship Id="rId1045" Type="http://schemas.openxmlformats.org/officeDocument/2006/relationships/hyperlink" Target="https://pubs.acs.org/jacsat/article/doi/10.1021/jacs.6c09984/5260077/AI-Assisted-SERS-Decoding-of-Dual-Enzymatic" TargetMode="External"/><Relationship Id="rId1046" Type="http://schemas.openxmlformats.org/officeDocument/2006/relationships/hyperlink" Target="https://doi.org/10.1021/jacs.6c09984" TargetMode="External"/><Relationship Id="rId1047" Type="http://schemas.openxmlformats.org/officeDocument/2006/relationships/hyperlink" Target="https://pubs.acs.org/aamick/article/doi/10.1021/acsami.6c15259/5263122/Correction-to-Halogen-Engineered-Copper-Based" TargetMode="External"/><Relationship Id="rId1048" Type="http://schemas.openxmlformats.org/officeDocument/2006/relationships/hyperlink" Target="https://doi.org/10.1021/acsami.6c15259" TargetMode="External"/><Relationship Id="rId1049" Type="http://schemas.openxmlformats.org/officeDocument/2006/relationships/hyperlink" Target="https://pubs.acs.org/aamick/article/doi/10.1021/acsami.6c10097/5259273/Vinyl-Functionalization-of-Ti3C2Tx-MXene-Enables" TargetMode="External"/><Relationship Id="rId1050" Type="http://schemas.openxmlformats.org/officeDocument/2006/relationships/hyperlink" Target="https://doi.org/10.1021/acsami.6c10097" TargetMode="External"/><Relationship Id="rId1051" Type="http://schemas.openxmlformats.org/officeDocument/2006/relationships/hyperlink" Target="https://pubs.acs.org/aamick/article/doi/10.1021/acsami.6c06860/5261737/Wearable-Triboelectric-Sensors-Based-on-High" TargetMode="External"/><Relationship Id="rId1052" Type="http://schemas.openxmlformats.org/officeDocument/2006/relationships/hyperlink" Target="https://doi.org/10.1021/acsami.6c06860" TargetMode="External"/><Relationship Id="rId1053" Type="http://schemas.openxmlformats.org/officeDocument/2006/relationships/hyperlink" Target="https://pubs.acs.org/aamick/article/doi/10.1021/acsami.6c11304/5259327/Block-Copolymer-Stabilized-Complex-Emulsions-for" TargetMode="External"/><Relationship Id="rId1054" Type="http://schemas.openxmlformats.org/officeDocument/2006/relationships/hyperlink" Target="https://doi.org/10.1021/acsami.6c11304" TargetMode="External"/><Relationship Id="rId1055" Type="http://schemas.openxmlformats.org/officeDocument/2006/relationships/hyperlink" Target="https://pubs.acs.org/aamick/article/doi/10.1021/acsami.6c10314/5259461/Highly-Efficient-and-Selective-Electrocatalytic" TargetMode="External"/><Relationship Id="rId1056" Type="http://schemas.openxmlformats.org/officeDocument/2006/relationships/hyperlink" Target="https://doi.org/10.1021/acsami.6c10314" TargetMode="External"/><Relationship Id="rId1057" Type="http://schemas.openxmlformats.org/officeDocument/2006/relationships/hyperlink" Target="https://pubs.acs.org/aamick/article/doi/10.1021/acsami.6c08086/5261458/Galactosylated-Nanoparticles-Redefining-Sugar" TargetMode="External"/><Relationship Id="rId1058" Type="http://schemas.openxmlformats.org/officeDocument/2006/relationships/hyperlink" Target="https://doi.org/10.1021/acsami.6c08086" TargetMode="External"/><Relationship Id="rId1059" Type="http://schemas.openxmlformats.org/officeDocument/2006/relationships/hyperlink" Target="https://www.pnas.org/doi/abs/10.1073/pnas.2532739123?mi=eymic2&amp;af=R&amp;access=on&amp;content=articlesChapters&amp;publication=pnas&amp;sortBy=Earliest&amp;target=default" TargetMode="External"/><Relationship Id="rId1060" Type="http://schemas.openxmlformats.org/officeDocument/2006/relationships/hyperlink" Target="https://doi.org/10.1073/pnas.2532739123" TargetMode="External"/><Relationship Id="rId1061" Type="http://schemas.openxmlformats.org/officeDocument/2006/relationships/hyperlink" Target="https://www.pnas.org/doi/abs/10.1073/pnas.2600215123?mi=eymic2&amp;af=R&amp;access=on&amp;content=articlesChapters&amp;publication=pnas&amp;sortBy=Earliest&amp;target=default" TargetMode="External"/><Relationship Id="rId1062" Type="http://schemas.openxmlformats.org/officeDocument/2006/relationships/hyperlink" Target="https://doi.org/10.1073/pnas.2600215123" TargetMode="External"/><Relationship Id="rId1063" Type="http://schemas.openxmlformats.org/officeDocument/2006/relationships/hyperlink" Target="https://www.pnas.org/doi/abs/10.1073/pnas.2536892123?mi=eymic2&amp;af=R&amp;access=on&amp;content=articlesChapters&amp;publication=pnas&amp;sortBy=Earliest&amp;target=default" TargetMode="External"/><Relationship Id="rId1064" Type="http://schemas.openxmlformats.org/officeDocument/2006/relationships/hyperlink" Target="https://doi.org/10.1073/pnas.2536892123" TargetMode="External"/><Relationship Id="rId1065" Type="http://schemas.openxmlformats.org/officeDocument/2006/relationships/hyperlink" Target="https://www.pnas.org/doi/abs/10.1073/pnas.2535723123?mi=eymic2&amp;af=R&amp;access=on&amp;content=articlesChapters&amp;publication=pnas&amp;sortBy=Earliest&amp;target=default" TargetMode="External"/><Relationship Id="rId1066" Type="http://schemas.openxmlformats.org/officeDocument/2006/relationships/hyperlink" Target="https://doi.org/10.1073/pnas.2535723123" TargetMode="External"/><Relationship Id="rId1067" Type="http://schemas.openxmlformats.org/officeDocument/2006/relationships/hyperlink" Target="https://www.pnas.org/doi/abs/10.1073/pnas.2535303123?mi=eymic2&amp;af=R&amp;access=on&amp;content=articlesChapters&amp;publication=pnas&amp;sortBy=Earliest&amp;target=default" TargetMode="External"/><Relationship Id="rId1068" Type="http://schemas.openxmlformats.org/officeDocument/2006/relationships/hyperlink" Target="https://doi.org/10.1073/pnas.2535303123" TargetMode="External"/><Relationship Id="rId1069" Type="http://schemas.openxmlformats.org/officeDocument/2006/relationships/hyperlink" Target="https://www.pnas.org/doi/abs/10.1073/pnas.2534361123?mi=eymic2&amp;af=R&amp;access=on&amp;content=articlesChapters&amp;publication=pnas&amp;sortBy=Earliest&amp;target=default" TargetMode="External"/><Relationship Id="rId1070" Type="http://schemas.openxmlformats.org/officeDocument/2006/relationships/hyperlink" Target="https://doi.org/10.1073/pnas.2534361123" TargetMode="External"/><Relationship Id="rId1071" Type="http://schemas.openxmlformats.org/officeDocument/2006/relationships/hyperlink" Target="https://www.pnas.org/doi/abs/10.1073/pnas.2527702123?mi=eymic2&amp;af=R&amp;access=on&amp;content=articlesChapters&amp;publication=pnas&amp;sortBy=Earliest&amp;target=default" TargetMode="External"/><Relationship Id="rId1072" Type="http://schemas.openxmlformats.org/officeDocument/2006/relationships/hyperlink" Target="https://doi.org/10.1073/pnas.2527702123" TargetMode="External"/><Relationship Id="rId1073" Type="http://schemas.openxmlformats.org/officeDocument/2006/relationships/hyperlink" Target="https://www.pnas.org/doi/abs/10.1073/pnas.2600647123?mi=eymic2&amp;af=R&amp;access=on&amp;content=articlesChapters&amp;publication=pnas&amp;sortBy=Earliest&amp;target=default" TargetMode="External"/><Relationship Id="rId1074" Type="http://schemas.openxmlformats.org/officeDocument/2006/relationships/hyperlink" Target="https://doi.org/10.1073/pnas.2600647123" TargetMode="External"/><Relationship Id="rId1075" Type="http://schemas.openxmlformats.org/officeDocument/2006/relationships/hyperlink" Target="https://www.pnas.org/doi/abs/10.1073/pnas.2419514123?mi=eymic2&amp;af=R&amp;access=on&amp;content=articlesChapters&amp;publication=pnas&amp;sortBy=Earliest&amp;target=default" TargetMode="External"/><Relationship Id="rId1076" Type="http://schemas.openxmlformats.org/officeDocument/2006/relationships/hyperlink" Target="https://doi.org/10.1073/pnas.2419514123" TargetMode="External"/><Relationship Id="rId1077" Type="http://schemas.openxmlformats.org/officeDocument/2006/relationships/hyperlink" Target="https://www.pnas.org/doi/abs/10.1073/pnas.2611580123?mi=eymic2&amp;af=R&amp;access=on&amp;content=articlesChapters&amp;publication=pnas&amp;sortBy=Earliest&amp;target=default" TargetMode="External"/><Relationship Id="rId1078" Type="http://schemas.openxmlformats.org/officeDocument/2006/relationships/hyperlink" Target="https://doi.org/10.1073/pnas.2611580123" TargetMode="External"/><Relationship Id="rId1079" Type="http://schemas.openxmlformats.org/officeDocument/2006/relationships/hyperlink" Target="https://www.pnas.org/doi/abs/10.1073/pnas.2612932123?mi=eymic2&amp;af=R&amp;access=on&amp;content=articlesChapters&amp;publication=pnas&amp;sortBy=Earliest&amp;target=default" TargetMode="External"/><Relationship Id="rId1080" Type="http://schemas.openxmlformats.org/officeDocument/2006/relationships/hyperlink" Target="https://doi.org/10.1073/pnas.2612932123" TargetMode="External"/><Relationship Id="rId1081" Type="http://schemas.openxmlformats.org/officeDocument/2006/relationships/hyperlink" Target="https://www.pnas.org/doi/abs/10.1073/pnas.2613422123?mi=eymic2&amp;af=R&amp;access=on&amp;content=articlesChapters&amp;publication=pnas&amp;sortBy=Earliest&amp;target=default" TargetMode="External"/><Relationship Id="rId1082" Type="http://schemas.openxmlformats.org/officeDocument/2006/relationships/hyperlink" Target="https://doi.org/10.1073/pnas.2613422123" TargetMode="External"/><Relationship Id="rId1083" Type="http://schemas.openxmlformats.org/officeDocument/2006/relationships/hyperlink" Target="https://www.pnas.org/doi/abs/10.1073/pnas.2613782123?mi=eymic2&amp;af=R&amp;access=on&amp;content=articlesChapters&amp;publication=pnas&amp;sortBy=Earliest&amp;target=default" TargetMode="External"/><Relationship Id="rId1084" Type="http://schemas.openxmlformats.org/officeDocument/2006/relationships/hyperlink" Target="https://doi.org/10.1073/pnas.2613782123" TargetMode="External"/><Relationship Id="rId1085" Type="http://schemas.openxmlformats.org/officeDocument/2006/relationships/hyperlink" Target="https://www.pnas.org/doi/abs/10.1073/pnas.2610388123?mi=eymic2&amp;af=R&amp;access=on&amp;content=articlesChapters&amp;publication=pnas&amp;sortBy=Earliest&amp;target=default" TargetMode="External"/><Relationship Id="rId1086" Type="http://schemas.openxmlformats.org/officeDocument/2006/relationships/hyperlink" Target="https://doi.org/10.1073/pnas.2610388123" TargetMode="External"/><Relationship Id="rId1087" Type="http://schemas.openxmlformats.org/officeDocument/2006/relationships/hyperlink" Target="https://www.pnas.org/doi/abs/10.1073/pnas.2603458123?mi=eymic2&amp;af=R&amp;access=on&amp;content=articlesChapters&amp;publication=pnas&amp;sortBy=Earliest&amp;target=default" TargetMode="External"/><Relationship Id="rId1088" Type="http://schemas.openxmlformats.org/officeDocument/2006/relationships/hyperlink" Target="https://doi.org/10.1073/pnas.2603458123" TargetMode="External"/><Relationship Id="rId1089" Type="http://schemas.openxmlformats.org/officeDocument/2006/relationships/hyperlink" Target="https://www.pnas.org/doi/abs/10.1073/pnas.2522360123?mi=eymic2&amp;af=R&amp;access=on&amp;content=articlesChapters&amp;publication=pnas&amp;sortBy=Earliest&amp;target=default" TargetMode="External"/><Relationship Id="rId1090" Type="http://schemas.openxmlformats.org/officeDocument/2006/relationships/hyperlink" Target="https://doi.org/10.1073/pnas.2522360123" TargetMode="External"/><Relationship Id="rId1091" Type="http://schemas.openxmlformats.org/officeDocument/2006/relationships/hyperlink" Target="https://www.pnas.org/doi/abs/10.1073/pnas.2610907123?mi=eymic2&amp;af=R&amp;access=on&amp;content=articlesChapters&amp;publication=pnas&amp;sortBy=Earliest&amp;target=default" TargetMode="External"/><Relationship Id="rId1092" Type="http://schemas.openxmlformats.org/officeDocument/2006/relationships/hyperlink" Target="https://doi.org/10.1073/pnas.2610907123" TargetMode="External"/><Relationship Id="rId1093" Type="http://schemas.openxmlformats.org/officeDocument/2006/relationships/hyperlink" Target="https://www.pnas.org/doi/abs/10.1073/pnas.2604725123?mi=eymic2&amp;af=R&amp;access=on&amp;content=articlesChapters&amp;publication=pnas&amp;sortBy=Earliest&amp;target=default" TargetMode="External"/><Relationship Id="rId1094" Type="http://schemas.openxmlformats.org/officeDocument/2006/relationships/hyperlink" Target="https://doi.org/10.1073/pnas.2604725123" TargetMode="External"/><Relationship Id="rId1095" Type="http://schemas.openxmlformats.org/officeDocument/2006/relationships/hyperlink" Target="https://www.pnas.org/doi/abs/10.1073/pnas.2603905123?mi=eymic2&amp;af=R&amp;access=on&amp;content=articlesChapters&amp;publication=pnas&amp;sortBy=Earliest&amp;target=default" TargetMode="External"/><Relationship Id="rId1096" Type="http://schemas.openxmlformats.org/officeDocument/2006/relationships/hyperlink" Target="https://doi.org/10.1073/pnas.2603905123" TargetMode="External"/><Relationship Id="rId1097" Type="http://schemas.openxmlformats.org/officeDocument/2006/relationships/hyperlink" Target="https://www.pnas.org/doi/abs/10.1073/pnas.2620768123?mi=eymic2&amp;af=R&amp;access=on&amp;content=articlesChapters&amp;publication=pnas&amp;sortBy=Earliest&amp;target=default" TargetMode="External"/><Relationship Id="rId1098" Type="http://schemas.openxmlformats.org/officeDocument/2006/relationships/hyperlink" Target="https://doi.org/10.1073/pnas.2620768123" TargetMode="External"/><Relationship Id="rId1099" Type="http://schemas.openxmlformats.org/officeDocument/2006/relationships/hyperlink" Target="https://www.pnas.org/doi/abs/10.1073/pnas.2618057123?mi=eymic2&amp;af=R&amp;access=on&amp;content=articlesChapters&amp;publication=pnas&amp;sortBy=Earliest&amp;target=default" TargetMode="External"/><Relationship Id="rId1100" Type="http://schemas.openxmlformats.org/officeDocument/2006/relationships/hyperlink" Target="https://doi.org/10.1073/pnas.2618057123" TargetMode="External"/><Relationship Id="rId1101" Type="http://schemas.openxmlformats.org/officeDocument/2006/relationships/hyperlink" Target="https://www.pnas.org/doi/abs/10.1073/pnas.2610235123?mi=eymic2&amp;af=R&amp;access=on&amp;content=articlesChapters&amp;publication=pnas&amp;sortBy=Earliest&amp;target=default" TargetMode="External"/><Relationship Id="rId1102" Type="http://schemas.openxmlformats.org/officeDocument/2006/relationships/hyperlink" Target="https://doi.org/10.1073/pnas.2610235123" TargetMode="External"/><Relationship Id="rId1103" Type="http://schemas.openxmlformats.org/officeDocument/2006/relationships/hyperlink" Target="https://www.pnas.org/doi/abs/10.1073/pnas.2621879123?mi=eymic2&amp;af=R&amp;access=on&amp;content=articlesChapters&amp;publication=pnas&amp;sortBy=Earliest&amp;target=default" TargetMode="External"/><Relationship Id="rId1104" Type="http://schemas.openxmlformats.org/officeDocument/2006/relationships/hyperlink" Target="https://doi.org/10.1073/pnas.2621879123" TargetMode="External"/><Relationship Id="rId1105" Type="http://schemas.openxmlformats.org/officeDocument/2006/relationships/hyperlink" Target="https://www.pnas.org/doi/abs/10.1073/pnas.2617958123?mi=eymic2&amp;af=R&amp;access=on&amp;content=articlesChapters&amp;publication=pnas&amp;sortBy=Earliest&amp;target=default" TargetMode="External"/><Relationship Id="rId1106" Type="http://schemas.openxmlformats.org/officeDocument/2006/relationships/hyperlink" Target="https://doi.org/10.1073/pnas.2617958123" TargetMode="External"/><Relationship Id="rId1107" Type="http://schemas.openxmlformats.org/officeDocument/2006/relationships/hyperlink" Target="https://www.pnas.org/doi/abs/10.1073/pnas.2622914123?mi=eymic2&amp;af=R&amp;access=on&amp;content=articlesChapters&amp;publication=pnas&amp;sortBy=Earliest&amp;target=default" TargetMode="External"/><Relationship Id="rId1108" Type="http://schemas.openxmlformats.org/officeDocument/2006/relationships/hyperlink" Target="https://doi.org/10.1073/pnas.2622914123" TargetMode="External"/><Relationship Id="rId1109" Type="http://schemas.openxmlformats.org/officeDocument/2006/relationships/hyperlink" Target="https://www.pnas.org/doi/abs/10.1073/pnas.2627297123?mi=eymic2&amp;af=R&amp;access=on&amp;content=articlesChapters&amp;publication=pnas&amp;sortBy=Earliest&amp;target=default" TargetMode="External"/><Relationship Id="rId1110" Type="http://schemas.openxmlformats.org/officeDocument/2006/relationships/hyperlink" Target="https://doi.org/10.1073/pnas.2627297123" TargetMode="External"/><Relationship Id="rId1111" Type="http://schemas.openxmlformats.org/officeDocument/2006/relationships/hyperlink" Target="https://www.pnas.org/doi/abs/10.1073/pnas.2626815123?mi=eymic2&amp;af=R&amp;access=on&amp;content=articlesChapters&amp;publication=pnas&amp;sortBy=Earliest&amp;target=default" TargetMode="External"/><Relationship Id="rId1112" Type="http://schemas.openxmlformats.org/officeDocument/2006/relationships/hyperlink" Target="https://doi.org/10.1073/pnas.2626815123" TargetMode="External"/><Relationship Id="rId1113" Type="http://schemas.openxmlformats.org/officeDocument/2006/relationships/hyperlink" Target="https://www.pnas.org/doi/abs/10.1073/pnas.2626818123?mi=eymic2&amp;af=R&amp;access=on&amp;content=articlesChapters&amp;publication=pnas&amp;sortBy=Earliest&amp;target=default" TargetMode="External"/><Relationship Id="rId1114" Type="http://schemas.openxmlformats.org/officeDocument/2006/relationships/hyperlink" Target="https://doi.org/10.1073/pnas.2626818123" TargetMode="External"/><Relationship Id="rId1115" Type="http://schemas.openxmlformats.org/officeDocument/2006/relationships/hyperlink" Target="https://www.pnas.org/doi/abs/10.1073/pnas.2627119123?mi=eymic2&amp;af=R&amp;access=on&amp;content=articlesChapters&amp;publication=pnas&amp;sortBy=Earliest&amp;target=default" TargetMode="External"/><Relationship Id="rId1116" Type="http://schemas.openxmlformats.org/officeDocument/2006/relationships/hyperlink" Target="https://doi.org/10.1073/pnas.2627119123" TargetMode="External"/><Relationship Id="rId1117" Type="http://schemas.openxmlformats.org/officeDocument/2006/relationships/hyperlink" Target="https://www.pnas.org/doi/abs/10.1073/pnas.2626420123?mi=eymic2&amp;af=R&amp;access=on&amp;content=articlesChapters&amp;publication=pnas&amp;sortBy=Earliest&amp;target=default" TargetMode="External"/><Relationship Id="rId1118" Type="http://schemas.openxmlformats.org/officeDocument/2006/relationships/hyperlink" Target="https://doi.org/10.1073/pnas.2626420123" TargetMode="External"/><Relationship Id="rId1119" Type="http://schemas.openxmlformats.org/officeDocument/2006/relationships/hyperlink" Target="https://www.pnas.org/doi/abs/10.1073/pnas.2625637123?mi=eymic2&amp;af=R&amp;access=on&amp;content=articlesChapters&amp;publication=pnas&amp;sortBy=Earliest&amp;target=default" TargetMode="External"/><Relationship Id="rId1120" Type="http://schemas.openxmlformats.org/officeDocument/2006/relationships/hyperlink" Target="https://doi.org/10.1073/pnas.2625637123" TargetMode="External"/><Relationship Id="rId1121" Type="http://schemas.openxmlformats.org/officeDocument/2006/relationships/hyperlink" Target="https://www.pnas.org/doi/abs/10.1073/pnas.2603552123?mi=eymic2&amp;af=R&amp;access=on&amp;content=articlesChapters&amp;publication=pnas&amp;sortBy=Earliest&amp;target=default" TargetMode="External"/><Relationship Id="rId1122" Type="http://schemas.openxmlformats.org/officeDocument/2006/relationships/hyperlink" Target="https://doi.org/10.1073/pnas.2603552123" TargetMode="External"/><Relationship Id="rId1123" Type="http://schemas.openxmlformats.org/officeDocument/2006/relationships/hyperlink" Target="https://www.pnas.org/doi/abs/10.1073/pnas.2617912123?mi=eymic2&amp;af=R&amp;access=on&amp;content=articlesChapters&amp;publication=pnas&amp;sortBy=Earliest&amp;target=default" TargetMode="External"/><Relationship Id="rId1124" Type="http://schemas.openxmlformats.org/officeDocument/2006/relationships/hyperlink" Target="https://doi.org/10.1073/pnas.2617912123" TargetMode="External"/><Relationship Id="rId1125" Type="http://schemas.openxmlformats.org/officeDocument/2006/relationships/hyperlink" Target="https://www.pnas.org/doi/abs/10.1073/pnas.2605816123?mi=eymic2&amp;af=R&amp;access=on&amp;content=articlesChapters&amp;publication=pnas&amp;sortBy=Earliest&amp;target=default" TargetMode="External"/><Relationship Id="rId1126" Type="http://schemas.openxmlformats.org/officeDocument/2006/relationships/hyperlink" Target="https://doi.org/10.1073/pnas.2605816123" TargetMode="External"/><Relationship Id="rId1127" Type="http://schemas.openxmlformats.org/officeDocument/2006/relationships/hyperlink" Target="https://www.pnas.org/doi/abs/10.1073/pnas.2607702123?mi=eymic2&amp;af=R&amp;access=on&amp;content=articlesChapters&amp;publication=pnas&amp;sortBy=Earliest&amp;target=default" TargetMode="External"/><Relationship Id="rId1128" Type="http://schemas.openxmlformats.org/officeDocument/2006/relationships/hyperlink" Target="https://doi.org/10.1073/pnas.2607702123" TargetMode="External"/><Relationship Id="rId1129" Type="http://schemas.openxmlformats.org/officeDocument/2006/relationships/hyperlink" Target="https://www.pnas.org/doi/abs/10.1073/pnas.2608183123?mi=eymic2&amp;af=R&amp;access=on&amp;content=articlesChapters&amp;publication=pnas&amp;sortBy=Earliest&amp;target=default" TargetMode="External"/><Relationship Id="rId1130" Type="http://schemas.openxmlformats.org/officeDocument/2006/relationships/hyperlink" Target="https://doi.org/10.1073/pnas.2608183123" TargetMode="External"/><Relationship Id="rId1131" Type="http://schemas.openxmlformats.org/officeDocument/2006/relationships/hyperlink" Target="https://www.pnas.org/doi/abs/10.1073/pnas.2605593123?mi=eymic2&amp;af=R&amp;access=on&amp;content=articlesChapters&amp;publication=pnas&amp;sortBy=Earliest&amp;target=default" TargetMode="External"/><Relationship Id="rId1132" Type="http://schemas.openxmlformats.org/officeDocument/2006/relationships/hyperlink" Target="https://doi.org/10.1073/pnas.2605593123" TargetMode="External"/><Relationship Id="rId1133" Type="http://schemas.openxmlformats.org/officeDocument/2006/relationships/hyperlink" Target="https://www.pnas.org/doi/abs/10.1073/pnas.2615884123?mi=eymic2&amp;af=R&amp;access=on&amp;content=articlesChapters&amp;publication=pnas&amp;sortBy=Earliest&amp;target=default" TargetMode="External"/><Relationship Id="rId1134" Type="http://schemas.openxmlformats.org/officeDocument/2006/relationships/hyperlink" Target="https://doi.org/10.1073/pnas.2615884123" TargetMode="External"/><Relationship Id="rId1135" Type="http://schemas.openxmlformats.org/officeDocument/2006/relationships/hyperlink" Target="https://www.pnas.org/doi/abs/10.1073/pnas.2616584123?mi=eymic2&amp;af=R&amp;access=on&amp;content=articlesChapters&amp;publication=pnas&amp;sortBy=Earliest&amp;target=default" TargetMode="External"/><Relationship Id="rId1136" Type="http://schemas.openxmlformats.org/officeDocument/2006/relationships/hyperlink" Target="https://doi.org/10.1073/pnas.2616584123" TargetMode="External"/><Relationship Id="rId1137" Type="http://schemas.openxmlformats.org/officeDocument/2006/relationships/hyperlink" Target="https://www.pnas.org/doi/abs/10.1073/pnas.2616897123?mi=eymic2&amp;af=R&amp;access=on&amp;content=articlesChapters&amp;publication=pnas&amp;sortBy=Earliest&amp;target=default" TargetMode="External"/><Relationship Id="rId1138" Type="http://schemas.openxmlformats.org/officeDocument/2006/relationships/hyperlink" Target="https://doi.org/10.1073/pnas.2616897123" TargetMode="External"/><Relationship Id="rId1139" Type="http://schemas.openxmlformats.org/officeDocument/2006/relationships/hyperlink" Target="https://www.pnas.org/doi/abs/10.1073/pnas.2609354123?mi=eymic2&amp;af=R&amp;access=on&amp;content=articlesChapters&amp;publication=pnas&amp;sortBy=Earliest&amp;target=default" TargetMode="External"/><Relationship Id="rId1140" Type="http://schemas.openxmlformats.org/officeDocument/2006/relationships/hyperlink" Target="https://doi.org/10.1073/pnas.2609354123" TargetMode="External"/><Relationship Id="rId1141" Type="http://schemas.openxmlformats.org/officeDocument/2006/relationships/hyperlink" Target="https://onlinelibrary.wiley.com/doi/10.1002/anie.9795533?af=R" TargetMode="External"/><Relationship Id="rId1142" Type="http://schemas.openxmlformats.org/officeDocument/2006/relationships/hyperlink" Target="https://doi.org/10.1002/anie.9795533" TargetMode="External"/><Relationship Id="rId1143" Type="http://schemas.openxmlformats.org/officeDocument/2006/relationships/hyperlink" Target="https://advanced.onlinelibrary.wiley.com/doi/10.1002/adma.74599?af=R" TargetMode="External"/><Relationship Id="rId1144" Type="http://schemas.openxmlformats.org/officeDocument/2006/relationships/hyperlink" Target="https://doi.org/10.1002/adma.74599" TargetMode="External"/><Relationship Id="rId1145" Type="http://schemas.openxmlformats.org/officeDocument/2006/relationships/hyperlink" Target="https://advanced.onlinelibrary.wiley.com/doi/10.1002/adma.74671?af=R" TargetMode="External"/><Relationship Id="rId1146" Type="http://schemas.openxmlformats.org/officeDocument/2006/relationships/hyperlink" Target="https://doi.org/10.1002/adma.74671" TargetMode="External"/><Relationship Id="rId1147" Type="http://schemas.openxmlformats.org/officeDocument/2006/relationships/hyperlink" Target="https://advanced.onlinelibrary.wiley.com/doi/10.1002/adma.74656?af=R" TargetMode="External"/><Relationship Id="rId1148" Type="http://schemas.openxmlformats.org/officeDocument/2006/relationships/hyperlink" Target="https://doi.org/10.1002/adma.74656" TargetMode="External"/><Relationship Id="rId1149" Type="http://schemas.openxmlformats.org/officeDocument/2006/relationships/hyperlink" Target="https://advanced.onlinelibrary.wiley.com/doi/10.1002/adma.202523163?af=R" TargetMode="External"/><Relationship Id="rId1150" Type="http://schemas.openxmlformats.org/officeDocument/2006/relationships/hyperlink" Target="https://doi.org/10.1002/adma.202523163" TargetMode="External"/><Relationship Id="rId1151" Type="http://schemas.openxmlformats.org/officeDocument/2006/relationships/hyperlink" Target="https://advanced.onlinelibrary.wiley.com/doi/10.1002/adma.74700?af=R" TargetMode="External"/><Relationship Id="rId1152" Type="http://schemas.openxmlformats.org/officeDocument/2006/relationships/hyperlink" Target="https://doi.org/10.1002/adma.74700" TargetMode="External"/><Relationship Id="rId1153" Type="http://schemas.openxmlformats.org/officeDocument/2006/relationships/hyperlink" Target="https://advanced.onlinelibrary.wiley.com/doi/10.1002/adma.74674?af=R" TargetMode="External"/><Relationship Id="rId1154" Type="http://schemas.openxmlformats.org/officeDocument/2006/relationships/hyperlink" Target="https://doi.org/10.1002/adma.74674" TargetMode="External"/><Relationship Id="rId1155" Type="http://schemas.openxmlformats.org/officeDocument/2006/relationships/hyperlink" Target="https://advanced.onlinelibrary.wiley.com/doi/10.1002/adma.74679?af=R" TargetMode="External"/><Relationship Id="rId1156" Type="http://schemas.openxmlformats.org/officeDocument/2006/relationships/hyperlink" Target="https://doi.org/10.1002/adma.74679" TargetMode="External"/><Relationship Id="rId1157" Type="http://schemas.openxmlformats.org/officeDocument/2006/relationships/hyperlink" Target="https://advanced.onlinelibrary.wiley.com/doi/10.1002/adma.74627?af=R" TargetMode="External"/><Relationship Id="rId1158" Type="http://schemas.openxmlformats.org/officeDocument/2006/relationships/hyperlink" Target="https://doi.org/10.1002/adma.74627" TargetMode="External"/><Relationship Id="rId1159" Type="http://schemas.openxmlformats.org/officeDocument/2006/relationships/hyperlink" Target="https://advanced.onlinelibrary.wiley.com/doi/10.1002/adma.74596?af=R" TargetMode="External"/><Relationship Id="rId1160" Type="http://schemas.openxmlformats.org/officeDocument/2006/relationships/hyperlink" Target="https://doi.org/10.1002/adma.74596" TargetMode="External"/><Relationship Id="rId1161" Type="http://schemas.openxmlformats.org/officeDocument/2006/relationships/hyperlink" Target="https://advanced.onlinelibrary.wiley.com/doi/10.1002/adma.74711?af=R" TargetMode="External"/><Relationship Id="rId1162" Type="http://schemas.openxmlformats.org/officeDocument/2006/relationships/hyperlink" Target="https://doi.org/10.1002/adma.74711" TargetMode="External"/><Relationship Id="rId1163" Type="http://schemas.openxmlformats.org/officeDocument/2006/relationships/hyperlink" Target="http://link.aps.org/doi/10.1103/94d3-nfy8" TargetMode="External"/><Relationship Id="rId1164" Type="http://schemas.openxmlformats.org/officeDocument/2006/relationships/hyperlink" Target="https://doi.org/10.1103/94d3-nfy8" TargetMode="External"/><Relationship Id="rId1165" Type="http://schemas.openxmlformats.org/officeDocument/2006/relationships/hyperlink" Target="http://link.aps.org/doi/10.1103/jh8h-k9hf" TargetMode="External"/><Relationship Id="rId1166" Type="http://schemas.openxmlformats.org/officeDocument/2006/relationships/hyperlink" Target="https://doi.org/10.1103/jh8h-k9hf" TargetMode="External"/><Relationship Id="rId1167" Type="http://schemas.openxmlformats.org/officeDocument/2006/relationships/hyperlink" Target="http://link.aps.org/doi/10.1103/vjxf-v7c4" TargetMode="External"/><Relationship Id="rId1168" Type="http://schemas.openxmlformats.org/officeDocument/2006/relationships/hyperlink" Target="https://doi.org/10.1103/vjxf-v7c4" TargetMode="External"/><Relationship Id="rId1169" Type="http://schemas.openxmlformats.org/officeDocument/2006/relationships/hyperlink" Target="http://link.aps.org/doi/10.1103/2z3h-12hs" TargetMode="External"/><Relationship Id="rId1170" Type="http://schemas.openxmlformats.org/officeDocument/2006/relationships/hyperlink" Target="https://doi.org/10.1103/2z3h-12hs" TargetMode="External"/><Relationship Id="rId1171" Type="http://schemas.openxmlformats.org/officeDocument/2006/relationships/hyperlink" Target="http://link.aps.org/doi/10.1103/zh98-jf1w" TargetMode="External"/><Relationship Id="rId1172" Type="http://schemas.openxmlformats.org/officeDocument/2006/relationships/hyperlink" Target="https://doi.org/10.1103/zh98-jf1w" TargetMode="External"/><Relationship Id="rId1173" Type="http://schemas.openxmlformats.org/officeDocument/2006/relationships/hyperlink" Target="http://link.aps.org/doi/10.1103/pd1h-cdwc" TargetMode="External"/><Relationship Id="rId1174" Type="http://schemas.openxmlformats.org/officeDocument/2006/relationships/hyperlink" Target="https://doi.org/10.1103/pd1h-cdwc" TargetMode="External"/><Relationship Id="rId1175" Type="http://schemas.openxmlformats.org/officeDocument/2006/relationships/hyperlink" Target="http://link.aps.org/doi/10.1103/vm76-3bcj" TargetMode="External"/><Relationship Id="rId1176" Type="http://schemas.openxmlformats.org/officeDocument/2006/relationships/hyperlink" Target="https://doi.org/10.1103/vm76-3bcj" TargetMode="External"/><Relationship Id="rId1177" Type="http://schemas.openxmlformats.org/officeDocument/2006/relationships/hyperlink" Target="http://link.aps.org/doi/10.1103/g4l4-t4cv" TargetMode="External"/><Relationship Id="rId1178" Type="http://schemas.openxmlformats.org/officeDocument/2006/relationships/hyperlink" Target="https://doi.org/10.1103/g4l4-t4cv" TargetMode="External"/><Relationship Id="rId1179" Type="http://schemas.openxmlformats.org/officeDocument/2006/relationships/hyperlink" Target="http://link.aps.org/doi/10.1103/35c1-ylnx" TargetMode="External"/><Relationship Id="rId1180" Type="http://schemas.openxmlformats.org/officeDocument/2006/relationships/hyperlink" Target="https://doi.org/10.1103/35c1-ylnx" TargetMode="External"/><Relationship Id="rId1181" Type="http://schemas.openxmlformats.org/officeDocument/2006/relationships/hyperlink" Target="http://link.aps.org/doi/10.1103/26wx-tg6f" TargetMode="External"/><Relationship Id="rId1182" Type="http://schemas.openxmlformats.org/officeDocument/2006/relationships/hyperlink" Target="https://doi.org/10.1103/26wx-tg6f" TargetMode="External"/><Relationship Id="rId1183" Type="http://schemas.openxmlformats.org/officeDocument/2006/relationships/hyperlink" Target="http://link.aps.org/doi/10.1103/gymp-vp87" TargetMode="External"/><Relationship Id="rId1184" Type="http://schemas.openxmlformats.org/officeDocument/2006/relationships/hyperlink" Target="https://doi.org/10.1103/gymp-vp87" TargetMode="External"/><Relationship Id="rId1185" Type="http://schemas.openxmlformats.org/officeDocument/2006/relationships/hyperlink" Target="http://link.aps.org/doi/10.1103/7gzt-ldn5" TargetMode="External"/><Relationship Id="rId1186" Type="http://schemas.openxmlformats.org/officeDocument/2006/relationships/hyperlink" Target="https://doi.org/10.1103/7gzt-ldn5" TargetMode="External"/><Relationship Id="rId1187" Type="http://schemas.openxmlformats.org/officeDocument/2006/relationships/hyperlink" Target="http://link.aps.org/doi/10.1103/9cyw-m5zr" TargetMode="External"/><Relationship Id="rId1188" Type="http://schemas.openxmlformats.org/officeDocument/2006/relationships/hyperlink" Target="https://doi.org/10.1103/9cyw-m5zr" TargetMode="External"/><Relationship Id="rId1189" Type="http://schemas.openxmlformats.org/officeDocument/2006/relationships/hyperlink" Target="http://link.aps.org/doi/10.1103/74ky-d71n" TargetMode="External"/><Relationship Id="rId1190" Type="http://schemas.openxmlformats.org/officeDocument/2006/relationships/hyperlink" Target="https://doi.org/10.1103/74ky-d71n" TargetMode="External"/><Relationship Id="rId1191" Type="http://schemas.openxmlformats.org/officeDocument/2006/relationships/hyperlink" Target="http://link.aps.org/doi/10.1103/8l6h-b89b" TargetMode="External"/><Relationship Id="rId1192" Type="http://schemas.openxmlformats.org/officeDocument/2006/relationships/hyperlink" Target="https://doi.org/10.1103/8l6h-b89b" TargetMode="External"/><Relationship Id="rId1193" Type="http://schemas.openxmlformats.org/officeDocument/2006/relationships/hyperlink" Target="http://link.aps.org/doi/10.1103/4y5t-mh92" TargetMode="External"/><Relationship Id="rId1194" Type="http://schemas.openxmlformats.org/officeDocument/2006/relationships/hyperlink" Target="https://doi.org/10.1103/4y5t-mh92" TargetMode="External"/><Relationship Id="rId1195" Type="http://schemas.openxmlformats.org/officeDocument/2006/relationships/hyperlink" Target="http://link.aps.org/doi/10.1103/gl65-17z7" TargetMode="External"/><Relationship Id="rId1196" Type="http://schemas.openxmlformats.org/officeDocument/2006/relationships/hyperlink" Target="https://doi.org/10.1103/gl65-17z7" TargetMode="External"/><Relationship Id="rId1197" Type="http://schemas.openxmlformats.org/officeDocument/2006/relationships/hyperlink" Target="http://link.aps.org/doi/10.1103/fhwd-lmgk" TargetMode="External"/><Relationship Id="rId1198" Type="http://schemas.openxmlformats.org/officeDocument/2006/relationships/hyperlink" Target="https://doi.org/10.1103/fhwd-lmgk" TargetMode="External"/><Relationship Id="rId1199" Type="http://schemas.openxmlformats.org/officeDocument/2006/relationships/hyperlink" Target="http://link.aps.org/doi/10.1103/jrtg-yf1q" TargetMode="External"/><Relationship Id="rId1200" Type="http://schemas.openxmlformats.org/officeDocument/2006/relationships/hyperlink" Target="https://doi.org/10.1103/jrtg-yf1q" TargetMode="External"/><Relationship Id="rId1201" Type="http://schemas.openxmlformats.org/officeDocument/2006/relationships/hyperlink" Target="https://advanced.onlinelibrary.wiley.com/doi/10.1002/adma.74670?af=R" TargetMode="External"/><Relationship Id="rId1202" Type="http://schemas.openxmlformats.org/officeDocument/2006/relationships/hyperlink" Target="https://doi.org/10.1002/adma.74670" TargetMode="External"/><Relationship Id="rId1203" Type="http://schemas.openxmlformats.org/officeDocument/2006/relationships/hyperlink" Target="https://advanced.onlinelibrary.wiley.com/doi/10.1002/adma.74610?af=R" TargetMode="External"/><Relationship Id="rId1204" Type="http://schemas.openxmlformats.org/officeDocument/2006/relationships/hyperlink" Target="https://doi.org/10.1002/adma.74610" TargetMode="External"/><Relationship Id="rId1205" Type="http://schemas.openxmlformats.org/officeDocument/2006/relationships/hyperlink" Target="https://onlinelibrary.wiley.com/doi/10.1002/anie.202526017?af=R" TargetMode="External"/><Relationship Id="rId1206" Type="http://schemas.openxmlformats.org/officeDocument/2006/relationships/hyperlink" Target="https://doi.org/10.1002/anie.202526017" TargetMode="External"/><Relationship Id="rId1207" Type="http://schemas.openxmlformats.org/officeDocument/2006/relationships/hyperlink" Target="https://onlinelibrary.wiley.com/doi/10.1002/anie.2602995?af=R" TargetMode="External"/><Relationship Id="rId1208" Type="http://schemas.openxmlformats.org/officeDocument/2006/relationships/hyperlink" Target="https://doi.org/10.1002/anie.2602995" TargetMode="External"/><Relationship Id="rId1209" Type="http://schemas.openxmlformats.org/officeDocument/2006/relationships/hyperlink" Target="https://onlinelibrary.wiley.com/doi/10.1002/anie.6479535?af=R" TargetMode="External"/><Relationship Id="rId1210" Type="http://schemas.openxmlformats.org/officeDocument/2006/relationships/hyperlink" Target="https://doi.org/10.1002/anie.6479535" TargetMode="External"/><Relationship Id="rId1211" Type="http://schemas.openxmlformats.org/officeDocument/2006/relationships/hyperlink" Target="https://advanced.onlinelibrary.wiley.com/doi/10.1002/adma.74692?af=R" TargetMode="External"/><Relationship Id="rId1212" Type="http://schemas.openxmlformats.org/officeDocument/2006/relationships/hyperlink" Target="https://doi.org/10.1002/adma.74692" TargetMode="External"/><Relationship Id="rId1213" Type="http://schemas.openxmlformats.org/officeDocument/2006/relationships/hyperlink" Target="https://advanced.onlinelibrary.wiley.com/doi/10.1002/adma.74683?af=R" TargetMode="External"/><Relationship Id="rId1214" Type="http://schemas.openxmlformats.org/officeDocument/2006/relationships/hyperlink" Target="https://doi.org/10.1002/adma.74683" TargetMode="External"/><Relationship Id="rId1215" Type="http://schemas.openxmlformats.org/officeDocument/2006/relationships/hyperlink" Target="https://advanced.onlinelibrary.wiley.com/doi/10.1002/adma.74636?af=R" TargetMode="External"/><Relationship Id="rId1216" Type="http://schemas.openxmlformats.org/officeDocument/2006/relationships/hyperlink" Target="https://doi.org/10.1002/adma.74636" TargetMode="External"/><Relationship Id="rId1217" Type="http://schemas.openxmlformats.org/officeDocument/2006/relationships/hyperlink" Target="https://advanced.onlinelibrary.wiley.com/doi/10.1002/adma.74655?af=R" TargetMode="External"/><Relationship Id="rId1218" Type="http://schemas.openxmlformats.org/officeDocument/2006/relationships/hyperlink" Target="https://doi.org/10.1002/adma.74655" TargetMode="External"/><Relationship Id="rId1219" Type="http://schemas.openxmlformats.org/officeDocument/2006/relationships/hyperlink" Target="https://onlinelibrary.wiley.com/doi/10.1002/anie.2026-m2607093700?af=R" TargetMode="External"/><Relationship Id="rId1220" Type="http://schemas.openxmlformats.org/officeDocument/2006/relationships/hyperlink" Target="https://doi.org/10.1002/anie.2026-m2607093700" TargetMode="External"/><Relationship Id="rId1221" Type="http://schemas.openxmlformats.org/officeDocument/2006/relationships/hyperlink" Target="https://onlinelibrary.wiley.com/doi/10.1002/anie.2026-m2607093600?af=R" TargetMode="External"/><Relationship Id="rId1222" Type="http://schemas.openxmlformats.org/officeDocument/2006/relationships/hyperlink" Target="https://doi.org/10.1002/anie.2026-m2607093600" TargetMode="External"/><Relationship Id="rId1223" Type="http://schemas.openxmlformats.org/officeDocument/2006/relationships/hyperlink" Target="https://www.sciencedirect.com/science/article/pii/S0306261926013267?dgcid=rss_sd_all" TargetMode="External"/><Relationship Id="rId1224" Type="http://schemas.openxmlformats.org/officeDocument/2006/relationships/hyperlink" Target="https://doi.org/10.1016/j.apenergy.2026.128670" TargetMode="External"/><Relationship Id="rId1225" Type="http://schemas.openxmlformats.org/officeDocument/2006/relationships/hyperlink" Target="https://www.sciencedirect.com/science/article/pii/S0301421526004830?dgcid=rss_sd_all" TargetMode="External"/><Relationship Id="rId1226" Type="http://schemas.openxmlformats.org/officeDocument/2006/relationships/hyperlink" Target="https://doi.org/10.1016/j.enpol.2026.115549" TargetMode="External"/><Relationship Id="rId1227" Type="http://schemas.openxmlformats.org/officeDocument/2006/relationships/hyperlink" Target="https://www.sciencedirect.com/science/article/pii/S0301421526004817?dgcid=rss_sd_all" TargetMode="External"/><Relationship Id="rId1228" Type="http://schemas.openxmlformats.org/officeDocument/2006/relationships/hyperlink" Target="https://doi.org/10.1016/j.enpol.2026.115547" TargetMode="External"/><Relationship Id="rId1229" Type="http://schemas.openxmlformats.org/officeDocument/2006/relationships/hyperlink" Target="https://www.sciencedirect.com/science/article/pii/S0301421526004350?dgcid=rss_sd_all" TargetMode="External"/><Relationship Id="rId1230" Type="http://schemas.openxmlformats.org/officeDocument/2006/relationships/hyperlink" Target="https://doi.org/10.1016/j.enpol.2026.115501" TargetMode="External"/><Relationship Id="rId1231" Type="http://schemas.openxmlformats.org/officeDocument/2006/relationships/hyperlink" Target="https://pubs.acs.org/jacsat/article/doi/10.1021/jacs.6c00504/5270929/Quantitative-Dynamics-and-Modulation-of-Reactive" TargetMode="External"/><Relationship Id="rId1232" Type="http://schemas.openxmlformats.org/officeDocument/2006/relationships/hyperlink" Target="https://doi.org/10.1021/jacs.6c00504" TargetMode="External"/><Relationship Id="rId1233" Type="http://schemas.openxmlformats.org/officeDocument/2006/relationships/hyperlink" Target="https://pubs.acs.org/jacsat/article/doi/10.1021/jacs.6c11216/5275800/Pro-Atropisomeric-Ynamides-as-Starting-Materials" TargetMode="External"/><Relationship Id="rId1234" Type="http://schemas.openxmlformats.org/officeDocument/2006/relationships/hyperlink" Target="https://doi.org/10.1021/jacs.6c11216" TargetMode="External"/><Relationship Id="rId1235" Type="http://schemas.openxmlformats.org/officeDocument/2006/relationships/hyperlink" Target="https://www.sciencedirect.com/science/article/pii/S0306261926013395?dgcid=rss_sd_all" TargetMode="External"/><Relationship Id="rId1236" Type="http://schemas.openxmlformats.org/officeDocument/2006/relationships/hyperlink" Target="https://doi.org/10.1016/j.apenergy.2026.128683" TargetMode="External"/><Relationship Id="rId1237" Type="http://schemas.openxmlformats.org/officeDocument/2006/relationships/hyperlink" Target="https://www.nature.com/articles/s41557-026-02231-5" TargetMode="External"/><Relationship Id="rId1238" Type="http://schemas.openxmlformats.org/officeDocument/2006/relationships/hyperlink" Target="https://doi.org/10.1038/s41557-026-02231-5" TargetMode="External"/><Relationship Id="rId1239" Type="http://schemas.openxmlformats.org/officeDocument/2006/relationships/hyperlink" Target="https://www.nature.com/articles/s41557-026-02224-4" TargetMode="External"/><Relationship Id="rId1240" Type="http://schemas.openxmlformats.org/officeDocument/2006/relationships/hyperlink" Target="https://doi.org/10.1038/s41557-026-02224-4" TargetMode="External"/><Relationship Id="rId1241" Type="http://schemas.openxmlformats.org/officeDocument/2006/relationships/hyperlink" Target="https://www.nature.com/articles/s41557-026-02233-3" TargetMode="External"/><Relationship Id="rId1242" Type="http://schemas.openxmlformats.org/officeDocument/2006/relationships/hyperlink" Target="https://doi.org/10.1038/s41557-026-02233-3" TargetMode="External"/><Relationship Id="rId1243" Type="http://schemas.openxmlformats.org/officeDocument/2006/relationships/hyperlink" Target="https://www.nature.com/articles/s41563-026-02718-z" TargetMode="External"/><Relationship Id="rId1244" Type="http://schemas.openxmlformats.org/officeDocument/2006/relationships/hyperlink" Target="https://doi.org/10.1038/s41563-026-02718-z" TargetMode="External"/><Relationship Id="rId1245" Type="http://schemas.openxmlformats.org/officeDocument/2006/relationships/hyperlink" Target="https://pubs.acs.org/jacsat/article/doi/10.1021/jacs.6c13298/5275674/Small-Molecule-Directed-RNA-Modification-via" TargetMode="External"/><Relationship Id="rId1246" Type="http://schemas.openxmlformats.org/officeDocument/2006/relationships/hyperlink" Target="https://doi.org/10.1021/jacs.6c13298" TargetMode="External"/><Relationship Id="rId1247" Type="http://schemas.openxmlformats.org/officeDocument/2006/relationships/hyperlink" Target="https://www.nature.com/articles/s41557-026-02225-3" TargetMode="External"/><Relationship Id="rId1248" Type="http://schemas.openxmlformats.org/officeDocument/2006/relationships/hyperlink" Target="https://doi.org/10.1038/s41557-026-02225-3" TargetMode="External"/><Relationship Id="rId1249" Type="http://schemas.openxmlformats.org/officeDocument/2006/relationships/hyperlink" Target="https://www.sciencedirect.com/science/article/pii/S0306261926012353?dgcid=rss_sd_all" TargetMode="External"/><Relationship Id="rId1250" Type="http://schemas.openxmlformats.org/officeDocument/2006/relationships/hyperlink" Target="https://doi.org/10.1016/j.apenergy.2026.128579" TargetMode="External"/><Relationship Id="rId1251" Type="http://schemas.openxmlformats.org/officeDocument/2006/relationships/hyperlink" Target="https://www.nature.com/articles/d41586-026-02577-3" TargetMode="External"/><Relationship Id="rId1252" Type="http://schemas.openxmlformats.org/officeDocument/2006/relationships/hyperlink" Target="https://doi.org/10.1038/d41586-026-02577-3" TargetMode="External"/><Relationship Id="rId1253" Type="http://schemas.openxmlformats.org/officeDocument/2006/relationships/hyperlink" Target="https://www.nature.com/articles/d41586-026-02524-2" TargetMode="External"/><Relationship Id="rId1254" Type="http://schemas.openxmlformats.org/officeDocument/2006/relationships/hyperlink" Target="https://doi.org/10.1038/d41586-026-02524-2" TargetMode="External"/><Relationship Id="rId1255" Type="http://schemas.openxmlformats.org/officeDocument/2006/relationships/hyperlink" Target="https://academic.oup.com/nsr/advance-article/doi/10.1093/nsr/nwag504/8763717?rss=1" TargetMode="External"/><Relationship Id="rId1256" Type="http://schemas.openxmlformats.org/officeDocument/2006/relationships/hyperlink" Target="https://doi.org/10.1093/nsr/nwag504" TargetMode="External"/><Relationship Id="rId1257" Type="http://schemas.openxmlformats.org/officeDocument/2006/relationships/hyperlink" Target="https://www.nature.com/articles/d41586-026-02535-z" TargetMode="External"/><Relationship Id="rId1258" Type="http://schemas.openxmlformats.org/officeDocument/2006/relationships/hyperlink" Target="https://doi.org/10.1038/d41586-026-02535-z" TargetMode="External"/><Relationship Id="rId1259" Type="http://schemas.openxmlformats.org/officeDocument/2006/relationships/hyperlink" Target="https://www.nature.com/articles/d41586-026-02584-4" TargetMode="External"/><Relationship Id="rId1260" Type="http://schemas.openxmlformats.org/officeDocument/2006/relationships/hyperlink" Target="https://doi.org/10.1038/d41586-026-02584-4" TargetMode="External"/><Relationship Id="rId1261" Type="http://schemas.openxmlformats.org/officeDocument/2006/relationships/hyperlink" Target="https://www.nature.com/articles/d41586-026-02466-9" TargetMode="External"/><Relationship Id="rId1262" Type="http://schemas.openxmlformats.org/officeDocument/2006/relationships/hyperlink" Target="https://doi.org/10.1038/d41586-026-02466-9" TargetMode="External"/><Relationship Id="rId1263" Type="http://schemas.openxmlformats.org/officeDocument/2006/relationships/hyperlink" Target="https://www.nature.com/articles/d41586-026-02527-z" TargetMode="External"/><Relationship Id="rId1264" Type="http://schemas.openxmlformats.org/officeDocument/2006/relationships/hyperlink" Target="https://doi.org/10.1038/d41586-026-02527-z" TargetMode="External"/><Relationship Id="rId1265" Type="http://schemas.openxmlformats.org/officeDocument/2006/relationships/hyperlink" Target="https://www.nature.com/articles/d41586-026-02381-z" TargetMode="External"/><Relationship Id="rId1266" Type="http://schemas.openxmlformats.org/officeDocument/2006/relationships/hyperlink" Target="https://doi.org/10.1038/d41586-026-02381-z" TargetMode="External"/><Relationship Id="rId1267" Type="http://schemas.openxmlformats.org/officeDocument/2006/relationships/hyperlink" Target="https://www.nature.com/articles/d41586-026-02575-5" TargetMode="External"/><Relationship Id="rId1268" Type="http://schemas.openxmlformats.org/officeDocument/2006/relationships/hyperlink" Target="https://doi.org/10.1038/d41586-026-02575-5" TargetMode="External"/><Relationship Id="rId1269" Type="http://schemas.openxmlformats.org/officeDocument/2006/relationships/hyperlink" Target="https://www.nature.com/articles/d41586-026-02578-2" TargetMode="External"/><Relationship Id="rId1270" Type="http://schemas.openxmlformats.org/officeDocument/2006/relationships/hyperlink" Target="https://doi.org/10.1038/d41586-026-02578-2" TargetMode="External"/><Relationship Id="rId1271" Type="http://schemas.openxmlformats.org/officeDocument/2006/relationships/hyperlink" Target="https://www.nature.com/articles/d41586-026-02576-4" TargetMode="External"/><Relationship Id="rId1272" Type="http://schemas.openxmlformats.org/officeDocument/2006/relationships/hyperlink" Target="https://doi.org/10.1038/d41586-026-02576-4" TargetMode="External"/><Relationship Id="rId1273" Type="http://schemas.openxmlformats.org/officeDocument/2006/relationships/hyperlink" Target="https://www.nature.com/articles/d41586-026-01932-8" TargetMode="External"/><Relationship Id="rId1274" Type="http://schemas.openxmlformats.org/officeDocument/2006/relationships/hyperlink" Target="https://doi.org/10.1038/d41586-026-01932-8" TargetMode="External"/><Relationship Id="rId1275" Type="http://schemas.openxmlformats.org/officeDocument/2006/relationships/hyperlink" Target="https://www.nature.com/articles/s41563-026-02695-3" TargetMode="External"/><Relationship Id="rId1276" Type="http://schemas.openxmlformats.org/officeDocument/2006/relationships/hyperlink" Target="https://doi.org/10.1038/s41563-026-02695-3" TargetMode="External"/><Relationship Id="rId1277" Type="http://schemas.openxmlformats.org/officeDocument/2006/relationships/hyperlink" Target="https://www.nature.com/articles/s41563-026-02696-2" TargetMode="External"/><Relationship Id="rId1278" Type="http://schemas.openxmlformats.org/officeDocument/2006/relationships/hyperlink" Target="https://doi.org/10.1038/s41563-026-02696-2" TargetMode="External"/><Relationship Id="rId1279" Type="http://schemas.openxmlformats.org/officeDocument/2006/relationships/hyperlink" Target="https://pubs.acs.org/jacsat/article/doi/10.1021/jacs.6c08065/5268292/Bidirectional-Allosteric-Ligand-Regulation-in-a" TargetMode="External"/><Relationship Id="rId1280" Type="http://schemas.openxmlformats.org/officeDocument/2006/relationships/hyperlink" Target="https://doi.org/10.1021/jacs.6c08065" TargetMode="External"/><Relationship Id="rId1281" Type="http://schemas.openxmlformats.org/officeDocument/2006/relationships/hyperlink" Target="https://www.nature.com/articles/s41893-026-01891-y" TargetMode="External"/><Relationship Id="rId1282" Type="http://schemas.openxmlformats.org/officeDocument/2006/relationships/hyperlink" Target="https://doi.org/10.1038/s41893-026-01891-y" TargetMode="External"/><Relationship Id="rId1283" Type="http://schemas.openxmlformats.org/officeDocument/2006/relationships/hyperlink" Target="https://pubs.acs.org/aamick/article/doi/10.1021/acsami.6c08667/5269078/Rapidly-Liver-Accumulating-BiOCl-ITA-Nanozyme-for" TargetMode="External"/><Relationship Id="rId1284" Type="http://schemas.openxmlformats.org/officeDocument/2006/relationships/hyperlink" Target="https://doi.org/10.1021/acsami.6c08667" TargetMode="External"/><Relationship Id="rId1285" Type="http://schemas.openxmlformats.org/officeDocument/2006/relationships/hyperlink" Target="https://www.nature.com/articles/s41467-026-76352-3" TargetMode="External"/><Relationship Id="rId1286" Type="http://schemas.openxmlformats.org/officeDocument/2006/relationships/hyperlink" Target="https://www.nature.com/articles/s41467-026-76542-z" TargetMode="External"/><Relationship Id="rId1287" Type="http://schemas.openxmlformats.org/officeDocument/2006/relationships/hyperlink" Target="https://pubs.acs.org/aamick/article/doi/10.1021/acsami.6c08678/5270880/Enhanced-Performance-in-All-Inorganic-AgBiS2" TargetMode="External"/><Relationship Id="rId1288" Type="http://schemas.openxmlformats.org/officeDocument/2006/relationships/hyperlink" Target="https://doi.org/10.1021/acsami.6c08678" TargetMode="External"/><Relationship Id="rId1289" Type="http://schemas.openxmlformats.org/officeDocument/2006/relationships/hyperlink" Target="https://pubs.acs.org/aamick/article/doi/10.1021/acsami.6c09400/5272168/Research-Progress-of-Hexagonal-Boron-Nitride-in" TargetMode="External"/><Relationship Id="rId1290" Type="http://schemas.openxmlformats.org/officeDocument/2006/relationships/hyperlink" Target="https://doi.org/10.1021/acsami.6c09400" TargetMode="External"/><Relationship Id="rId1291" Type="http://schemas.openxmlformats.org/officeDocument/2006/relationships/hyperlink" Target="https://www.nature.com/articles/s41467-026-75787-y" TargetMode="External"/><Relationship Id="rId1292" Type="http://schemas.openxmlformats.org/officeDocument/2006/relationships/hyperlink" Target="https://pubs.acs.org/aamick/article/doi/10.1021/acsami.6c07000/5275701/Ultrasound-Activated-Janus-Heterojunction-Mediated" TargetMode="External"/><Relationship Id="rId1293" Type="http://schemas.openxmlformats.org/officeDocument/2006/relationships/hyperlink" Target="https://doi.org/10.1021/acsami.6c07000" TargetMode="External"/><Relationship Id="rId1294" Type="http://schemas.openxmlformats.org/officeDocument/2006/relationships/hyperlink" Target="https://pubs.acs.org/chreay/article/doi/10.1021/acs.chemrev.5c01067/5272542/The-Many-Applications-of-Electrostatic-Adsorption" TargetMode="External"/><Relationship Id="rId1295" Type="http://schemas.openxmlformats.org/officeDocument/2006/relationships/hyperlink" Target="https://doi.org/10.1021/acs.chemrev.5c01067" TargetMode="External"/><Relationship Id="rId1296" Type="http://schemas.openxmlformats.org/officeDocument/2006/relationships/hyperlink" Target="https://pubs.acs.org/aamick/article/doi/10.1021/acsami.6c06835/5275711/Polymer-Driven-Self-Templated-Synthesis-of" TargetMode="External"/><Relationship Id="rId1297" Type="http://schemas.openxmlformats.org/officeDocument/2006/relationships/hyperlink" Target="https://doi.org/10.1021/acsami.6c06835" TargetMode="External"/><Relationship Id="rId1298" Type="http://schemas.openxmlformats.org/officeDocument/2006/relationships/hyperlink" Target="https://pubs.acs.org/aamick/article/doi/10.1021/acsami.6c05623/5272893/Spent-Coffee-Ground-Derived-Carbon-Dots-as-Redox" TargetMode="External"/><Relationship Id="rId1299" Type="http://schemas.openxmlformats.org/officeDocument/2006/relationships/hyperlink" Target="https://doi.org/10.1021/acsami.6c05623" TargetMode="External"/><Relationship Id="rId1300" Type="http://schemas.openxmlformats.org/officeDocument/2006/relationships/hyperlink" Target="https://pubs.acs.org/aamick/article/doi/10.1021/acsami.6c01718/5272891/Enhancing-the-Membrane-Destabilization-Capacity-of" TargetMode="External"/><Relationship Id="rId1301" Type="http://schemas.openxmlformats.org/officeDocument/2006/relationships/hyperlink" Target="https://doi.org/10.1021/acsami.6c01718" TargetMode="External"/><Relationship Id="rId1302" Type="http://schemas.openxmlformats.org/officeDocument/2006/relationships/hyperlink" Target="https://www.nature.com/articles/s41467-026-76433-3" TargetMode="External"/><Relationship Id="rId1303" Type="http://schemas.openxmlformats.org/officeDocument/2006/relationships/hyperlink" Target="https://pubs.acs.org/aamick/article/doi/10.1021/acsami.6c12055/5265223/Uniform-Helical-3D-Microflowers-from-Single" TargetMode="External"/><Relationship Id="rId1304" Type="http://schemas.openxmlformats.org/officeDocument/2006/relationships/hyperlink" Target="https://doi.org/10.1021/acsami.6c12055" TargetMode="External"/><Relationship Id="rId1305" Type="http://schemas.openxmlformats.org/officeDocument/2006/relationships/hyperlink" Target="https://pubs.acs.org/aamick/article/doi/10.1021/acsami.6c10288/5268377/Engineered-Long-Acting-Mild-Hyperthermia" TargetMode="External"/><Relationship Id="rId1306" Type="http://schemas.openxmlformats.org/officeDocument/2006/relationships/hyperlink" Target="https://doi.org/10.1021/acsami.6c10288" TargetMode="External"/><Relationship Id="rId1307" Type="http://schemas.openxmlformats.org/officeDocument/2006/relationships/hyperlink" Target="https://pubs.acs.org/aamick/article/doi/10.1021/acsami.6c10239/5275736/Chitosan-Microspheres-Incorporating-Doxorubicin" TargetMode="External"/><Relationship Id="rId1308" Type="http://schemas.openxmlformats.org/officeDocument/2006/relationships/hyperlink" Target="https://doi.org/10.1021/acsami.6c10239" TargetMode="External"/><Relationship Id="rId1309" Type="http://schemas.openxmlformats.org/officeDocument/2006/relationships/hyperlink" Target="https://pubs.acs.org/aamick/article/doi/10.1021/acsami.6c11224/5275712/Flexible-3D-Printed-Piezoelectric-and" TargetMode="External"/><Relationship Id="rId1310" Type="http://schemas.openxmlformats.org/officeDocument/2006/relationships/hyperlink" Target="https://doi.org/10.1021/acsami.6c11224" TargetMode="External"/><Relationship Id="rId1311" Type="http://schemas.openxmlformats.org/officeDocument/2006/relationships/hyperlink" Target="https://pubs.acs.org/jacsat/article/doi/10.1021/jacs.6c12345/5267321/A-Site-Specific-Organometallic-Approach-for" TargetMode="External"/><Relationship Id="rId1312" Type="http://schemas.openxmlformats.org/officeDocument/2006/relationships/hyperlink" Target="https://doi.org/10.1021/jacs.6c12345" TargetMode="External"/><Relationship Id="rId1313" Type="http://schemas.openxmlformats.org/officeDocument/2006/relationships/hyperlink" Target="https://pubs.acs.org/jacsat/article/doi/10.1021/jacs.6c08525/5267319/Near-Adjacent-Heavy-Lanthanide-Separation-and" TargetMode="External"/><Relationship Id="rId1314" Type="http://schemas.openxmlformats.org/officeDocument/2006/relationships/hyperlink" Target="https://doi.org/10.1021/jacs.6c08525" TargetMode="External"/><Relationship Id="rId1315" Type="http://schemas.openxmlformats.org/officeDocument/2006/relationships/hyperlink" Target="https://pubs.acs.org/jacsat/article/doi/10.1021/jacs.6c13007/5268168/Design-of-Chiral-Antimony-Catalyst-for-Ring" TargetMode="External"/><Relationship Id="rId1316" Type="http://schemas.openxmlformats.org/officeDocument/2006/relationships/hyperlink" Target="https://doi.org/10.1021/jacs.6c13007" TargetMode="External"/><Relationship Id="rId1317" Type="http://schemas.openxmlformats.org/officeDocument/2006/relationships/hyperlink" Target="https://pubs.acs.org/jacsat/article/doi/10.1021/jacs.6c09124/5273218/Dual-Channel-Energy-Transfer-from-Ligand-Centered" TargetMode="External"/><Relationship Id="rId1318" Type="http://schemas.openxmlformats.org/officeDocument/2006/relationships/hyperlink" Target="https://doi.org/10.1021/jacs.6c09124" TargetMode="External"/><Relationship Id="rId1319" Type="http://schemas.openxmlformats.org/officeDocument/2006/relationships/hyperlink" Target="https://pubs.acs.org/jacsat/article/doi/10.1021/jacs.6c05500/5274721/Decoding-TnsC-Filament-Assembly-in-CRISPR" TargetMode="External"/><Relationship Id="rId1320" Type="http://schemas.openxmlformats.org/officeDocument/2006/relationships/hyperlink" Target="https://doi.org/10.1021/jacs.6c05500" TargetMode="External"/><Relationship Id="rId1321" Type="http://schemas.openxmlformats.org/officeDocument/2006/relationships/hyperlink" Target="https://pubs.acs.org/jacsat/article/doi/10.1021/jacs.6c09105/5272105/Diradical-Character-of-Cyclic-Allenes-Enables" TargetMode="External"/><Relationship Id="rId1322" Type="http://schemas.openxmlformats.org/officeDocument/2006/relationships/hyperlink" Target="https://doi.org/10.1021/jacs.6c09105" TargetMode="External"/><Relationship Id="rId1323" Type="http://schemas.openxmlformats.org/officeDocument/2006/relationships/hyperlink" Target="https://pubs.acs.org/jacsat/article/doi/10.1021/jacs.6c10086/5268295/Iteratively-Designed-Phospholipid-Targeted" TargetMode="External"/><Relationship Id="rId1324" Type="http://schemas.openxmlformats.org/officeDocument/2006/relationships/hyperlink" Target="https://doi.org/10.1021/jacs.6c10086" TargetMode="External"/><Relationship Id="rId1325" Type="http://schemas.openxmlformats.org/officeDocument/2006/relationships/hyperlink" Target="https://pubs.acs.org/jacsat/article/doi/10.1021/jacs.6c10197/5275777/Low-Symmetry-Crown-Ether-Design-for-Coexisting" TargetMode="External"/><Relationship Id="rId1326" Type="http://schemas.openxmlformats.org/officeDocument/2006/relationships/hyperlink" Target="https://doi.org/10.1021/jacs.6c10197" TargetMode="External"/><Relationship Id="rId1327" Type="http://schemas.openxmlformats.org/officeDocument/2006/relationships/hyperlink" Target="https://pubs.acs.org/jacsat/article/doi/10.1021/jacs.6c12162/5268839/Expanding-the-Hydrocarbon-Landscape" TargetMode="External"/><Relationship Id="rId1328" Type="http://schemas.openxmlformats.org/officeDocument/2006/relationships/hyperlink" Target="https://doi.org/10.1021/jacs.6c12162" TargetMode="External"/><Relationship Id="rId1329" Type="http://schemas.openxmlformats.org/officeDocument/2006/relationships/hyperlink" Target="https://pubs.acs.org/jacsat/article/doi/10.1021/jacs.6c05615/5272220/Conceptual-Shift-in-Our-Understanding-of" TargetMode="External"/><Relationship Id="rId1330" Type="http://schemas.openxmlformats.org/officeDocument/2006/relationships/hyperlink" Target="https://doi.org/10.1021/jacs.6c05615" TargetMode="External"/><Relationship Id="rId1331" Type="http://schemas.openxmlformats.org/officeDocument/2006/relationships/hyperlink" Target="https://pubs.acs.org/jacsat/article/doi/10.1021/jacs.6c07793/5275332/Dinuclear-Complexes-of-Linear-Two-Coordinate-Iron" TargetMode="External"/><Relationship Id="rId1332" Type="http://schemas.openxmlformats.org/officeDocument/2006/relationships/hyperlink" Target="https://doi.org/10.1021/jacs.6c07793" TargetMode="External"/><Relationship Id="rId1333" Type="http://schemas.openxmlformats.org/officeDocument/2006/relationships/hyperlink" Target="https://pubs.acs.org/jacsat/article/doi/10.1021/jacs.6c05128/5275744/Organometallic-Free-Catalytic-Cross-Electrophile" TargetMode="External"/><Relationship Id="rId1334" Type="http://schemas.openxmlformats.org/officeDocument/2006/relationships/hyperlink" Target="https://doi.org/10.1021/jacs.6c05128" TargetMode="External"/><Relationship Id="rId1335" Type="http://schemas.openxmlformats.org/officeDocument/2006/relationships/hyperlink" Target="https://pubs.acs.org/jacsat/article/doi/10.1021/jacs.6c10849/5273938/Unsymmetric-Benzo-b-phosphole-Fused-Diarylethenes" TargetMode="External"/><Relationship Id="rId1336" Type="http://schemas.openxmlformats.org/officeDocument/2006/relationships/hyperlink" Target="https://doi.org/10.1021/jacs.6c10849" TargetMode="External"/><Relationship Id="rId1337" Type="http://schemas.openxmlformats.org/officeDocument/2006/relationships/hyperlink" Target="https://pubs.acs.org/jacsat/article/doi/10.1021/jacs.6c06507/5274119/Cation-Coordination-Preferences-toward-Stacking" TargetMode="External"/><Relationship Id="rId1338" Type="http://schemas.openxmlformats.org/officeDocument/2006/relationships/hyperlink" Target="https://doi.org/10.1021/jacs.6c06507" TargetMode="External"/><Relationship Id="rId1339" Type="http://schemas.openxmlformats.org/officeDocument/2006/relationships/hyperlink" Target="https://pubs.acs.org/jacsat/article/doi/10.1021/jacs.5c22337/5267795/Mass-Spectrometric-Footprinting-and-DFT" TargetMode="External"/><Relationship Id="rId1340" Type="http://schemas.openxmlformats.org/officeDocument/2006/relationships/hyperlink" Target="https://doi.org/10.1021/jacs.5c22337" TargetMode="External"/><Relationship Id="rId1341" Type="http://schemas.openxmlformats.org/officeDocument/2006/relationships/hyperlink" Target="https://pubs.acs.org/jacsat/article/doi/10.1021/jacs.6c13866/5266275/General-C-sp3-C-sp3-Cross-Coupling-of-Primary" TargetMode="External"/><Relationship Id="rId1342" Type="http://schemas.openxmlformats.org/officeDocument/2006/relationships/hyperlink" Target="https://doi.org/10.1021/jacs.6c13866" TargetMode="External"/><Relationship Id="rId1343" Type="http://schemas.openxmlformats.org/officeDocument/2006/relationships/hyperlink" Target="https://www.nature.com/articles/s41893-026-01924-6" TargetMode="External"/><Relationship Id="rId1344" Type="http://schemas.openxmlformats.org/officeDocument/2006/relationships/hyperlink" Target="https://doi.org/10.1038/s41893-026-01924-6" TargetMode="External"/><Relationship Id="rId1345" Type="http://schemas.openxmlformats.org/officeDocument/2006/relationships/hyperlink" Target="https://www.pnas.org/doi/abs/10.1073/pnas.2607117123?mi=eymic2&amp;af=R&amp;access=on&amp;content=articlesChapters&amp;publication=pnas&amp;sortBy=Earliest&amp;target=default" TargetMode="External"/><Relationship Id="rId1346" Type="http://schemas.openxmlformats.org/officeDocument/2006/relationships/hyperlink" Target="https://doi.org/10.1073/pnas.2607117123" TargetMode="External"/><Relationship Id="rId1347" Type="http://schemas.openxmlformats.org/officeDocument/2006/relationships/hyperlink" Target="https://www.pnas.org/doi/abs/10.1073/pnas.2610136123?mi=eymic2&amp;af=R&amp;access=on&amp;content=articlesChapters&amp;publication=pnas&amp;sortBy=Earliest&amp;target=default" TargetMode="External"/><Relationship Id="rId1348" Type="http://schemas.openxmlformats.org/officeDocument/2006/relationships/hyperlink" Target="https://doi.org/10.1073/pnas.2610136123" TargetMode="External"/><Relationship Id="rId1349" Type="http://schemas.openxmlformats.org/officeDocument/2006/relationships/hyperlink" Target="https://www.pnas.org/doi/abs/10.1073/pnas.2617943123?mi=eymic2&amp;af=R&amp;access=on&amp;content=articlesChapters&amp;publication=pnas&amp;sortBy=Earliest&amp;target=default" TargetMode="External"/><Relationship Id="rId1350" Type="http://schemas.openxmlformats.org/officeDocument/2006/relationships/hyperlink" Target="https://doi.org/10.1073/pnas.2617943123" TargetMode="External"/><Relationship Id="rId1351" Type="http://schemas.openxmlformats.org/officeDocument/2006/relationships/hyperlink" Target="https://www.pnas.org/doi/abs/10.1073/pnas.2536343123?mi=eymic2&amp;af=R&amp;access=on&amp;content=articlesChapters&amp;publication=pnas&amp;sortBy=Earliest&amp;target=default" TargetMode="External"/><Relationship Id="rId1352" Type="http://schemas.openxmlformats.org/officeDocument/2006/relationships/hyperlink" Target="https://doi.org/10.1073/pnas.2536343123" TargetMode="External"/><Relationship Id="rId1353" Type="http://schemas.openxmlformats.org/officeDocument/2006/relationships/hyperlink" Target="https://www.pnas.org/doi/abs/10.1073/pnas.2614472123?mi=eymic2&amp;af=R&amp;access=on&amp;content=articlesChapters&amp;publication=pnas&amp;sortBy=Earliest&amp;target=default" TargetMode="External"/><Relationship Id="rId1354" Type="http://schemas.openxmlformats.org/officeDocument/2006/relationships/hyperlink" Target="https://doi.org/10.1073/pnas.2614472123" TargetMode="External"/><Relationship Id="rId1355" Type="http://schemas.openxmlformats.org/officeDocument/2006/relationships/hyperlink" Target="https://www.pnas.org/doi/abs/10.1073/pnas.2603853123?mi=eymic2&amp;af=R&amp;access=on&amp;content=articlesChapters&amp;publication=pnas&amp;sortBy=Earliest&amp;target=default" TargetMode="External"/><Relationship Id="rId1356" Type="http://schemas.openxmlformats.org/officeDocument/2006/relationships/hyperlink" Target="https://doi.org/10.1073/pnas.2603853123" TargetMode="External"/><Relationship Id="rId1357" Type="http://schemas.openxmlformats.org/officeDocument/2006/relationships/hyperlink" Target="https://www.pnas.org/doi/abs/10.1073/pnas.2602410123?mi=eymic2&amp;af=R&amp;access=on&amp;content=articlesChapters&amp;publication=pnas&amp;sortBy=Earliest&amp;target=default" TargetMode="External"/><Relationship Id="rId1358" Type="http://schemas.openxmlformats.org/officeDocument/2006/relationships/hyperlink" Target="https://doi.org/10.1073/pnas.2602410123" TargetMode="External"/><Relationship Id="rId1359" Type="http://schemas.openxmlformats.org/officeDocument/2006/relationships/hyperlink" Target="https://www.pnas.org/doi/abs/10.1073/pnas.2600891123?mi=eymic2&amp;af=R&amp;access=on&amp;content=articlesChapters&amp;publication=pnas&amp;sortBy=Earliest&amp;target=default" TargetMode="External"/><Relationship Id="rId1360" Type="http://schemas.openxmlformats.org/officeDocument/2006/relationships/hyperlink" Target="https://doi.org/10.1073/pnas.2600891123" TargetMode="External"/><Relationship Id="rId1361" Type="http://schemas.openxmlformats.org/officeDocument/2006/relationships/hyperlink" Target="https://www.pnas.org/doi/abs/10.1073/pnas.2537388123?mi=eymic2&amp;af=R&amp;access=on&amp;content=articlesChapters&amp;publication=pnas&amp;sortBy=Earliest&amp;target=default" TargetMode="External"/><Relationship Id="rId1362" Type="http://schemas.openxmlformats.org/officeDocument/2006/relationships/hyperlink" Target="https://doi.org/10.1073/pnas.2537388123" TargetMode="External"/><Relationship Id="rId1363" Type="http://schemas.openxmlformats.org/officeDocument/2006/relationships/hyperlink" Target="https://www.pnas.org/doi/abs/10.1073/pnas.2536998123?mi=eymic2&amp;af=R&amp;access=on&amp;content=articlesChapters&amp;publication=pnas&amp;sortBy=Earliest&amp;target=default" TargetMode="External"/><Relationship Id="rId1364" Type="http://schemas.openxmlformats.org/officeDocument/2006/relationships/hyperlink" Target="https://doi.org/10.1073/pnas.2536998123" TargetMode="External"/><Relationship Id="rId1365" Type="http://schemas.openxmlformats.org/officeDocument/2006/relationships/hyperlink" Target="https://www.pnas.org/doi/abs/10.1073/pnas.2531697123?mi=eymic2&amp;af=R&amp;access=on&amp;content=articlesChapters&amp;publication=pnas&amp;sortBy=Earliest&amp;target=default" TargetMode="External"/><Relationship Id="rId1366" Type="http://schemas.openxmlformats.org/officeDocument/2006/relationships/hyperlink" Target="https://doi.org/10.1073/pnas.2531697123" TargetMode="External"/><Relationship Id="rId1367" Type="http://schemas.openxmlformats.org/officeDocument/2006/relationships/hyperlink" Target="https://www.pnas.org/doi/abs/10.1073/pnas.2533465123?mi=eymic2&amp;af=R&amp;access=on&amp;content=articlesChapters&amp;publication=pnas&amp;sortBy=Earliest&amp;target=default" TargetMode="External"/><Relationship Id="rId1368" Type="http://schemas.openxmlformats.org/officeDocument/2006/relationships/hyperlink" Target="https://doi.org/10.1073/pnas.2533465123" TargetMode="External"/><Relationship Id="rId1369" Type="http://schemas.openxmlformats.org/officeDocument/2006/relationships/hyperlink" Target="https://www.pnas.org/doi/abs/10.1073/pnas.2533429123?mi=eymic2&amp;af=R&amp;access=on&amp;content=articlesChapters&amp;publication=pnas&amp;sortBy=Earliest&amp;target=default" TargetMode="External"/><Relationship Id="rId1370" Type="http://schemas.openxmlformats.org/officeDocument/2006/relationships/hyperlink" Target="https://doi.org/10.1073/pnas.2533429123" TargetMode="External"/><Relationship Id="rId1371" Type="http://schemas.openxmlformats.org/officeDocument/2006/relationships/hyperlink" Target="https://www.pnas.org/doi/abs/10.1073/pnas.2528506123?mi=eymic2&amp;af=R&amp;access=on&amp;content=articlesChapters&amp;publication=pnas&amp;sortBy=Earliest&amp;target=default" TargetMode="External"/><Relationship Id="rId1372" Type="http://schemas.openxmlformats.org/officeDocument/2006/relationships/hyperlink" Target="https://doi.org/10.1073/pnas.2528506123" TargetMode="External"/><Relationship Id="rId1373" Type="http://schemas.openxmlformats.org/officeDocument/2006/relationships/hyperlink" Target="https://www.pnas.org/doi/abs/10.1073/pnas.2528342123?mi=eymic2&amp;af=R&amp;access=on&amp;content=articlesChapters&amp;publication=pnas&amp;sortBy=Earliest&amp;target=default" TargetMode="External"/><Relationship Id="rId1374" Type="http://schemas.openxmlformats.org/officeDocument/2006/relationships/hyperlink" Target="https://doi.org/10.1073/pnas.2528342123" TargetMode="External"/><Relationship Id="rId1375" Type="http://schemas.openxmlformats.org/officeDocument/2006/relationships/hyperlink" Target="https://www.pnas.org/doi/abs/10.1073/pnas.2610782123?mi=eymic2&amp;af=R&amp;access=on&amp;content=articlesChapters&amp;publication=pnas&amp;sortBy=Earliest&amp;target=default" TargetMode="External"/><Relationship Id="rId1376" Type="http://schemas.openxmlformats.org/officeDocument/2006/relationships/hyperlink" Target="https://doi.org/10.1073/pnas.2610782123" TargetMode="External"/><Relationship Id="rId1377" Type="http://schemas.openxmlformats.org/officeDocument/2006/relationships/hyperlink" Target="https://www.pnas.org/doi/abs/10.1073/pnas.2527860123?mi=eymic2&amp;af=R&amp;access=on&amp;content=articlesChapters&amp;publication=pnas&amp;sortBy=Earliest&amp;target=default" TargetMode="External"/><Relationship Id="rId1378" Type="http://schemas.openxmlformats.org/officeDocument/2006/relationships/hyperlink" Target="https://doi.org/10.1073/pnas.2527860123" TargetMode="External"/><Relationship Id="rId1379" Type="http://schemas.openxmlformats.org/officeDocument/2006/relationships/hyperlink" Target="https://www.pnas.org/doi/abs/10.1073/iti3326123?mi=eymic2&amp;af=R&amp;access=on&amp;content=articlesChapters&amp;publication=pnas&amp;sortBy=Earliest&amp;target=default" TargetMode="External"/><Relationship Id="rId1380" Type="http://schemas.openxmlformats.org/officeDocument/2006/relationships/hyperlink" Target="https://doi.org/10.1073/iti3326123" TargetMode="External"/><Relationship Id="rId1381" Type="http://schemas.openxmlformats.org/officeDocument/2006/relationships/hyperlink" Target="https://www.pnas.org/doi/abs/10.1073/pnas.2612072123?mi=eymic2&amp;af=R&amp;access=on&amp;content=articlesChapters&amp;publication=pnas&amp;sortBy=Earliest&amp;target=default" TargetMode="External"/><Relationship Id="rId1382" Type="http://schemas.openxmlformats.org/officeDocument/2006/relationships/hyperlink" Target="https://doi.org/10.1073/pnas.2612072123" TargetMode="External"/><Relationship Id="rId1383" Type="http://schemas.openxmlformats.org/officeDocument/2006/relationships/hyperlink" Target="https://www.pnas.org/doi/abs/10.1073/pnas.2605763123?mi=eymic2&amp;af=R&amp;access=on&amp;content=articlesChapters&amp;publication=pnas&amp;sortBy=Earliest&amp;target=default" TargetMode="External"/><Relationship Id="rId1384" Type="http://schemas.openxmlformats.org/officeDocument/2006/relationships/hyperlink" Target="https://doi.org/10.1073/pnas.2605763123" TargetMode="External"/><Relationship Id="rId1385" Type="http://schemas.openxmlformats.org/officeDocument/2006/relationships/hyperlink" Target="https://www.pnas.org/doi/abs/10.1073/pnas.2605305123?mi=eymic2&amp;af=R&amp;access=on&amp;content=articlesChapters&amp;publication=pnas&amp;sortBy=Earliest&amp;target=default" TargetMode="External"/><Relationship Id="rId1386" Type="http://schemas.openxmlformats.org/officeDocument/2006/relationships/hyperlink" Target="https://doi.org/10.1073/pnas.2605305123" TargetMode="External"/><Relationship Id="rId1387" Type="http://schemas.openxmlformats.org/officeDocument/2006/relationships/hyperlink" Target="https://www.pnas.org/doi/abs/10.1073/pnas.2627721123?mi=eymic2&amp;af=R&amp;access=on&amp;content=articlesChapters&amp;publication=pnas&amp;sortBy=Earliest&amp;target=default" TargetMode="External"/><Relationship Id="rId1388" Type="http://schemas.openxmlformats.org/officeDocument/2006/relationships/hyperlink" Target="https://doi.org/10.1073/pnas.2627721123" TargetMode="External"/><Relationship Id="rId1389" Type="http://schemas.openxmlformats.org/officeDocument/2006/relationships/hyperlink" Target="https://www.pnas.org/doi/abs/10.1073/pnas.2534903123?mi=eymic2&amp;af=R&amp;access=on&amp;content=articlesChapters&amp;publication=pnas&amp;sortBy=Earliest&amp;target=default" TargetMode="External"/><Relationship Id="rId1390" Type="http://schemas.openxmlformats.org/officeDocument/2006/relationships/hyperlink" Target="https://doi.org/10.1073/pnas.2534903123" TargetMode="External"/><Relationship Id="rId1391" Type="http://schemas.openxmlformats.org/officeDocument/2006/relationships/hyperlink" Target="https://advanced.onlinelibrary.wiley.com/doi/10.1002/adma.74638?af=R" TargetMode="External"/><Relationship Id="rId1392" Type="http://schemas.openxmlformats.org/officeDocument/2006/relationships/hyperlink" Target="https://doi.org/10.1002/adma.74638" TargetMode="External"/><Relationship Id="rId1393" Type="http://schemas.openxmlformats.org/officeDocument/2006/relationships/hyperlink" Target="https://advanced.onlinelibrary.wiley.com/doi/10.1002/adma.74637?af=R" TargetMode="External"/><Relationship Id="rId1394" Type="http://schemas.openxmlformats.org/officeDocument/2006/relationships/hyperlink" Target="https://doi.org/10.1002/adma.74637" TargetMode="External"/><Relationship Id="rId1395" Type="http://schemas.openxmlformats.org/officeDocument/2006/relationships/hyperlink" Target="http://link.aps.org/doi/10.1103/65dd-448y" TargetMode="External"/><Relationship Id="rId1396" Type="http://schemas.openxmlformats.org/officeDocument/2006/relationships/hyperlink" Target="https://doi.org/10.1103/65dd-448y" TargetMode="External"/><Relationship Id="rId1397" Type="http://schemas.openxmlformats.org/officeDocument/2006/relationships/hyperlink" Target="http://link.aps.org/doi/10.1103/drcz-b46s" TargetMode="External"/><Relationship Id="rId1398" Type="http://schemas.openxmlformats.org/officeDocument/2006/relationships/hyperlink" Target="https://doi.org/10.1103/drcz-b46s" TargetMode="External"/><Relationship Id="rId1399" Type="http://schemas.openxmlformats.org/officeDocument/2006/relationships/hyperlink" Target="http://link.aps.org/doi/10.1103/xlvk-k52x" TargetMode="External"/><Relationship Id="rId1400" Type="http://schemas.openxmlformats.org/officeDocument/2006/relationships/hyperlink" Target="https://doi.org/10.1103/xlvk-k52x" TargetMode="External"/><Relationship Id="rId1401" Type="http://schemas.openxmlformats.org/officeDocument/2006/relationships/hyperlink" Target="http://link.aps.org/doi/10.1103/hrxh-y5dl" TargetMode="External"/><Relationship Id="rId1402" Type="http://schemas.openxmlformats.org/officeDocument/2006/relationships/hyperlink" Target="https://doi.org/10.1103/hrxh-y5dl" TargetMode="External"/><Relationship Id="rId1403" Type="http://schemas.openxmlformats.org/officeDocument/2006/relationships/hyperlink" Target="http://link.aps.org/doi/10.1103/8gvn-3gbn" TargetMode="External"/><Relationship Id="rId1404" Type="http://schemas.openxmlformats.org/officeDocument/2006/relationships/hyperlink" Target="https://doi.org/10.1103/8gvn-3gbn" TargetMode="External"/><Relationship Id="rId1405" Type="http://schemas.openxmlformats.org/officeDocument/2006/relationships/hyperlink" Target="http://link.aps.org/doi/10.1103/qckh-cqrd" TargetMode="External"/><Relationship Id="rId1406" Type="http://schemas.openxmlformats.org/officeDocument/2006/relationships/hyperlink" Target="https://doi.org/10.1103/qckh-cqrd" TargetMode="External"/><Relationship Id="rId1407" Type="http://schemas.openxmlformats.org/officeDocument/2006/relationships/hyperlink" Target="http://link.aps.org/doi/10.1103/gjf6-25xy" TargetMode="External"/><Relationship Id="rId1408" Type="http://schemas.openxmlformats.org/officeDocument/2006/relationships/hyperlink" Target="https://doi.org/10.1103/gjf6-25xy" TargetMode="External"/><Relationship Id="rId1409" Type="http://schemas.openxmlformats.org/officeDocument/2006/relationships/hyperlink" Target="http://link.aps.org/doi/10.1103/wjsd-xzlq" TargetMode="External"/><Relationship Id="rId1410" Type="http://schemas.openxmlformats.org/officeDocument/2006/relationships/hyperlink" Target="https://doi.org/10.1103/wjsd-xzlq" TargetMode="External"/><Relationship Id="rId1411" Type="http://schemas.openxmlformats.org/officeDocument/2006/relationships/hyperlink" Target="http://link.aps.org/doi/10.1103/zqg5-gzbq" TargetMode="External"/><Relationship Id="rId1412" Type="http://schemas.openxmlformats.org/officeDocument/2006/relationships/hyperlink" Target="https://doi.org/10.1103/zqg5-gzbq" TargetMode="External"/><Relationship Id="rId1413" Type="http://schemas.openxmlformats.org/officeDocument/2006/relationships/hyperlink" Target="http://link.aps.org/doi/10.1103/nrlq-ktd1" TargetMode="External"/><Relationship Id="rId1414" Type="http://schemas.openxmlformats.org/officeDocument/2006/relationships/hyperlink" Target="https://doi.org/10.1103/nrlq-ktd1" TargetMode="External"/><Relationship Id="rId1415" Type="http://schemas.openxmlformats.org/officeDocument/2006/relationships/hyperlink" Target="http://link.aps.org/doi/10.1103/7dwt-h1h7" TargetMode="External"/><Relationship Id="rId1416" Type="http://schemas.openxmlformats.org/officeDocument/2006/relationships/hyperlink" Target="https://doi.org/10.1103/7dwt-h1h7" TargetMode="External"/><Relationship Id="rId1417" Type="http://schemas.openxmlformats.org/officeDocument/2006/relationships/hyperlink" Target="http://link.aps.org/doi/10.1103/x819-898d" TargetMode="External"/><Relationship Id="rId1418" Type="http://schemas.openxmlformats.org/officeDocument/2006/relationships/hyperlink" Target="https://doi.org/10.1103/x819-898d" TargetMode="External"/><Relationship Id="rId1419" Type="http://schemas.openxmlformats.org/officeDocument/2006/relationships/hyperlink" Target="http://link.aps.org/doi/10.1103/538w-rhqb" TargetMode="External"/><Relationship Id="rId1420" Type="http://schemas.openxmlformats.org/officeDocument/2006/relationships/hyperlink" Target="https://doi.org/10.1103/538w-rhqb" TargetMode="External"/><Relationship Id="rId1421" Type="http://schemas.openxmlformats.org/officeDocument/2006/relationships/hyperlink" Target="http://link.aps.org/doi/10.1103/39t1-94yh" TargetMode="External"/><Relationship Id="rId1422" Type="http://schemas.openxmlformats.org/officeDocument/2006/relationships/hyperlink" Target="https://doi.org/10.1103/39t1-94yh" TargetMode="External"/><Relationship Id="rId1423" Type="http://schemas.openxmlformats.org/officeDocument/2006/relationships/hyperlink" Target="http://link.aps.org/doi/10.1103/qv9w-x78v" TargetMode="External"/><Relationship Id="rId1424" Type="http://schemas.openxmlformats.org/officeDocument/2006/relationships/hyperlink" Target="https://doi.org/10.1103/qv9w-x78v" TargetMode="External"/><Relationship Id="rId1425" Type="http://schemas.openxmlformats.org/officeDocument/2006/relationships/hyperlink" Target="http://link.aps.org/doi/10.1103/33dv-bfcx" TargetMode="External"/><Relationship Id="rId1426" Type="http://schemas.openxmlformats.org/officeDocument/2006/relationships/hyperlink" Target="https://doi.org/10.1103/33dv-bfcx" TargetMode="External"/><Relationship Id="rId1427" Type="http://schemas.openxmlformats.org/officeDocument/2006/relationships/hyperlink" Target="http://link.aps.org/doi/10.1103/97fb-45n9" TargetMode="External"/><Relationship Id="rId1428" Type="http://schemas.openxmlformats.org/officeDocument/2006/relationships/hyperlink" Target="https://doi.org/10.1103/97fb-45n9" TargetMode="External"/><Relationship Id="rId1429" Type="http://schemas.openxmlformats.org/officeDocument/2006/relationships/hyperlink" Target="http://link.aps.org/doi/10.1103/vntd-m133" TargetMode="External"/><Relationship Id="rId1430" Type="http://schemas.openxmlformats.org/officeDocument/2006/relationships/hyperlink" Target="https://doi.org/10.1103/vntd-m133" TargetMode="External"/><Relationship Id="rId1431" Type="http://schemas.openxmlformats.org/officeDocument/2006/relationships/hyperlink" Target="http://link.aps.org/doi/10.1103/l9cd-88h7" TargetMode="External"/><Relationship Id="rId1432" Type="http://schemas.openxmlformats.org/officeDocument/2006/relationships/hyperlink" Target="https://doi.org/10.1103/l9cd-88h7" TargetMode="External"/><Relationship Id="rId1433" Type="http://schemas.openxmlformats.org/officeDocument/2006/relationships/hyperlink" Target="https://advanced.onlinelibrary.wiley.com/doi/10.1002/adma.74652?af=R" TargetMode="External"/><Relationship Id="rId1434" Type="http://schemas.openxmlformats.org/officeDocument/2006/relationships/hyperlink" Target="https://doi.org/10.1002/adma.74652" TargetMode="External"/><Relationship Id="rId1435" Type="http://schemas.openxmlformats.org/officeDocument/2006/relationships/hyperlink" Target="https://www.nature.com/articles/s41586-026-10933-6" TargetMode="External"/><Relationship Id="rId1436" Type="http://schemas.openxmlformats.org/officeDocument/2006/relationships/hyperlink" Target="https://doi.org/10.1038/s41586-026-10933-6" TargetMode="External"/><Relationship Id="rId1437" Type="http://schemas.openxmlformats.org/officeDocument/2006/relationships/hyperlink" Target="https://www.nature.com/articles/s41586-026-10892-y" TargetMode="External"/><Relationship Id="rId1438" Type="http://schemas.openxmlformats.org/officeDocument/2006/relationships/hyperlink" Target="https://doi.org/10.1038/s41586-026-10892-y" TargetMode="External"/><Relationship Id="rId1439" Type="http://schemas.openxmlformats.org/officeDocument/2006/relationships/hyperlink" Target="https://www.nature.com/articles/s41586-026-10912-x" TargetMode="External"/><Relationship Id="rId1440" Type="http://schemas.openxmlformats.org/officeDocument/2006/relationships/hyperlink" Target="https://doi.org/10.1038/s41586-026-10912-x" TargetMode="External"/><Relationship Id="rId1441" Type="http://schemas.openxmlformats.org/officeDocument/2006/relationships/hyperlink" Target="https://www.nature.com/articles/s41586-026-10917-6" TargetMode="External"/><Relationship Id="rId1442" Type="http://schemas.openxmlformats.org/officeDocument/2006/relationships/hyperlink" Target="https://doi.org/10.1038/s41586-026-10917-6" TargetMode="External"/><Relationship Id="rId1443" Type="http://schemas.openxmlformats.org/officeDocument/2006/relationships/hyperlink" Target="https://pubs.acs.org/jacsat/article/doi/10.1021/jacs.6c13610/5276308/Kinetic-Frustration-of-Collagen-Folding-Drives" TargetMode="External"/><Relationship Id="rId1444" Type="http://schemas.openxmlformats.org/officeDocument/2006/relationships/hyperlink" Target="https://doi.org/10.1021/jacs.6c13610" TargetMode="External"/><Relationship Id="rId1445" Type="http://schemas.openxmlformats.org/officeDocument/2006/relationships/hyperlink" Target="https://pubs.acs.org/jacsat/article/doi/10.1021/jacs.6c04747/5276405/Redefining-Atomically-Dispersed-Catalyst-Stability" TargetMode="External"/><Relationship Id="rId1446" Type="http://schemas.openxmlformats.org/officeDocument/2006/relationships/hyperlink" Target="https://doi.org/10.1021/jacs.6c04747" TargetMode="External"/><Relationship Id="rId1447" Type="http://schemas.openxmlformats.org/officeDocument/2006/relationships/hyperlink" Target="https://academic.oup.com/nsr/advance-article/doi/10.1093/nsr/nwag510/8766027?rss=1" TargetMode="External"/><Relationship Id="rId1448" Type="http://schemas.openxmlformats.org/officeDocument/2006/relationships/hyperlink" Target="https://doi.org/10.1093/nsr/nwag510" TargetMode="External"/><Relationship Id="rId1449" Type="http://schemas.openxmlformats.org/officeDocument/2006/relationships/hyperlink" Target="https://academic.oup.com/nsr/advance-article/doi/10.1093/nsr/nwag502/8766026?rss=1" TargetMode="External"/><Relationship Id="rId1450" Type="http://schemas.openxmlformats.org/officeDocument/2006/relationships/hyperlink" Target="https://doi.org/10.1093/nsr/nwag502" TargetMode="External"/><Relationship Id="rId1451" Type="http://schemas.openxmlformats.org/officeDocument/2006/relationships/hyperlink" Target="https://www.nature.com/articles/d41586-026-02375-x" TargetMode="External"/><Relationship Id="rId1452" Type="http://schemas.openxmlformats.org/officeDocument/2006/relationships/hyperlink" Target="https://doi.org/10.1038/d41586-026-02375-x" TargetMode="External"/><Relationship Id="rId1453" Type="http://schemas.openxmlformats.org/officeDocument/2006/relationships/hyperlink" Target="https://academic.oup.com/nsr/advance-article/doi/10.1093/nsr/nwag506/8766030?rss=1" TargetMode="External"/><Relationship Id="rId1454" Type="http://schemas.openxmlformats.org/officeDocument/2006/relationships/hyperlink" Target="https://doi.org/10.1093/nsr/nwag506" TargetMode="External"/><Relationship Id="rId1455" Type="http://schemas.openxmlformats.org/officeDocument/2006/relationships/hyperlink" Target="https://academic.oup.com/nsr/advance-article/doi/10.1093/nsr/nwag489/8766035?rss=1" TargetMode="External"/><Relationship Id="rId1456" Type="http://schemas.openxmlformats.org/officeDocument/2006/relationships/hyperlink" Target="https://doi.org/10.1093/nsr/nwag489" TargetMode="External"/><Relationship Id="rId1457" Type="http://schemas.openxmlformats.org/officeDocument/2006/relationships/hyperlink" Target="https://www.nature.com/articles/d41586-026-02376-w" TargetMode="External"/><Relationship Id="rId1458" Type="http://schemas.openxmlformats.org/officeDocument/2006/relationships/hyperlink" Target="https://doi.org/10.1038/d41586-026-02376-w" TargetMode="External"/><Relationship Id="rId1459" Type="http://schemas.openxmlformats.org/officeDocument/2006/relationships/hyperlink" Target="https://www.nature.com/articles/d41586-026-02585-3" TargetMode="External"/><Relationship Id="rId1460" Type="http://schemas.openxmlformats.org/officeDocument/2006/relationships/hyperlink" Target="https://doi.org/10.1038/d41586-026-02585-3" TargetMode="External"/><Relationship Id="rId1461" Type="http://schemas.openxmlformats.org/officeDocument/2006/relationships/hyperlink" Target="https://www.nature.com/articles/d41586-026-02410-x" TargetMode="External"/><Relationship Id="rId1462" Type="http://schemas.openxmlformats.org/officeDocument/2006/relationships/hyperlink" Target="https://doi.org/10.1038/d41586-026-02410-x" TargetMode="External"/><Relationship Id="rId1463" Type="http://schemas.openxmlformats.org/officeDocument/2006/relationships/hyperlink" Target="https://www.nature.com/articles/s41586-026-10926-5" TargetMode="External"/><Relationship Id="rId1464" Type="http://schemas.openxmlformats.org/officeDocument/2006/relationships/hyperlink" Target="https://doi.org/10.1038/s41586-026-10926-5" TargetMode="External"/><Relationship Id="rId1465" Type="http://schemas.openxmlformats.org/officeDocument/2006/relationships/hyperlink" Target="https://www.nature.com/articles/s41586-026-10877-x" TargetMode="External"/><Relationship Id="rId1466" Type="http://schemas.openxmlformats.org/officeDocument/2006/relationships/hyperlink" Target="https://doi.org/10.1038/s41586-026-10877-x" TargetMode="External"/><Relationship Id="rId1467" Type="http://schemas.openxmlformats.org/officeDocument/2006/relationships/hyperlink" Target="https://www.nature.com/articles/d41586-026-02495-4" TargetMode="External"/><Relationship Id="rId1468" Type="http://schemas.openxmlformats.org/officeDocument/2006/relationships/hyperlink" Target="https://doi.org/10.1038/d41586-026-02495-4" TargetMode="External"/><Relationship Id="rId1469" Type="http://schemas.openxmlformats.org/officeDocument/2006/relationships/hyperlink" Target="https://www.nature.com/articles/s41586-026-10928-3" TargetMode="External"/><Relationship Id="rId1470" Type="http://schemas.openxmlformats.org/officeDocument/2006/relationships/hyperlink" Target="https://doi.org/10.1038/s41586-026-10928-3" TargetMode="External"/><Relationship Id="rId1471" Type="http://schemas.openxmlformats.org/officeDocument/2006/relationships/hyperlink" Target="https://www.nature.com/articles/d41586-026-02607-0" TargetMode="External"/><Relationship Id="rId1472" Type="http://schemas.openxmlformats.org/officeDocument/2006/relationships/hyperlink" Target="https://doi.org/10.1038/d41586-026-02607-0" TargetMode="External"/><Relationship Id="rId1473" Type="http://schemas.openxmlformats.org/officeDocument/2006/relationships/hyperlink" Target="https://www.nature.com/articles/s41586-026-10776-1" TargetMode="External"/><Relationship Id="rId1474" Type="http://schemas.openxmlformats.org/officeDocument/2006/relationships/hyperlink" Target="https://doi.org/10.1038/s41586-026-10776-1" TargetMode="External"/><Relationship Id="rId1475" Type="http://schemas.openxmlformats.org/officeDocument/2006/relationships/hyperlink" Target="https://www.nature.com/articles/s41586-026-10777-0" TargetMode="External"/><Relationship Id="rId1476" Type="http://schemas.openxmlformats.org/officeDocument/2006/relationships/hyperlink" Target="https://doi.org/10.1038/s41586-026-10777-0" TargetMode="External"/><Relationship Id="rId1477" Type="http://schemas.openxmlformats.org/officeDocument/2006/relationships/hyperlink" Target="https://www.nature.com/articles/s41586-026-10951-4" TargetMode="External"/><Relationship Id="rId1478" Type="http://schemas.openxmlformats.org/officeDocument/2006/relationships/hyperlink" Target="https://doi.org/10.1038/s41586-026-10951-4" TargetMode="External"/><Relationship Id="rId1479" Type="http://schemas.openxmlformats.org/officeDocument/2006/relationships/hyperlink" Target="https://www.nature.com/articles/s41586-026-10904-x" TargetMode="External"/><Relationship Id="rId1480" Type="http://schemas.openxmlformats.org/officeDocument/2006/relationships/hyperlink" Target="https://doi.org/10.1038/s41586-026-10904-x" TargetMode="External"/><Relationship Id="rId1481" Type="http://schemas.openxmlformats.org/officeDocument/2006/relationships/hyperlink" Target="https://www.nature.com/articles/s41586-026-10938-1" TargetMode="External"/><Relationship Id="rId1482" Type="http://schemas.openxmlformats.org/officeDocument/2006/relationships/hyperlink" Target="https://doi.org/10.1038/s41586-026-10938-1" TargetMode="External"/><Relationship Id="rId1483" Type="http://schemas.openxmlformats.org/officeDocument/2006/relationships/hyperlink" Target="https://www.nature.com/articles/s41586-026-10914-9" TargetMode="External"/><Relationship Id="rId1484" Type="http://schemas.openxmlformats.org/officeDocument/2006/relationships/hyperlink" Target="https://doi.org/10.1038/s41586-026-10914-9" TargetMode="External"/><Relationship Id="rId1485" Type="http://schemas.openxmlformats.org/officeDocument/2006/relationships/hyperlink" Target="https://pubs.acs.org/jacsat/article/doi/10.1021/jacs.6c14427/5276928/Taming-Molecular-Boron-Nitride-through-a-Tandem" TargetMode="External"/><Relationship Id="rId1486" Type="http://schemas.openxmlformats.org/officeDocument/2006/relationships/hyperlink" Target="https://doi.org/10.1021/jacs.6c14427" TargetMode="External"/><Relationship Id="rId1487" Type="http://schemas.openxmlformats.org/officeDocument/2006/relationships/hyperlink" Target="https://www.nature.com/articles/s41586-026-10935-4" TargetMode="External"/><Relationship Id="rId1488" Type="http://schemas.openxmlformats.org/officeDocument/2006/relationships/hyperlink" Target="https://doi.org/10.1038/s41586-026-10935-4" TargetMode="External"/><Relationship Id="rId1489" Type="http://schemas.openxmlformats.org/officeDocument/2006/relationships/hyperlink" Target="https://www.nature.com/articles/s41586-026-11037-x" TargetMode="External"/><Relationship Id="rId1490" Type="http://schemas.openxmlformats.org/officeDocument/2006/relationships/hyperlink" Target="https://doi.org/10.1038/s41586-026-11037-x" TargetMode="External"/><Relationship Id="rId1491" Type="http://schemas.openxmlformats.org/officeDocument/2006/relationships/hyperlink" Target="https://www.nature.com/articles/d41586-026-02554-w" TargetMode="External"/><Relationship Id="rId1492" Type="http://schemas.openxmlformats.org/officeDocument/2006/relationships/hyperlink" Target="https://doi.org/10.1038/d41586-026-02554-w" TargetMode="External"/><Relationship Id="rId1493" Type="http://schemas.openxmlformats.org/officeDocument/2006/relationships/hyperlink" Target="https://pubs.acs.org/jacsat/article/doi/10.1021/jacs.6c15648/5275840/Correction-to-Light-Induced-Selective" TargetMode="External"/><Relationship Id="rId1494" Type="http://schemas.openxmlformats.org/officeDocument/2006/relationships/hyperlink" Target="https://doi.org/10.1021/jacs.6c15648" TargetMode="External"/><Relationship Id="rId1495" Type="http://schemas.openxmlformats.org/officeDocument/2006/relationships/hyperlink" Target="https://www.nature.com/articles/s41563-026-02686-4" TargetMode="External"/><Relationship Id="rId1496" Type="http://schemas.openxmlformats.org/officeDocument/2006/relationships/hyperlink" Target="https://doi.org/10.1038/s41563-026-02686-4" TargetMode="External"/><Relationship Id="rId1497" Type="http://schemas.openxmlformats.org/officeDocument/2006/relationships/hyperlink" Target="https://www.nature.com/articles/s41558-026-02717-7" TargetMode="External"/><Relationship Id="rId1498" Type="http://schemas.openxmlformats.org/officeDocument/2006/relationships/hyperlink" Target="https://doi.org/10.1038/s41558-026-02717-7" TargetMode="External"/><Relationship Id="rId1499" Type="http://schemas.openxmlformats.org/officeDocument/2006/relationships/hyperlink" Target="https://www.nature.com/articles/s41558-026-02728-4" TargetMode="External"/><Relationship Id="rId1500" Type="http://schemas.openxmlformats.org/officeDocument/2006/relationships/hyperlink" Target="https://doi.org/10.1038/s41558-026-02728-4" TargetMode="External"/><Relationship Id="rId1501" Type="http://schemas.openxmlformats.org/officeDocument/2006/relationships/hyperlink" Target="https://www.nature.com/articles/s41558-026-02727-5" TargetMode="External"/><Relationship Id="rId1502" Type="http://schemas.openxmlformats.org/officeDocument/2006/relationships/hyperlink" Target="https://doi.org/10.1038/s41558-026-02727-5" TargetMode="External"/><Relationship Id="rId1503" Type="http://schemas.openxmlformats.org/officeDocument/2006/relationships/hyperlink" Target="https://www.nature.com/articles/s41586-026-10900-1" TargetMode="External"/><Relationship Id="rId1504" Type="http://schemas.openxmlformats.org/officeDocument/2006/relationships/hyperlink" Target="https://doi.org/10.1038/s41586-026-10900-1" TargetMode="External"/><Relationship Id="rId1505" Type="http://schemas.openxmlformats.org/officeDocument/2006/relationships/hyperlink" Target="https://www.nature.com/articles/d41586-026-02610-5" TargetMode="External"/><Relationship Id="rId1506" Type="http://schemas.openxmlformats.org/officeDocument/2006/relationships/hyperlink" Target="https://doi.org/10.1038/d41586-026-02610-5" TargetMode="External"/><Relationship Id="rId1507" Type="http://schemas.openxmlformats.org/officeDocument/2006/relationships/hyperlink" Target="https://www.nature.com/articles/s41928-026-01681-6" TargetMode="External"/><Relationship Id="rId1508" Type="http://schemas.openxmlformats.org/officeDocument/2006/relationships/hyperlink" Target="https://doi.org/10.1038/s41928-026-01681-6" TargetMode="External"/><Relationship Id="rId1509" Type="http://schemas.openxmlformats.org/officeDocument/2006/relationships/hyperlink" Target="https://www.nature.com/articles/d41586-026-02377-9" TargetMode="External"/><Relationship Id="rId1510" Type="http://schemas.openxmlformats.org/officeDocument/2006/relationships/hyperlink" Target="https://doi.org/10.1038/d41586-026-02377-9" TargetMode="External"/><Relationship Id="rId1511" Type="http://schemas.openxmlformats.org/officeDocument/2006/relationships/hyperlink" Target="https://pubs.acs.org/jacsat/article/doi/10.1021/jacs.6c12118/5275856/Molecular-Antennae-Enhance-Visible-Light" TargetMode="External"/><Relationship Id="rId1512" Type="http://schemas.openxmlformats.org/officeDocument/2006/relationships/hyperlink" Target="https://doi.org/10.1021/jacs.6c12118" TargetMode="External"/><Relationship Id="rId1513" Type="http://schemas.openxmlformats.org/officeDocument/2006/relationships/hyperlink" Target="https://pubs.acs.org/jacsat/article/doi/10.1021/jacs.6c14360/5276664/3-Endo-1-4-Azaphosphinine-Embedded-Polycyclic" TargetMode="External"/><Relationship Id="rId1514" Type="http://schemas.openxmlformats.org/officeDocument/2006/relationships/hyperlink" Target="https://doi.org/10.1021/jacs.6c14360" TargetMode="External"/><Relationship Id="rId1515" Type="http://schemas.openxmlformats.org/officeDocument/2006/relationships/hyperlink" Target="https://pubs.acs.org/aamick/article/doi/10.1021/acsami.6c10696/5276956/Transparent-and-Conductive-Silver-Nanowire-Cavity" TargetMode="External"/><Relationship Id="rId1516" Type="http://schemas.openxmlformats.org/officeDocument/2006/relationships/hyperlink" Target="https://doi.org/10.1021/acsami.6c10696" TargetMode="External"/><Relationship Id="rId1517" Type="http://schemas.openxmlformats.org/officeDocument/2006/relationships/hyperlink" Target="https://pubs.acs.org/aamick/article/doi/10.1021/acsami.6c11053/5275810/Carbazolyl-Substituted-Benzoic-Anhydrides-as" TargetMode="External"/><Relationship Id="rId1518" Type="http://schemas.openxmlformats.org/officeDocument/2006/relationships/hyperlink" Target="https://doi.org/10.1021/acsami.6c11053" TargetMode="External"/><Relationship Id="rId1519" Type="http://schemas.openxmlformats.org/officeDocument/2006/relationships/hyperlink" Target="https://pubs.acs.org/aamick/article/doi/10.1021/acsami.6c05536/5275846/PVA-Mediated-Transfer-of-MoS2-and-Au-Electrodes-A" TargetMode="External"/><Relationship Id="rId1520" Type="http://schemas.openxmlformats.org/officeDocument/2006/relationships/hyperlink" Target="https://doi.org/10.1021/acsami.6c05536" TargetMode="External"/><Relationship Id="rId1521" Type="http://schemas.openxmlformats.org/officeDocument/2006/relationships/hyperlink" Target="https://pubs.acs.org/aamick/article/doi/10.1021/acsami.6c08450/5276959/Selective-and-Synergistic-Targeting-of-ErbB2" TargetMode="External"/><Relationship Id="rId1522" Type="http://schemas.openxmlformats.org/officeDocument/2006/relationships/hyperlink" Target="https://doi.org/10.1021/acsami.6c08450" TargetMode="External"/><Relationship Id="rId1523" Type="http://schemas.openxmlformats.org/officeDocument/2006/relationships/hyperlink" Target="https://www.nature.com/articles/s41928-026-01682-5" TargetMode="External"/><Relationship Id="rId1524" Type="http://schemas.openxmlformats.org/officeDocument/2006/relationships/hyperlink" Target="https://doi.org/10.1038/s41928-026-01682-5" TargetMode="External"/><Relationship Id="rId1525" Type="http://schemas.openxmlformats.org/officeDocument/2006/relationships/hyperlink" Target="https://pubs.acs.org/aamick/article/doi/10.1021/acsami.6c09423/5276244/Probing-Cation-Induced-Ion-Gating-and-Surface-pKa" TargetMode="External"/><Relationship Id="rId1526" Type="http://schemas.openxmlformats.org/officeDocument/2006/relationships/hyperlink" Target="https://doi.org/10.1021/acsami.6c09423" TargetMode="External"/><Relationship Id="rId1527" Type="http://schemas.openxmlformats.org/officeDocument/2006/relationships/hyperlink" Target="https://www.nature.com/articles/s41928-026-01689-y" TargetMode="External"/><Relationship Id="rId1528" Type="http://schemas.openxmlformats.org/officeDocument/2006/relationships/hyperlink" Target="https://doi.org/10.1038/s41928-026-01689-y" TargetMode="External"/><Relationship Id="rId1529" Type="http://schemas.openxmlformats.org/officeDocument/2006/relationships/hyperlink" Target="https://www.nature.com/articles/d41586-026-02528-y" TargetMode="External"/><Relationship Id="rId1530" Type="http://schemas.openxmlformats.org/officeDocument/2006/relationships/hyperlink" Target="https://doi.org/10.1038/d41586-026-02528-y" TargetMode="External"/><Relationship Id="rId1531" Type="http://schemas.openxmlformats.org/officeDocument/2006/relationships/hyperlink" Target="https://www.nature.com/articles/d41586-026-02614-1" TargetMode="External"/><Relationship Id="rId1532" Type="http://schemas.openxmlformats.org/officeDocument/2006/relationships/hyperlink" Target="https://doi.org/10.1038/d41586-026-02614-1" TargetMode="External"/><Relationship Id="rId1533" Type="http://schemas.openxmlformats.org/officeDocument/2006/relationships/hyperlink" Target="https://pubs.acs.org/aamick/article/doi/10.1021/acsami.6c15938/5276961/A-Near-Infrared-Triggered-Mn-Fe-Doped" TargetMode="External"/><Relationship Id="rId1534" Type="http://schemas.openxmlformats.org/officeDocument/2006/relationships/hyperlink" Target="https://doi.org/10.1021/acsami.6c15938" TargetMode="External"/><Relationship Id="rId1535" Type="http://schemas.openxmlformats.org/officeDocument/2006/relationships/hyperlink" Target="https://www.nature.com/articles/s41467-026-76549-6" TargetMode="External"/><Relationship Id="rId1536" Type="http://schemas.openxmlformats.org/officeDocument/2006/relationships/hyperlink" Target="https://pubs.acs.org/aamick/article/doi/10.1021/acsami.6c11766/5276365/Hyperbranched-Organosilicon-Polymer-Based" TargetMode="External"/><Relationship Id="rId1537" Type="http://schemas.openxmlformats.org/officeDocument/2006/relationships/hyperlink" Target="https://doi.org/10.1021/acsami.6c11766" TargetMode="External"/><Relationship Id="rId1538" Type="http://schemas.openxmlformats.org/officeDocument/2006/relationships/hyperlink" Target="https://www.nature.com/articles/s41467-026-76754-3" TargetMode="External"/><Relationship Id="rId1539" Type="http://schemas.openxmlformats.org/officeDocument/2006/relationships/hyperlink" Target="https://www.nature.com/articles/d41586-026-02516-2" TargetMode="External"/><Relationship Id="rId1540" Type="http://schemas.openxmlformats.org/officeDocument/2006/relationships/hyperlink" Target="https://doi.org/10.1038/d41586-026-02516-2" TargetMode="External"/><Relationship Id="rId1541" Type="http://schemas.openxmlformats.org/officeDocument/2006/relationships/hyperlink" Target="https://www.nature.com/articles/d41586-026-02537-x" TargetMode="External"/><Relationship Id="rId1542" Type="http://schemas.openxmlformats.org/officeDocument/2006/relationships/hyperlink" Target="https://doi.org/10.1038/d41586-026-02537-x" TargetMode="External"/><Relationship Id="rId1543" Type="http://schemas.openxmlformats.org/officeDocument/2006/relationships/hyperlink" Target="https://www.nature.com/articles/d41586-026-02037-y" TargetMode="External"/><Relationship Id="rId1544" Type="http://schemas.openxmlformats.org/officeDocument/2006/relationships/hyperlink" Target="https://doi.org/10.1038/d41586-026-02037-y" TargetMode="External"/><Relationship Id="rId1545" Type="http://schemas.openxmlformats.org/officeDocument/2006/relationships/hyperlink" Target="https://www.nature.com/articles/s41586-026-10934-5" TargetMode="External"/><Relationship Id="rId1546" Type="http://schemas.openxmlformats.org/officeDocument/2006/relationships/hyperlink" Target="https://doi.org/10.1038/s41586-026-10934-5" TargetMode="External"/><Relationship Id="rId1547" Type="http://schemas.openxmlformats.org/officeDocument/2006/relationships/hyperlink" Target="https://www.nature.com/articles/s41586-026-10687-1" TargetMode="External"/><Relationship Id="rId1548" Type="http://schemas.openxmlformats.org/officeDocument/2006/relationships/hyperlink" Target="https://doi.org/10.1038/s41586-026-10687-1" TargetMode="External"/><Relationship Id="rId1549" Type="http://schemas.openxmlformats.org/officeDocument/2006/relationships/hyperlink" Target="https://www.nature.com/articles/s41586-026-10910-z" TargetMode="External"/><Relationship Id="rId1550" Type="http://schemas.openxmlformats.org/officeDocument/2006/relationships/hyperlink" Target="https://doi.org/10.1038/s41586-026-10910-z" TargetMode="External"/><Relationship Id="rId1551" Type="http://schemas.openxmlformats.org/officeDocument/2006/relationships/hyperlink" Target="https://www.nature.com/articles/s41586-026-10924-7" TargetMode="External"/><Relationship Id="rId1552" Type="http://schemas.openxmlformats.org/officeDocument/2006/relationships/hyperlink" Target="https://doi.org/10.1038/s41586-026-10924-7" TargetMode="External"/><Relationship Id="rId1553" Type="http://schemas.openxmlformats.org/officeDocument/2006/relationships/hyperlink" Target="https://pubs.acs.org/jacsat/article/doi/10.1021/jacs.6c09510/5276346/Sodium-Potassium-Competition-Controls-Xenon-Uptake" TargetMode="External"/><Relationship Id="rId1554" Type="http://schemas.openxmlformats.org/officeDocument/2006/relationships/hyperlink" Target="https://doi.org/10.1021/jacs.6c09510" TargetMode="External"/><Relationship Id="rId1555" Type="http://schemas.openxmlformats.org/officeDocument/2006/relationships/hyperlink" Target="https://www.nature.com/articles/d41586-026-02587-1" TargetMode="External"/><Relationship Id="rId1556" Type="http://schemas.openxmlformats.org/officeDocument/2006/relationships/hyperlink" Target="https://doi.org/10.1038/d41586-026-02587-1" TargetMode="External"/><Relationship Id="rId1557" Type="http://schemas.openxmlformats.org/officeDocument/2006/relationships/hyperlink" Target="https://pubs.acs.org/jacsat/article/doi/10.1021/jacs.6c15679/5275823/Deep-Cavitand-Mediated-Selective-Aerobic-Oxidative" TargetMode="External"/><Relationship Id="rId1558" Type="http://schemas.openxmlformats.org/officeDocument/2006/relationships/hyperlink" Target="https://doi.org/10.1021/jacs.6c15679" TargetMode="External"/><Relationship Id="rId1559" Type="http://schemas.openxmlformats.org/officeDocument/2006/relationships/hyperlink" Target="https://pubs.acs.org/aamick/article/doi/10.1021/acsami.6c08272/5276957/Vacuum-Induced-Deoxygenation-and-Dehydroxylation" TargetMode="External"/><Relationship Id="rId1560" Type="http://schemas.openxmlformats.org/officeDocument/2006/relationships/hyperlink" Target="https://doi.org/10.1021/acsami.6c08272" TargetMode="External"/><Relationship Id="rId1561" Type="http://schemas.openxmlformats.org/officeDocument/2006/relationships/hyperlink" Target="https://pubs.acs.org/aamick/article/doi/10.1021/acsami.6c09421/5275980/Additive-Manufacturing-of-PEDOT-PSS-Electrodes-on" TargetMode="External"/><Relationship Id="rId1562" Type="http://schemas.openxmlformats.org/officeDocument/2006/relationships/hyperlink" Target="https://doi.org/10.1021/acsami.6c09421" TargetMode="External"/><Relationship Id="rId1563" Type="http://schemas.openxmlformats.org/officeDocument/2006/relationships/hyperlink" Target="https://www.nature.com/articles/s41467-026-76835-3" TargetMode="External"/><Relationship Id="rId1564" Type="http://schemas.openxmlformats.org/officeDocument/2006/relationships/hyperlink" Target="https://pubs.acs.org/aamick/article/doi/10.1021/acsami.6c12298/5275913/Interfacial-Ionic-Modulation-in-a-Solid-Polymer" TargetMode="External"/><Relationship Id="rId1565" Type="http://schemas.openxmlformats.org/officeDocument/2006/relationships/hyperlink" Target="https://doi.org/10.1021/acsami.6c12298" TargetMode="External"/><Relationship Id="rId1566" Type="http://schemas.openxmlformats.org/officeDocument/2006/relationships/hyperlink" Target="https://pubs.acs.org/aamick/article/doi/10.1021/acsami.6c08923/5276396/Oxygen-Mediated-Electronic-Reconstruction-and" TargetMode="External"/><Relationship Id="rId1567" Type="http://schemas.openxmlformats.org/officeDocument/2006/relationships/hyperlink" Target="https://doi.org/10.1021/acsami.6c08923" TargetMode="External"/><Relationship Id="rId1568" Type="http://schemas.openxmlformats.org/officeDocument/2006/relationships/hyperlink" Target="https://pubs.acs.org/aamick/article/doi/10.1021/acsami.6c10245/5276644/Engineering-Biphenyl-Group-Capping-of-Graphdiyne" TargetMode="External"/><Relationship Id="rId1569" Type="http://schemas.openxmlformats.org/officeDocument/2006/relationships/hyperlink" Target="https://doi.org/10.1021/acsami.6c10245" TargetMode="External"/><Relationship Id="rId1570" Type="http://schemas.openxmlformats.org/officeDocument/2006/relationships/hyperlink" Target="https://www.nature.com/articles/s41467-026-76772-1" TargetMode="External"/><Relationship Id="rId1571" Type="http://schemas.openxmlformats.org/officeDocument/2006/relationships/hyperlink" Target="https://advanced.onlinelibrary.wiley.com/doi/10.1002/adma.74557?af=R" TargetMode="External"/><Relationship Id="rId1572" Type="http://schemas.openxmlformats.org/officeDocument/2006/relationships/hyperlink" Target="https://doi.org/10.1002/adma.74557" TargetMode="External"/><Relationship Id="rId1573" Type="http://schemas.openxmlformats.org/officeDocument/2006/relationships/hyperlink" Target="https://advanced.onlinelibrary.wiley.com/doi/10.1002/adma.74555?af=R" TargetMode="External"/><Relationship Id="rId1574" Type="http://schemas.openxmlformats.org/officeDocument/2006/relationships/hyperlink" Target="https://doi.org/10.1002/adma.74555" TargetMode="External"/><Relationship Id="rId1575" Type="http://schemas.openxmlformats.org/officeDocument/2006/relationships/hyperlink" Target="https://www.pnas.org/doi/abs/10.1073/pnas.2624553123?mi=eymic2&amp;af=R&amp;access=on&amp;content=articlesChapters&amp;publication=pnas&amp;sortBy=Earliest&amp;target=default" TargetMode="External"/><Relationship Id="rId1576" Type="http://schemas.openxmlformats.org/officeDocument/2006/relationships/hyperlink" Target="https://doi.org/10.1073/pnas.2624553123" TargetMode="External"/><Relationship Id="rId1577" Type="http://schemas.openxmlformats.org/officeDocument/2006/relationships/hyperlink" Target="https://www.pnas.org/doi/abs/10.1073/pnas.2622262123?mi=eymic2&amp;af=R&amp;access=on&amp;content=articlesChapters&amp;publication=pnas&amp;sortBy=Earliest&amp;target=default" TargetMode="External"/><Relationship Id="rId1578" Type="http://schemas.openxmlformats.org/officeDocument/2006/relationships/hyperlink" Target="https://doi.org/10.1073/pnas.2622262123" TargetMode="External"/><Relationship Id="rId1579" Type="http://schemas.openxmlformats.org/officeDocument/2006/relationships/hyperlink" Target="https://www.pnas.org/doi/abs/10.1073/pnas.2619778123?mi=eymic2&amp;af=R&amp;access=on&amp;content=articlesChapters&amp;publication=pnas&amp;sortBy=Earliest&amp;target=default" TargetMode="External"/><Relationship Id="rId1580" Type="http://schemas.openxmlformats.org/officeDocument/2006/relationships/hyperlink" Target="https://doi.org/10.1073/pnas.2619778123" TargetMode="External"/><Relationship Id="rId1581" Type="http://schemas.openxmlformats.org/officeDocument/2006/relationships/hyperlink" Target="https://www.pnas.org/doi/abs/10.1073/pnas.2617990123?mi=eymic2&amp;af=R&amp;access=on&amp;content=articlesChapters&amp;publication=pnas&amp;sortBy=Earliest&amp;target=default" TargetMode="External"/><Relationship Id="rId1582" Type="http://schemas.openxmlformats.org/officeDocument/2006/relationships/hyperlink" Target="https://doi.org/10.1073/pnas.2617990123" TargetMode="External"/><Relationship Id="rId1583" Type="http://schemas.openxmlformats.org/officeDocument/2006/relationships/hyperlink" Target="https://www.pnas.org/doi/abs/10.1073/pnas.2614314123?mi=eymic2&amp;af=R&amp;access=on&amp;content=articlesChapters&amp;publication=pnas&amp;sortBy=Earliest&amp;target=default" TargetMode="External"/><Relationship Id="rId1584" Type="http://schemas.openxmlformats.org/officeDocument/2006/relationships/hyperlink" Target="https://doi.org/10.1073/pnas.2614314123" TargetMode="External"/><Relationship Id="rId1585" Type="http://schemas.openxmlformats.org/officeDocument/2006/relationships/hyperlink" Target="https://www.pnas.org/doi/abs/10.1073/pnas.2612884123?mi=eymic2&amp;af=R&amp;access=on&amp;content=articlesChapters&amp;publication=pnas&amp;sortBy=Earliest&amp;target=default" TargetMode="External"/><Relationship Id="rId1586" Type="http://schemas.openxmlformats.org/officeDocument/2006/relationships/hyperlink" Target="https://doi.org/10.1073/pnas.2612884123" TargetMode="External"/><Relationship Id="rId1587" Type="http://schemas.openxmlformats.org/officeDocument/2006/relationships/hyperlink" Target="https://www.pnas.org/doi/abs/10.1073/pnas.2612355123?mi=eymic2&amp;af=R&amp;access=on&amp;content=articlesChapters&amp;publication=pnas&amp;sortBy=Earliest&amp;target=default" TargetMode="External"/><Relationship Id="rId1588" Type="http://schemas.openxmlformats.org/officeDocument/2006/relationships/hyperlink" Target="https://doi.org/10.1073/pnas.2612355123" TargetMode="External"/><Relationship Id="rId1589" Type="http://schemas.openxmlformats.org/officeDocument/2006/relationships/hyperlink" Target="https://www.pnas.org/doi/abs/10.1073/pnas.2606983123?mi=eymic2&amp;af=R&amp;access=on&amp;content=articlesChapters&amp;publication=pnas&amp;sortBy=Earliest&amp;target=default" TargetMode="External"/><Relationship Id="rId1590" Type="http://schemas.openxmlformats.org/officeDocument/2006/relationships/hyperlink" Target="https://doi.org/10.1073/pnas.2606983123" TargetMode="External"/><Relationship Id="rId1591" Type="http://schemas.openxmlformats.org/officeDocument/2006/relationships/hyperlink" Target="https://www.pnas.org/doi/abs/10.1073/pnas.2610398123?mi=eymic2&amp;af=R&amp;access=on&amp;content=articlesChapters&amp;publication=pnas&amp;sortBy=Earliest&amp;target=default" TargetMode="External"/><Relationship Id="rId1592" Type="http://schemas.openxmlformats.org/officeDocument/2006/relationships/hyperlink" Target="https://doi.org/10.1073/pnas.2610398123" TargetMode="External"/><Relationship Id="rId1593" Type="http://schemas.openxmlformats.org/officeDocument/2006/relationships/hyperlink" Target="https://www.pnas.org/doi/abs/10.1073/pnas.2607072123?mi=eymic2&amp;af=R&amp;access=on&amp;content=articlesChapters&amp;publication=pnas&amp;sortBy=Earliest&amp;target=default" TargetMode="External"/><Relationship Id="rId1594" Type="http://schemas.openxmlformats.org/officeDocument/2006/relationships/hyperlink" Target="https://doi.org/10.1073/pnas.2607072123" TargetMode="External"/><Relationship Id="rId1595" Type="http://schemas.openxmlformats.org/officeDocument/2006/relationships/hyperlink" Target="https://www.science.org/doi/abs/10.1126/sciadv.aee9809?af=R" TargetMode="External"/><Relationship Id="rId1596" Type="http://schemas.openxmlformats.org/officeDocument/2006/relationships/hyperlink" Target="https://doi.org/10.1126/sciadv.aee9809" TargetMode="External"/><Relationship Id="rId1597" Type="http://schemas.openxmlformats.org/officeDocument/2006/relationships/hyperlink" Target="https://www.science.org/doi/abs/10.1126/sciadv.aef5698?af=R" TargetMode="External"/><Relationship Id="rId1598" Type="http://schemas.openxmlformats.org/officeDocument/2006/relationships/hyperlink" Target="https://doi.org/10.1126/sciadv.aef5698" TargetMode="External"/><Relationship Id="rId1599" Type="http://schemas.openxmlformats.org/officeDocument/2006/relationships/hyperlink" Target="https://www.pnas.org/doi/abs/10.1073/pnas.2604642123?mi=eymic2&amp;af=R&amp;access=on&amp;content=articlesChapters&amp;publication=pnas&amp;sortBy=Earliest&amp;target=default" TargetMode="External"/><Relationship Id="rId1600" Type="http://schemas.openxmlformats.org/officeDocument/2006/relationships/hyperlink" Target="https://doi.org/10.1073/pnas.2604642123" TargetMode="External"/><Relationship Id="rId1601" Type="http://schemas.openxmlformats.org/officeDocument/2006/relationships/hyperlink" Target="https://www.pnas.org/doi/abs/10.1073/pnas.2611013123?mi=eymic2&amp;af=R&amp;access=on&amp;content=articlesChapters&amp;publication=pnas&amp;sortBy=Earliest&amp;target=default" TargetMode="External"/><Relationship Id="rId1602" Type="http://schemas.openxmlformats.org/officeDocument/2006/relationships/hyperlink" Target="https://doi.org/10.1073/pnas.2611013123" TargetMode="External"/><Relationship Id="rId1603" Type="http://schemas.openxmlformats.org/officeDocument/2006/relationships/hyperlink" Target="https://www.pnas.org/doi/abs/10.1073/pnas.2626100123?mi=eymic2&amp;af=R&amp;access=on&amp;content=articlesChapters&amp;publication=pnas&amp;sortBy=Earliest&amp;target=default" TargetMode="External"/><Relationship Id="rId1604" Type="http://schemas.openxmlformats.org/officeDocument/2006/relationships/hyperlink" Target="https://doi.org/10.1073/pnas.2626100123" TargetMode="External"/><Relationship Id="rId1605" Type="http://schemas.openxmlformats.org/officeDocument/2006/relationships/hyperlink" Target="https://www.science.org/doi/abs/10.1126/sciadv.aee4703?af=R" TargetMode="External"/><Relationship Id="rId1606" Type="http://schemas.openxmlformats.org/officeDocument/2006/relationships/hyperlink" Target="https://doi.org/10.1126/sciadv.aee4703" TargetMode="External"/><Relationship Id="rId1607" Type="http://schemas.openxmlformats.org/officeDocument/2006/relationships/hyperlink" Target="https://www.science.org/doi/abs/10.1126/sciadv.adz5561?af=R" TargetMode="External"/><Relationship Id="rId1608" Type="http://schemas.openxmlformats.org/officeDocument/2006/relationships/hyperlink" Target="https://doi.org/10.1126/sciadv.adz5561" TargetMode="External"/><Relationship Id="rId1609" Type="http://schemas.openxmlformats.org/officeDocument/2006/relationships/hyperlink" Target="https://www.science.org/doi/abs/10.1126/sciadv.aee5583?af=R" TargetMode="External"/><Relationship Id="rId1610" Type="http://schemas.openxmlformats.org/officeDocument/2006/relationships/hyperlink" Target="https://doi.org/10.1126/sciadv.aee5583" TargetMode="External"/><Relationship Id="rId1611" Type="http://schemas.openxmlformats.org/officeDocument/2006/relationships/hyperlink" Target="https://www.science.org/doi/abs/10.1126/sciadv.aee4389?af=R" TargetMode="External"/><Relationship Id="rId1612" Type="http://schemas.openxmlformats.org/officeDocument/2006/relationships/hyperlink" Target="https://doi.org/10.1126/sciadv.aee4389" TargetMode="External"/><Relationship Id="rId1613" Type="http://schemas.openxmlformats.org/officeDocument/2006/relationships/hyperlink" Target="https://www.science.org/doi/abs/10.1126/sciadv.aee4337?af=R" TargetMode="External"/><Relationship Id="rId1614" Type="http://schemas.openxmlformats.org/officeDocument/2006/relationships/hyperlink" Target="https://doi.org/10.1126/sciadv.aee4337" TargetMode="External"/><Relationship Id="rId1615" Type="http://schemas.openxmlformats.org/officeDocument/2006/relationships/hyperlink" Target="https://www.science.org/doi/abs/10.1126/sciadv.aee1381?af=R" TargetMode="External"/><Relationship Id="rId1616" Type="http://schemas.openxmlformats.org/officeDocument/2006/relationships/hyperlink" Target="https://doi.org/10.1126/sciadv.aee1381" TargetMode="External"/><Relationship Id="rId1617" Type="http://schemas.openxmlformats.org/officeDocument/2006/relationships/hyperlink" Target="https://www.pnas.org/doi/abs/10.1073/pnas.2627895123?mi=eymic2&amp;af=R&amp;access=on&amp;content=articlesChapters&amp;publication=pnas&amp;sortBy=Earliest&amp;target=default" TargetMode="External"/><Relationship Id="rId1618" Type="http://schemas.openxmlformats.org/officeDocument/2006/relationships/hyperlink" Target="https://doi.org/10.1073/pnas.2627895123" TargetMode="External"/><Relationship Id="rId1619" Type="http://schemas.openxmlformats.org/officeDocument/2006/relationships/hyperlink" Target="https://www.science.org/doi/abs/10.1126/sciadv.aed9960?af=R" TargetMode="External"/><Relationship Id="rId1620" Type="http://schemas.openxmlformats.org/officeDocument/2006/relationships/hyperlink" Target="https://doi.org/10.1126/sciadv.aed9960" TargetMode="External"/><Relationship Id="rId1621" Type="http://schemas.openxmlformats.org/officeDocument/2006/relationships/hyperlink" Target="https://www.science.org/doi/abs/10.1126/sciadv.aec8088?af=R" TargetMode="External"/><Relationship Id="rId1622" Type="http://schemas.openxmlformats.org/officeDocument/2006/relationships/hyperlink" Target="https://doi.org/10.1126/sciadv.aec8088" TargetMode="External"/><Relationship Id="rId1623" Type="http://schemas.openxmlformats.org/officeDocument/2006/relationships/hyperlink" Target="https://www.science.org/doi/abs/10.1126/sciadv.aec5478?af=R" TargetMode="External"/><Relationship Id="rId1624" Type="http://schemas.openxmlformats.org/officeDocument/2006/relationships/hyperlink" Target="https://doi.org/10.1126/sciadv.aec5478" TargetMode="External"/><Relationship Id="rId1625" Type="http://schemas.openxmlformats.org/officeDocument/2006/relationships/hyperlink" Target="https://www.science.org/doi/abs/10.1126/sciadv.aec4221?af=R" TargetMode="External"/><Relationship Id="rId1626" Type="http://schemas.openxmlformats.org/officeDocument/2006/relationships/hyperlink" Target="https://doi.org/10.1126/sciadv.aec4221" TargetMode="External"/><Relationship Id="rId1627" Type="http://schemas.openxmlformats.org/officeDocument/2006/relationships/hyperlink" Target="https://www.science.org/doi/abs/10.1126/sciadv.aec0162?af=R" TargetMode="External"/><Relationship Id="rId1628" Type="http://schemas.openxmlformats.org/officeDocument/2006/relationships/hyperlink" Target="https://doi.org/10.1126/sciadv.aec0162" TargetMode="External"/><Relationship Id="rId1629" Type="http://schemas.openxmlformats.org/officeDocument/2006/relationships/hyperlink" Target="https://www.science.org/doi/abs/10.1126/sciadv.aeb7051?af=R" TargetMode="External"/><Relationship Id="rId1630" Type="http://schemas.openxmlformats.org/officeDocument/2006/relationships/hyperlink" Target="https://doi.org/10.1126/sciadv.aeb7051" TargetMode="External"/><Relationship Id="rId1631" Type="http://schemas.openxmlformats.org/officeDocument/2006/relationships/hyperlink" Target="https://www.science.org/doi/abs/10.1126/sciadv.aeg2362?af=R" TargetMode="External"/><Relationship Id="rId1632" Type="http://schemas.openxmlformats.org/officeDocument/2006/relationships/hyperlink" Target="https://doi.org/10.1126/sciadv.aeg2362" TargetMode="External"/><Relationship Id="rId1633" Type="http://schemas.openxmlformats.org/officeDocument/2006/relationships/hyperlink" Target="https://www.science.org/doi/abs/10.1126/sciadv.aec9034?af=R" TargetMode="External"/><Relationship Id="rId1634" Type="http://schemas.openxmlformats.org/officeDocument/2006/relationships/hyperlink" Target="https://doi.org/10.1126/sciadv.aec9034" TargetMode="External"/><Relationship Id="rId1635" Type="http://schemas.openxmlformats.org/officeDocument/2006/relationships/hyperlink" Target="https://www.science.org/doi/abs/10.1126/sciadv.aek5991?af=R" TargetMode="External"/><Relationship Id="rId1636" Type="http://schemas.openxmlformats.org/officeDocument/2006/relationships/hyperlink" Target="https://doi.org/10.1126/sciadv.aek5991" TargetMode="External"/><Relationship Id="rId1637" Type="http://schemas.openxmlformats.org/officeDocument/2006/relationships/hyperlink" Target="https://www.science.org/doi/abs/10.1126/sciadv.aed7393?af=R" TargetMode="External"/><Relationship Id="rId1638" Type="http://schemas.openxmlformats.org/officeDocument/2006/relationships/hyperlink" Target="https://doi.org/10.1126/sciadv.aed7393" TargetMode="External"/><Relationship Id="rId1639" Type="http://schemas.openxmlformats.org/officeDocument/2006/relationships/hyperlink" Target="https://www.science.org/doi/abs/10.1126/sciadv.aef3262?af=R" TargetMode="External"/><Relationship Id="rId1640" Type="http://schemas.openxmlformats.org/officeDocument/2006/relationships/hyperlink" Target="https://doi.org/10.1126/sciadv.aef3262" TargetMode="External"/><Relationship Id="rId1641" Type="http://schemas.openxmlformats.org/officeDocument/2006/relationships/hyperlink" Target="https://www.science.org/doi/abs/10.1126/sciadv.aeg7846?af=R" TargetMode="External"/><Relationship Id="rId1642" Type="http://schemas.openxmlformats.org/officeDocument/2006/relationships/hyperlink" Target="https://doi.org/10.1126/sciadv.aeg7846" TargetMode="External"/><Relationship Id="rId1643" Type="http://schemas.openxmlformats.org/officeDocument/2006/relationships/hyperlink" Target="https://www.science.org/doi/abs/10.1126/sciadv.aeg5747?af=R" TargetMode="External"/><Relationship Id="rId1644" Type="http://schemas.openxmlformats.org/officeDocument/2006/relationships/hyperlink" Target="https://doi.org/10.1126/sciadv.aeg5747" TargetMode="External"/><Relationship Id="rId1645" Type="http://schemas.openxmlformats.org/officeDocument/2006/relationships/hyperlink" Target="https://www.science.org/doi/abs/10.1126/sciadv.aeg3535?af=R" TargetMode="External"/><Relationship Id="rId1646" Type="http://schemas.openxmlformats.org/officeDocument/2006/relationships/hyperlink" Target="https://doi.org/10.1126/sciadv.aeg3535" TargetMode="External"/><Relationship Id="rId1647" Type="http://schemas.openxmlformats.org/officeDocument/2006/relationships/hyperlink" Target="https://www.science.org/doi/abs/10.1126/sciadv.aeg3424?af=R" TargetMode="External"/><Relationship Id="rId1648" Type="http://schemas.openxmlformats.org/officeDocument/2006/relationships/hyperlink" Target="https://doi.org/10.1126/sciadv.aeg3424" TargetMode="External"/><Relationship Id="rId1649" Type="http://schemas.openxmlformats.org/officeDocument/2006/relationships/hyperlink" Target="https://www.science.org/doi/abs/10.1126/sciadv.aeg2679?af=R" TargetMode="External"/><Relationship Id="rId1650" Type="http://schemas.openxmlformats.org/officeDocument/2006/relationships/hyperlink" Target="https://doi.org/10.1126/sciadv.aeg2679" TargetMode="External"/><Relationship Id="rId1651" Type="http://schemas.openxmlformats.org/officeDocument/2006/relationships/hyperlink" Target="https://www.pnas.org/doi/abs/10.1073/pnas.2606216123?mi=eymic2&amp;af=R&amp;access=on&amp;content=articlesChapters&amp;publication=pnas&amp;sortBy=Earliest&amp;target=default" TargetMode="External"/><Relationship Id="rId1652" Type="http://schemas.openxmlformats.org/officeDocument/2006/relationships/hyperlink" Target="https://doi.org/10.1073/pnas.2606216123" TargetMode="External"/><Relationship Id="rId1653" Type="http://schemas.openxmlformats.org/officeDocument/2006/relationships/hyperlink" Target="https://www.pnas.org/doi/abs/10.1073/pnas.2527470123?mi=eymic2&amp;af=R&amp;access=on&amp;content=articlesChapters&amp;publication=pnas&amp;sortBy=Earliest&amp;target=default" TargetMode="External"/><Relationship Id="rId1654" Type="http://schemas.openxmlformats.org/officeDocument/2006/relationships/hyperlink" Target="https://doi.org/10.1073/pnas.2527470123" TargetMode="External"/><Relationship Id="rId1655" Type="http://schemas.openxmlformats.org/officeDocument/2006/relationships/hyperlink" Target="https://www.pnas.org/doi/abs/10.1073/pnas.2535939123?mi=eymic2&amp;af=R&amp;access=on&amp;content=articlesChapters&amp;publication=pnas&amp;sortBy=Earliest&amp;target=default" TargetMode="External"/><Relationship Id="rId1656" Type="http://schemas.openxmlformats.org/officeDocument/2006/relationships/hyperlink" Target="https://doi.org/10.1073/pnas.2535939123" TargetMode="External"/><Relationship Id="rId1657" Type="http://schemas.openxmlformats.org/officeDocument/2006/relationships/hyperlink" Target="https://www.pnas.org/doi/abs/10.1073/pnas.2522958123?mi=eymic2&amp;af=R&amp;access=on&amp;content=articlesChapters&amp;publication=pnas&amp;sortBy=Earliest&amp;target=default" TargetMode="External"/><Relationship Id="rId1658" Type="http://schemas.openxmlformats.org/officeDocument/2006/relationships/hyperlink" Target="https://doi.org/10.1073/pnas.2522958123" TargetMode="External"/><Relationship Id="rId1659" Type="http://schemas.openxmlformats.org/officeDocument/2006/relationships/hyperlink" Target="https://www.pnas.org/doi/abs/10.1073/pnas.2504068123?mi=eymic2&amp;af=R&amp;access=on&amp;content=articlesChapters&amp;publication=pnas&amp;sortBy=Earliest&amp;target=default" TargetMode="External"/><Relationship Id="rId1660" Type="http://schemas.openxmlformats.org/officeDocument/2006/relationships/hyperlink" Target="https://doi.org/10.1073/pnas.2504068123" TargetMode="External"/><Relationship Id="rId1661" Type="http://schemas.openxmlformats.org/officeDocument/2006/relationships/hyperlink" Target="https://www.science.org/doi/abs/10.1126/sciadv.aee2332?af=R" TargetMode="External"/><Relationship Id="rId1662" Type="http://schemas.openxmlformats.org/officeDocument/2006/relationships/hyperlink" Target="https://doi.org/10.1126/sciadv.aee2332" TargetMode="External"/><Relationship Id="rId1663" Type="http://schemas.openxmlformats.org/officeDocument/2006/relationships/hyperlink" Target="https://www.pnas.org/doi/abs/10.1073/pnas.2607561123?mi=eymic2&amp;af=R&amp;access=on&amp;content=articlesChapters&amp;publication=pnas&amp;sortBy=Earliest&amp;target=default" TargetMode="External"/><Relationship Id="rId1664" Type="http://schemas.openxmlformats.org/officeDocument/2006/relationships/hyperlink" Target="https://doi.org/10.1073/pnas.2607561123" TargetMode="External"/><Relationship Id="rId1665" Type="http://schemas.openxmlformats.org/officeDocument/2006/relationships/hyperlink" Target="https://www.pnas.org/doi/abs/10.1073/pnas.2533109123?mi=eymic2&amp;af=R&amp;access=on&amp;content=articlesChapters&amp;publication=pnas&amp;sortBy=Earliest&amp;target=default" TargetMode="External"/><Relationship Id="rId1666" Type="http://schemas.openxmlformats.org/officeDocument/2006/relationships/hyperlink" Target="https://doi.org/10.1073/pnas.2533109123" TargetMode="External"/><Relationship Id="rId1667" Type="http://schemas.openxmlformats.org/officeDocument/2006/relationships/hyperlink" Target="https://www.science.org/doi/abs/10.1126/sciadv.aeh8352?af=R" TargetMode="External"/><Relationship Id="rId1668" Type="http://schemas.openxmlformats.org/officeDocument/2006/relationships/hyperlink" Target="https://doi.org/10.1126/sciadv.aeh8352" TargetMode="External"/><Relationship Id="rId1669" Type="http://schemas.openxmlformats.org/officeDocument/2006/relationships/hyperlink" Target="https://www.science.org/doi/abs/10.1126/sciadv.aed4204?af=R" TargetMode="External"/><Relationship Id="rId1670" Type="http://schemas.openxmlformats.org/officeDocument/2006/relationships/hyperlink" Target="https://doi.org/10.1126/sciadv.aed4204" TargetMode="External"/><Relationship Id="rId1671" Type="http://schemas.openxmlformats.org/officeDocument/2006/relationships/hyperlink" Target="https://www.science.org/doi/abs/10.1126/sciadv.aeb0774?af=R" TargetMode="External"/><Relationship Id="rId1672" Type="http://schemas.openxmlformats.org/officeDocument/2006/relationships/hyperlink" Target="https://doi.org/10.1126/sciadv.aeb0774" TargetMode="External"/><Relationship Id="rId1673" Type="http://schemas.openxmlformats.org/officeDocument/2006/relationships/hyperlink" Target="https://www.science.org/doi/abs/10.1126/sciadv.aeg8849?af=R" TargetMode="External"/><Relationship Id="rId1674" Type="http://schemas.openxmlformats.org/officeDocument/2006/relationships/hyperlink" Target="https://doi.org/10.1126/sciadv.aeg8849" TargetMode="External"/><Relationship Id="rId1675" Type="http://schemas.openxmlformats.org/officeDocument/2006/relationships/hyperlink" Target="https://www.science.org/doi/abs/10.1126/sciadv.aeg7804?af=R" TargetMode="External"/><Relationship Id="rId1676" Type="http://schemas.openxmlformats.org/officeDocument/2006/relationships/hyperlink" Target="https://doi.org/10.1126/sciadv.aeg7804" TargetMode="External"/><Relationship Id="rId1677" Type="http://schemas.openxmlformats.org/officeDocument/2006/relationships/hyperlink" Target="https://www.science.org/doi/abs/10.1126/sciadv.aeh5234?af=R" TargetMode="External"/><Relationship Id="rId1678" Type="http://schemas.openxmlformats.org/officeDocument/2006/relationships/hyperlink" Target="https://doi.org/10.1126/sciadv.aeh5234" TargetMode="External"/><Relationship Id="rId1679" Type="http://schemas.openxmlformats.org/officeDocument/2006/relationships/hyperlink" Target="https://www.science.org/doi/abs/10.1126/sciadv.aee9649?af=R" TargetMode="External"/><Relationship Id="rId1680" Type="http://schemas.openxmlformats.org/officeDocument/2006/relationships/hyperlink" Target="https://doi.org/10.1126/sciadv.aee9649" TargetMode="External"/><Relationship Id="rId1681" Type="http://schemas.openxmlformats.org/officeDocument/2006/relationships/hyperlink" Target="https://www.science.org/doi/abs/10.1126/sciadv.aeg8240?af=R" TargetMode="External"/><Relationship Id="rId1682" Type="http://schemas.openxmlformats.org/officeDocument/2006/relationships/hyperlink" Target="https://doi.org/10.1126/sciadv.aeg8240" TargetMode="External"/><Relationship Id="rId1683" Type="http://schemas.openxmlformats.org/officeDocument/2006/relationships/hyperlink" Target="https://www.science.org/doi/abs/10.1126/sciadv.aed3494?af=R" TargetMode="External"/><Relationship Id="rId1684" Type="http://schemas.openxmlformats.org/officeDocument/2006/relationships/hyperlink" Target="https://doi.org/10.1126/sciadv.aed3494" TargetMode="External"/><Relationship Id="rId1685" Type="http://schemas.openxmlformats.org/officeDocument/2006/relationships/hyperlink" Target="https://www.science.org/doi/abs/10.1126/sciadv.aed6318?af=R" TargetMode="External"/><Relationship Id="rId1686" Type="http://schemas.openxmlformats.org/officeDocument/2006/relationships/hyperlink" Target="https://doi.org/10.1126/sciadv.aed6318" TargetMode="External"/><Relationship Id="rId1687" Type="http://schemas.openxmlformats.org/officeDocument/2006/relationships/hyperlink" Target="https://www.science.org/doi/abs/10.1126/sciadv.aeg9191?af=R" TargetMode="External"/><Relationship Id="rId1688" Type="http://schemas.openxmlformats.org/officeDocument/2006/relationships/hyperlink" Target="https://doi.org/10.1126/sciadv.aeg9191" TargetMode="External"/><Relationship Id="rId1689" Type="http://schemas.openxmlformats.org/officeDocument/2006/relationships/hyperlink" Target="https://www.science.org/doi/abs/10.1126/sciadv.aec0811?af=R" TargetMode="External"/><Relationship Id="rId1690" Type="http://schemas.openxmlformats.org/officeDocument/2006/relationships/hyperlink" Target="https://doi.org/10.1126/sciadv.aec0811" TargetMode="External"/><Relationship Id="rId1691" Type="http://schemas.openxmlformats.org/officeDocument/2006/relationships/hyperlink" Target="https://www.science.org/doi/abs/10.1126/sciadv.aec3712?af=R" TargetMode="External"/><Relationship Id="rId1692" Type="http://schemas.openxmlformats.org/officeDocument/2006/relationships/hyperlink" Target="https://doi.org/10.1126/sciadv.aec3712" TargetMode="External"/><Relationship Id="rId1693" Type="http://schemas.openxmlformats.org/officeDocument/2006/relationships/hyperlink" Target="https://www.science.org/doi/abs/10.1126/sciadv.aeg0219?af=R" TargetMode="External"/><Relationship Id="rId1694" Type="http://schemas.openxmlformats.org/officeDocument/2006/relationships/hyperlink" Target="https://doi.org/10.1126/sciadv.aeg0219" TargetMode="External"/><Relationship Id="rId1695" Type="http://schemas.openxmlformats.org/officeDocument/2006/relationships/hyperlink" Target="https://onlinelibrary.wiley.com/doi/10.1002/anie.7525141?af=R" TargetMode="External"/><Relationship Id="rId1696" Type="http://schemas.openxmlformats.org/officeDocument/2006/relationships/hyperlink" Target="https://doi.org/10.1002/anie.7525141" TargetMode="External"/><Relationship Id="rId1697" Type="http://schemas.openxmlformats.org/officeDocument/2006/relationships/hyperlink" Target="https://onlinelibrary.wiley.com/doi/10.1002/anie.5043520?af=R" TargetMode="External"/><Relationship Id="rId1698" Type="http://schemas.openxmlformats.org/officeDocument/2006/relationships/hyperlink" Target="https://doi.org/10.1002/anie.5043520" TargetMode="External"/><Relationship Id="rId1699" Type="http://schemas.openxmlformats.org/officeDocument/2006/relationships/hyperlink" Target="https://onlinelibrary.wiley.com/doi/10.1002/anie.5014162?af=R" TargetMode="External"/><Relationship Id="rId1700" Type="http://schemas.openxmlformats.org/officeDocument/2006/relationships/hyperlink" Target="https://doi.org/10.1002/anie.5014162" TargetMode="External"/><Relationship Id="rId1701" Type="http://schemas.openxmlformats.org/officeDocument/2006/relationships/hyperlink" Target="https://onlinelibrary.wiley.com/doi/10.1002/anie.8297442?af=R" TargetMode="External"/><Relationship Id="rId1702" Type="http://schemas.openxmlformats.org/officeDocument/2006/relationships/hyperlink" Target="https://doi.org/10.1002/anie.8297442" TargetMode="External"/><Relationship Id="rId1703" Type="http://schemas.openxmlformats.org/officeDocument/2006/relationships/hyperlink" Target="https://onlinelibrary.wiley.com/doi/10.1002/anie.5252700?af=R" TargetMode="External"/><Relationship Id="rId1704" Type="http://schemas.openxmlformats.org/officeDocument/2006/relationships/hyperlink" Target="https://doi.org/10.1002/anie.5252700" TargetMode="External"/><Relationship Id="rId1705" Type="http://schemas.openxmlformats.org/officeDocument/2006/relationships/hyperlink" Target="https://onlinelibrary.wiley.com/doi/10.1002/anie.1797442?af=R" TargetMode="External"/><Relationship Id="rId1706" Type="http://schemas.openxmlformats.org/officeDocument/2006/relationships/hyperlink" Target="https://doi.org/10.1002/anie.1797442" TargetMode="External"/><Relationship Id="rId1707" Type="http://schemas.openxmlformats.org/officeDocument/2006/relationships/hyperlink" Target="https://onlinelibrary.wiley.com/doi/10.1002/anie.3729447?af=R" TargetMode="External"/><Relationship Id="rId1708" Type="http://schemas.openxmlformats.org/officeDocument/2006/relationships/hyperlink" Target="https://doi.org/10.1002/anie.3729447" TargetMode="External"/><Relationship Id="rId1709" Type="http://schemas.openxmlformats.org/officeDocument/2006/relationships/hyperlink" Target="https://onlinelibrary.wiley.com/doi/10.1002/anie.5056685?af=R" TargetMode="External"/><Relationship Id="rId1710" Type="http://schemas.openxmlformats.org/officeDocument/2006/relationships/hyperlink" Target="https://doi.org/10.1002/anie.5056685" TargetMode="External"/><Relationship Id="rId1711" Type="http://schemas.openxmlformats.org/officeDocument/2006/relationships/hyperlink" Target="https://onlinelibrary.wiley.com/doi/10.1002/anie.2990236?af=R" TargetMode="External"/><Relationship Id="rId1712" Type="http://schemas.openxmlformats.org/officeDocument/2006/relationships/hyperlink" Target="https://doi.org/10.1002/anie.2990236" TargetMode="External"/><Relationship Id="rId1713" Type="http://schemas.openxmlformats.org/officeDocument/2006/relationships/hyperlink" Target="http://link.aps.org/doi/10.1103/kykd-2nj4" TargetMode="External"/><Relationship Id="rId1714" Type="http://schemas.openxmlformats.org/officeDocument/2006/relationships/hyperlink" Target="https://doi.org/10.1103/kykd-2nj4" TargetMode="External"/><Relationship Id="rId1715" Type="http://schemas.openxmlformats.org/officeDocument/2006/relationships/hyperlink" Target="http://link.aps.org/doi/10.1103/yltb-6jkj" TargetMode="External"/><Relationship Id="rId1716" Type="http://schemas.openxmlformats.org/officeDocument/2006/relationships/hyperlink" Target="https://doi.org/10.1103/yltb-6jkj" TargetMode="External"/><Relationship Id="rId1717" Type="http://schemas.openxmlformats.org/officeDocument/2006/relationships/hyperlink" Target="http://link.aps.org/doi/10.1103/w2n2-zzkd" TargetMode="External"/><Relationship Id="rId1718" Type="http://schemas.openxmlformats.org/officeDocument/2006/relationships/hyperlink" Target="https://doi.org/10.1103/w2n2-zzkd" TargetMode="External"/><Relationship Id="rId1719" Type="http://schemas.openxmlformats.org/officeDocument/2006/relationships/hyperlink" Target="http://link.aps.org/doi/10.1103/qhr8-qhhp" TargetMode="External"/><Relationship Id="rId1720" Type="http://schemas.openxmlformats.org/officeDocument/2006/relationships/hyperlink" Target="https://doi.org/10.1103/qhr8-qhhp" TargetMode="External"/><Relationship Id="rId1721" Type="http://schemas.openxmlformats.org/officeDocument/2006/relationships/hyperlink" Target="http://link.aps.org/doi/10.1103/qksp-p1jy" TargetMode="External"/><Relationship Id="rId1722" Type="http://schemas.openxmlformats.org/officeDocument/2006/relationships/hyperlink" Target="https://doi.org/10.1103/qksp-p1jy" TargetMode="External"/><Relationship Id="rId1723" Type="http://schemas.openxmlformats.org/officeDocument/2006/relationships/hyperlink" Target="https://advanced.onlinelibrary.wiley.com/doi/10.1002/adma.74422?af=R" TargetMode="External"/><Relationship Id="rId1724" Type="http://schemas.openxmlformats.org/officeDocument/2006/relationships/hyperlink" Target="https://doi.org/10.1002/adma.74422" TargetMode="External"/><Relationship Id="rId1725" Type="http://schemas.openxmlformats.org/officeDocument/2006/relationships/hyperlink" Target="https://advanced.onlinelibrary.wiley.com/doi/10.1002/adma.74691?af=R" TargetMode="External"/><Relationship Id="rId1726" Type="http://schemas.openxmlformats.org/officeDocument/2006/relationships/hyperlink" Target="https://doi.org/10.1002/adma.74691" TargetMode="External"/><Relationship Id="rId1727" Type="http://schemas.openxmlformats.org/officeDocument/2006/relationships/hyperlink" Target="https://advanced.onlinelibrary.wiley.com/doi/10.1002/adma.74715?af=R" TargetMode="External"/><Relationship Id="rId1728" Type="http://schemas.openxmlformats.org/officeDocument/2006/relationships/hyperlink" Target="https://doi.org/10.1002/adma.74715" TargetMode="External"/><Relationship Id="rId1729" Type="http://schemas.openxmlformats.org/officeDocument/2006/relationships/hyperlink" Target="https://advanced.onlinelibrary.wiley.com/doi/10.1002/adma.74696?af=R" TargetMode="External"/><Relationship Id="rId1730" Type="http://schemas.openxmlformats.org/officeDocument/2006/relationships/hyperlink" Target="https://doi.org/10.1002/adma.74696" TargetMode="External"/><Relationship Id="rId1731" Type="http://schemas.openxmlformats.org/officeDocument/2006/relationships/hyperlink" Target="https://advanced.onlinelibrary.wiley.com/doi/10.1002/adma.74686?af=R" TargetMode="External"/><Relationship Id="rId1732" Type="http://schemas.openxmlformats.org/officeDocument/2006/relationships/hyperlink" Target="https://doi.org/10.1002/adma.74686" TargetMode="External"/><Relationship Id="rId1733" Type="http://schemas.openxmlformats.org/officeDocument/2006/relationships/hyperlink" Target="https://advanced.onlinelibrary.wiley.com/doi/10.1002/adma.74677?af=R" TargetMode="External"/><Relationship Id="rId1734" Type="http://schemas.openxmlformats.org/officeDocument/2006/relationships/hyperlink" Target="https://doi.org/10.1002/adma.74677" TargetMode="External"/><Relationship Id="rId1735" Type="http://schemas.openxmlformats.org/officeDocument/2006/relationships/hyperlink" Target="https://advanced.onlinelibrary.wiley.com/doi/10.1002/adma.74575?af=R" TargetMode="External"/><Relationship Id="rId1736" Type="http://schemas.openxmlformats.org/officeDocument/2006/relationships/hyperlink" Target="https://doi.org/10.1002/adma.74575" TargetMode="External"/><Relationship Id="rId1737" Type="http://schemas.openxmlformats.org/officeDocument/2006/relationships/hyperlink" Target="https://advanced.onlinelibrary.wiley.com/doi/10.1002/adma.202521283?af=R" TargetMode="External"/><Relationship Id="rId1738" Type="http://schemas.openxmlformats.org/officeDocument/2006/relationships/hyperlink" Target="https://doi.org/10.1002/adma.202521283" TargetMode="External"/><Relationship Id="rId1739" Type="http://schemas.openxmlformats.org/officeDocument/2006/relationships/hyperlink" Target="https://advanced.onlinelibrary.wiley.com/doi/10.1002/adma.74615?af=R" TargetMode="External"/><Relationship Id="rId1740" Type="http://schemas.openxmlformats.org/officeDocument/2006/relationships/hyperlink" Target="https://doi.org/10.1002/adma.74615" TargetMode="External"/><Relationship Id="rId1741" Type="http://schemas.openxmlformats.org/officeDocument/2006/relationships/hyperlink" Target="https://advanced.onlinelibrary.wiley.com/doi/10.1002/adma.74688?af=R" TargetMode="External"/><Relationship Id="rId1742" Type="http://schemas.openxmlformats.org/officeDocument/2006/relationships/hyperlink" Target="https://doi.org/10.1002/adma.74688" TargetMode="External"/><Relationship Id="rId1743" Type="http://schemas.openxmlformats.org/officeDocument/2006/relationships/hyperlink" Target="https://advanced.onlinelibrary.wiley.com/doi/10.1002/adma.74735?af=R" TargetMode="External"/><Relationship Id="rId1744" Type="http://schemas.openxmlformats.org/officeDocument/2006/relationships/hyperlink" Target="https://doi.org/10.1002/adma.74735" TargetMode="External"/><Relationship Id="rId1745" Type="http://schemas.openxmlformats.org/officeDocument/2006/relationships/hyperlink" Target="https://onlinelibrary.wiley.com/doi/10.1002/anie.4371883?af=R" TargetMode="External"/><Relationship Id="rId1746" Type="http://schemas.openxmlformats.org/officeDocument/2006/relationships/hyperlink" Target="https://doi.org/10.1002/anie.4371883" TargetMode="External"/><Relationship Id="rId1747" Type="http://schemas.openxmlformats.org/officeDocument/2006/relationships/hyperlink" Target="https://onlinelibrary.wiley.com/doi/10.1002/anie.5643285?af=R" TargetMode="External"/><Relationship Id="rId1748" Type="http://schemas.openxmlformats.org/officeDocument/2006/relationships/hyperlink" Target="https://doi.org/10.1002/anie.5643285" TargetMode="External"/><Relationship Id="rId1749" Type="http://schemas.openxmlformats.org/officeDocument/2006/relationships/hyperlink" Target="https://onlinelibrary.wiley.com/doi/10.1002/anie.3107244?af=R" TargetMode="External"/><Relationship Id="rId1750" Type="http://schemas.openxmlformats.org/officeDocument/2006/relationships/hyperlink" Target="https://doi.org/10.1002/anie.3107244" TargetMode="External"/><Relationship Id="rId1751" Type="http://schemas.openxmlformats.org/officeDocument/2006/relationships/hyperlink" Target="https://onlinelibrary.wiley.com/doi/10.1002/anie.3174728?af=R" TargetMode="External"/><Relationship Id="rId1752" Type="http://schemas.openxmlformats.org/officeDocument/2006/relationships/hyperlink" Target="https://doi.org/10.1002/anie.3174728" TargetMode="External"/><Relationship Id="rId1753" Type="http://schemas.openxmlformats.org/officeDocument/2006/relationships/hyperlink" Target="https://onlinelibrary.wiley.com/doi/10.1002/anie.1233737?af=R" TargetMode="External"/><Relationship Id="rId1754" Type="http://schemas.openxmlformats.org/officeDocument/2006/relationships/hyperlink" Target="https://doi.org/10.1002/anie.1233737" TargetMode="External"/><Relationship Id="rId1755" Type="http://schemas.openxmlformats.org/officeDocument/2006/relationships/hyperlink" Target="https://onlinelibrary.wiley.com/doi/10.1002/anie.9927134?af=R" TargetMode="External"/><Relationship Id="rId1756" Type="http://schemas.openxmlformats.org/officeDocument/2006/relationships/hyperlink" Target="https://doi.org/10.1002/anie.9927134" TargetMode="External"/><Relationship Id="rId1757" Type="http://schemas.openxmlformats.org/officeDocument/2006/relationships/hyperlink" Target="https://onlinelibrary.wiley.com/doi/10.1002/anie.4712106?af=R" TargetMode="External"/><Relationship Id="rId1758" Type="http://schemas.openxmlformats.org/officeDocument/2006/relationships/hyperlink" Target="https://doi.org/10.1002/anie.4712106" TargetMode="External"/><Relationship Id="rId1759" Type="http://schemas.openxmlformats.org/officeDocument/2006/relationships/hyperlink" Target="https://onlinelibrary.wiley.com/doi/10.1002/anie.2812801?af=R" TargetMode="External"/><Relationship Id="rId1760" Type="http://schemas.openxmlformats.org/officeDocument/2006/relationships/hyperlink" Target="https://doi.org/10.1002/anie.2812801" TargetMode="External"/><Relationship Id="rId1761" Type="http://schemas.openxmlformats.org/officeDocument/2006/relationships/hyperlink" Target="https://onlinelibrary.wiley.com/doi/10.1002/anie.2118217?af=R" TargetMode="External"/><Relationship Id="rId1762" Type="http://schemas.openxmlformats.org/officeDocument/2006/relationships/hyperlink" Target="https://doi.org/10.1002/anie.2118217" TargetMode="External"/><Relationship Id="rId1763" Type="http://schemas.openxmlformats.org/officeDocument/2006/relationships/hyperlink" Target="https://onlinelibrary.wiley.com/doi/10.1002/anie.2809640?af=R" TargetMode="External"/><Relationship Id="rId1764" Type="http://schemas.openxmlformats.org/officeDocument/2006/relationships/hyperlink" Target="https://doi.org/10.1002/anie.2809640" TargetMode="External"/><Relationship Id="rId1765" Type="http://schemas.openxmlformats.org/officeDocument/2006/relationships/hyperlink" Target="https://onlinelibrary.wiley.com/doi/10.1002/anie.9591876?af=R" TargetMode="External"/><Relationship Id="rId1766" Type="http://schemas.openxmlformats.org/officeDocument/2006/relationships/hyperlink" Target="https://doi.org/10.1002/anie.9591876" TargetMode="External"/><Relationship Id="rId1767" Type="http://schemas.openxmlformats.org/officeDocument/2006/relationships/hyperlink" Target="https://onlinelibrary.wiley.com/doi/10.1002/anie.8903659?af=R" TargetMode="External"/><Relationship Id="rId1768" Type="http://schemas.openxmlformats.org/officeDocument/2006/relationships/hyperlink" Target="https://doi.org/10.1002/anie.8903659" TargetMode="External"/><Relationship Id="rId1769" Type="http://schemas.openxmlformats.org/officeDocument/2006/relationships/hyperlink" Target="https://onlinelibrary.wiley.com/doi/10.1002/anie.6117030?af=R" TargetMode="External"/><Relationship Id="rId1770" Type="http://schemas.openxmlformats.org/officeDocument/2006/relationships/hyperlink" Target="https://doi.org/10.1002/anie.6117030" TargetMode="External"/><Relationship Id="rId1771" Type="http://schemas.openxmlformats.org/officeDocument/2006/relationships/hyperlink" Target="https://onlinelibrary.wiley.com/doi/10.1002/anie.6259985?af=R" TargetMode="External"/><Relationship Id="rId1772" Type="http://schemas.openxmlformats.org/officeDocument/2006/relationships/hyperlink" Target="https://doi.org/10.1002/anie.6259985" TargetMode="External"/><Relationship Id="rId1773" Type="http://schemas.openxmlformats.org/officeDocument/2006/relationships/hyperlink" Target="https://www.cell.com/matter/fulltext/S2590-2385(26)00335-8?rss=yes" TargetMode="External"/><Relationship Id="rId1774" Type="http://schemas.openxmlformats.org/officeDocument/2006/relationships/hyperlink" Target="https://doi.org/10.1016/j.matt.2026.102972" TargetMode="External"/><Relationship Id="rId1775" Type="http://schemas.openxmlformats.org/officeDocument/2006/relationships/hyperlink" Target="https://pubs.acs.org/jacsat/article/doi/10.1021/jacs.6c13005/5278456/An-Enzymatic-in-situ-Self-Assembly-Radiosensitizer" TargetMode="External"/><Relationship Id="rId1776" Type="http://schemas.openxmlformats.org/officeDocument/2006/relationships/hyperlink" Target="https://doi.org/10.1021/jacs.6c13005" TargetMode="External"/><Relationship Id="rId1777" Type="http://schemas.openxmlformats.org/officeDocument/2006/relationships/hyperlink" Target="https://pubs.acs.org/jacsat/article/doi/10.1021/jacs.6c01403/5278717/Biomolecular-Condensates-Dictate-the-Folding" TargetMode="External"/><Relationship Id="rId1778" Type="http://schemas.openxmlformats.org/officeDocument/2006/relationships/hyperlink" Target="https://doi.org/10.1021/jacs.6c01403" TargetMode="External"/><Relationship Id="rId1779" Type="http://schemas.openxmlformats.org/officeDocument/2006/relationships/hyperlink" Target="https://www.nature.com/articles/d41586-026-02612-3" TargetMode="External"/><Relationship Id="rId1780" Type="http://schemas.openxmlformats.org/officeDocument/2006/relationships/hyperlink" Target="https://doi.org/10.1038/d41586-026-02612-3" TargetMode="External"/><Relationship Id="rId1781" Type="http://schemas.openxmlformats.org/officeDocument/2006/relationships/hyperlink" Target="https://www.nature.com/articles/d41586-026-02574-6" TargetMode="External"/><Relationship Id="rId1782" Type="http://schemas.openxmlformats.org/officeDocument/2006/relationships/hyperlink" Target="https://doi.org/10.1038/d41586-026-02574-6" TargetMode="External"/><Relationship Id="rId1783" Type="http://schemas.openxmlformats.org/officeDocument/2006/relationships/hyperlink" Target="https://www.cell.com/matter/fulltext/S2590-2385(26)00337-1?rss=yes" TargetMode="External"/><Relationship Id="rId1784" Type="http://schemas.openxmlformats.org/officeDocument/2006/relationships/hyperlink" Target="https://doi.org/10.1016/j.matt.2026.102974" TargetMode="External"/><Relationship Id="rId1785" Type="http://schemas.openxmlformats.org/officeDocument/2006/relationships/hyperlink" Target="https://www.nature.com/articles/d41586-026-02549-7" TargetMode="External"/><Relationship Id="rId1786" Type="http://schemas.openxmlformats.org/officeDocument/2006/relationships/hyperlink" Target="https://doi.org/10.1038/d41586-026-02549-7" TargetMode="External"/><Relationship Id="rId1787" Type="http://schemas.openxmlformats.org/officeDocument/2006/relationships/hyperlink" Target="https://www.nature.com/articles/d41586-026-02551-z" TargetMode="External"/><Relationship Id="rId1788" Type="http://schemas.openxmlformats.org/officeDocument/2006/relationships/hyperlink" Target="https://doi.org/10.1038/d41586-026-02551-z" TargetMode="External"/><Relationship Id="rId1789" Type="http://schemas.openxmlformats.org/officeDocument/2006/relationships/hyperlink" Target="https://www.nature.com/articles/d41586-026-02455-y" TargetMode="External"/><Relationship Id="rId1790" Type="http://schemas.openxmlformats.org/officeDocument/2006/relationships/hyperlink" Target="https://doi.org/10.1038/d41586-026-02455-y" TargetMode="External"/><Relationship Id="rId1791" Type="http://schemas.openxmlformats.org/officeDocument/2006/relationships/hyperlink" Target="https://www.nature.com/articles/d41586-026-02586-2" TargetMode="External"/><Relationship Id="rId1792" Type="http://schemas.openxmlformats.org/officeDocument/2006/relationships/hyperlink" Target="https://doi.org/10.1038/d41586-026-02586-2" TargetMode="External"/><Relationship Id="rId1793" Type="http://schemas.openxmlformats.org/officeDocument/2006/relationships/hyperlink" Target="https://www.cell.com/chem/fulltext/S2451-9294(26)00271-8?rss=yes" TargetMode="External"/><Relationship Id="rId1794" Type="http://schemas.openxmlformats.org/officeDocument/2006/relationships/hyperlink" Target="https://doi.org/10.1016/j.chempr.2026.103205" TargetMode="External"/><Relationship Id="rId1795" Type="http://schemas.openxmlformats.org/officeDocument/2006/relationships/hyperlink" Target="https://pubs.acs.org/jacsat/article/doi/10.1021/jacs.6c05205/5277383/A-Complementary-Approach-to-Dialkylsilylenes-via" TargetMode="External"/><Relationship Id="rId1796" Type="http://schemas.openxmlformats.org/officeDocument/2006/relationships/hyperlink" Target="https://doi.org/10.1021/jacs.6c05205" TargetMode="External"/><Relationship Id="rId1797" Type="http://schemas.openxmlformats.org/officeDocument/2006/relationships/hyperlink" Target="https://www.nature.com/articles/d41586-026-02555-9" TargetMode="External"/><Relationship Id="rId1798" Type="http://schemas.openxmlformats.org/officeDocument/2006/relationships/hyperlink" Target="https://doi.org/10.1038/d41586-026-02555-9" TargetMode="External"/><Relationship Id="rId1799" Type="http://schemas.openxmlformats.org/officeDocument/2006/relationships/hyperlink" Target="https://academic.oup.com/nsr/advance-article/doi/10.1093/nsr/nwag515/8766991?rss=1" TargetMode="External"/><Relationship Id="rId1800" Type="http://schemas.openxmlformats.org/officeDocument/2006/relationships/hyperlink" Target="https://doi.org/10.1093/nsr/nwag515" TargetMode="External"/><Relationship Id="rId1801" Type="http://schemas.openxmlformats.org/officeDocument/2006/relationships/hyperlink" Target="https://www.nature.com/articles/d41586-026-02556-8" TargetMode="External"/><Relationship Id="rId1802" Type="http://schemas.openxmlformats.org/officeDocument/2006/relationships/hyperlink" Target="https://doi.org/10.1038/d41586-026-02556-8" TargetMode="External"/><Relationship Id="rId1803" Type="http://schemas.openxmlformats.org/officeDocument/2006/relationships/hyperlink" Target="https://pubs.acs.org/jacsat/article/doi/10.1021/jacs.6c10371/5277249/QuantumPioneer-Scalable-Generation-of-Quantum" TargetMode="External"/><Relationship Id="rId1804" Type="http://schemas.openxmlformats.org/officeDocument/2006/relationships/hyperlink" Target="https://doi.org/10.1021/jacs.6c10371" TargetMode="External"/><Relationship Id="rId1805" Type="http://schemas.openxmlformats.org/officeDocument/2006/relationships/hyperlink" Target="https://www.nature.com/articles/d41586-026-02553-x" TargetMode="External"/><Relationship Id="rId1806" Type="http://schemas.openxmlformats.org/officeDocument/2006/relationships/hyperlink" Target="https://doi.org/10.1038/d41586-026-02553-x" TargetMode="External"/><Relationship Id="rId1807" Type="http://schemas.openxmlformats.org/officeDocument/2006/relationships/hyperlink" Target="https://pubs.acs.org/jacsat/article/doi/10.1021/jacs.6c11748/5278511/Architectural-Evolution-Unlocks-the-Functional" TargetMode="External"/><Relationship Id="rId1808" Type="http://schemas.openxmlformats.org/officeDocument/2006/relationships/hyperlink" Target="https://doi.org/10.1021/jacs.6c11748" TargetMode="External"/><Relationship Id="rId1809" Type="http://schemas.openxmlformats.org/officeDocument/2006/relationships/hyperlink" Target="https://pubs.acs.org/jacsat/article/doi/10.1021/jacs.6c11928/5277336/Redefining-Fibrinogen-Self-Assembly-at-the-Air" TargetMode="External"/><Relationship Id="rId1810" Type="http://schemas.openxmlformats.org/officeDocument/2006/relationships/hyperlink" Target="https://doi.org/10.1021/jacs.6c11928" TargetMode="External"/><Relationship Id="rId1811" Type="http://schemas.openxmlformats.org/officeDocument/2006/relationships/hyperlink" Target="https://pubs.acs.org/jacsat/article/doi/10.1021/jacs.6c07569/5278550/Probing-the-Quantum-Nature-of-Intramolecular" TargetMode="External"/><Relationship Id="rId1812" Type="http://schemas.openxmlformats.org/officeDocument/2006/relationships/hyperlink" Target="https://doi.org/10.1021/jacs.6c07569" TargetMode="External"/><Relationship Id="rId1813" Type="http://schemas.openxmlformats.org/officeDocument/2006/relationships/hyperlink" Target="https://pubs.acs.org/jacsat/article/doi/10.1021/jacs.6c10184/5278443/Membranes-Incorporating-2D-Single-Crystalline-COFs" TargetMode="External"/><Relationship Id="rId1814" Type="http://schemas.openxmlformats.org/officeDocument/2006/relationships/hyperlink" Target="https://doi.org/10.1021/jacs.6c10184" TargetMode="External"/><Relationship Id="rId1815" Type="http://schemas.openxmlformats.org/officeDocument/2006/relationships/hyperlink" Target="https://pubs.acs.org/jacsat/article/doi/10.1021/jacs.6c08363/5278548/Interplay-between-Structural-Reorganization-and" TargetMode="External"/><Relationship Id="rId1816" Type="http://schemas.openxmlformats.org/officeDocument/2006/relationships/hyperlink" Target="https://doi.org/10.1021/jacs.6c08363" TargetMode="External"/><Relationship Id="rId1817" Type="http://schemas.openxmlformats.org/officeDocument/2006/relationships/hyperlink" Target="https://pubs.acs.org/jacsat/article/doi/10.1021/jacs.6c08649/5277351/Factors-Governing-the-Stability-of-Dilute-Alloy" TargetMode="External"/><Relationship Id="rId1818" Type="http://schemas.openxmlformats.org/officeDocument/2006/relationships/hyperlink" Target="https://doi.org/10.1021/jacs.6c08649" TargetMode="External"/><Relationship Id="rId1819" Type="http://schemas.openxmlformats.org/officeDocument/2006/relationships/hyperlink" Target="https://pubs.acs.org/jacsat/article/doi/10.1021/jacs.6c10875/5277250/Catalytic-Enantioselective-Aziridination-of-Z" TargetMode="External"/><Relationship Id="rId1820" Type="http://schemas.openxmlformats.org/officeDocument/2006/relationships/hyperlink" Target="https://doi.org/10.1021/jacs.6c10875" TargetMode="External"/><Relationship Id="rId1821" Type="http://schemas.openxmlformats.org/officeDocument/2006/relationships/hyperlink" Target="https://www.nature.com/articles/s41586-026-11043-z" TargetMode="External"/><Relationship Id="rId1822" Type="http://schemas.openxmlformats.org/officeDocument/2006/relationships/hyperlink" Target="https://doi.org/10.1038/s41586-026-11043-z" TargetMode="External"/><Relationship Id="rId1823" Type="http://schemas.openxmlformats.org/officeDocument/2006/relationships/hyperlink" Target="https://academic.oup.com/nsr/advance-article/doi/10.1093/nsr/nwag514/8766988?rss=1" TargetMode="External"/><Relationship Id="rId1824" Type="http://schemas.openxmlformats.org/officeDocument/2006/relationships/hyperlink" Target="https://doi.org/10.1093/nsr/nwag514" TargetMode="External"/><Relationship Id="rId1825" Type="http://schemas.openxmlformats.org/officeDocument/2006/relationships/hyperlink" Target="https://pubs.acs.org/aamick/article/doi/10.1021/acsami.6c13701/5277335/Toward-Long-Term-Bioelectronic-Interfaces" TargetMode="External"/><Relationship Id="rId1826" Type="http://schemas.openxmlformats.org/officeDocument/2006/relationships/hyperlink" Target="https://doi.org/10.1021/acsami.6c13701" TargetMode="External"/><Relationship Id="rId1827" Type="http://schemas.openxmlformats.org/officeDocument/2006/relationships/hyperlink" Target="https://pubs.acs.org/aamick/article/doi/10.1021/acsami.6c15853/5278254/Correction-to-Cross-Linked-Reticular-Magnetic" TargetMode="External"/><Relationship Id="rId1828" Type="http://schemas.openxmlformats.org/officeDocument/2006/relationships/hyperlink" Target="https://doi.org/10.1021/acsami.6c15853" TargetMode="External"/><Relationship Id="rId1829" Type="http://schemas.openxmlformats.org/officeDocument/2006/relationships/hyperlink" Target="https://pubs.acs.org/aamick/article/doi/10.1021/acsami.6c13824/5277022/Dual-Action-Cationic-Nanoparticle-Eye-Drops" TargetMode="External"/><Relationship Id="rId1830" Type="http://schemas.openxmlformats.org/officeDocument/2006/relationships/hyperlink" Target="https://doi.org/10.1021/acsami.6c13824" TargetMode="External"/><Relationship Id="rId1831" Type="http://schemas.openxmlformats.org/officeDocument/2006/relationships/hyperlink" Target="https://pubs.acs.org/aamick/article/doi/10.1021/acsami.6c08909/5278458/An-Adiponectin-Receptor-Agonist-Dispersed-via" TargetMode="External"/><Relationship Id="rId1832" Type="http://schemas.openxmlformats.org/officeDocument/2006/relationships/hyperlink" Target="https://doi.org/10.1021/acsami.6c08909" TargetMode="External"/><Relationship Id="rId1833" Type="http://schemas.openxmlformats.org/officeDocument/2006/relationships/hyperlink" Target="https://www.nature.com/articles/s41557-026-02250-2" TargetMode="External"/><Relationship Id="rId1834" Type="http://schemas.openxmlformats.org/officeDocument/2006/relationships/hyperlink" Target="https://doi.org/10.1038/s41557-026-02250-2" TargetMode="External"/><Relationship Id="rId1835" Type="http://schemas.openxmlformats.org/officeDocument/2006/relationships/hyperlink" Target="https://pubs.acs.org/aamick/article/doi/10.1021/acsami.6c08347/5278440/Osmotic-Pressure-Gradient-Induced-In-Plane-Dual" TargetMode="External"/><Relationship Id="rId1836" Type="http://schemas.openxmlformats.org/officeDocument/2006/relationships/hyperlink" Target="https://doi.org/10.1021/acsami.6c08347" TargetMode="External"/><Relationship Id="rId1837" Type="http://schemas.openxmlformats.org/officeDocument/2006/relationships/hyperlink" Target="https://pubs.acs.org/aamick/article/doi/10.1021/acsami.6c11746/5277339/Nitroxide-Polymer-Encapsulating-Triptolide-for" TargetMode="External"/><Relationship Id="rId1838" Type="http://schemas.openxmlformats.org/officeDocument/2006/relationships/hyperlink" Target="https://doi.org/10.1021/acsami.6c11746" TargetMode="External"/><Relationship Id="rId1839" Type="http://schemas.openxmlformats.org/officeDocument/2006/relationships/hyperlink" Target="https://pubs.acs.org/aamick/article/doi/10.1021/acsami.6c09650/5278428/Heterostructures-of-FeCoSe-MoS2-on-Reduced" TargetMode="External"/><Relationship Id="rId1840" Type="http://schemas.openxmlformats.org/officeDocument/2006/relationships/hyperlink" Target="https://doi.org/10.1021/acsami.6c09650" TargetMode="External"/><Relationship Id="rId1841" Type="http://schemas.openxmlformats.org/officeDocument/2006/relationships/hyperlink" Target="https://pubs.acs.org/aamick/article/doi/10.1021/acsami.6c10553/5278317/Thermoresponsive-Amifostine-Loaded-Chitosan-Biogel" TargetMode="External"/><Relationship Id="rId1842" Type="http://schemas.openxmlformats.org/officeDocument/2006/relationships/hyperlink" Target="https://doi.org/10.1021/acsami.6c10553" TargetMode="External"/><Relationship Id="rId1843" Type="http://schemas.openxmlformats.org/officeDocument/2006/relationships/hyperlink" Target="https://pubs.acs.org/aamick/article/doi/10.1021/acsami.6c13004/5278526/AggreArch-A-Programmable-Nano-to-Micro-Assembly" TargetMode="External"/><Relationship Id="rId1844" Type="http://schemas.openxmlformats.org/officeDocument/2006/relationships/hyperlink" Target="https://doi.org/10.1021/acsami.6c13004" TargetMode="External"/><Relationship Id="rId1845" Type="http://schemas.openxmlformats.org/officeDocument/2006/relationships/hyperlink" Target="https://pubs.acs.org/aamick/article/doi/10.1021/acsami.6c11999/5277342/Enhanced-Responsivity-of-Ga2O3-Based-Solar-Blind" TargetMode="External"/><Relationship Id="rId1846" Type="http://schemas.openxmlformats.org/officeDocument/2006/relationships/hyperlink" Target="https://doi.org/10.1021/acsami.6c11999" TargetMode="External"/><Relationship Id="rId1847" Type="http://schemas.openxmlformats.org/officeDocument/2006/relationships/hyperlink" Target="https://pubs.acs.org/jacsat/article/doi/10.1021/jacs.6c15989/5278519/Photouncaging-of-an-Opioid-Peptide-in-Vivo-Using" TargetMode="External"/><Relationship Id="rId1848" Type="http://schemas.openxmlformats.org/officeDocument/2006/relationships/hyperlink" Target="https://doi.org/10.1021/jacs.6c15989" TargetMode="External"/><Relationship Id="rId1849" Type="http://schemas.openxmlformats.org/officeDocument/2006/relationships/hyperlink" Target="https://pubs.acs.org/aamick/article/doi/10.1021/acsami.6c10538/5278429/Surface-Engineered-Poly-ethylene-oxide-Grafted" TargetMode="External"/><Relationship Id="rId1850" Type="http://schemas.openxmlformats.org/officeDocument/2006/relationships/hyperlink" Target="https://doi.org/10.1021/acsami.6c10538" TargetMode="External"/><Relationship Id="rId1851" Type="http://schemas.openxmlformats.org/officeDocument/2006/relationships/hyperlink" Target="https://onlinelibrary.wiley.com/doi/10.1002/anie.5737313?af=R" TargetMode="External"/><Relationship Id="rId1852" Type="http://schemas.openxmlformats.org/officeDocument/2006/relationships/hyperlink" Target="https://doi.org/10.1002/anie.5737313" TargetMode="External"/><Relationship Id="rId1853" Type="http://schemas.openxmlformats.org/officeDocument/2006/relationships/hyperlink" Target="https://www.science.org/doi/abs/10.1126/science.ael6246?af=R" TargetMode="External"/><Relationship Id="rId1854" Type="http://schemas.openxmlformats.org/officeDocument/2006/relationships/hyperlink" Target="https://doi.org/10.1126/science.ael6246" TargetMode="External"/><Relationship Id="rId1855" Type="http://schemas.openxmlformats.org/officeDocument/2006/relationships/hyperlink" Target="https://www.science.org/doi/abs/10.1126/science.ael6245?af=R" TargetMode="External"/><Relationship Id="rId1856" Type="http://schemas.openxmlformats.org/officeDocument/2006/relationships/hyperlink" Target="https://doi.org/10.1126/science.ael6245" TargetMode="External"/><Relationship Id="rId1857" Type="http://schemas.openxmlformats.org/officeDocument/2006/relationships/hyperlink" Target="https://www.science.org/doi/abs/10.1126/science.aej9284?af=R" TargetMode="External"/><Relationship Id="rId1858" Type="http://schemas.openxmlformats.org/officeDocument/2006/relationships/hyperlink" Target="https://doi.org/10.1126/science.aej9284" TargetMode="External"/><Relationship Id="rId1859" Type="http://schemas.openxmlformats.org/officeDocument/2006/relationships/hyperlink" Target="https://www.science.org/doi/abs/10.1126/science.aek5595?af=R" TargetMode="External"/><Relationship Id="rId1860" Type="http://schemas.openxmlformats.org/officeDocument/2006/relationships/hyperlink" Target="https://doi.org/10.1126/science.aek5595" TargetMode="External"/><Relationship Id="rId1861" Type="http://schemas.openxmlformats.org/officeDocument/2006/relationships/hyperlink" Target="https://www.science.org/doi/abs/10.1126/science.ael6247?af=R" TargetMode="External"/><Relationship Id="rId1862" Type="http://schemas.openxmlformats.org/officeDocument/2006/relationships/hyperlink" Target="https://doi.org/10.1126/science.ael6247" TargetMode="External"/><Relationship Id="rId1863" Type="http://schemas.openxmlformats.org/officeDocument/2006/relationships/hyperlink" Target="https://www.science.org/doi/abs/10.1126/science.aek1809?af=R" TargetMode="External"/><Relationship Id="rId1864" Type="http://schemas.openxmlformats.org/officeDocument/2006/relationships/hyperlink" Target="https://doi.org/10.1126/science.aek1809" TargetMode="External"/><Relationship Id="rId1865" Type="http://schemas.openxmlformats.org/officeDocument/2006/relationships/hyperlink" Target="https://www.science.org/doi/abs/10.1126/science.aeg5569?af=R" TargetMode="External"/><Relationship Id="rId1866" Type="http://schemas.openxmlformats.org/officeDocument/2006/relationships/hyperlink" Target="https://doi.org/10.1126/science.aeg5569" TargetMode="External"/><Relationship Id="rId1867" Type="http://schemas.openxmlformats.org/officeDocument/2006/relationships/hyperlink" Target="https://www.science.org/doi/abs/10.1126/science.aek1460?af=R" TargetMode="External"/><Relationship Id="rId1868" Type="http://schemas.openxmlformats.org/officeDocument/2006/relationships/hyperlink" Target="https://doi.org/10.1126/science.aek1460" TargetMode="External"/><Relationship Id="rId1869" Type="http://schemas.openxmlformats.org/officeDocument/2006/relationships/hyperlink" Target="https://www.science.org/doi/abs/10.1126/science.ael5804?af=R" TargetMode="External"/><Relationship Id="rId1870" Type="http://schemas.openxmlformats.org/officeDocument/2006/relationships/hyperlink" Target="https://doi.org/10.1126/science.ael5804" TargetMode="External"/><Relationship Id="rId1871" Type="http://schemas.openxmlformats.org/officeDocument/2006/relationships/hyperlink" Target="https://www.science.org/doi/abs/10.1126/science.aec4203?af=R" TargetMode="External"/><Relationship Id="rId1872" Type="http://schemas.openxmlformats.org/officeDocument/2006/relationships/hyperlink" Target="https://doi.org/10.1126/science.aec4203" TargetMode="External"/><Relationship Id="rId1873" Type="http://schemas.openxmlformats.org/officeDocument/2006/relationships/hyperlink" Target="https://www.science.org/doi/abs/10.1126/science.aee2448?af=R" TargetMode="External"/><Relationship Id="rId1874" Type="http://schemas.openxmlformats.org/officeDocument/2006/relationships/hyperlink" Target="https://doi.org/10.1126/science.aee2448" TargetMode="External"/><Relationship Id="rId1875" Type="http://schemas.openxmlformats.org/officeDocument/2006/relationships/hyperlink" Target="https://www.science.org/doi/abs/10.1126/science.aed8133?af=R" TargetMode="External"/><Relationship Id="rId1876" Type="http://schemas.openxmlformats.org/officeDocument/2006/relationships/hyperlink" Target="https://doi.org/10.1126/science.aed8133" TargetMode="External"/><Relationship Id="rId1877" Type="http://schemas.openxmlformats.org/officeDocument/2006/relationships/hyperlink" Target="https://www.science.org/doi/abs/10.1126/science.ael6251?af=R" TargetMode="External"/><Relationship Id="rId1878" Type="http://schemas.openxmlformats.org/officeDocument/2006/relationships/hyperlink" Target="https://doi.org/10.1126/science.ael6251" TargetMode="External"/><Relationship Id="rId1879" Type="http://schemas.openxmlformats.org/officeDocument/2006/relationships/hyperlink" Target="https://www.science.org/doi/abs/10.1126/science.ael6250?af=R" TargetMode="External"/><Relationship Id="rId1880" Type="http://schemas.openxmlformats.org/officeDocument/2006/relationships/hyperlink" Target="https://doi.org/10.1126/science.ael6250" TargetMode="External"/><Relationship Id="rId1881" Type="http://schemas.openxmlformats.org/officeDocument/2006/relationships/hyperlink" Target="https://www.science.org/doi/abs/10.1126/science.ael6248?af=R" TargetMode="External"/><Relationship Id="rId1882" Type="http://schemas.openxmlformats.org/officeDocument/2006/relationships/hyperlink" Target="https://doi.org/10.1126/science.ael6248" TargetMode="External"/><Relationship Id="rId1883" Type="http://schemas.openxmlformats.org/officeDocument/2006/relationships/hyperlink" Target="https://www.science.org/doi/abs/10.1126/science.aej1046?af=R" TargetMode="External"/><Relationship Id="rId1884" Type="http://schemas.openxmlformats.org/officeDocument/2006/relationships/hyperlink" Target="https://doi.org/10.1126/science.aej1046" TargetMode="External"/><Relationship Id="rId1885" Type="http://schemas.openxmlformats.org/officeDocument/2006/relationships/hyperlink" Target="https://www.science.org/doi/abs/10.1126/science.aek5943?af=R" TargetMode="External"/><Relationship Id="rId1886" Type="http://schemas.openxmlformats.org/officeDocument/2006/relationships/hyperlink" Target="https://doi.org/10.1126/science.aek5943" TargetMode="External"/><Relationship Id="rId1887" Type="http://schemas.openxmlformats.org/officeDocument/2006/relationships/hyperlink" Target="https://www.science.org/doi/abs/10.1126/science.aeg0028?af=R" TargetMode="External"/><Relationship Id="rId1888" Type="http://schemas.openxmlformats.org/officeDocument/2006/relationships/hyperlink" Target="https://doi.org/10.1126/science.aeg0028" TargetMode="External"/><Relationship Id="rId1889" Type="http://schemas.openxmlformats.org/officeDocument/2006/relationships/hyperlink" Target="https://www.science.org/doi/abs/10.1126/science.aea7978?af=R" TargetMode="External"/><Relationship Id="rId1890" Type="http://schemas.openxmlformats.org/officeDocument/2006/relationships/hyperlink" Target="https://doi.org/10.1126/science.aea7978" TargetMode="External"/><Relationship Id="rId1891" Type="http://schemas.openxmlformats.org/officeDocument/2006/relationships/hyperlink" Target="https://www.science.org/doi/abs/10.1126/science.ael5806?af=R" TargetMode="External"/><Relationship Id="rId1892" Type="http://schemas.openxmlformats.org/officeDocument/2006/relationships/hyperlink" Target="https://doi.org/10.1126/science.ael5806" TargetMode="External"/><Relationship Id="rId1893" Type="http://schemas.openxmlformats.org/officeDocument/2006/relationships/hyperlink" Target="https://www.science.org/doi/abs/10.1126/science.ael5805?af=R" TargetMode="External"/><Relationship Id="rId1894" Type="http://schemas.openxmlformats.org/officeDocument/2006/relationships/hyperlink" Target="https://doi.org/10.1126/science.ael5805" TargetMode="External"/><Relationship Id="rId1895" Type="http://schemas.openxmlformats.org/officeDocument/2006/relationships/hyperlink" Target="https://www.science.org/doi/abs/10.1126/science.ael2161?af=R" TargetMode="External"/><Relationship Id="rId1896" Type="http://schemas.openxmlformats.org/officeDocument/2006/relationships/hyperlink" Target="https://doi.org/10.1126/science.ael2161" TargetMode="External"/><Relationship Id="rId1897" Type="http://schemas.openxmlformats.org/officeDocument/2006/relationships/hyperlink" Target="https://www.science.org/doi/abs/10.1126/science.ael6249?af=R" TargetMode="External"/><Relationship Id="rId1898" Type="http://schemas.openxmlformats.org/officeDocument/2006/relationships/hyperlink" Target="https://doi.org/10.1126/science.ael6249" TargetMode="External"/><Relationship Id="rId1899" Type="http://schemas.openxmlformats.org/officeDocument/2006/relationships/hyperlink" Target="https://www.science.org/doi/abs/10.1126/science.aee0747?af=R" TargetMode="External"/><Relationship Id="rId1900" Type="http://schemas.openxmlformats.org/officeDocument/2006/relationships/hyperlink" Target="https://doi.org/10.1126/science.aee0747" TargetMode="External"/><Relationship Id="rId1901" Type="http://schemas.openxmlformats.org/officeDocument/2006/relationships/hyperlink" Target="https://advanced.onlinelibrary.wiley.com/doi/10.1002/adma.74661?af=R" TargetMode="External"/><Relationship Id="rId1902" Type="http://schemas.openxmlformats.org/officeDocument/2006/relationships/hyperlink" Target="https://doi.org/10.1002/adma.74661" TargetMode="External"/><Relationship Id="rId1903" Type="http://schemas.openxmlformats.org/officeDocument/2006/relationships/hyperlink" Target="https://advanced.onlinelibrary.wiley.com/doi/10.1002/adma.74689?af=R" TargetMode="External"/><Relationship Id="rId1904" Type="http://schemas.openxmlformats.org/officeDocument/2006/relationships/hyperlink" Target="https://doi.org/10.1002/adma.74689" TargetMode="External"/><Relationship Id="rId1905" Type="http://schemas.openxmlformats.org/officeDocument/2006/relationships/hyperlink" Target="https://advanced.onlinelibrary.wiley.com/doi/10.1002/adma.74718?af=R" TargetMode="External"/><Relationship Id="rId1906" Type="http://schemas.openxmlformats.org/officeDocument/2006/relationships/hyperlink" Target="https://doi.org/10.1002/adma.74718" TargetMode="External"/><Relationship Id="rId1907" Type="http://schemas.openxmlformats.org/officeDocument/2006/relationships/hyperlink" Target="https://advanced.onlinelibrary.wiley.com/doi/10.1002/adma.74680?af=R" TargetMode="External"/><Relationship Id="rId1908" Type="http://schemas.openxmlformats.org/officeDocument/2006/relationships/hyperlink" Target="https://doi.org/10.1002/adma.74680" TargetMode="External"/><Relationship Id="rId1909" Type="http://schemas.openxmlformats.org/officeDocument/2006/relationships/hyperlink" Target="https://www.science.org/doi/abs/10.1126/science.aed9286?af=R" TargetMode="External"/><Relationship Id="rId1910" Type="http://schemas.openxmlformats.org/officeDocument/2006/relationships/hyperlink" Target="https://doi.org/10.1126/science.aed9286" TargetMode="External"/><Relationship Id="rId1911" Type="http://schemas.openxmlformats.org/officeDocument/2006/relationships/hyperlink" Target="https://www.science.org/doi/abs/10.1126/science.aeb5077?af=R" TargetMode="External"/><Relationship Id="rId1912" Type="http://schemas.openxmlformats.org/officeDocument/2006/relationships/hyperlink" Target="https://doi.org/10.1126/science.aeb5077" TargetMode="External"/><Relationship Id="rId1913" Type="http://schemas.openxmlformats.org/officeDocument/2006/relationships/hyperlink" Target="https://www.science.org/doi/abs/10.1126/science.ady3027?af=R" TargetMode="External"/><Relationship Id="rId1914" Type="http://schemas.openxmlformats.org/officeDocument/2006/relationships/hyperlink" Target="https://doi.org/10.1126/science.ady3027" TargetMode="External"/><Relationship Id="rId1915" Type="http://schemas.openxmlformats.org/officeDocument/2006/relationships/hyperlink" Target="https://www.science.org/doi/abs/10.1126/science.ady1619?af=R" TargetMode="External"/><Relationship Id="rId1916" Type="http://schemas.openxmlformats.org/officeDocument/2006/relationships/hyperlink" Target="https://doi.org/10.1126/science.ady1619" TargetMode="External"/><Relationship Id="rId1917" Type="http://schemas.openxmlformats.org/officeDocument/2006/relationships/hyperlink" Target="https://www.science.org/doi/abs/10.1126/science.adv0443?af=R" TargetMode="External"/><Relationship Id="rId1918" Type="http://schemas.openxmlformats.org/officeDocument/2006/relationships/hyperlink" Target="https://doi.org/10.1126/science.adv0443" TargetMode="External"/><Relationship Id="rId1919" Type="http://schemas.openxmlformats.org/officeDocument/2006/relationships/hyperlink" Target="https://www.science.org/doi/abs/10.1126/science.aek6651?af=R" TargetMode="External"/><Relationship Id="rId1920" Type="http://schemas.openxmlformats.org/officeDocument/2006/relationships/hyperlink" Target="https://doi.org/10.1126/science.aek6651" TargetMode="External"/><Relationship Id="rId1921" Type="http://schemas.openxmlformats.org/officeDocument/2006/relationships/hyperlink" Target="https://www.science.org/doi/abs/10.1126/science.adz4351?af=R" TargetMode="External"/><Relationship Id="rId1922" Type="http://schemas.openxmlformats.org/officeDocument/2006/relationships/hyperlink" Target="https://doi.org/10.1126/science.adz4351" TargetMode="External"/><Relationship Id="rId1923" Type="http://schemas.openxmlformats.org/officeDocument/2006/relationships/hyperlink" Target="https://www.science.org/doi/abs/10.1126/science.aej2368?af=R" TargetMode="External"/><Relationship Id="rId1924" Type="http://schemas.openxmlformats.org/officeDocument/2006/relationships/hyperlink" Target="https://doi.org/10.1126/science.aej2368" TargetMode="External"/><Relationship Id="rId1925" Type="http://schemas.openxmlformats.org/officeDocument/2006/relationships/hyperlink" Target="https://www.pnas.org/doi/abs/10.1073/pnas.2530122123?mi=eymic2&amp;af=R&amp;access=on&amp;content=articlesChapters&amp;publication=pnas&amp;sortBy=Earliest&amp;target=default" TargetMode="External"/><Relationship Id="rId1926" Type="http://schemas.openxmlformats.org/officeDocument/2006/relationships/hyperlink" Target="https://doi.org/10.1073/pnas.2530122123" TargetMode="External"/><Relationship Id="rId1927" Type="http://schemas.openxmlformats.org/officeDocument/2006/relationships/hyperlink" Target="https://www.pnas.org/doi/abs/10.1073/pnas.2537018123?mi=eymic2&amp;af=R&amp;access=on&amp;content=articlesChapters&amp;publication=pnas&amp;sortBy=Earliest&amp;target=default" TargetMode="External"/><Relationship Id="rId1928" Type="http://schemas.openxmlformats.org/officeDocument/2006/relationships/hyperlink" Target="https://doi.org/10.1073/pnas.2537018123" TargetMode="External"/><Relationship Id="rId1929" Type="http://schemas.openxmlformats.org/officeDocument/2006/relationships/hyperlink" Target="https://www.pnas.org/doi/abs/10.1073/pnas.2601204123?mi=eymic2&amp;af=R&amp;access=on&amp;content=articlesChapters&amp;publication=pnas&amp;sortBy=Earliest&amp;target=default" TargetMode="External"/><Relationship Id="rId1930" Type="http://schemas.openxmlformats.org/officeDocument/2006/relationships/hyperlink" Target="https://doi.org/10.1073/pnas.2601204123" TargetMode="External"/><Relationship Id="rId1931" Type="http://schemas.openxmlformats.org/officeDocument/2006/relationships/hyperlink" Target="https://www.pnas.org/doi/abs/10.1073/pnas.2608091123?mi=eymic2&amp;af=R&amp;access=on&amp;content=articlesChapters&amp;publication=pnas&amp;sortBy=Earliest&amp;target=default" TargetMode="External"/><Relationship Id="rId1932" Type="http://schemas.openxmlformats.org/officeDocument/2006/relationships/hyperlink" Target="https://doi.org/10.1073/pnas.2608091123" TargetMode="External"/><Relationship Id="rId1933" Type="http://schemas.openxmlformats.org/officeDocument/2006/relationships/hyperlink" Target="https://www.pnas.org/doi/abs/10.1073/pnas.2608998123?mi=eymic2&amp;af=R&amp;access=on&amp;content=articlesChapters&amp;publication=pnas&amp;sortBy=Earliest&amp;target=default" TargetMode="External"/><Relationship Id="rId1934" Type="http://schemas.openxmlformats.org/officeDocument/2006/relationships/hyperlink" Target="https://doi.org/10.1073/pnas.2608998123" TargetMode="External"/><Relationship Id="rId1935" Type="http://schemas.openxmlformats.org/officeDocument/2006/relationships/hyperlink" Target="https://www.pnas.org/doi/abs/10.1073/pnas.2612340123?mi=eymic2&amp;af=R&amp;access=on&amp;content=articlesChapters&amp;publication=pnas&amp;sortBy=Earliest&amp;target=default" TargetMode="External"/><Relationship Id="rId1936" Type="http://schemas.openxmlformats.org/officeDocument/2006/relationships/hyperlink" Target="https://doi.org/10.1073/pnas.2612340123" TargetMode="External"/><Relationship Id="rId1937" Type="http://schemas.openxmlformats.org/officeDocument/2006/relationships/hyperlink" Target="https://www.pnas.org/doi/abs/10.1073/pnas.2616934123?mi=eymic2&amp;af=R&amp;access=on&amp;content=articlesChapters&amp;publication=pnas&amp;sortBy=Earliest&amp;target=default" TargetMode="External"/><Relationship Id="rId1938" Type="http://schemas.openxmlformats.org/officeDocument/2006/relationships/hyperlink" Target="https://doi.org/10.1073/pnas.2616934123" TargetMode="External"/><Relationship Id="rId1939" Type="http://schemas.openxmlformats.org/officeDocument/2006/relationships/hyperlink" Target="https://www.pnas.org/doi/abs/10.1073/pnas.2523784123?mi=eymic2&amp;af=R&amp;access=on&amp;content=articlesChapters&amp;publication=pnas&amp;sortBy=Earliest&amp;target=default" TargetMode="External"/><Relationship Id="rId1940" Type="http://schemas.openxmlformats.org/officeDocument/2006/relationships/hyperlink" Target="https://doi.org/10.1073/pnas.2523784123" TargetMode="External"/><Relationship Id="rId1941" Type="http://schemas.openxmlformats.org/officeDocument/2006/relationships/hyperlink" Target="https://www.pnas.org/doi/abs/10.1073/pnas.2617376123?mi=eymic2&amp;af=R&amp;access=on&amp;content=articlesChapters&amp;publication=pnas&amp;sortBy=Earliest&amp;target=default" TargetMode="External"/><Relationship Id="rId1942" Type="http://schemas.openxmlformats.org/officeDocument/2006/relationships/hyperlink" Target="https://doi.org/10.1073/pnas.2617376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